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60" w:lineRule="exact"/>
        <w:jc w:val="center"/>
        <w:rPr>
          <w:rFonts w:ascii="宋体" w:hAnsi="宋体" w:cs="宋体"/>
          <w:b/>
          <w:bCs/>
          <w:sz w:val="52"/>
          <w:szCs w:val="52"/>
        </w:rPr>
      </w:pPr>
      <w:r>
        <w:rPr>
          <w:rFonts w:hint="eastAsia" w:ascii="宋体" w:hAnsi="宋体" w:cs="宋体"/>
          <w:b/>
          <w:bCs/>
          <w:sz w:val="52"/>
          <w:szCs w:val="52"/>
          <w:lang w:eastAsia="zh-CN"/>
        </w:rPr>
        <w:t>湖州市大数据发展管理局统筹云资源购置服务</w:t>
      </w:r>
      <w:r>
        <w:rPr>
          <w:rFonts w:hint="eastAsia" w:ascii="宋体" w:hAnsi="宋体" w:cs="宋体"/>
          <w:b/>
          <w:bCs/>
          <w:sz w:val="52"/>
          <w:szCs w:val="52"/>
        </w:rPr>
        <w:t>采购项目公开招标文件</w:t>
      </w:r>
    </w:p>
    <w:p>
      <w:pPr>
        <w:jc w:val="center"/>
        <w:rPr>
          <w:rFonts w:ascii="宋体" w:hAnsi="宋体" w:cs="宋体"/>
          <w:b/>
          <w:bCs/>
          <w:sz w:val="28"/>
          <w:szCs w:val="28"/>
        </w:rPr>
      </w:pPr>
    </w:p>
    <w:p>
      <w:pPr>
        <w:jc w:val="center"/>
        <w:rPr>
          <w:rFonts w:ascii="宋体" w:hAnsi="宋体" w:cs="宋体"/>
          <w:b/>
          <w:bCs/>
          <w:sz w:val="48"/>
        </w:rPr>
      </w:pPr>
    </w:p>
    <w:p>
      <w:pPr>
        <w:jc w:val="center"/>
        <w:rPr>
          <w:rFonts w:ascii="宋体" w:hAnsi="宋体" w:cs="宋体"/>
          <w:b/>
          <w:bCs/>
          <w:sz w:val="48"/>
        </w:rPr>
      </w:pPr>
    </w:p>
    <w:p>
      <w:pPr>
        <w:rPr>
          <w:rFonts w:ascii="宋体" w:hAnsi="宋体" w:cs="宋体"/>
          <w:b/>
          <w:bCs/>
          <w:sz w:val="48"/>
        </w:rPr>
      </w:pPr>
    </w:p>
    <w:p>
      <w:pPr>
        <w:ind w:firstLine="1601" w:firstLineChars="445"/>
        <w:rPr>
          <w:rFonts w:hint="eastAsia" w:ascii="宋体" w:hAnsi="宋体" w:eastAsia="宋体" w:cs="宋体"/>
          <w:b/>
          <w:bCs/>
          <w:sz w:val="36"/>
          <w:lang w:eastAsia="zh-CN"/>
        </w:rPr>
      </w:pPr>
      <w:r>
        <w:rPr>
          <w:rFonts w:hint="eastAsia" w:ascii="宋体" w:hAnsi="宋体" w:cs="宋体"/>
          <w:b/>
          <w:bCs/>
          <w:sz w:val="36"/>
        </w:rPr>
        <w:t>招标文件编号:</w:t>
      </w:r>
      <w:bookmarkStart w:id="55" w:name="_GoBack"/>
      <w:r>
        <w:rPr>
          <w:rFonts w:hint="eastAsia" w:ascii="宋体" w:hAnsi="宋体" w:cs="宋体"/>
          <w:b/>
          <w:bCs/>
          <w:sz w:val="36"/>
          <w:lang w:eastAsia="zh-CN"/>
        </w:rPr>
        <w:t>HZGZ2022-45</w:t>
      </w:r>
      <w:bookmarkEnd w:id="55"/>
    </w:p>
    <w:p>
      <w:pPr>
        <w:ind w:firstLine="1601" w:firstLineChars="445"/>
        <w:rPr>
          <w:rFonts w:ascii="宋体" w:hAnsi="宋体" w:cs="宋体"/>
          <w:b/>
          <w:bCs/>
          <w:sz w:val="36"/>
        </w:rPr>
      </w:pPr>
      <w:r>
        <w:rPr>
          <w:rFonts w:hint="eastAsia" w:ascii="宋体" w:hAnsi="宋体" w:cs="宋体"/>
          <w:b/>
          <w:bCs/>
          <w:sz w:val="36"/>
        </w:rPr>
        <w:t>财政审批编号: HZCG【2022】</w:t>
      </w:r>
      <w:r>
        <w:rPr>
          <w:rFonts w:hint="eastAsia" w:ascii="宋体" w:hAnsi="宋体" w:cs="宋体"/>
          <w:b/>
          <w:bCs/>
          <w:sz w:val="36"/>
          <w:lang w:eastAsia="zh-CN"/>
        </w:rPr>
        <w:t>18877</w:t>
      </w:r>
      <w:r>
        <w:rPr>
          <w:rFonts w:hint="eastAsia" w:ascii="宋体" w:hAnsi="宋体" w:cs="宋体"/>
          <w:b/>
          <w:bCs/>
          <w:sz w:val="36"/>
        </w:rPr>
        <w:t>号</w:t>
      </w:r>
    </w:p>
    <w:p>
      <w:pPr>
        <w:jc w:val="center"/>
        <w:rPr>
          <w:rFonts w:ascii="宋体" w:hAnsi="宋体" w:cs="宋体"/>
          <w:b/>
          <w:bCs/>
          <w:sz w:val="36"/>
        </w:rPr>
      </w:pPr>
    </w:p>
    <w:p>
      <w:pPr>
        <w:rPr>
          <w:rFonts w:ascii="宋体" w:hAnsi="宋体" w:cs="宋体"/>
          <w:b/>
          <w:bCs/>
          <w:sz w:val="36"/>
        </w:rPr>
      </w:pPr>
    </w:p>
    <w:p>
      <w:pPr>
        <w:pStyle w:val="2"/>
        <w:ind w:firstLine="210"/>
        <w:rPr>
          <w:rFonts w:ascii="宋体" w:hAnsi="宋体" w:cs="宋体"/>
        </w:rPr>
      </w:pPr>
    </w:p>
    <w:p>
      <w:pPr>
        <w:spacing w:line="940" w:lineRule="exact"/>
        <w:rPr>
          <w:rFonts w:hint="eastAsia" w:ascii="宋体" w:hAnsi="宋体" w:eastAsia="宋体" w:cs="宋体"/>
          <w:b/>
          <w:bCs/>
          <w:sz w:val="30"/>
          <w:szCs w:val="30"/>
          <w:u w:val="single"/>
          <w:lang w:eastAsia="zh-CN"/>
        </w:rPr>
      </w:pPr>
      <w:r>
        <w:rPr>
          <w:rFonts w:hint="eastAsia" w:ascii="宋体" w:hAnsi="宋体" w:cs="宋体"/>
          <w:b/>
          <w:bCs/>
          <w:sz w:val="30"/>
          <w:szCs w:val="30"/>
        </w:rPr>
        <w:t>采购人：</w:t>
      </w:r>
      <w:r>
        <w:rPr>
          <w:rFonts w:hint="eastAsia" w:ascii="宋体" w:hAnsi="宋体" w:cs="宋体"/>
          <w:b/>
          <w:sz w:val="30"/>
          <w:szCs w:val="30"/>
          <w:lang w:eastAsia="zh-CN"/>
        </w:rPr>
        <w:t>湖州市大数据发展管理局</w:t>
      </w:r>
    </w:p>
    <w:p>
      <w:pPr>
        <w:spacing w:line="940" w:lineRule="exact"/>
        <w:rPr>
          <w:rFonts w:ascii="宋体" w:hAnsi="宋体" w:cs="宋体"/>
          <w:b/>
          <w:bCs/>
          <w:sz w:val="28"/>
          <w:szCs w:val="28"/>
          <w:u w:val="single"/>
        </w:rPr>
      </w:pPr>
      <w:r>
        <w:rPr>
          <w:rFonts w:hint="eastAsia" w:ascii="宋体" w:hAnsi="宋体" w:cs="宋体"/>
          <w:b/>
          <w:bCs/>
          <w:sz w:val="30"/>
          <w:szCs w:val="30"/>
        </w:rPr>
        <w:t>集中采购机构：</w:t>
      </w:r>
      <w:r>
        <w:rPr>
          <w:rFonts w:hint="eastAsia" w:ascii="宋体" w:hAnsi="宋体" w:cs="宋体"/>
          <w:b/>
          <w:bCs/>
          <w:sz w:val="28"/>
          <w:szCs w:val="28"/>
        </w:rPr>
        <w:t>湖州市政府采购中心（盖章）</w:t>
      </w:r>
    </w:p>
    <w:p>
      <w:pPr>
        <w:spacing w:line="940" w:lineRule="exact"/>
        <w:rPr>
          <w:rFonts w:hint="eastAsia" w:ascii="宋体" w:hAnsi="宋体" w:cs="宋体"/>
          <w:b/>
          <w:bCs/>
          <w:sz w:val="30"/>
          <w:szCs w:val="30"/>
        </w:rPr>
      </w:pPr>
      <w:r>
        <w:rPr>
          <w:rFonts w:hint="eastAsia" w:ascii="宋体" w:hAnsi="宋体" w:cs="宋体"/>
          <w:b/>
          <w:bCs/>
          <w:sz w:val="30"/>
          <w:szCs w:val="30"/>
        </w:rPr>
        <w:t>日期：2022年月日</w:t>
      </w:r>
    </w:p>
    <w:p>
      <w:pPr>
        <w:pStyle w:val="2"/>
        <w:rPr>
          <w:rFonts w:hint="eastAsia" w:ascii="宋体" w:hAnsi="宋体" w:cs="宋体"/>
          <w:b/>
          <w:bCs/>
          <w:sz w:val="30"/>
          <w:szCs w:val="30"/>
        </w:rPr>
      </w:pPr>
    </w:p>
    <w:p>
      <w:pPr>
        <w:pStyle w:val="4"/>
        <w:rPr>
          <w:rFonts w:hint="eastAsia" w:ascii="宋体" w:hAnsi="宋体" w:cs="宋体"/>
          <w:b/>
          <w:bCs/>
          <w:sz w:val="30"/>
          <w:szCs w:val="30"/>
        </w:rPr>
      </w:pPr>
    </w:p>
    <w:p>
      <w:pPr>
        <w:rPr>
          <w:rFonts w:hint="eastAsia" w:ascii="宋体" w:hAnsi="宋体" w:cs="宋体"/>
          <w:b/>
          <w:bCs/>
          <w:sz w:val="30"/>
          <w:szCs w:val="30"/>
        </w:rPr>
      </w:pPr>
    </w:p>
    <w:p>
      <w:pPr>
        <w:pStyle w:val="2"/>
      </w:pPr>
    </w:p>
    <w:p>
      <w:pPr>
        <w:pStyle w:val="2"/>
        <w:ind w:firstLine="210"/>
        <w:rPr>
          <w:rFonts w:ascii="宋体" w:hAnsi="宋体" w:cs="宋体"/>
        </w:rPr>
      </w:pPr>
    </w:p>
    <w:p>
      <w:pPr>
        <w:pStyle w:val="2"/>
        <w:ind w:firstLine="210"/>
        <w:rPr>
          <w:rFonts w:ascii="宋体" w:hAnsi="宋体" w:cs="宋体"/>
        </w:rPr>
      </w:pPr>
    </w:p>
    <w:p>
      <w:pPr>
        <w:adjustRightInd w:val="0"/>
        <w:snapToGrid w:val="0"/>
        <w:spacing w:line="500" w:lineRule="exact"/>
        <w:jc w:val="center"/>
        <w:rPr>
          <w:rFonts w:ascii="宋体" w:hAnsi="宋体" w:cs="宋体"/>
          <w:b/>
          <w:snapToGrid w:val="0"/>
          <w:sz w:val="32"/>
          <w:szCs w:val="32"/>
        </w:rPr>
      </w:pPr>
      <w:r>
        <w:rPr>
          <w:rFonts w:hint="eastAsia" w:ascii="宋体" w:hAnsi="宋体" w:cs="宋体"/>
          <w:b/>
          <w:snapToGrid w:val="0"/>
          <w:sz w:val="32"/>
          <w:szCs w:val="32"/>
        </w:rPr>
        <w:t>目         录</w:t>
      </w:r>
    </w:p>
    <w:p>
      <w:pPr>
        <w:adjustRightInd w:val="0"/>
        <w:snapToGrid w:val="0"/>
        <w:spacing w:line="500" w:lineRule="exact"/>
        <w:rPr>
          <w:rFonts w:hint="eastAsia" w:ascii="仿宋" w:hAnsi="仿宋" w:eastAsia="仿宋" w:cs="仿宋"/>
          <w:bCs/>
          <w:snapToGrid w:val="0"/>
          <w:sz w:val="28"/>
        </w:rPr>
      </w:pPr>
    </w:p>
    <w:p>
      <w:pPr>
        <w:pStyle w:val="22"/>
        <w:spacing w:line="480" w:lineRule="exact"/>
        <w:rPr>
          <w:rFonts w:hint="eastAsia" w:ascii="仿宋" w:hAnsi="仿宋" w:eastAsia="仿宋" w:cs="仿宋"/>
          <w:b w:val="0"/>
          <w:kern w:val="0"/>
          <w:sz w:val="28"/>
          <w:szCs w:val="28"/>
        </w:rPr>
      </w:pPr>
      <w:r>
        <w:rPr>
          <w:rFonts w:hint="eastAsia" w:ascii="仿宋" w:hAnsi="仿宋" w:eastAsia="仿宋" w:cs="仿宋"/>
          <w:b w:val="0"/>
          <w:kern w:val="0"/>
          <w:sz w:val="28"/>
          <w:szCs w:val="28"/>
        </w:rPr>
        <w:t>招标公告</w:t>
      </w:r>
      <w:r>
        <w:rPr>
          <w:rFonts w:hint="eastAsia" w:ascii="仿宋" w:hAnsi="仿宋" w:eastAsia="仿宋" w:cs="仿宋"/>
          <w:b w:val="0"/>
          <w:kern w:val="0"/>
          <w:sz w:val="28"/>
          <w:szCs w:val="28"/>
        </w:rPr>
        <w:tab/>
      </w:r>
      <w:r>
        <w:rPr>
          <w:rFonts w:hint="eastAsia" w:ascii="仿宋" w:hAnsi="仿宋" w:eastAsia="仿宋" w:cs="仿宋"/>
          <w:b w:val="0"/>
          <w:kern w:val="0"/>
          <w:sz w:val="28"/>
          <w:szCs w:val="28"/>
        </w:rPr>
        <w:t>................................................3</w:t>
      </w:r>
    </w:p>
    <w:p>
      <w:pPr>
        <w:pStyle w:val="22"/>
        <w:tabs>
          <w:tab w:val="right" w:leader="dot" w:pos="8494"/>
        </w:tabs>
        <w:rPr>
          <w:rFonts w:hint="eastAsia" w:ascii="仿宋" w:hAnsi="仿宋" w:eastAsia="仿宋" w:cs="仿宋"/>
          <w:b w:val="0"/>
          <w:bCs w:val="0"/>
          <w:caps w:val="0"/>
          <w:sz w:val="28"/>
          <w:szCs w:val="28"/>
        </w:rPr>
      </w:pPr>
      <w:bookmarkStart w:id="0" w:name="OLE_LINK6"/>
      <w:bookmarkStart w:id="1" w:name="OLE_LINK1"/>
      <w:bookmarkStart w:id="2" w:name="OLE_LINK3"/>
      <w:bookmarkStart w:id="3" w:name="OLE_LINK5"/>
      <w:bookmarkStart w:id="4" w:name="OLE_LINK4"/>
      <w:r>
        <w:rPr>
          <w:rStyle w:val="37"/>
          <w:rFonts w:hint="eastAsia" w:ascii="仿宋" w:hAnsi="仿宋" w:eastAsia="仿宋" w:cs="仿宋"/>
          <w:b w:val="0"/>
          <w:sz w:val="28"/>
          <w:szCs w:val="28"/>
        </w:rPr>
        <w:fldChar w:fldCharType="begin"/>
      </w:r>
      <w:r>
        <w:rPr>
          <w:rStyle w:val="37"/>
          <w:rFonts w:hint="eastAsia" w:ascii="仿宋" w:hAnsi="仿宋" w:eastAsia="仿宋" w:cs="仿宋"/>
          <w:b w:val="0"/>
          <w:sz w:val="28"/>
          <w:szCs w:val="28"/>
        </w:rPr>
        <w:instrText xml:space="preserve"> TOC \o "1-3" \h \z \u </w:instrText>
      </w:r>
      <w:r>
        <w:rPr>
          <w:rStyle w:val="37"/>
          <w:rFonts w:hint="eastAsia" w:ascii="仿宋" w:hAnsi="仿宋" w:eastAsia="仿宋" w:cs="仿宋"/>
          <w:b w:val="0"/>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"_Toc36454312" </w:instrText>
      </w:r>
      <w:r>
        <w:rPr>
          <w:rFonts w:hint="eastAsia" w:ascii="仿宋" w:hAnsi="仿宋" w:eastAsia="仿宋" w:cs="仿宋"/>
        </w:rPr>
        <w:fldChar w:fldCharType="separate"/>
      </w:r>
      <w:r>
        <w:rPr>
          <w:rStyle w:val="37"/>
          <w:rFonts w:hint="eastAsia" w:ascii="仿宋" w:hAnsi="仿宋" w:eastAsia="仿宋" w:cs="仿宋"/>
          <w:b w:val="0"/>
          <w:sz w:val="28"/>
          <w:szCs w:val="28"/>
        </w:rPr>
        <w:t>第一章  投标人须知</w:t>
      </w:r>
      <w:r>
        <w:rPr>
          <w:rFonts w:hint="eastAsia" w:ascii="仿宋" w:hAnsi="仿宋" w:eastAsia="仿宋" w:cs="仿宋"/>
          <w:b w:val="0"/>
          <w:sz w:val="28"/>
          <w:szCs w:val="28"/>
        </w:rPr>
        <w:tab/>
      </w: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PAGEREF _Toc36454312 \h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rPr>
        <w:t>7</w:t>
      </w:r>
      <w:r>
        <w:rPr>
          <w:rFonts w:hint="eastAsia" w:ascii="仿宋" w:hAnsi="仿宋" w:eastAsia="仿宋" w:cs="仿宋"/>
          <w:b w:val="0"/>
          <w:sz w:val="28"/>
          <w:szCs w:val="28"/>
        </w:rPr>
        <w:fldChar w:fldCharType="end"/>
      </w:r>
      <w:r>
        <w:rPr>
          <w:rFonts w:hint="eastAsia" w:ascii="仿宋" w:hAnsi="仿宋" w:eastAsia="仿宋" w:cs="仿宋"/>
          <w:b w:val="0"/>
          <w:sz w:val="28"/>
          <w:szCs w:val="28"/>
        </w:rPr>
        <w:fldChar w:fldCharType="end"/>
      </w:r>
    </w:p>
    <w:p>
      <w:pPr>
        <w:pStyle w:val="25"/>
        <w:tabs>
          <w:tab w:val="right" w:leader="dot" w:pos="8494"/>
        </w:tabs>
        <w:rPr>
          <w:rFonts w:hint="eastAsia" w:ascii="仿宋" w:hAnsi="仿宋" w:eastAsia="仿宋" w:cs="仿宋"/>
          <w:small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"_Toc36454313" </w:instrText>
      </w:r>
      <w:r>
        <w:rPr>
          <w:rFonts w:hint="eastAsia" w:ascii="仿宋" w:hAnsi="仿宋" w:eastAsia="仿宋" w:cs="仿宋"/>
        </w:rPr>
        <w:fldChar w:fldCharType="separate"/>
      </w:r>
      <w:r>
        <w:rPr>
          <w:rStyle w:val="37"/>
          <w:rFonts w:hint="eastAsia" w:ascii="仿宋" w:hAnsi="仿宋" w:eastAsia="仿宋" w:cs="仿宋"/>
          <w:sz w:val="28"/>
          <w:szCs w:val="28"/>
        </w:rPr>
        <w:t>前   附  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_Toc36454313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5"/>
        <w:tabs>
          <w:tab w:val="right" w:leader="dot" w:pos="8494"/>
        </w:tabs>
        <w:rPr>
          <w:rFonts w:hint="eastAsia" w:ascii="仿宋" w:hAnsi="仿宋" w:eastAsia="仿宋" w:cs="仿宋"/>
          <w:small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"_Toc36454314" </w:instrText>
      </w:r>
      <w:r>
        <w:rPr>
          <w:rFonts w:hint="eastAsia" w:ascii="仿宋" w:hAnsi="仿宋" w:eastAsia="仿宋" w:cs="仿宋"/>
        </w:rPr>
        <w:fldChar w:fldCharType="separate"/>
      </w:r>
      <w:r>
        <w:rPr>
          <w:rStyle w:val="37"/>
          <w:rFonts w:hint="eastAsia" w:ascii="仿宋" w:hAnsi="仿宋" w:eastAsia="仿宋" w:cs="仿宋"/>
          <w:sz w:val="28"/>
          <w:szCs w:val="28"/>
        </w:rPr>
        <w:t>一、总  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_Toc36454314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5"/>
        <w:tabs>
          <w:tab w:val="right" w:leader="dot" w:pos="8494"/>
        </w:tabs>
        <w:rPr>
          <w:rFonts w:hint="eastAsia" w:ascii="仿宋" w:hAnsi="仿宋" w:eastAsia="仿宋" w:cs="仿宋"/>
          <w:small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"_Toc36454315" </w:instrText>
      </w:r>
      <w:r>
        <w:rPr>
          <w:rFonts w:hint="eastAsia" w:ascii="仿宋" w:hAnsi="仿宋" w:eastAsia="仿宋" w:cs="仿宋"/>
        </w:rPr>
        <w:fldChar w:fldCharType="separate"/>
      </w:r>
      <w:r>
        <w:rPr>
          <w:rStyle w:val="37"/>
          <w:rFonts w:hint="eastAsia" w:ascii="仿宋" w:hAnsi="仿宋" w:eastAsia="仿宋" w:cs="仿宋"/>
          <w:sz w:val="28"/>
          <w:szCs w:val="28"/>
        </w:rPr>
        <w:t>二、招标文件的说明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_Toc36454315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5"/>
        <w:tabs>
          <w:tab w:val="right" w:leader="dot" w:pos="8494"/>
        </w:tabs>
        <w:rPr>
          <w:rFonts w:hint="eastAsia" w:ascii="仿宋" w:hAnsi="仿宋" w:eastAsia="仿宋" w:cs="仿宋"/>
          <w:small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"_Toc36454316" </w:instrText>
      </w:r>
      <w:r>
        <w:rPr>
          <w:rFonts w:hint="eastAsia" w:ascii="仿宋" w:hAnsi="仿宋" w:eastAsia="仿宋" w:cs="仿宋"/>
        </w:rPr>
        <w:fldChar w:fldCharType="separate"/>
      </w:r>
      <w:r>
        <w:rPr>
          <w:rStyle w:val="37"/>
          <w:rFonts w:hint="eastAsia" w:ascii="仿宋" w:hAnsi="仿宋" w:eastAsia="仿宋" w:cs="仿宋"/>
          <w:sz w:val="28"/>
          <w:szCs w:val="28"/>
        </w:rPr>
        <w:t>三、投标文件的编制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_Toc36454316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5"/>
        <w:tabs>
          <w:tab w:val="right" w:leader="dot" w:pos="8494"/>
        </w:tabs>
        <w:rPr>
          <w:rFonts w:hint="eastAsia" w:ascii="仿宋" w:hAnsi="仿宋" w:eastAsia="仿宋" w:cs="仿宋"/>
          <w:small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"_Toc36454317" </w:instrText>
      </w:r>
      <w:r>
        <w:rPr>
          <w:rFonts w:hint="eastAsia" w:ascii="仿宋" w:hAnsi="仿宋" w:eastAsia="仿宋" w:cs="仿宋"/>
        </w:rPr>
        <w:fldChar w:fldCharType="separate"/>
      </w:r>
      <w:r>
        <w:rPr>
          <w:rStyle w:val="37"/>
          <w:rFonts w:hint="eastAsia" w:ascii="仿宋" w:hAnsi="仿宋" w:eastAsia="仿宋" w:cs="仿宋"/>
          <w:sz w:val="28"/>
          <w:szCs w:val="28"/>
        </w:rPr>
        <w:t>四、投标文件的提交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_Toc36454317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5"/>
        <w:tabs>
          <w:tab w:val="right" w:leader="dot" w:pos="8494"/>
        </w:tabs>
        <w:rPr>
          <w:rFonts w:hint="eastAsia" w:ascii="仿宋" w:hAnsi="仿宋" w:eastAsia="仿宋" w:cs="仿宋"/>
          <w:small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"_Toc36454318" </w:instrText>
      </w:r>
      <w:r>
        <w:rPr>
          <w:rFonts w:hint="eastAsia" w:ascii="仿宋" w:hAnsi="仿宋" w:eastAsia="仿宋" w:cs="仿宋"/>
        </w:rPr>
        <w:fldChar w:fldCharType="separate"/>
      </w:r>
      <w:r>
        <w:rPr>
          <w:rStyle w:val="37"/>
          <w:rFonts w:hint="eastAsia" w:ascii="仿宋" w:hAnsi="仿宋" w:eastAsia="仿宋" w:cs="仿宋"/>
          <w:sz w:val="28"/>
          <w:szCs w:val="28"/>
        </w:rPr>
        <w:t>五、开标程序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_Toc36454318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5"/>
        <w:tabs>
          <w:tab w:val="right" w:leader="dot" w:pos="8494"/>
        </w:tabs>
        <w:rPr>
          <w:rFonts w:hint="eastAsia" w:ascii="仿宋" w:hAnsi="仿宋" w:eastAsia="仿宋" w:cs="仿宋"/>
          <w:small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"_Toc36454319" </w:instrText>
      </w:r>
      <w:r>
        <w:rPr>
          <w:rFonts w:hint="eastAsia" w:ascii="仿宋" w:hAnsi="仿宋" w:eastAsia="仿宋" w:cs="仿宋"/>
        </w:rPr>
        <w:fldChar w:fldCharType="separate"/>
      </w:r>
      <w:r>
        <w:rPr>
          <w:rStyle w:val="37"/>
          <w:rFonts w:hint="eastAsia" w:ascii="仿宋" w:hAnsi="仿宋" w:eastAsia="仿宋" w:cs="仿宋"/>
          <w:snapToGrid w:val="0"/>
          <w:sz w:val="28"/>
          <w:szCs w:val="28"/>
        </w:rPr>
        <w:t>六、评标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_Toc36454319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5"/>
        <w:tabs>
          <w:tab w:val="right" w:leader="dot" w:pos="8494"/>
        </w:tabs>
        <w:rPr>
          <w:rFonts w:hint="eastAsia" w:ascii="仿宋" w:hAnsi="仿宋" w:eastAsia="仿宋" w:cs="仿宋"/>
          <w:small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"_Toc36454320" </w:instrText>
      </w:r>
      <w:r>
        <w:rPr>
          <w:rFonts w:hint="eastAsia" w:ascii="仿宋" w:hAnsi="仿宋" w:eastAsia="仿宋" w:cs="仿宋"/>
        </w:rPr>
        <w:fldChar w:fldCharType="separate"/>
      </w:r>
      <w:r>
        <w:rPr>
          <w:rStyle w:val="37"/>
          <w:rFonts w:hint="eastAsia" w:ascii="仿宋" w:hAnsi="仿宋" w:eastAsia="仿宋" w:cs="仿宋"/>
          <w:sz w:val="28"/>
          <w:szCs w:val="28"/>
        </w:rPr>
        <w:t>七、投标无效的情形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_Toc36454320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5"/>
        <w:tabs>
          <w:tab w:val="right" w:leader="dot" w:pos="8494"/>
        </w:tabs>
        <w:rPr>
          <w:rFonts w:hint="eastAsia" w:ascii="仿宋" w:hAnsi="仿宋" w:eastAsia="仿宋" w:cs="仿宋"/>
          <w:small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"_Toc36454321" </w:instrText>
      </w:r>
      <w:r>
        <w:rPr>
          <w:rFonts w:hint="eastAsia" w:ascii="仿宋" w:hAnsi="仿宋" w:eastAsia="仿宋" w:cs="仿宋"/>
        </w:rPr>
        <w:fldChar w:fldCharType="separate"/>
      </w:r>
      <w:r>
        <w:rPr>
          <w:rStyle w:val="37"/>
          <w:rFonts w:hint="eastAsia" w:ascii="仿宋" w:hAnsi="仿宋" w:eastAsia="仿宋" w:cs="仿宋"/>
          <w:sz w:val="28"/>
          <w:szCs w:val="28"/>
        </w:rPr>
        <w:t>八、合同的授予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_Toc36454321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5"/>
        <w:tabs>
          <w:tab w:val="right" w:leader="dot" w:pos="8494"/>
        </w:tabs>
        <w:rPr>
          <w:rFonts w:hint="eastAsia" w:ascii="仿宋" w:hAnsi="仿宋" w:eastAsia="仿宋" w:cs="仿宋"/>
          <w:small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"_Toc36454322" </w:instrText>
      </w:r>
      <w:r>
        <w:rPr>
          <w:rFonts w:hint="eastAsia" w:ascii="仿宋" w:hAnsi="仿宋" w:eastAsia="仿宋" w:cs="仿宋"/>
        </w:rPr>
        <w:fldChar w:fldCharType="separate"/>
      </w:r>
      <w:r>
        <w:rPr>
          <w:rStyle w:val="37"/>
          <w:rFonts w:hint="eastAsia" w:ascii="仿宋" w:hAnsi="仿宋" w:eastAsia="仿宋" w:cs="仿宋"/>
          <w:sz w:val="28"/>
          <w:szCs w:val="28"/>
        </w:rPr>
        <w:t>九、质疑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_Toc36454322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2"/>
        <w:tabs>
          <w:tab w:val="right" w:leader="dot" w:pos="8494"/>
        </w:tabs>
        <w:rPr>
          <w:rFonts w:hint="eastAsia" w:ascii="仿宋" w:hAnsi="仿宋" w:eastAsia="仿宋" w:cs="仿宋"/>
          <w:b w:val="0"/>
          <w:bCs w:val="0"/>
          <w: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"_Toc36454323" </w:instrText>
      </w:r>
      <w:r>
        <w:rPr>
          <w:rFonts w:hint="eastAsia" w:ascii="仿宋" w:hAnsi="仿宋" w:eastAsia="仿宋" w:cs="仿宋"/>
        </w:rPr>
        <w:fldChar w:fldCharType="separate"/>
      </w:r>
      <w:r>
        <w:rPr>
          <w:rStyle w:val="37"/>
          <w:rFonts w:hint="eastAsia" w:ascii="仿宋" w:hAnsi="仿宋" w:eastAsia="仿宋" w:cs="仿宋"/>
          <w:b w:val="0"/>
          <w:sz w:val="28"/>
          <w:szCs w:val="28"/>
        </w:rPr>
        <w:t>第二章  招标需求</w:t>
      </w:r>
      <w:r>
        <w:rPr>
          <w:rFonts w:hint="eastAsia" w:ascii="仿宋" w:hAnsi="仿宋" w:eastAsia="仿宋" w:cs="仿宋"/>
          <w:b w:val="0"/>
          <w:sz w:val="28"/>
          <w:szCs w:val="28"/>
        </w:rPr>
        <w:tab/>
      </w: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PAGEREF _Toc36454323 \h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rPr>
        <w:t>21</w:t>
      </w:r>
      <w:r>
        <w:rPr>
          <w:rFonts w:hint="eastAsia" w:ascii="仿宋" w:hAnsi="仿宋" w:eastAsia="仿宋" w:cs="仿宋"/>
          <w:b w:val="0"/>
          <w:sz w:val="28"/>
          <w:szCs w:val="28"/>
        </w:rPr>
        <w:fldChar w:fldCharType="end"/>
      </w:r>
      <w:r>
        <w:rPr>
          <w:rFonts w:hint="eastAsia" w:ascii="仿宋" w:hAnsi="仿宋" w:eastAsia="仿宋" w:cs="仿宋"/>
          <w:b w:val="0"/>
          <w:sz w:val="28"/>
          <w:szCs w:val="28"/>
        </w:rPr>
        <w:fldChar w:fldCharType="end"/>
      </w:r>
    </w:p>
    <w:p>
      <w:pPr>
        <w:pStyle w:val="22"/>
        <w:tabs>
          <w:tab w:val="right" w:leader="dot" w:pos="8494"/>
        </w:tabs>
        <w:rPr>
          <w:rFonts w:hint="eastAsia" w:ascii="仿宋" w:hAnsi="仿宋" w:eastAsia="仿宋" w:cs="仿宋"/>
          <w:b w:val="0"/>
          <w:bCs w:val="0"/>
          <w: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"_Toc36454324" </w:instrText>
      </w:r>
      <w:r>
        <w:rPr>
          <w:rFonts w:hint="eastAsia" w:ascii="仿宋" w:hAnsi="仿宋" w:eastAsia="仿宋" w:cs="仿宋"/>
        </w:rPr>
        <w:fldChar w:fldCharType="separate"/>
      </w:r>
      <w:r>
        <w:rPr>
          <w:rStyle w:val="37"/>
          <w:rFonts w:hint="eastAsia" w:ascii="仿宋" w:hAnsi="仿宋" w:eastAsia="仿宋" w:cs="仿宋"/>
          <w:b w:val="0"/>
          <w:sz w:val="28"/>
          <w:szCs w:val="28"/>
        </w:rPr>
        <w:t>第三章  合同主要条款</w:t>
      </w:r>
      <w:r>
        <w:rPr>
          <w:rFonts w:hint="eastAsia" w:ascii="仿宋" w:hAnsi="仿宋" w:eastAsia="仿宋" w:cs="仿宋"/>
          <w:b w:val="0"/>
          <w:sz w:val="28"/>
          <w:szCs w:val="28"/>
        </w:rPr>
        <w:tab/>
      </w: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PAGEREF _Toc36454324 \h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rPr>
        <w:t>63</w:t>
      </w:r>
      <w:r>
        <w:rPr>
          <w:rFonts w:hint="eastAsia" w:ascii="仿宋" w:hAnsi="仿宋" w:eastAsia="仿宋" w:cs="仿宋"/>
          <w:b w:val="0"/>
          <w:sz w:val="28"/>
          <w:szCs w:val="28"/>
        </w:rPr>
        <w:fldChar w:fldCharType="end"/>
      </w:r>
      <w:r>
        <w:rPr>
          <w:rFonts w:hint="eastAsia" w:ascii="仿宋" w:hAnsi="仿宋" w:eastAsia="仿宋" w:cs="仿宋"/>
          <w:b w:val="0"/>
          <w:sz w:val="28"/>
          <w:szCs w:val="28"/>
        </w:rPr>
        <w:fldChar w:fldCharType="end"/>
      </w:r>
    </w:p>
    <w:p>
      <w:pPr>
        <w:pStyle w:val="22"/>
        <w:tabs>
          <w:tab w:val="right" w:leader="dot" w:pos="8494"/>
        </w:tabs>
        <w:rPr>
          <w:rFonts w:hint="eastAsia" w:ascii="仿宋" w:hAnsi="仿宋" w:eastAsia="仿宋" w:cs="仿宋"/>
          <w:b w:val="0"/>
          <w:bCs w:val="0"/>
          <w: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"_Toc36454325" </w:instrText>
      </w:r>
      <w:r>
        <w:rPr>
          <w:rFonts w:hint="eastAsia" w:ascii="仿宋" w:hAnsi="仿宋" w:eastAsia="仿宋" w:cs="仿宋"/>
        </w:rPr>
        <w:fldChar w:fldCharType="separate"/>
      </w:r>
      <w:r>
        <w:rPr>
          <w:rStyle w:val="37"/>
          <w:rFonts w:hint="eastAsia" w:ascii="仿宋" w:hAnsi="仿宋" w:eastAsia="仿宋" w:cs="仿宋"/>
          <w:b w:val="0"/>
          <w:sz w:val="28"/>
          <w:szCs w:val="28"/>
        </w:rPr>
        <w:t>第四章  投标文件的格式附件</w:t>
      </w:r>
      <w:r>
        <w:rPr>
          <w:rFonts w:hint="eastAsia" w:ascii="仿宋" w:hAnsi="仿宋" w:eastAsia="仿宋" w:cs="仿宋"/>
          <w:b w:val="0"/>
          <w:sz w:val="28"/>
          <w:szCs w:val="28"/>
        </w:rPr>
        <w:tab/>
      </w: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PAGEREF _Toc36454325 \h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rPr>
        <w:t>72</w:t>
      </w:r>
      <w:r>
        <w:rPr>
          <w:rFonts w:hint="eastAsia" w:ascii="仿宋" w:hAnsi="仿宋" w:eastAsia="仿宋" w:cs="仿宋"/>
          <w:b w:val="0"/>
          <w:sz w:val="28"/>
          <w:szCs w:val="28"/>
        </w:rPr>
        <w:fldChar w:fldCharType="end"/>
      </w:r>
      <w:r>
        <w:rPr>
          <w:rFonts w:hint="eastAsia" w:ascii="仿宋" w:hAnsi="仿宋" w:eastAsia="仿宋" w:cs="仿宋"/>
          <w:b w:val="0"/>
          <w:sz w:val="28"/>
          <w:szCs w:val="28"/>
        </w:rPr>
        <w:fldChar w:fldCharType="end"/>
      </w:r>
    </w:p>
    <w:p>
      <w:pPr>
        <w:pStyle w:val="22"/>
        <w:tabs>
          <w:tab w:val="right" w:leader="dot" w:pos="8494"/>
        </w:tabs>
        <w:rPr>
          <w:rFonts w:hint="eastAsia" w:ascii="仿宋" w:hAnsi="仿宋" w:eastAsia="仿宋" w:cs="仿宋"/>
          <w:b w:val="0"/>
          <w:bCs w:val="0"/>
          <w: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"_Toc36454326" </w:instrText>
      </w:r>
      <w:r>
        <w:rPr>
          <w:rFonts w:hint="eastAsia" w:ascii="仿宋" w:hAnsi="仿宋" w:eastAsia="仿宋" w:cs="仿宋"/>
        </w:rPr>
        <w:fldChar w:fldCharType="separate"/>
      </w:r>
      <w:r>
        <w:rPr>
          <w:rStyle w:val="37"/>
          <w:rFonts w:hint="eastAsia" w:ascii="仿宋" w:hAnsi="仿宋" w:eastAsia="仿宋" w:cs="仿宋"/>
          <w:b w:val="0"/>
          <w:sz w:val="28"/>
          <w:szCs w:val="28"/>
        </w:rPr>
        <w:t>第五章  评标办法及标准</w:t>
      </w:r>
      <w:r>
        <w:rPr>
          <w:rFonts w:hint="eastAsia" w:ascii="仿宋" w:hAnsi="仿宋" w:eastAsia="仿宋" w:cs="仿宋"/>
          <w:b w:val="0"/>
          <w:sz w:val="28"/>
          <w:szCs w:val="28"/>
        </w:rPr>
        <w:tab/>
      </w: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PAGEREF _Toc36454326 \h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rPr>
        <w:t>87</w:t>
      </w:r>
      <w:r>
        <w:rPr>
          <w:rFonts w:hint="eastAsia" w:ascii="仿宋" w:hAnsi="仿宋" w:eastAsia="仿宋" w:cs="仿宋"/>
          <w:b w:val="0"/>
          <w:sz w:val="28"/>
          <w:szCs w:val="28"/>
        </w:rPr>
        <w:fldChar w:fldCharType="end"/>
      </w:r>
      <w:r>
        <w:rPr>
          <w:rFonts w:hint="eastAsia" w:ascii="仿宋" w:hAnsi="仿宋" w:eastAsia="仿宋" w:cs="仿宋"/>
          <w:b w:val="0"/>
          <w:sz w:val="28"/>
          <w:szCs w:val="28"/>
        </w:rPr>
        <w:fldChar w:fldCharType="end"/>
      </w:r>
    </w:p>
    <w:p>
      <w:pPr>
        <w:pStyle w:val="22"/>
        <w:spacing w:line="480" w:lineRule="exact"/>
        <w:jc w:val="center"/>
        <w:rPr>
          <w:rStyle w:val="37"/>
          <w:rFonts w:ascii="宋体" w:hAnsi="宋体" w:cs="宋体"/>
          <w:b w:val="0"/>
          <w:sz w:val="28"/>
          <w:szCs w:val="28"/>
        </w:rPr>
      </w:pPr>
      <w:r>
        <w:rPr>
          <w:rStyle w:val="37"/>
          <w:rFonts w:hint="eastAsia" w:ascii="仿宋" w:hAnsi="仿宋" w:eastAsia="仿宋" w:cs="仿宋"/>
          <w:b w:val="0"/>
          <w:sz w:val="28"/>
          <w:szCs w:val="28"/>
        </w:rPr>
        <w:fldChar w:fldCharType="end"/>
      </w:r>
    </w:p>
    <w:p>
      <w:pPr>
        <w:rPr>
          <w:rStyle w:val="37"/>
          <w:rFonts w:ascii="宋体" w:hAnsi="宋体" w:cs="宋体"/>
          <w:sz w:val="28"/>
          <w:szCs w:val="28"/>
        </w:rPr>
      </w:pPr>
    </w:p>
    <w:p>
      <w:pPr>
        <w:pStyle w:val="2"/>
        <w:ind w:firstLine="210"/>
        <w:rPr>
          <w:rFonts w:ascii="宋体" w:hAnsi="宋体" w:cs="宋体"/>
        </w:rPr>
      </w:pPr>
    </w:p>
    <w:p>
      <w:pPr>
        <w:rPr>
          <w:rFonts w:ascii="宋体" w:hAnsi="宋体" w:cs="宋体"/>
        </w:rPr>
      </w:pPr>
    </w:p>
    <w:p>
      <w:pPr>
        <w:pStyle w:val="22"/>
        <w:spacing w:line="480" w:lineRule="exact"/>
        <w:jc w:val="center"/>
        <w:rPr>
          <w:rFonts w:hint="eastAsia" w:ascii="仿宋" w:hAnsi="仿宋" w:eastAsia="仿宋" w:cs="仿宋"/>
          <w:b w:val="0"/>
          <w:sz w:val="28"/>
          <w:szCs w:val="28"/>
        </w:rPr>
      </w:pPr>
      <w:r>
        <w:rPr>
          <w:rFonts w:hint="eastAsia" w:ascii="仿宋" w:hAnsi="仿宋" w:eastAsia="仿宋" w:cs="仿宋"/>
          <w:sz w:val="28"/>
          <w:szCs w:val="28"/>
          <w:lang w:eastAsia="zh-CN"/>
        </w:rPr>
        <w:t>湖州市大数据发展管理局统筹云资源购置服务</w:t>
      </w:r>
      <w:r>
        <w:rPr>
          <w:rFonts w:hint="eastAsia" w:ascii="仿宋" w:hAnsi="仿宋" w:eastAsia="仿宋" w:cs="仿宋"/>
          <w:sz w:val="28"/>
          <w:szCs w:val="28"/>
        </w:rPr>
        <w:t>采购项目招标公告</w:t>
      </w:r>
    </w:p>
    <w:bookmarkEnd w:id="0"/>
    <w:bookmarkEnd w:id="1"/>
    <w:bookmarkEnd w:id="2"/>
    <w:bookmarkEnd w:id="3"/>
    <w:bookmarkEnd w:id="4"/>
    <w:p>
      <w:pPr>
        <w:pBdr>
          <w:top w:val="single" w:color="auto" w:sz="4" w:space="1"/>
          <w:left w:val="single" w:color="auto" w:sz="4" w:space="4"/>
          <w:bottom w:val="single" w:color="auto" w:sz="4" w:space="1"/>
          <w:right w:val="single" w:color="auto" w:sz="4" w:space="4"/>
        </w:pBdr>
        <w:spacing w:line="400" w:lineRule="exact"/>
        <w:rPr>
          <w:rFonts w:hint="eastAsia" w:ascii="仿宋" w:hAnsi="仿宋" w:eastAsia="仿宋" w:cs="仿宋"/>
          <w:sz w:val="28"/>
          <w:szCs w:val="28"/>
        </w:rPr>
      </w:pPr>
      <w:bookmarkStart w:id="5" w:name="OLE_LINK7"/>
      <w:r>
        <w:rPr>
          <w:rFonts w:hint="eastAsia" w:ascii="仿宋" w:hAnsi="仿宋" w:eastAsia="仿宋" w:cs="仿宋"/>
          <w:sz w:val="28"/>
          <w:szCs w:val="28"/>
        </w:rPr>
        <w:t>项目概况</w:t>
      </w:r>
    </w:p>
    <w:p>
      <w:pPr>
        <w:pBdr>
          <w:top w:val="single" w:color="auto" w:sz="4" w:space="1"/>
          <w:left w:val="single" w:color="auto" w:sz="4" w:space="4"/>
          <w:bottom w:val="single" w:color="auto" w:sz="4" w:space="1"/>
          <w:right w:val="single" w:color="auto" w:sz="4" w:space="4"/>
        </w:pBd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湖州市大数据发展管理局统筹云资源购置服务</w:t>
      </w:r>
      <w:r>
        <w:rPr>
          <w:rFonts w:hint="eastAsia" w:ascii="仿宋" w:hAnsi="仿宋" w:eastAsia="仿宋" w:cs="仿宋"/>
          <w:sz w:val="28"/>
          <w:szCs w:val="28"/>
        </w:rPr>
        <w:t>采购项目的潜在投标人应注册成为政采云平台供应商后登录浙江政府采购云平台（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"http://www.zcygov.cn/" </w:instrText>
      </w:r>
      <w:r>
        <w:rPr>
          <w:rFonts w:hint="eastAsia" w:ascii="仿宋" w:hAnsi="仿宋" w:eastAsia="仿宋" w:cs="仿宋"/>
          <w:sz w:val="28"/>
          <w:szCs w:val="28"/>
        </w:rPr>
        <w:fldChar w:fldCharType="separate"/>
      </w:r>
      <w:r>
        <w:rPr>
          <w:rFonts w:hint="eastAsia" w:ascii="仿宋" w:hAnsi="仿宋" w:eastAsia="仿宋" w:cs="仿宋"/>
          <w:sz w:val="28"/>
          <w:szCs w:val="28"/>
        </w:rPr>
        <w:t>http://www.zcygov.cn/</w:t>
      </w:r>
      <w:r>
        <w:rPr>
          <w:rFonts w:hint="eastAsia" w:ascii="仿宋" w:hAnsi="仿宋" w:eastAsia="仿宋" w:cs="仿宋"/>
          <w:sz w:val="28"/>
          <w:szCs w:val="28"/>
        </w:rPr>
        <w:fldChar w:fldCharType="end"/>
      </w:r>
      <w:r>
        <w:rPr>
          <w:rFonts w:hint="eastAsia" w:ascii="仿宋" w:hAnsi="仿宋" w:eastAsia="仿宋" w:cs="仿宋"/>
          <w:sz w:val="28"/>
          <w:szCs w:val="28"/>
        </w:rPr>
        <w:t>）进行申请。申请通过后请自行在浙江政府采购网（http://zfcg.czt.zj.gov.cn/）或者湖州市公共资源交易信息网（</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"http://ggzy.huzhou.gov.cn/hzfront/）下载获取招标文件，并于2020年7月" </w:instrText>
      </w:r>
      <w:r>
        <w:rPr>
          <w:rFonts w:hint="eastAsia" w:ascii="仿宋" w:hAnsi="仿宋" w:eastAsia="仿宋" w:cs="仿宋"/>
          <w:sz w:val="28"/>
          <w:szCs w:val="28"/>
        </w:rPr>
        <w:fldChar w:fldCharType="separate"/>
      </w:r>
      <w:r>
        <w:rPr>
          <w:rStyle w:val="37"/>
          <w:rFonts w:hint="eastAsia" w:ascii="仿宋" w:hAnsi="仿宋" w:eastAsia="仿宋" w:cs="仿宋"/>
          <w:color w:val="auto"/>
          <w:sz w:val="28"/>
          <w:szCs w:val="28"/>
          <w:u w:val="none"/>
        </w:rPr>
        <w:t>http://ggzy.huzhou.gov.cn/hzfront/）下载获取招标文件，并于2022年</w:t>
      </w:r>
      <w:r>
        <w:rPr>
          <w:rStyle w:val="37"/>
          <w:rFonts w:hint="eastAsia" w:ascii="仿宋" w:hAnsi="仿宋" w:eastAsia="仿宋" w:cs="仿宋"/>
          <w:bCs/>
          <w:color w:val="auto"/>
          <w:sz w:val="28"/>
          <w:szCs w:val="28"/>
          <w:u w:val="none"/>
        </w:rPr>
        <w:t>月</w:t>
      </w:r>
      <w:r>
        <w:rPr>
          <w:rStyle w:val="37"/>
          <w:rFonts w:hint="eastAsia" w:ascii="仿宋" w:hAnsi="仿宋" w:eastAsia="仿宋" w:cs="仿宋"/>
          <w:bCs/>
          <w:color w:val="auto"/>
          <w:sz w:val="28"/>
          <w:szCs w:val="28"/>
          <w:u w:val="none"/>
        </w:rPr>
        <w:fldChar w:fldCharType="end"/>
      </w:r>
      <w:r>
        <w:rPr>
          <w:rFonts w:hint="eastAsia" w:ascii="仿宋" w:hAnsi="仿宋" w:eastAsia="仿宋" w:cs="仿宋"/>
          <w:bCs/>
          <w:sz w:val="28"/>
          <w:szCs w:val="28"/>
        </w:rPr>
        <w:t>日9:00（北京时间）前在政采云平台上传递交投标文件</w:t>
      </w:r>
      <w:r>
        <w:rPr>
          <w:rFonts w:hint="eastAsia" w:ascii="仿宋" w:hAnsi="仿宋" w:eastAsia="仿宋" w:cs="仿宋"/>
          <w:sz w:val="28"/>
          <w:szCs w:val="28"/>
        </w:rPr>
        <w:t>。</w:t>
      </w:r>
    </w:p>
    <w:p>
      <w:pPr>
        <w:spacing w:line="400" w:lineRule="exact"/>
        <w:rPr>
          <w:rFonts w:hint="eastAsia" w:ascii="仿宋" w:hAnsi="仿宋" w:eastAsia="仿宋" w:cs="仿宋"/>
          <w:b/>
          <w:sz w:val="28"/>
          <w:szCs w:val="28"/>
        </w:rPr>
      </w:pPr>
      <w:bookmarkStart w:id="6" w:name="_Toc35393790"/>
      <w:bookmarkStart w:id="7" w:name="_Toc28359002"/>
      <w:bookmarkStart w:id="8" w:name="_Toc35393621"/>
      <w:bookmarkStart w:id="9" w:name="_Toc28359079"/>
      <w:bookmarkStart w:id="10" w:name="_Hlk24379207"/>
      <w:r>
        <w:rPr>
          <w:rFonts w:hint="eastAsia" w:ascii="仿宋" w:hAnsi="仿宋" w:eastAsia="仿宋" w:cs="仿宋"/>
          <w:b/>
          <w:sz w:val="28"/>
          <w:szCs w:val="28"/>
        </w:rPr>
        <w:t>一、项目基本情况</w:t>
      </w:r>
      <w:bookmarkEnd w:id="6"/>
      <w:bookmarkEnd w:id="7"/>
      <w:bookmarkEnd w:id="8"/>
      <w:bookmarkEnd w:id="9"/>
    </w:p>
    <w:p>
      <w:pPr>
        <w:spacing w:line="4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项目编号：</w:t>
      </w:r>
      <w:r>
        <w:rPr>
          <w:rFonts w:hint="eastAsia" w:ascii="仿宋" w:hAnsi="仿宋" w:eastAsia="仿宋" w:cs="仿宋"/>
          <w:sz w:val="28"/>
          <w:szCs w:val="28"/>
          <w:lang w:eastAsia="zh-CN"/>
        </w:rPr>
        <w:t>HZGZ2022-45</w:t>
      </w:r>
    </w:p>
    <w:p>
      <w:pPr>
        <w:spacing w:line="400" w:lineRule="exact"/>
        <w:ind w:firstLine="560" w:firstLineChars="200"/>
        <w:rPr>
          <w:rFonts w:hint="eastAsia" w:ascii="仿宋" w:hAnsi="仿宋" w:eastAsia="仿宋" w:cs="仿宋"/>
          <w:color w:val="FF0000"/>
          <w:sz w:val="28"/>
          <w:szCs w:val="28"/>
        </w:rPr>
      </w:pPr>
      <w:r>
        <w:rPr>
          <w:rFonts w:hint="eastAsia" w:ascii="仿宋" w:hAnsi="仿宋" w:eastAsia="仿宋" w:cs="仿宋"/>
          <w:sz w:val="28"/>
          <w:szCs w:val="28"/>
        </w:rPr>
        <w:t>财政审批编号：HZCG【2022】</w:t>
      </w:r>
      <w:r>
        <w:rPr>
          <w:rFonts w:hint="eastAsia" w:ascii="仿宋" w:hAnsi="仿宋" w:eastAsia="仿宋" w:cs="仿宋"/>
          <w:sz w:val="28"/>
          <w:szCs w:val="28"/>
          <w:lang w:eastAsia="zh-CN"/>
        </w:rPr>
        <w:t>18877</w:t>
      </w:r>
      <w:r>
        <w:rPr>
          <w:rFonts w:hint="eastAsia" w:ascii="仿宋" w:hAnsi="仿宋" w:eastAsia="仿宋" w:cs="仿宋"/>
          <w:sz w:val="28"/>
          <w:szCs w:val="28"/>
        </w:rPr>
        <w:t>号</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项目名称：</w:t>
      </w:r>
      <w:r>
        <w:rPr>
          <w:rFonts w:hint="eastAsia" w:ascii="仿宋" w:hAnsi="仿宋" w:eastAsia="仿宋" w:cs="仿宋"/>
          <w:sz w:val="28"/>
          <w:szCs w:val="28"/>
          <w:lang w:eastAsia="zh-CN"/>
        </w:rPr>
        <w:t>湖州市大数据发展管理局统筹云资源购置服务</w:t>
      </w:r>
      <w:r>
        <w:rPr>
          <w:rFonts w:hint="eastAsia" w:ascii="仿宋" w:hAnsi="仿宋" w:eastAsia="仿宋" w:cs="仿宋"/>
          <w:sz w:val="28"/>
          <w:szCs w:val="28"/>
        </w:rPr>
        <w:t>采购项目</w:t>
      </w:r>
      <w:bookmarkEnd w:id="10"/>
      <w:r>
        <w:rPr>
          <w:rFonts w:hint="eastAsia" w:ascii="仿宋" w:hAnsi="仿宋" w:eastAsia="仿宋" w:cs="仿宋"/>
          <w:sz w:val="28"/>
          <w:szCs w:val="28"/>
        </w:rPr>
        <w:t xml:space="preserve">    </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预算金额：</w:t>
      </w:r>
      <w:r>
        <w:rPr>
          <w:rFonts w:hint="eastAsia" w:ascii="仿宋" w:hAnsi="仿宋" w:eastAsia="仿宋" w:cs="仿宋"/>
          <w:sz w:val="28"/>
          <w:szCs w:val="28"/>
          <w:lang w:val="en-US" w:eastAsia="zh-CN"/>
        </w:rPr>
        <w:t>18231316.05</w:t>
      </w:r>
      <w:r>
        <w:rPr>
          <w:rFonts w:hint="eastAsia" w:ascii="仿宋" w:hAnsi="仿宋" w:eastAsia="仿宋" w:cs="仿宋"/>
          <w:sz w:val="28"/>
          <w:szCs w:val="28"/>
        </w:rPr>
        <w:t>万元</w:t>
      </w:r>
    </w:p>
    <w:p>
      <w:pPr>
        <w:spacing w:line="400" w:lineRule="exact"/>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sz w:val="28"/>
          <w:szCs w:val="28"/>
        </w:rPr>
        <w:t>供货期限：</w:t>
      </w:r>
      <w:r>
        <w:rPr>
          <w:rFonts w:hint="eastAsia" w:ascii="仿宋" w:hAnsi="仿宋" w:eastAsia="仿宋" w:cs="仿宋"/>
          <w:bCs/>
          <w:color w:val="000000" w:themeColor="text1"/>
          <w:sz w:val="28"/>
          <w:szCs w:val="28"/>
          <w14:textFill>
            <w14:solidFill>
              <w14:schemeClr w14:val="tx1"/>
            </w14:solidFill>
          </w14:textFill>
        </w:rPr>
        <w:t>政务云服务输出周期为自合同签订后，60个日历日内完成，同时出具运行报告。</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本项目不接受联合体投标和进口产品投标。</w:t>
      </w:r>
    </w:p>
    <w:p>
      <w:pPr>
        <w:spacing w:line="400" w:lineRule="exact"/>
        <w:rPr>
          <w:rFonts w:hint="eastAsia" w:ascii="仿宋" w:hAnsi="仿宋" w:eastAsia="仿宋" w:cs="仿宋"/>
          <w:b/>
          <w:sz w:val="28"/>
          <w:szCs w:val="28"/>
        </w:rPr>
      </w:pPr>
      <w:bookmarkStart w:id="11" w:name="_Toc28359080"/>
      <w:bookmarkStart w:id="12" w:name="_Toc35393622"/>
      <w:bookmarkStart w:id="13" w:name="_Toc35393791"/>
      <w:bookmarkStart w:id="14" w:name="_Toc28359003"/>
      <w:r>
        <w:rPr>
          <w:rFonts w:hint="eastAsia" w:ascii="仿宋" w:hAnsi="仿宋" w:eastAsia="仿宋" w:cs="仿宋"/>
          <w:b/>
          <w:sz w:val="28"/>
          <w:szCs w:val="28"/>
        </w:rPr>
        <w:t>二、申请人的资格要求</w:t>
      </w:r>
      <w:bookmarkEnd w:id="11"/>
      <w:bookmarkEnd w:id="12"/>
      <w:bookmarkEnd w:id="13"/>
      <w:bookmarkEnd w:id="14"/>
    </w:p>
    <w:p>
      <w:pPr>
        <w:spacing w:line="400" w:lineRule="exact"/>
        <w:ind w:firstLine="560" w:firstLineChars="200"/>
        <w:rPr>
          <w:rFonts w:hint="eastAsia" w:ascii="仿宋" w:hAnsi="仿宋" w:eastAsia="仿宋" w:cs="仿宋"/>
          <w:sz w:val="28"/>
          <w:szCs w:val="28"/>
        </w:rPr>
      </w:pPr>
      <w:r>
        <w:rPr>
          <w:rFonts w:hint="eastAsia" w:ascii="仿宋" w:hAnsi="仿宋" w:eastAsia="仿宋" w:cs="仿宋"/>
          <w:bCs/>
          <w:sz w:val="28"/>
          <w:szCs w:val="28"/>
        </w:rPr>
        <w:t>1、符合《中华人民共和国政府采购法》第二十二条和《关于规范政府采购</w:t>
      </w:r>
      <w:r>
        <w:rPr>
          <w:rFonts w:hint="eastAsia" w:ascii="仿宋" w:hAnsi="仿宋" w:eastAsia="仿宋" w:cs="仿宋"/>
          <w:sz w:val="28"/>
          <w:szCs w:val="28"/>
        </w:rPr>
        <w:t>供应商资格设定及资格审查的通知》(浙财采监[2013]24号)第六条规定，且未被“信用中国”（www.creditchina.gov.cn）、中国政府采购网（www.ccgp.gov.cn）列入失信被执行人、重大税收违法案件当事人名单、政府采购严重违法失信行为记录名单；</w:t>
      </w:r>
    </w:p>
    <w:p>
      <w:pPr>
        <w:spacing w:line="400" w:lineRule="exact"/>
        <w:ind w:firstLine="560" w:firstLineChars="200"/>
        <w:rPr>
          <w:rFonts w:hint="eastAsia" w:ascii="仿宋" w:hAnsi="仿宋" w:eastAsia="仿宋" w:cs="仿宋"/>
          <w:sz w:val="28"/>
          <w:szCs w:val="28"/>
          <w:lang w:eastAsia="zh-CN"/>
        </w:rPr>
      </w:pPr>
      <w:bookmarkStart w:id="15" w:name="_Toc35393623"/>
      <w:bookmarkStart w:id="16" w:name="_Toc35393792"/>
      <w:bookmarkStart w:id="17" w:name="_Toc28359004"/>
      <w:bookmarkStart w:id="18" w:name="_Toc28359081"/>
      <w:r>
        <w:rPr>
          <w:rFonts w:hint="eastAsia" w:ascii="仿宋" w:hAnsi="仿宋" w:eastAsia="仿宋" w:cs="仿宋"/>
          <w:sz w:val="28"/>
          <w:szCs w:val="28"/>
          <w:lang w:val="en-US" w:eastAsia="zh-CN"/>
        </w:rPr>
        <w:t>2</w:t>
      </w:r>
      <w:r>
        <w:rPr>
          <w:rFonts w:hint="eastAsia" w:ascii="仿宋" w:hAnsi="仿宋" w:eastAsia="仿宋" w:cs="仿宋"/>
          <w:sz w:val="28"/>
          <w:szCs w:val="28"/>
        </w:rPr>
        <w:t>、落实政府采购政策需满足的资格要求：</w:t>
      </w:r>
      <w:r>
        <w:rPr>
          <w:rFonts w:hint="eastAsia" w:ascii="仿宋" w:hAnsi="仿宋" w:eastAsia="仿宋" w:cs="仿宋"/>
          <w:sz w:val="28"/>
          <w:szCs w:val="28"/>
          <w:lang w:eastAsia="zh-CN"/>
        </w:rPr>
        <w:t>专门面向中小企业。</w:t>
      </w:r>
    </w:p>
    <w:p>
      <w:pPr>
        <w:spacing w:line="400" w:lineRule="exact"/>
        <w:rPr>
          <w:rFonts w:hint="eastAsia" w:ascii="仿宋" w:hAnsi="仿宋" w:eastAsia="仿宋" w:cs="仿宋"/>
          <w:b/>
          <w:sz w:val="28"/>
          <w:szCs w:val="28"/>
        </w:rPr>
      </w:pPr>
      <w:r>
        <w:rPr>
          <w:rFonts w:hint="eastAsia" w:ascii="仿宋" w:hAnsi="仿宋" w:eastAsia="仿宋" w:cs="仿宋"/>
          <w:b/>
          <w:sz w:val="28"/>
          <w:szCs w:val="28"/>
        </w:rPr>
        <w:t>三、获取招标文件</w:t>
      </w:r>
      <w:bookmarkEnd w:id="15"/>
      <w:bookmarkEnd w:id="16"/>
      <w:bookmarkEnd w:id="17"/>
      <w:bookmarkEnd w:id="18"/>
    </w:p>
    <w:p>
      <w:pPr>
        <w:spacing w:line="400" w:lineRule="exact"/>
        <w:ind w:firstLine="540"/>
        <w:rPr>
          <w:rFonts w:hint="eastAsia" w:ascii="仿宋" w:hAnsi="仿宋" w:eastAsia="仿宋" w:cs="仿宋"/>
          <w:sz w:val="28"/>
          <w:szCs w:val="28"/>
        </w:rPr>
      </w:pPr>
      <w:r>
        <w:rPr>
          <w:rFonts w:hint="eastAsia" w:ascii="仿宋" w:hAnsi="仿宋" w:eastAsia="仿宋" w:cs="仿宋"/>
          <w:sz w:val="28"/>
          <w:szCs w:val="28"/>
        </w:rPr>
        <w:t>时间：公告发布时间 至 投标截止时间</w:t>
      </w:r>
    </w:p>
    <w:p>
      <w:pPr>
        <w:spacing w:line="400" w:lineRule="exact"/>
        <w:ind w:firstLine="540"/>
        <w:rPr>
          <w:rFonts w:hint="eastAsia" w:ascii="仿宋" w:hAnsi="仿宋" w:eastAsia="仿宋" w:cs="仿宋"/>
          <w:sz w:val="28"/>
          <w:szCs w:val="28"/>
          <w:u w:val="single"/>
        </w:rPr>
      </w:pPr>
      <w:r>
        <w:rPr>
          <w:rFonts w:hint="eastAsia" w:ascii="仿宋" w:hAnsi="仿宋" w:eastAsia="仿宋" w:cs="仿宋"/>
          <w:sz w:val="28"/>
          <w:szCs w:val="28"/>
        </w:rPr>
        <w:t>方式：网上在线申请。注册成为政采云平台供应商后登录浙江政府采购云平台（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"http://www.zcygov.cn/" </w:instrText>
      </w:r>
      <w:r>
        <w:rPr>
          <w:rFonts w:hint="eastAsia" w:ascii="仿宋" w:hAnsi="仿宋" w:eastAsia="仿宋" w:cs="仿宋"/>
          <w:sz w:val="28"/>
          <w:szCs w:val="28"/>
        </w:rPr>
        <w:fldChar w:fldCharType="separate"/>
      </w:r>
      <w:r>
        <w:rPr>
          <w:rFonts w:hint="eastAsia" w:ascii="仿宋" w:hAnsi="仿宋" w:eastAsia="仿宋" w:cs="仿宋"/>
          <w:sz w:val="28"/>
          <w:szCs w:val="28"/>
        </w:rPr>
        <w:t>http://www.zcygov.cn/</w:t>
      </w:r>
      <w:r>
        <w:rPr>
          <w:rFonts w:hint="eastAsia" w:ascii="仿宋" w:hAnsi="仿宋" w:eastAsia="仿宋" w:cs="仿宋"/>
          <w:sz w:val="28"/>
          <w:szCs w:val="28"/>
        </w:rPr>
        <w:fldChar w:fldCharType="end"/>
      </w:r>
      <w:r>
        <w:rPr>
          <w:rFonts w:hint="eastAsia" w:ascii="仿宋" w:hAnsi="仿宋" w:eastAsia="仿宋" w:cs="仿宋"/>
          <w:sz w:val="28"/>
          <w:szCs w:val="28"/>
        </w:rPr>
        <w:t>）进行申请。申请通过后请自行在浙江政府采购网（http://zfcg.czt.zj.gov.cn/）或者湖州市公共资源交易信息网（http://ggzy.huzhou.gov.cn/hzfront/）下载。</w:t>
      </w:r>
    </w:p>
    <w:p>
      <w:pPr>
        <w:spacing w:line="400" w:lineRule="exact"/>
        <w:ind w:firstLine="540"/>
        <w:rPr>
          <w:rFonts w:hint="eastAsia" w:ascii="仿宋" w:hAnsi="仿宋" w:eastAsia="仿宋" w:cs="仿宋"/>
          <w:sz w:val="28"/>
          <w:szCs w:val="28"/>
        </w:rPr>
      </w:pPr>
      <w:r>
        <w:rPr>
          <w:rFonts w:hint="eastAsia" w:ascii="仿宋" w:hAnsi="仿宋" w:eastAsia="仿宋" w:cs="仿宋"/>
          <w:sz w:val="28"/>
          <w:szCs w:val="28"/>
        </w:rPr>
        <w:t>投标保证金：不缴纳</w:t>
      </w:r>
    </w:p>
    <w:p>
      <w:pPr>
        <w:spacing w:line="400" w:lineRule="exact"/>
        <w:ind w:firstLine="540"/>
        <w:rPr>
          <w:rFonts w:hint="eastAsia" w:ascii="仿宋" w:hAnsi="仿宋" w:eastAsia="仿宋" w:cs="仿宋"/>
          <w:sz w:val="28"/>
          <w:szCs w:val="28"/>
        </w:rPr>
      </w:pPr>
      <w:r>
        <w:rPr>
          <w:rFonts w:hint="eastAsia" w:ascii="仿宋" w:hAnsi="仿宋" w:eastAsia="仿宋" w:cs="仿宋"/>
          <w:sz w:val="28"/>
          <w:szCs w:val="28"/>
        </w:rPr>
        <w:t>售价：免工本费</w:t>
      </w:r>
    </w:p>
    <w:p>
      <w:pPr>
        <w:spacing w:line="400" w:lineRule="exact"/>
        <w:rPr>
          <w:rFonts w:hint="eastAsia" w:ascii="仿宋" w:hAnsi="仿宋" w:eastAsia="仿宋" w:cs="仿宋"/>
          <w:b/>
          <w:sz w:val="28"/>
          <w:szCs w:val="28"/>
        </w:rPr>
      </w:pPr>
      <w:bookmarkStart w:id="19" w:name="_Toc28359005"/>
      <w:bookmarkStart w:id="20" w:name="_Toc28359082"/>
      <w:bookmarkStart w:id="21" w:name="_Toc35393793"/>
      <w:bookmarkStart w:id="22" w:name="_Toc35393624"/>
      <w:r>
        <w:rPr>
          <w:rFonts w:hint="eastAsia" w:ascii="仿宋" w:hAnsi="仿宋" w:eastAsia="仿宋" w:cs="仿宋"/>
          <w:b/>
          <w:sz w:val="28"/>
          <w:szCs w:val="28"/>
        </w:rPr>
        <w:t>四、提交投标文件</w:t>
      </w:r>
      <w:bookmarkEnd w:id="19"/>
      <w:bookmarkEnd w:id="20"/>
      <w:r>
        <w:rPr>
          <w:rFonts w:hint="eastAsia" w:ascii="仿宋" w:hAnsi="仿宋" w:eastAsia="仿宋" w:cs="仿宋"/>
          <w:b/>
          <w:sz w:val="28"/>
          <w:szCs w:val="28"/>
        </w:rPr>
        <w:t>截止时间、开标时间和</w:t>
      </w:r>
      <w:bookmarkEnd w:id="21"/>
      <w:bookmarkEnd w:id="22"/>
      <w:r>
        <w:rPr>
          <w:rFonts w:hint="eastAsia" w:ascii="仿宋" w:hAnsi="仿宋" w:eastAsia="仿宋" w:cs="仿宋"/>
          <w:b/>
          <w:sz w:val="28"/>
          <w:szCs w:val="28"/>
        </w:rPr>
        <w:t>方式</w:t>
      </w:r>
    </w:p>
    <w:p>
      <w:pPr>
        <w:spacing w:line="4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截止（开标）时间： 2022年月日9:00（北京时间）</w:t>
      </w:r>
    </w:p>
    <w:p>
      <w:pPr>
        <w:spacing w:line="400" w:lineRule="exact"/>
        <w:ind w:firstLine="560" w:firstLineChars="200"/>
        <w:rPr>
          <w:rFonts w:hint="eastAsia" w:ascii="仿宋" w:hAnsi="仿宋" w:eastAsia="仿宋" w:cs="仿宋"/>
          <w:bCs/>
          <w:sz w:val="28"/>
          <w:szCs w:val="28"/>
          <w:u w:val="single"/>
        </w:rPr>
      </w:pPr>
      <w:r>
        <w:rPr>
          <w:rFonts w:hint="eastAsia" w:ascii="仿宋" w:hAnsi="仿宋" w:eastAsia="仿宋" w:cs="仿宋"/>
          <w:sz w:val="28"/>
          <w:szCs w:val="28"/>
        </w:rPr>
        <w:t>方式：政采云平台提交电子投标文件。</w:t>
      </w:r>
    </w:p>
    <w:p>
      <w:pPr>
        <w:spacing w:line="400" w:lineRule="exact"/>
        <w:rPr>
          <w:rFonts w:hint="eastAsia" w:ascii="仿宋" w:hAnsi="仿宋" w:eastAsia="仿宋" w:cs="仿宋"/>
          <w:b/>
          <w:sz w:val="28"/>
          <w:szCs w:val="28"/>
        </w:rPr>
      </w:pPr>
      <w:bookmarkStart w:id="23" w:name="_Toc35393625"/>
      <w:bookmarkStart w:id="24" w:name="_Toc28359084"/>
      <w:bookmarkStart w:id="25" w:name="_Toc28359007"/>
      <w:bookmarkStart w:id="26" w:name="_Toc35393794"/>
      <w:r>
        <w:rPr>
          <w:rFonts w:hint="eastAsia" w:ascii="仿宋" w:hAnsi="仿宋" w:eastAsia="仿宋" w:cs="仿宋"/>
          <w:b/>
          <w:sz w:val="28"/>
          <w:szCs w:val="28"/>
        </w:rPr>
        <w:t>五、公告期限</w:t>
      </w:r>
      <w:bookmarkEnd w:id="23"/>
      <w:bookmarkEnd w:id="24"/>
      <w:bookmarkEnd w:id="25"/>
      <w:bookmarkEnd w:id="26"/>
    </w:p>
    <w:p>
      <w:pPr>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自本公告发布之日起5个工作日。</w:t>
      </w:r>
    </w:p>
    <w:p>
      <w:pPr>
        <w:spacing w:line="400" w:lineRule="exact"/>
        <w:rPr>
          <w:rFonts w:hint="eastAsia" w:ascii="仿宋" w:hAnsi="仿宋" w:eastAsia="仿宋" w:cs="仿宋"/>
          <w:b/>
          <w:sz w:val="28"/>
          <w:szCs w:val="28"/>
        </w:rPr>
      </w:pPr>
      <w:bookmarkStart w:id="27" w:name="_Toc35393795"/>
      <w:bookmarkStart w:id="28" w:name="_Toc35393626"/>
      <w:r>
        <w:rPr>
          <w:rFonts w:hint="eastAsia" w:ascii="仿宋" w:hAnsi="仿宋" w:eastAsia="仿宋" w:cs="仿宋"/>
          <w:b/>
          <w:sz w:val="28"/>
          <w:szCs w:val="28"/>
        </w:rPr>
        <w:t>六、其他补充事宜</w:t>
      </w:r>
      <w:bookmarkEnd w:id="27"/>
      <w:bookmarkEnd w:id="28"/>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1、本项目实行电子投标，应按照本项目招标文件和政采云平台的要求编制、加密并提交投标文件, 投标人的法定代表人或其授权代表或个体工商户不需要参加现场投标和开标。</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供应商在使用系统进行投标的过程中遇到涉及平台使用的任何问题，可致电政采云平台技术支持热线咨询，联系方式：400-881-7190。</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2、投标人应在开标前完成CA数字证书办理。（办理流程详见http://zfcg.czt.zj.gov.cn/bidClientTemplate/2019-05-27/12945.html）。</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3、投标人通过“政采云”平台电子交易客户端制作投标文件，电子交易客户端请供应商自行前往浙江省政府采购网下载并安装，（下载网址：</w:t>
      </w:r>
    </w:p>
    <w:p>
      <w:pPr>
        <w:spacing w:line="400" w:lineRule="exact"/>
        <w:rPr>
          <w:rFonts w:hint="eastAsia" w:ascii="仿宋" w:hAnsi="仿宋" w:eastAsia="仿宋" w:cs="仿宋"/>
          <w:sz w:val="28"/>
          <w:szCs w:val="28"/>
        </w:rPr>
      </w:pPr>
      <w:r>
        <w:rPr>
          <w:rFonts w:hint="eastAsia" w:ascii="仿宋" w:hAnsi="仿宋" w:eastAsia="仿宋" w:cs="仿宋"/>
          <w:sz w:val="28"/>
          <w:szCs w:val="28"/>
        </w:rPr>
        <w:t>http://zfcg.czt.zj.gov.cn/bidClientTemplate/2019-09-24/12975.html），电子投标具体流程详见政采云平台帮助文档视频材料：“政府采购项目电子交易管理操作视频-供应商”。</w:t>
      </w:r>
    </w:p>
    <w:p>
      <w:pPr>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4</w:t>
      </w:r>
      <w:r>
        <w:rPr>
          <w:rFonts w:hint="eastAsia" w:ascii="仿宋" w:hAnsi="仿宋" w:eastAsia="仿宋" w:cs="仿宋"/>
          <w:sz w:val="28"/>
          <w:szCs w:val="28"/>
        </w:rPr>
        <w:t>、</w:t>
      </w:r>
      <w:r>
        <w:rPr>
          <w:rFonts w:hint="eastAsia" w:ascii="仿宋" w:hAnsi="仿宋" w:eastAsia="仿宋" w:cs="仿宋"/>
          <w:kern w:val="0"/>
          <w:sz w:val="28"/>
          <w:szCs w:val="28"/>
        </w:rPr>
        <w:t>投标人应当在投标截止时间前完成电子投标文件的传输提交，并可以补充、修改或者撤回电子投标文件。补充或者修改电子投标文件的，应当先行撤回原文件，补充、修改后重新传输提交。投标截止时间前未完成传输的，视为撤回投标文件。投标截止时间后传输提交的投标文件，将被政采云平台拒收。</w:t>
      </w:r>
    </w:p>
    <w:p>
      <w:pPr>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color w:val="000000" w:themeColor="text1"/>
          <w:kern w:val="0"/>
          <w:sz w:val="28"/>
          <w:szCs w:val="28"/>
          <w14:textFill>
            <w14:solidFill>
              <w14:schemeClr w14:val="tx1"/>
            </w14:solidFill>
          </w14:textFill>
        </w:rPr>
        <w:t>5</w:t>
      </w:r>
      <w:r>
        <w:rPr>
          <w:rFonts w:hint="eastAsia" w:ascii="仿宋" w:hAnsi="仿宋" w:eastAsia="仿宋" w:cs="仿宋"/>
          <w:sz w:val="28"/>
          <w:szCs w:val="28"/>
        </w:rPr>
        <w:t>、</w:t>
      </w:r>
      <w:r>
        <w:rPr>
          <w:rFonts w:hint="eastAsia" w:ascii="仿宋" w:hAnsi="仿宋" w:eastAsia="仿宋" w:cs="仿宋"/>
          <w:color w:val="000000" w:themeColor="text1"/>
          <w:kern w:val="0"/>
          <w:sz w:val="28"/>
          <w:szCs w:val="28"/>
          <w14:textFill>
            <w14:solidFill>
              <w14:schemeClr w14:val="tx1"/>
            </w14:solidFill>
          </w14:textFill>
        </w:rPr>
        <w:t>投标人在“政府采购云平台”完成“电子加密投标文件”的上传递交后，还可以（EMS邮寄形式）在投标截止时间前递交以介质（U盘）存储的数据电文形式的“备份投标文件”</w:t>
      </w:r>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“备份投标文件”应当密封包装并在包装上标注投标项目名称、投标单位名称并加盖公章。</w:t>
      </w:r>
    </w:p>
    <w:p>
      <w:pPr>
        <w:snapToGrid w:val="0"/>
        <w:spacing w:line="400" w:lineRule="exact"/>
        <w:ind w:firstLine="280" w:firstLineChars="1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EMS接收人：张女士  电话：0572-2220019</w:t>
      </w:r>
    </w:p>
    <w:p>
      <w:pPr>
        <w:spacing w:line="400" w:lineRule="exact"/>
        <w:ind w:firstLine="280" w:firstLineChars="1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邮寄地址：湖州市金盖山路66号市民服务中心2号楼2楼238室。</w:t>
      </w:r>
    </w:p>
    <w:p>
      <w:pPr>
        <w:spacing w:line="400" w:lineRule="exact"/>
        <w:ind w:left="140" w:leftChars="67"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6</w:t>
      </w:r>
      <w:r>
        <w:rPr>
          <w:rFonts w:hint="eastAsia" w:ascii="仿宋" w:hAnsi="仿宋" w:eastAsia="仿宋" w:cs="仿宋"/>
          <w:sz w:val="28"/>
          <w:szCs w:val="28"/>
        </w:rPr>
        <w:t>、</w:t>
      </w:r>
      <w:r>
        <w:rPr>
          <w:rFonts w:hint="eastAsia" w:ascii="仿宋" w:hAnsi="仿宋" w:eastAsia="仿宋" w:cs="仿宋"/>
          <w:kern w:val="0"/>
          <w:sz w:val="28"/>
          <w:szCs w:val="28"/>
        </w:rPr>
        <w:t>供应商按照规定方式获取招标文件的，可以自获取招标文件之日或者招标文件公告期限届满之日（公告发布后的第6个工作日）起7个工作日内、且在提交投标文件截止时间当天之前，以书面形式向采购人或采购代理机构提出质疑。</w:t>
      </w:r>
    </w:p>
    <w:p>
      <w:pPr>
        <w:spacing w:line="400" w:lineRule="exact"/>
        <w:ind w:left="140" w:leftChars="67"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质疑供应商对采购人、采购代理机构的答复不满意，或者采购人、采购代理机构未在规定时间内作出答复的，可以在答复期满后15个工作日内向同级财政部门提起投诉。</w:t>
      </w:r>
    </w:p>
    <w:p>
      <w:pPr>
        <w:spacing w:line="400" w:lineRule="exact"/>
        <w:ind w:left="140" w:leftChars="67" w:firstLine="420" w:firstLineChars="150"/>
        <w:rPr>
          <w:rFonts w:hint="eastAsia" w:ascii="仿宋" w:hAnsi="仿宋" w:eastAsia="仿宋" w:cs="仿宋"/>
          <w:kern w:val="0"/>
          <w:sz w:val="28"/>
          <w:szCs w:val="28"/>
        </w:rPr>
      </w:pPr>
      <w:r>
        <w:rPr>
          <w:rFonts w:hint="eastAsia" w:ascii="仿宋" w:hAnsi="仿宋" w:eastAsia="仿宋" w:cs="仿宋"/>
          <w:kern w:val="0"/>
          <w:sz w:val="28"/>
          <w:szCs w:val="28"/>
        </w:rPr>
        <w:t>“规定方式获取招标文件”是指：供应商按本项目招标公告要求向集中采购机构申请获取招标文件通过后下载招标文件。</w:t>
      </w:r>
    </w:p>
    <w:p>
      <w:pPr>
        <w:spacing w:line="400" w:lineRule="exact"/>
        <w:ind w:left="140" w:leftChars="67"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7、投标答疑时间：供应商对招标文件有异议的，应当在2022年月日下午17:00前以书面（含传真、电邮）形式向集中采购机构一次性提出，集中采购机构将在规定的时间内统一进行澄清和修改，并书面（含传真、电邮）通知所有获取招标文件的供应商。供应商未按规定要求提出的，则视同认可招标文件，但法律法规及规范性文件有明确规定的除外。</w:t>
      </w:r>
    </w:p>
    <w:p>
      <w:pPr>
        <w:spacing w:line="400" w:lineRule="exact"/>
        <w:ind w:left="140" w:leftChars="67"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8、采购项目需要落实的政府采购政策：包括保护环境、节约能源、促进中小企业发展等，详见招标文件。</w:t>
      </w:r>
    </w:p>
    <w:p>
      <w:pPr>
        <w:spacing w:line="400" w:lineRule="exact"/>
        <w:ind w:left="140" w:leftChars="67"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kern w:val="0"/>
          <w:sz w:val="28"/>
          <w:szCs w:val="28"/>
        </w:rPr>
        <w:t>9、为有效破解当前中小微企业面临的“融资难、融资贵”困局，充分发挥好政府采购扶持小微企业发展的政策功能，本项目中标供应商可凭中</w:t>
      </w:r>
      <w:r>
        <w:rPr>
          <w:rFonts w:hint="eastAsia" w:ascii="仿宋" w:hAnsi="仿宋" w:eastAsia="仿宋" w:cs="仿宋"/>
          <w:color w:val="000000" w:themeColor="text1"/>
          <w:kern w:val="0"/>
          <w:sz w:val="28"/>
          <w:szCs w:val="28"/>
          <w14:textFill>
            <w14:solidFill>
              <w14:schemeClr w14:val="tx1"/>
            </w14:solidFill>
          </w14:textFill>
        </w:rPr>
        <w:t>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pPr>
        <w:spacing w:line="400" w:lineRule="exact"/>
        <w:rPr>
          <w:rFonts w:hint="eastAsia" w:ascii="仿宋" w:hAnsi="仿宋" w:eastAsia="仿宋" w:cs="仿宋"/>
          <w:b/>
          <w:color w:val="000000" w:themeColor="text1"/>
          <w:sz w:val="28"/>
          <w:szCs w:val="28"/>
          <w14:textFill>
            <w14:solidFill>
              <w14:schemeClr w14:val="tx1"/>
            </w14:solidFill>
          </w14:textFill>
        </w:rPr>
      </w:pPr>
      <w:bookmarkStart w:id="29" w:name="_Toc28359008"/>
      <w:bookmarkStart w:id="30" w:name="_Toc35393796"/>
      <w:bookmarkStart w:id="31" w:name="_Toc28359085"/>
      <w:bookmarkStart w:id="32" w:name="_Toc35393627"/>
      <w:r>
        <w:rPr>
          <w:rFonts w:hint="eastAsia" w:ascii="仿宋" w:hAnsi="仿宋" w:eastAsia="仿宋" w:cs="仿宋"/>
          <w:b/>
          <w:color w:val="000000" w:themeColor="text1"/>
          <w:sz w:val="28"/>
          <w:szCs w:val="28"/>
          <w14:textFill>
            <w14:solidFill>
              <w14:schemeClr w14:val="tx1"/>
            </w14:solidFill>
          </w14:textFill>
        </w:rPr>
        <w:t>七、对本次招标提出询问，请按以下方式联系。</w:t>
      </w:r>
      <w:bookmarkEnd w:id="29"/>
      <w:bookmarkEnd w:id="30"/>
      <w:bookmarkEnd w:id="31"/>
      <w:bookmarkEnd w:id="32"/>
    </w:p>
    <w:p>
      <w:pPr>
        <w:widowControl/>
        <w:spacing w:line="400" w:lineRule="exact"/>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1、采购人信息</w:t>
      </w:r>
    </w:p>
    <w:p>
      <w:pPr>
        <w:spacing w:line="400" w:lineRule="exact"/>
        <w:ind w:firstLine="980" w:firstLineChars="350"/>
        <w:jc w:val="lef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名称：</w:t>
      </w:r>
      <w:r>
        <w:rPr>
          <w:rFonts w:hint="eastAsia" w:ascii="仿宋" w:hAnsi="仿宋" w:eastAsia="仿宋" w:cs="仿宋"/>
          <w:color w:val="000000" w:themeColor="text1"/>
          <w:sz w:val="28"/>
          <w:szCs w:val="28"/>
          <w:lang w:eastAsia="zh-CN"/>
          <w14:textFill>
            <w14:solidFill>
              <w14:schemeClr w14:val="tx1"/>
            </w14:solidFill>
          </w14:textFill>
        </w:rPr>
        <w:t>湖州市大数据发展管理局</w:t>
      </w:r>
    </w:p>
    <w:p>
      <w:pPr>
        <w:spacing w:line="400" w:lineRule="exact"/>
        <w:ind w:firstLine="980" w:firstLineChars="350"/>
        <w:jc w:val="left"/>
        <w:rPr>
          <w:rFonts w:hint="eastAsia" w:ascii="仿宋" w:hAnsi="仿宋" w:eastAsia="仿宋" w:cs="仿宋"/>
          <w:color w:val="000000" w:themeColor="text1"/>
          <w:sz w:val="28"/>
          <w:szCs w:val="28"/>
          <w14:textFill>
            <w14:solidFill>
              <w14:schemeClr w14:val="tx1"/>
            </w14:solidFill>
          </w14:textFill>
        </w:rPr>
      </w:pPr>
      <w:bookmarkStart w:id="33" w:name="_Toc28359086"/>
      <w:bookmarkStart w:id="34" w:name="_Toc28359009"/>
      <w:r>
        <w:rPr>
          <w:rFonts w:hint="eastAsia" w:ascii="仿宋" w:hAnsi="仿宋" w:eastAsia="仿宋" w:cs="仿宋"/>
          <w:color w:val="000000"/>
          <w:sz w:val="28"/>
          <w:szCs w:val="28"/>
        </w:rPr>
        <w:t>地址：</w:t>
      </w:r>
      <w:r>
        <w:rPr>
          <w:rFonts w:hint="eastAsia" w:ascii="仿宋" w:hAnsi="仿宋" w:eastAsia="仿宋" w:cs="仿宋"/>
          <w:color w:val="000000" w:themeColor="text1"/>
          <w:kern w:val="0"/>
          <w:sz w:val="28"/>
          <w:szCs w:val="28"/>
          <w14:textFill>
            <w14:solidFill>
              <w14:schemeClr w14:val="tx1"/>
            </w14:solidFill>
          </w14:textFill>
        </w:rPr>
        <w:t>湖州市金盖山路66号市民服务中心</w:t>
      </w:r>
      <w:r>
        <w:rPr>
          <w:rFonts w:hint="eastAsia" w:ascii="仿宋" w:hAnsi="仿宋" w:eastAsia="仿宋" w:cs="仿宋"/>
          <w:color w:val="000000" w:themeColor="text1"/>
          <w:kern w:val="0"/>
          <w:sz w:val="28"/>
          <w:szCs w:val="28"/>
          <w:lang w:val="en-US" w:eastAsia="zh-CN"/>
          <w14:textFill>
            <w14:solidFill>
              <w14:schemeClr w14:val="tx1"/>
            </w14:solidFill>
          </w14:textFill>
        </w:rPr>
        <w:t>4</w:t>
      </w:r>
      <w:r>
        <w:rPr>
          <w:rFonts w:hint="eastAsia" w:ascii="仿宋" w:hAnsi="仿宋" w:eastAsia="仿宋" w:cs="仿宋"/>
          <w:color w:val="000000" w:themeColor="text1"/>
          <w:kern w:val="0"/>
          <w:sz w:val="28"/>
          <w:szCs w:val="28"/>
          <w14:textFill>
            <w14:solidFill>
              <w14:schemeClr w14:val="tx1"/>
            </w14:solidFill>
          </w14:textFill>
        </w:rPr>
        <w:t>号楼</w:t>
      </w:r>
      <w:r>
        <w:rPr>
          <w:rFonts w:hint="eastAsia" w:ascii="仿宋" w:hAnsi="仿宋" w:eastAsia="仿宋" w:cs="仿宋"/>
          <w:color w:val="000000" w:themeColor="text1"/>
          <w:kern w:val="0"/>
          <w:sz w:val="28"/>
          <w:szCs w:val="28"/>
          <w:lang w:val="en-US" w:eastAsia="zh-CN"/>
          <w14:textFill>
            <w14:solidFill>
              <w14:schemeClr w14:val="tx1"/>
            </w14:solidFill>
          </w14:textFill>
        </w:rPr>
        <w:t>4</w:t>
      </w:r>
      <w:r>
        <w:rPr>
          <w:rFonts w:hint="eastAsia" w:ascii="仿宋" w:hAnsi="仿宋" w:eastAsia="仿宋" w:cs="仿宋"/>
          <w:color w:val="000000" w:themeColor="text1"/>
          <w:kern w:val="0"/>
          <w:sz w:val="28"/>
          <w:szCs w:val="28"/>
          <w14:textFill>
            <w14:solidFill>
              <w14:schemeClr w14:val="tx1"/>
            </w14:solidFill>
          </w14:textFill>
        </w:rPr>
        <w:t>楼</w:t>
      </w:r>
    </w:p>
    <w:p>
      <w:pPr>
        <w:spacing w:line="400" w:lineRule="exact"/>
        <w:ind w:firstLine="980" w:firstLineChars="350"/>
        <w:jc w:val="lef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联系人：</w:t>
      </w:r>
      <w:r>
        <w:rPr>
          <w:rFonts w:hint="eastAsia" w:ascii="仿宋" w:hAnsi="仿宋" w:eastAsia="仿宋" w:cs="仿宋"/>
          <w:color w:val="000000" w:themeColor="text1"/>
          <w:sz w:val="28"/>
          <w:szCs w:val="28"/>
          <w:lang w:eastAsia="zh-CN"/>
          <w14:textFill>
            <w14:solidFill>
              <w14:schemeClr w14:val="tx1"/>
            </w14:solidFill>
          </w14:textFill>
        </w:rPr>
        <w:t>范先生</w:t>
      </w:r>
      <w:r>
        <w:rPr>
          <w:rFonts w:hint="eastAsia" w:ascii="仿宋" w:hAnsi="仿宋" w:eastAsia="仿宋" w:cs="仿宋"/>
          <w:color w:val="000000" w:themeColor="text1"/>
          <w:sz w:val="28"/>
          <w:szCs w:val="28"/>
          <w14:textFill>
            <w14:solidFill>
              <w14:schemeClr w14:val="tx1"/>
            </w14:solidFill>
          </w14:textFill>
        </w:rPr>
        <w:t xml:space="preserve">  质疑函接收人：</w:t>
      </w:r>
      <w:r>
        <w:rPr>
          <w:rFonts w:hint="eastAsia" w:ascii="仿宋" w:hAnsi="仿宋" w:eastAsia="仿宋" w:cs="仿宋"/>
          <w:color w:val="000000" w:themeColor="text1"/>
          <w:sz w:val="28"/>
          <w:szCs w:val="28"/>
          <w:lang w:eastAsia="zh-CN"/>
          <w14:textFill>
            <w14:solidFill>
              <w14:schemeClr w14:val="tx1"/>
            </w14:solidFill>
          </w14:textFill>
        </w:rPr>
        <w:t>范先生</w:t>
      </w:r>
    </w:p>
    <w:p>
      <w:pPr>
        <w:spacing w:line="400" w:lineRule="exact"/>
        <w:ind w:firstLine="980" w:firstLineChars="350"/>
        <w:jc w:val="lef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联系方式：</w:t>
      </w:r>
      <w:r>
        <w:rPr>
          <w:rFonts w:hint="eastAsia" w:ascii="仿宋" w:hAnsi="仿宋" w:eastAsia="仿宋" w:cs="仿宋"/>
          <w:color w:val="000000" w:themeColor="text1"/>
          <w:sz w:val="28"/>
          <w:szCs w:val="28"/>
          <w:lang w:eastAsia="zh-CN"/>
          <w14:textFill>
            <w14:solidFill>
              <w14:schemeClr w14:val="tx1"/>
            </w14:solidFill>
          </w14:textFill>
        </w:rPr>
        <w:t>0572-2398813</w:t>
      </w:r>
    </w:p>
    <w:p>
      <w:pPr>
        <w:spacing w:line="400" w:lineRule="exact"/>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2、采购代理机构信息</w:t>
      </w:r>
      <w:bookmarkEnd w:id="33"/>
      <w:bookmarkEnd w:id="34"/>
    </w:p>
    <w:p>
      <w:pPr>
        <w:spacing w:line="400" w:lineRule="exact"/>
        <w:ind w:firstLine="980" w:firstLineChars="3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名称：湖州市政府采购中心</w:t>
      </w:r>
    </w:p>
    <w:p>
      <w:pPr>
        <w:spacing w:line="400" w:lineRule="exact"/>
        <w:ind w:firstLine="980" w:firstLineChars="3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地址：</w:t>
      </w:r>
      <w:r>
        <w:rPr>
          <w:rFonts w:hint="eastAsia" w:ascii="仿宋" w:hAnsi="仿宋" w:eastAsia="仿宋" w:cs="仿宋"/>
          <w:color w:val="000000" w:themeColor="text1"/>
          <w:kern w:val="0"/>
          <w:sz w:val="28"/>
          <w:szCs w:val="28"/>
          <w14:textFill>
            <w14:solidFill>
              <w14:schemeClr w14:val="tx1"/>
            </w14:solidFill>
          </w14:textFill>
        </w:rPr>
        <w:t>湖州市金盖山路66号市民服务中心2号楼2楼</w:t>
      </w:r>
    </w:p>
    <w:p>
      <w:pPr>
        <w:spacing w:line="400" w:lineRule="exact"/>
        <w:ind w:firstLine="980" w:firstLineChars="3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质疑函接收人：张女士</w:t>
      </w:r>
    </w:p>
    <w:p>
      <w:pPr>
        <w:spacing w:line="400" w:lineRule="exact"/>
        <w:ind w:firstLine="980" w:firstLineChars="3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联系方式：</w:t>
      </w:r>
      <w:bookmarkStart w:id="35" w:name="_Toc28359087"/>
      <w:bookmarkStart w:id="36" w:name="_Toc28359010"/>
      <w:r>
        <w:rPr>
          <w:rFonts w:hint="eastAsia" w:ascii="仿宋" w:hAnsi="仿宋" w:eastAsia="仿宋" w:cs="仿宋"/>
          <w:color w:val="000000" w:themeColor="text1"/>
          <w:sz w:val="28"/>
          <w:szCs w:val="28"/>
          <w14:textFill>
            <w14:solidFill>
              <w14:schemeClr w14:val="tx1"/>
            </w14:solidFill>
          </w14:textFill>
        </w:rPr>
        <w:t>0572-2220019   传真：0572-2220061</w:t>
      </w:r>
    </w:p>
    <w:p>
      <w:pPr>
        <w:spacing w:line="400" w:lineRule="exact"/>
        <w:ind w:firstLine="980" w:firstLineChars="3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邮箱：zfcgfzx@huzhou.gov.cn</w:t>
      </w:r>
    </w:p>
    <w:p>
      <w:pPr>
        <w:spacing w:line="40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3、项目联系方式</w:t>
      </w:r>
      <w:bookmarkEnd w:id="35"/>
      <w:bookmarkEnd w:id="36"/>
    </w:p>
    <w:p>
      <w:pPr>
        <w:spacing w:line="400" w:lineRule="exact"/>
        <w:ind w:firstLine="980" w:firstLineChars="3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项目联系人：顾女士    电话：0572-2220020</w:t>
      </w:r>
    </w:p>
    <w:p>
      <w:pPr>
        <w:snapToGrid w:val="0"/>
        <w:spacing w:line="40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4、同级政府采购监督管理部门</w:t>
      </w:r>
    </w:p>
    <w:p>
      <w:pPr>
        <w:snapToGrid w:val="0"/>
        <w:spacing w:line="400" w:lineRule="exact"/>
        <w:ind w:firstLine="980" w:firstLineChars="3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名称：湖州市财政局政府采购监管处 </w:t>
      </w:r>
    </w:p>
    <w:p>
      <w:pPr>
        <w:snapToGrid w:val="0"/>
        <w:spacing w:line="400" w:lineRule="exact"/>
        <w:ind w:firstLine="980" w:firstLineChars="35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联系人：李女士    监督投诉电话：0572-</w:t>
      </w:r>
      <w:bookmarkEnd w:id="5"/>
      <w:r>
        <w:rPr>
          <w:rFonts w:hint="eastAsia" w:ascii="仿宋" w:hAnsi="仿宋" w:eastAsia="仿宋" w:cs="仿宋"/>
          <w:color w:val="000000" w:themeColor="text1"/>
          <w:sz w:val="28"/>
          <w:szCs w:val="28"/>
          <w14:textFill>
            <w14:solidFill>
              <w14:schemeClr w14:val="tx1"/>
            </w14:solidFill>
          </w14:textFill>
        </w:rPr>
        <w:t>2150086</w:t>
      </w:r>
      <w:r>
        <w:rPr>
          <w:rFonts w:hint="eastAsia" w:ascii="仿宋" w:hAnsi="仿宋" w:eastAsia="仿宋" w:cs="仿宋"/>
          <w:bCs/>
          <w:color w:val="000000" w:themeColor="text1"/>
          <w:sz w:val="28"/>
          <w:szCs w:val="28"/>
          <w14:textFill>
            <w14:solidFill>
              <w14:schemeClr w14:val="tx1"/>
            </w14:solidFill>
          </w14:textFill>
        </w:rPr>
        <w:br w:type="page"/>
      </w:r>
    </w:p>
    <w:p>
      <w:pPr>
        <w:pStyle w:val="5"/>
        <w:jc w:val="center"/>
        <w:rPr>
          <w:rFonts w:hint="eastAsia" w:ascii="仿宋" w:hAnsi="仿宋" w:eastAsia="仿宋" w:cs="仿宋"/>
          <w:color w:val="000000" w:themeColor="text1"/>
          <w:sz w:val="28"/>
          <w:szCs w:val="28"/>
          <w14:textFill>
            <w14:solidFill>
              <w14:schemeClr w14:val="tx1"/>
            </w14:solidFill>
          </w14:textFill>
        </w:rPr>
      </w:pPr>
      <w:bookmarkStart w:id="37" w:name="_Toc36454312"/>
      <w:r>
        <w:rPr>
          <w:rFonts w:hint="eastAsia" w:ascii="仿宋" w:hAnsi="仿宋" w:eastAsia="仿宋" w:cs="仿宋"/>
          <w:color w:val="000000" w:themeColor="text1"/>
          <w:sz w:val="28"/>
          <w:szCs w:val="28"/>
          <w14:textFill>
            <w14:solidFill>
              <w14:schemeClr w14:val="tx1"/>
            </w14:solidFill>
          </w14:textFill>
        </w:rPr>
        <w:t>第一章  投标人须知</w:t>
      </w:r>
      <w:bookmarkEnd w:id="37"/>
    </w:p>
    <w:p>
      <w:pPr>
        <w:pStyle w:val="6"/>
        <w:spacing w:line="440" w:lineRule="exact"/>
        <w:jc w:val="center"/>
        <w:rPr>
          <w:rFonts w:hint="eastAsia" w:ascii="仿宋" w:hAnsi="仿宋" w:eastAsia="仿宋" w:cs="仿宋"/>
          <w:color w:val="000000" w:themeColor="text1"/>
          <w:sz w:val="28"/>
          <w:szCs w:val="28"/>
          <w14:textFill>
            <w14:solidFill>
              <w14:schemeClr w14:val="tx1"/>
            </w14:solidFill>
          </w14:textFill>
        </w:rPr>
      </w:pPr>
      <w:bookmarkStart w:id="38" w:name="_Toc36454313"/>
      <w:r>
        <w:rPr>
          <w:rFonts w:hint="eastAsia" w:ascii="仿宋" w:hAnsi="仿宋" w:eastAsia="仿宋" w:cs="仿宋"/>
          <w:color w:val="000000" w:themeColor="text1"/>
          <w:sz w:val="28"/>
          <w:szCs w:val="28"/>
          <w14:textFill>
            <w14:solidFill>
              <w14:schemeClr w14:val="tx1"/>
            </w14:solidFill>
          </w14:textFill>
        </w:rPr>
        <w:t>前   附  表</w:t>
      </w:r>
      <w:bookmarkEnd w:id="38"/>
    </w:p>
    <w:tbl>
      <w:tblPr>
        <w:tblStyle w:val="30"/>
        <w:tblW w:w="9501"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20"/>
        <w:gridCol w:w="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0" w:type="dxa"/>
            <w:vAlign w:val="center"/>
          </w:tcPr>
          <w:p>
            <w:pPr>
              <w:spacing w:line="300" w:lineRule="exact"/>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序号</w:t>
            </w:r>
          </w:p>
        </w:tc>
        <w:tc>
          <w:tcPr>
            <w:tcW w:w="2520" w:type="dxa"/>
            <w:vAlign w:val="center"/>
          </w:tcPr>
          <w:p>
            <w:pPr>
              <w:spacing w:line="300" w:lineRule="exact"/>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项  目</w:t>
            </w:r>
          </w:p>
        </w:tc>
        <w:tc>
          <w:tcPr>
            <w:tcW w:w="6261" w:type="dxa"/>
            <w:vAlign w:val="center"/>
          </w:tcPr>
          <w:p>
            <w:pPr>
              <w:spacing w:line="300" w:lineRule="exact"/>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w:t>
            </w:r>
          </w:p>
        </w:tc>
        <w:tc>
          <w:tcPr>
            <w:tcW w:w="25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项目名称</w:t>
            </w:r>
          </w:p>
        </w:tc>
        <w:tc>
          <w:tcPr>
            <w:tcW w:w="6261" w:type="dxa"/>
            <w:vAlign w:val="center"/>
          </w:tcPr>
          <w:p>
            <w:pPr>
              <w:spacing w:line="300" w:lineRule="exact"/>
              <w:jc w:val="center"/>
              <w:rPr>
                <w:rFonts w:hint="eastAsia" w:ascii="仿宋" w:hAnsi="仿宋" w:eastAsia="仿宋" w:cs="仿宋"/>
                <w:bCs/>
                <w:color w:val="000000" w:themeColor="text1"/>
                <w:spacing w:val="-4"/>
                <w:sz w:val="28"/>
                <w:szCs w:val="28"/>
                <w14:textFill>
                  <w14:solidFill>
                    <w14:schemeClr w14:val="tx1"/>
                  </w14:solidFill>
                </w14:textFill>
              </w:rPr>
            </w:pPr>
            <w:r>
              <w:rPr>
                <w:rFonts w:hint="eastAsia" w:ascii="仿宋" w:hAnsi="仿宋" w:eastAsia="仿宋" w:cs="仿宋"/>
                <w:bCs/>
                <w:color w:val="000000" w:themeColor="text1"/>
                <w:spacing w:val="-4"/>
                <w:sz w:val="28"/>
                <w:szCs w:val="28"/>
                <w:lang w:eastAsia="zh-CN"/>
                <w14:textFill>
                  <w14:solidFill>
                    <w14:schemeClr w14:val="tx1"/>
                  </w14:solidFill>
                </w14:textFill>
              </w:rPr>
              <w:t>湖州市大数据发展管理局统筹云资源购置服务</w:t>
            </w:r>
            <w:r>
              <w:rPr>
                <w:rFonts w:hint="eastAsia" w:ascii="仿宋" w:hAnsi="仿宋" w:eastAsia="仿宋" w:cs="仿宋"/>
                <w:bCs/>
                <w:color w:val="000000" w:themeColor="text1"/>
                <w:spacing w:val="-4"/>
                <w:sz w:val="28"/>
                <w:szCs w:val="28"/>
                <w14:textFill>
                  <w14:solidFill>
                    <w14:schemeClr w14:val="tx1"/>
                  </w14:solidFill>
                </w14:textFill>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w:t>
            </w:r>
          </w:p>
        </w:tc>
        <w:tc>
          <w:tcPr>
            <w:tcW w:w="25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编号</w:t>
            </w:r>
          </w:p>
        </w:tc>
        <w:tc>
          <w:tcPr>
            <w:tcW w:w="6261" w:type="dxa"/>
            <w:vAlign w:val="center"/>
          </w:tcPr>
          <w:p>
            <w:pPr>
              <w:spacing w:line="300" w:lineRule="exact"/>
              <w:rPr>
                <w:rFonts w:hint="eastAsia" w:ascii="仿宋" w:hAnsi="仿宋" w:eastAsia="仿宋" w:cs="仿宋"/>
                <w:bCs/>
                <w:color w:val="000000" w:themeColor="text1"/>
                <w:spacing w:val="-4"/>
                <w:sz w:val="28"/>
                <w:szCs w:val="28"/>
                <w:u w:val="single"/>
                <w:lang w:eastAsia="zh-CN"/>
                <w14:textFill>
                  <w14:solidFill>
                    <w14:schemeClr w14:val="tx1"/>
                  </w14:solidFill>
                </w14:textFill>
              </w:rPr>
            </w:pPr>
            <w:r>
              <w:rPr>
                <w:rFonts w:hint="eastAsia" w:ascii="仿宋" w:hAnsi="仿宋" w:eastAsia="仿宋" w:cs="仿宋"/>
                <w:bCs/>
                <w:color w:val="000000" w:themeColor="text1"/>
                <w:spacing w:val="-4"/>
                <w:sz w:val="28"/>
                <w:szCs w:val="28"/>
                <w14:textFill>
                  <w14:solidFill>
                    <w14:schemeClr w14:val="tx1"/>
                  </w14:solidFill>
                </w14:textFill>
              </w:rPr>
              <w:t>招标文件编号：</w:t>
            </w:r>
            <w:r>
              <w:rPr>
                <w:rFonts w:hint="eastAsia" w:ascii="仿宋" w:hAnsi="仿宋" w:eastAsia="仿宋" w:cs="仿宋"/>
                <w:bCs/>
                <w:color w:val="000000" w:themeColor="text1"/>
                <w:spacing w:val="-4"/>
                <w:sz w:val="28"/>
                <w:szCs w:val="28"/>
                <w:lang w:eastAsia="zh-CN"/>
                <w14:textFill>
                  <w14:solidFill>
                    <w14:schemeClr w14:val="tx1"/>
                  </w14:solidFill>
                </w14:textFill>
              </w:rPr>
              <w:t>HZGZ2022-45</w:t>
            </w:r>
          </w:p>
          <w:p>
            <w:pPr>
              <w:spacing w:line="300" w:lineRule="exact"/>
              <w:rPr>
                <w:rFonts w:hint="eastAsia" w:ascii="仿宋" w:hAnsi="仿宋" w:eastAsia="仿宋" w:cs="仿宋"/>
                <w:bCs/>
                <w:color w:val="000000" w:themeColor="text1"/>
                <w:spacing w:val="-4"/>
                <w:sz w:val="28"/>
                <w:szCs w:val="28"/>
                <w:u w:val="single"/>
                <w14:textFill>
                  <w14:solidFill>
                    <w14:schemeClr w14:val="tx1"/>
                  </w14:solidFill>
                </w14:textFill>
              </w:rPr>
            </w:pPr>
            <w:r>
              <w:rPr>
                <w:rFonts w:hint="eastAsia" w:ascii="仿宋" w:hAnsi="仿宋" w:eastAsia="仿宋" w:cs="仿宋"/>
                <w:bCs/>
                <w:color w:val="000000" w:themeColor="text1"/>
                <w:spacing w:val="-4"/>
                <w:sz w:val="28"/>
                <w:szCs w:val="28"/>
                <w14:textFill>
                  <w14:solidFill>
                    <w14:schemeClr w14:val="tx1"/>
                  </w14:solidFill>
                </w14:textFill>
              </w:rPr>
              <w:t>财政审批编号：HZCG【2022】</w:t>
            </w:r>
            <w:r>
              <w:rPr>
                <w:rFonts w:hint="eastAsia" w:ascii="仿宋" w:hAnsi="仿宋" w:eastAsia="仿宋" w:cs="仿宋"/>
                <w:bCs/>
                <w:color w:val="000000" w:themeColor="text1"/>
                <w:spacing w:val="-4"/>
                <w:sz w:val="28"/>
                <w:szCs w:val="28"/>
                <w:lang w:eastAsia="zh-CN"/>
                <w14:textFill>
                  <w14:solidFill>
                    <w14:schemeClr w14:val="tx1"/>
                  </w14:solidFill>
                </w14:textFill>
              </w:rPr>
              <w:t>18877</w:t>
            </w:r>
            <w:r>
              <w:rPr>
                <w:rFonts w:hint="eastAsia" w:ascii="仿宋" w:hAnsi="仿宋" w:eastAsia="仿宋" w:cs="仿宋"/>
                <w:bCs/>
                <w:color w:val="000000" w:themeColor="text1"/>
                <w:spacing w:val="-4"/>
                <w:sz w:val="28"/>
                <w:szCs w:val="28"/>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w:t>
            </w:r>
          </w:p>
        </w:tc>
        <w:tc>
          <w:tcPr>
            <w:tcW w:w="25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招标内容</w:t>
            </w:r>
          </w:p>
        </w:tc>
        <w:tc>
          <w:tcPr>
            <w:tcW w:w="6261" w:type="dxa"/>
            <w:vAlign w:val="center"/>
          </w:tcPr>
          <w:p>
            <w:pPr>
              <w:spacing w:line="30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pacing w:val="-4"/>
                <w:sz w:val="28"/>
                <w:szCs w:val="28"/>
                <w14:textFill>
                  <w14:solidFill>
                    <w14:schemeClr w14:val="tx1"/>
                  </w14:solidFill>
                </w14:textFill>
              </w:rPr>
              <w:t>详见《招标文件》第二章内容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4</w:t>
            </w:r>
          </w:p>
        </w:tc>
        <w:tc>
          <w:tcPr>
            <w:tcW w:w="25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项目交货及安装地点</w:t>
            </w:r>
          </w:p>
        </w:tc>
        <w:tc>
          <w:tcPr>
            <w:tcW w:w="6261"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由采购人指定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5</w:t>
            </w:r>
          </w:p>
        </w:tc>
        <w:tc>
          <w:tcPr>
            <w:tcW w:w="25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合同履行期限</w:t>
            </w:r>
          </w:p>
        </w:tc>
        <w:tc>
          <w:tcPr>
            <w:tcW w:w="6261"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政务云服务输出周期为自合同签订后，60个日历日内完成，同时出具运行报告。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bottom w:val="single" w:color="auto" w:sz="4" w:space="0"/>
            </w:tcBorders>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6</w:t>
            </w:r>
          </w:p>
        </w:tc>
        <w:tc>
          <w:tcPr>
            <w:tcW w:w="2520" w:type="dxa"/>
            <w:tcBorders>
              <w:bottom w:val="single" w:color="auto" w:sz="4" w:space="0"/>
            </w:tcBorders>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投标保证金</w:t>
            </w:r>
          </w:p>
        </w:tc>
        <w:tc>
          <w:tcPr>
            <w:tcW w:w="6261" w:type="dxa"/>
            <w:tcBorders>
              <w:bottom w:val="single" w:color="auto" w:sz="4" w:space="0"/>
            </w:tcBorders>
            <w:vAlign w:val="center"/>
          </w:tcPr>
          <w:p>
            <w:pPr>
              <w:spacing w:line="44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bCs/>
                <w:color w:val="000000" w:themeColor="text1"/>
                <w:sz w:val="28"/>
                <w:szCs w:val="28"/>
                <w:shd w:val="pct10" w:color="auto" w:fill="FFFFFF"/>
                <w14:textFill>
                  <w14:solidFill>
                    <w14:schemeClr w14:val="tx1"/>
                  </w14:solidFill>
                </w14:textFill>
              </w:rPr>
            </w:pPr>
            <w:r>
              <w:rPr>
                <w:rFonts w:hint="eastAsia" w:ascii="仿宋" w:hAnsi="仿宋" w:eastAsia="仿宋" w:cs="仿宋"/>
                <w:bCs/>
                <w:color w:val="000000" w:themeColor="text1"/>
                <w:sz w:val="28"/>
                <w:szCs w:val="28"/>
                <w:shd w:val="pct10" w:color="auto" w:fill="FFFFFF"/>
                <w14:textFill>
                  <w14:solidFill>
                    <w14:schemeClr w14:val="tx1"/>
                  </w14:solidFill>
                </w14:textFill>
              </w:rPr>
              <w:t>7</w:t>
            </w:r>
          </w:p>
        </w:tc>
        <w:tc>
          <w:tcPr>
            <w:tcW w:w="2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投标答疑截止时间</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2022年月日下午17:00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tcBorders>
              <w:top w:val="single" w:color="auto" w:sz="4" w:space="0"/>
            </w:tcBorders>
            <w:vAlign w:val="center"/>
          </w:tcPr>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w:t>
            </w:r>
          </w:p>
        </w:tc>
        <w:tc>
          <w:tcPr>
            <w:tcW w:w="2520" w:type="dxa"/>
            <w:tcBorders>
              <w:top w:val="single" w:color="auto" w:sz="4" w:space="0"/>
            </w:tcBorders>
            <w:vAlign w:val="center"/>
          </w:tcPr>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是否允许转包与分包</w:t>
            </w:r>
          </w:p>
        </w:tc>
        <w:tc>
          <w:tcPr>
            <w:tcW w:w="6261" w:type="dxa"/>
            <w:tcBorders>
              <w:top w:val="single" w:color="auto" w:sz="4" w:space="0"/>
            </w:tcBorders>
            <w:vAlign w:val="center"/>
          </w:tcPr>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转包：否            分包：否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vAlign w:val="center"/>
          </w:tcPr>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w:t>
            </w:r>
          </w:p>
        </w:tc>
        <w:tc>
          <w:tcPr>
            <w:tcW w:w="2520" w:type="dxa"/>
            <w:vAlign w:val="center"/>
          </w:tcPr>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是否现场踏勘</w:t>
            </w:r>
          </w:p>
        </w:tc>
        <w:tc>
          <w:tcPr>
            <w:tcW w:w="6261" w:type="dxa"/>
            <w:vAlign w:val="center"/>
          </w:tcPr>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否    具体要求详见第二章对应内容。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vAlign w:val="center"/>
          </w:tcPr>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w:t>
            </w:r>
          </w:p>
        </w:tc>
        <w:tc>
          <w:tcPr>
            <w:tcW w:w="2520" w:type="dxa"/>
            <w:vAlign w:val="center"/>
          </w:tcPr>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是否提供演示</w:t>
            </w:r>
          </w:p>
        </w:tc>
        <w:tc>
          <w:tcPr>
            <w:tcW w:w="6261" w:type="dxa"/>
            <w:vAlign w:val="center"/>
          </w:tcPr>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否    具体要求详见第二章对应内容。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720" w:type="dxa"/>
            <w:vAlign w:val="center"/>
          </w:tcPr>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w:t>
            </w:r>
          </w:p>
        </w:tc>
        <w:tc>
          <w:tcPr>
            <w:tcW w:w="2520" w:type="dxa"/>
            <w:vAlign w:val="center"/>
          </w:tcPr>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是否提供样品</w:t>
            </w:r>
          </w:p>
        </w:tc>
        <w:tc>
          <w:tcPr>
            <w:tcW w:w="6261" w:type="dxa"/>
            <w:vAlign w:val="center"/>
          </w:tcPr>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否     具体要求详见第二章对应内容。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12</w:t>
            </w:r>
          </w:p>
        </w:tc>
        <w:tc>
          <w:tcPr>
            <w:tcW w:w="25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投标形式</w:t>
            </w:r>
          </w:p>
        </w:tc>
        <w:tc>
          <w:tcPr>
            <w:tcW w:w="6261" w:type="dxa"/>
            <w:vAlign w:val="center"/>
          </w:tcPr>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政采云平台提交电子投标文件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13</w:t>
            </w:r>
          </w:p>
        </w:tc>
        <w:tc>
          <w:tcPr>
            <w:tcW w:w="2520" w:type="dxa"/>
            <w:vAlign w:val="center"/>
          </w:tcPr>
          <w:p>
            <w:pPr>
              <w:spacing w:line="30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开标时间</w:t>
            </w:r>
          </w:p>
          <w:p>
            <w:pPr>
              <w:spacing w:line="30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（投标截止时间）</w:t>
            </w:r>
          </w:p>
        </w:tc>
        <w:tc>
          <w:tcPr>
            <w:tcW w:w="6261" w:type="dxa"/>
            <w:vAlign w:val="center"/>
          </w:tcPr>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2022年月日9：00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14</w:t>
            </w:r>
          </w:p>
        </w:tc>
        <w:tc>
          <w:tcPr>
            <w:tcW w:w="25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开标地点</w:t>
            </w:r>
          </w:p>
        </w:tc>
        <w:tc>
          <w:tcPr>
            <w:tcW w:w="6261" w:type="dxa"/>
            <w:vAlign w:val="center"/>
          </w:tcPr>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湖州市金盖山路66号市民服务中心2号楼2楼，</w:t>
            </w:r>
          </w:p>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详见2楼休息区公告栏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15</w:t>
            </w:r>
          </w:p>
        </w:tc>
        <w:tc>
          <w:tcPr>
            <w:tcW w:w="25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投标有效期</w:t>
            </w:r>
          </w:p>
        </w:tc>
        <w:tc>
          <w:tcPr>
            <w:tcW w:w="6261" w:type="dxa"/>
            <w:vAlign w:val="center"/>
          </w:tcPr>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16</w:t>
            </w:r>
          </w:p>
        </w:tc>
        <w:tc>
          <w:tcPr>
            <w:tcW w:w="25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服务</w:t>
            </w:r>
            <w:r>
              <w:rPr>
                <w:rFonts w:hint="eastAsia" w:ascii="仿宋" w:hAnsi="仿宋" w:eastAsia="仿宋" w:cs="仿宋"/>
                <w:bCs/>
                <w:color w:val="000000" w:themeColor="text1"/>
                <w:sz w:val="28"/>
                <w:szCs w:val="28"/>
                <w14:textFill>
                  <w14:solidFill>
                    <w14:schemeClr w14:val="tx1"/>
                  </w14:solidFill>
                </w14:textFill>
              </w:rPr>
              <w:t>期</w:t>
            </w:r>
          </w:p>
        </w:tc>
        <w:tc>
          <w:tcPr>
            <w:tcW w:w="6261" w:type="dxa"/>
            <w:vAlign w:val="center"/>
          </w:tcPr>
          <w:p>
            <w:pPr>
              <w:snapToGrid w:val="0"/>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17</w:t>
            </w:r>
          </w:p>
        </w:tc>
        <w:tc>
          <w:tcPr>
            <w:tcW w:w="2520" w:type="dxa"/>
            <w:vAlign w:val="center"/>
          </w:tcPr>
          <w:p>
            <w:pPr>
              <w:spacing w:line="30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履约保证金</w:t>
            </w:r>
          </w:p>
        </w:tc>
        <w:tc>
          <w:tcPr>
            <w:tcW w:w="6261" w:type="dxa"/>
            <w:vAlign w:val="center"/>
          </w:tcPr>
          <w:p>
            <w:pPr>
              <w:spacing w:line="300" w:lineRule="exact"/>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18</w:t>
            </w:r>
          </w:p>
        </w:tc>
        <w:tc>
          <w:tcPr>
            <w:tcW w:w="25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评标办法及标准</w:t>
            </w:r>
          </w:p>
        </w:tc>
        <w:tc>
          <w:tcPr>
            <w:tcW w:w="6261"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综合评分法，评分标准详见招标文件第五章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19</w:t>
            </w:r>
          </w:p>
        </w:tc>
        <w:tc>
          <w:tcPr>
            <w:tcW w:w="2520" w:type="dxa"/>
            <w:vAlign w:val="center"/>
          </w:tcPr>
          <w:p>
            <w:pPr>
              <w:spacing w:line="38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采购人</w:t>
            </w:r>
          </w:p>
        </w:tc>
        <w:tc>
          <w:tcPr>
            <w:tcW w:w="6261" w:type="dxa"/>
            <w:vAlign w:val="center"/>
          </w:tcPr>
          <w:p>
            <w:pPr>
              <w:spacing w:line="300" w:lineRule="exact"/>
              <w:ind w:firstLine="560" w:firstLineChars="200"/>
              <w:jc w:val="center"/>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湖州市大数据发展管理局</w:t>
            </w:r>
          </w:p>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联系人：</w:t>
            </w:r>
            <w:r>
              <w:rPr>
                <w:rFonts w:hint="eastAsia" w:ascii="仿宋" w:hAnsi="仿宋" w:eastAsia="仿宋" w:cs="仿宋"/>
                <w:color w:val="000000" w:themeColor="text1"/>
                <w:sz w:val="28"/>
                <w:szCs w:val="28"/>
                <w:lang w:eastAsia="zh-CN"/>
                <w14:textFill>
                  <w14:solidFill>
                    <w14:schemeClr w14:val="tx1"/>
                  </w14:solidFill>
                </w14:textFill>
              </w:rPr>
              <w:t>范先生</w:t>
            </w:r>
            <w:r>
              <w:rPr>
                <w:rFonts w:hint="eastAsia" w:ascii="仿宋" w:hAnsi="仿宋" w:eastAsia="仿宋" w:cs="仿宋"/>
                <w:color w:val="000000" w:themeColor="text1"/>
                <w:sz w:val="28"/>
                <w:szCs w:val="28"/>
                <w14:textFill>
                  <w14:solidFill>
                    <w14:schemeClr w14:val="tx1"/>
                  </w14:solidFill>
                </w14:textFill>
              </w:rPr>
              <w:t xml:space="preserve">   电话:0572-2322188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501" w:type="dxa"/>
            <w:gridSpan w:val="3"/>
            <w:vAlign w:val="center"/>
          </w:tcPr>
          <w:p>
            <w:pPr>
              <w:spacing w:line="300" w:lineRule="exact"/>
              <w:jc w:val="center"/>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本招标文件的解释权属湖州市政府采购中心、</w:t>
            </w:r>
            <w:r>
              <w:rPr>
                <w:rFonts w:hint="eastAsia" w:ascii="仿宋" w:hAnsi="仿宋" w:eastAsia="仿宋" w:cs="仿宋"/>
                <w:bCs/>
                <w:color w:val="000000" w:themeColor="text1"/>
                <w:sz w:val="28"/>
                <w:szCs w:val="28"/>
                <w:u w:val="single"/>
                <w:lang w:eastAsia="zh-CN"/>
                <w14:textFill>
                  <w14:solidFill>
                    <w14:schemeClr w14:val="tx1"/>
                  </w14:solidFill>
                </w14:textFill>
              </w:rPr>
              <w:t>湖州市大数据发展管理局</w:t>
            </w:r>
          </w:p>
        </w:tc>
      </w:tr>
    </w:tbl>
    <w:p>
      <w:pPr>
        <w:rPr>
          <w:rFonts w:hint="eastAsia" w:ascii="仿宋" w:hAnsi="仿宋" w:eastAsia="仿宋" w:cs="仿宋"/>
          <w:sz w:val="28"/>
          <w:szCs w:val="28"/>
        </w:rPr>
      </w:pPr>
    </w:p>
    <w:p>
      <w:pPr>
        <w:pStyle w:val="6"/>
        <w:spacing w:line="440" w:lineRule="exact"/>
        <w:jc w:val="center"/>
        <w:rPr>
          <w:rFonts w:hint="eastAsia" w:ascii="仿宋" w:hAnsi="仿宋" w:eastAsia="仿宋" w:cs="仿宋"/>
          <w:sz w:val="28"/>
          <w:szCs w:val="28"/>
        </w:rPr>
      </w:pPr>
      <w:bookmarkStart w:id="39" w:name="_Toc36454314"/>
      <w:r>
        <w:rPr>
          <w:rFonts w:hint="eastAsia" w:ascii="仿宋" w:hAnsi="仿宋" w:eastAsia="仿宋" w:cs="仿宋"/>
          <w:sz w:val="28"/>
          <w:szCs w:val="28"/>
        </w:rPr>
        <w:t>一、总  则</w:t>
      </w:r>
      <w:bookmarkEnd w:id="39"/>
    </w:p>
    <w:p>
      <w:pPr>
        <w:spacing w:line="440" w:lineRule="exact"/>
        <w:rPr>
          <w:rFonts w:hint="eastAsia" w:ascii="仿宋" w:hAnsi="仿宋" w:eastAsia="仿宋" w:cs="仿宋"/>
          <w:sz w:val="28"/>
          <w:szCs w:val="28"/>
        </w:rPr>
      </w:pPr>
      <w:r>
        <w:rPr>
          <w:rFonts w:hint="eastAsia" w:ascii="仿宋" w:hAnsi="仿宋" w:eastAsia="仿宋" w:cs="仿宋"/>
          <w:b/>
          <w:sz w:val="28"/>
          <w:szCs w:val="28"/>
        </w:rPr>
        <w:t>1. 适用范围</w:t>
      </w:r>
      <w:r>
        <w:rPr>
          <w:rFonts w:hint="eastAsia" w:ascii="仿宋" w:hAnsi="仿宋" w:eastAsia="仿宋" w:cs="仿宋"/>
          <w:sz w:val="28"/>
          <w:szCs w:val="28"/>
        </w:rPr>
        <w:t>：本招标文件适用于本项目的招标、评标、定标、验收、合同履约、付款等（如法律、法规、规章及省级以上规范性文件另有规定的，从其规定）。</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采购人、项目名称、编号及相关内容见投标人须知前附表。</w:t>
      </w:r>
      <w:bookmarkStart w:id="40" w:name="_Toc495916957"/>
    </w:p>
    <w:p>
      <w:pPr>
        <w:spacing w:line="440" w:lineRule="exact"/>
        <w:rPr>
          <w:rFonts w:hint="eastAsia" w:ascii="仿宋" w:hAnsi="仿宋" w:eastAsia="仿宋" w:cs="仿宋"/>
          <w:b/>
          <w:sz w:val="28"/>
          <w:szCs w:val="28"/>
        </w:rPr>
      </w:pPr>
      <w:r>
        <w:rPr>
          <w:rFonts w:hint="eastAsia" w:ascii="仿宋" w:hAnsi="仿宋" w:eastAsia="仿宋" w:cs="仿宋"/>
          <w:b/>
          <w:sz w:val="28"/>
          <w:szCs w:val="28"/>
        </w:rPr>
        <w:t>2、定义</w:t>
      </w:r>
      <w:bookmarkEnd w:id="40"/>
      <w:r>
        <w:rPr>
          <w:rFonts w:hint="eastAsia" w:ascii="仿宋" w:hAnsi="仿宋" w:eastAsia="仿宋" w:cs="仿宋"/>
          <w:b/>
          <w:sz w:val="28"/>
          <w:szCs w:val="28"/>
        </w:rPr>
        <w:t xml:space="preserve"> </w:t>
      </w:r>
    </w:p>
    <w:p>
      <w:pPr>
        <w:snapToGrid w:val="0"/>
        <w:spacing w:line="46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(1)、“集中采购机构”系指组织本项目采购的湖州市政府采购中心。</w:t>
      </w:r>
    </w:p>
    <w:p>
      <w:pPr>
        <w:snapToGrid w:val="0"/>
        <w:spacing w:line="46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(2)、“投标人”系指提交投标文件的单位。</w:t>
      </w:r>
    </w:p>
    <w:p>
      <w:pPr>
        <w:snapToGrid w:val="0"/>
        <w:spacing w:line="46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(3)、“采购人” 系指委托集中采购机构采购本次货物、服务项目的国家机关、事业单位和团体组织。</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b/>
          <w:bCs/>
          <w:sz w:val="28"/>
          <w:szCs w:val="28"/>
        </w:rPr>
        <w:t>3.采购预算：</w:t>
      </w:r>
      <w:r>
        <w:rPr>
          <w:rFonts w:hint="eastAsia" w:ascii="仿宋" w:hAnsi="仿宋" w:eastAsia="仿宋" w:cs="仿宋"/>
          <w:sz w:val="28"/>
          <w:szCs w:val="28"/>
        </w:rPr>
        <w:t xml:space="preserve">    </w:t>
      </w:r>
    </w:p>
    <w:p>
      <w:pPr>
        <w:spacing w:line="40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预算金额：</w:t>
      </w:r>
      <w:r>
        <w:rPr>
          <w:rFonts w:hint="eastAsia" w:ascii="仿宋" w:hAnsi="仿宋" w:eastAsia="仿宋" w:cs="仿宋"/>
          <w:color w:val="000000" w:themeColor="text1"/>
          <w:sz w:val="28"/>
          <w:szCs w:val="28"/>
          <w:lang w:val="en-US" w:eastAsia="zh-CN"/>
          <w14:textFill>
            <w14:solidFill>
              <w14:schemeClr w14:val="tx1"/>
            </w14:solidFill>
          </w14:textFill>
        </w:rPr>
        <w:t>18231316.05</w:t>
      </w:r>
      <w:r>
        <w:rPr>
          <w:rFonts w:hint="eastAsia" w:ascii="仿宋" w:hAnsi="仿宋" w:eastAsia="仿宋" w:cs="仿宋"/>
          <w:color w:val="000000" w:themeColor="text1"/>
          <w:sz w:val="28"/>
          <w:szCs w:val="28"/>
          <w14:textFill>
            <w14:solidFill>
              <w14:schemeClr w14:val="tx1"/>
            </w14:solidFill>
          </w14:textFill>
        </w:rPr>
        <w:t>万元</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采购人用于采购本项目的资金已得到政府有关部门的批准，其资金来源已落实。         </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4.采购方式 ：公开招标</w:t>
      </w:r>
    </w:p>
    <w:p>
      <w:pPr>
        <w:spacing w:line="440" w:lineRule="exact"/>
        <w:rPr>
          <w:rFonts w:hint="eastAsia" w:ascii="仿宋" w:hAnsi="仿宋" w:eastAsia="仿宋" w:cs="仿宋"/>
          <w:b/>
          <w:sz w:val="28"/>
          <w:szCs w:val="28"/>
        </w:rPr>
      </w:pPr>
      <w:r>
        <w:rPr>
          <w:rFonts w:hint="eastAsia" w:ascii="仿宋" w:hAnsi="仿宋" w:eastAsia="仿宋" w:cs="仿宋"/>
          <w:b/>
          <w:sz w:val="28"/>
          <w:szCs w:val="28"/>
        </w:rPr>
        <w:t>5.投标人的资格条件</w:t>
      </w:r>
    </w:p>
    <w:p>
      <w:pPr>
        <w:snapToGrid w:val="0"/>
        <w:spacing w:line="460" w:lineRule="exact"/>
        <w:ind w:firstLine="700" w:firstLineChars="250"/>
        <w:rPr>
          <w:rFonts w:hint="eastAsia" w:ascii="仿宋" w:hAnsi="仿宋" w:eastAsia="仿宋" w:cs="仿宋"/>
          <w:sz w:val="28"/>
          <w:szCs w:val="28"/>
        </w:rPr>
      </w:pPr>
      <w:r>
        <w:rPr>
          <w:rFonts w:hint="eastAsia" w:ascii="仿宋" w:hAnsi="仿宋" w:eastAsia="仿宋" w:cs="仿宋"/>
          <w:bCs/>
          <w:sz w:val="28"/>
          <w:szCs w:val="28"/>
        </w:rPr>
        <w:t>5.1</w:t>
      </w:r>
      <w:r>
        <w:rPr>
          <w:rFonts w:hint="eastAsia" w:ascii="仿宋" w:hAnsi="仿宋" w:eastAsia="仿宋" w:cs="仿宋"/>
          <w:sz w:val="28"/>
          <w:szCs w:val="28"/>
        </w:rPr>
        <w:t>符合《中华人民共和国政府采购法》第二十二条</w:t>
      </w:r>
      <w:r>
        <w:rPr>
          <w:rFonts w:hint="eastAsia" w:ascii="仿宋" w:hAnsi="仿宋" w:eastAsia="仿宋" w:cs="仿宋"/>
          <w:bCs/>
          <w:sz w:val="28"/>
          <w:szCs w:val="28"/>
        </w:rPr>
        <w:t>和《关于规范政府采购供应商资格设定及资格审查的通知》（浙财采监[2013]24号）第六条规定，</w:t>
      </w:r>
      <w:r>
        <w:rPr>
          <w:rFonts w:hint="eastAsia" w:ascii="仿宋" w:hAnsi="仿宋" w:eastAsia="仿宋" w:cs="仿宋"/>
          <w:sz w:val="28"/>
          <w:szCs w:val="28"/>
        </w:rPr>
        <w:t>且未被“信用中国”（www.creditchina.gov.cn）、中国政府采购网（www.ccgp.gov.cn）列入失信被执行人、重大税收违法案件当事人名单、政府采购严重违法失信行为记录名单。</w:t>
      </w:r>
    </w:p>
    <w:p>
      <w:pPr>
        <w:snapToGrid w:val="0"/>
        <w:spacing w:line="460" w:lineRule="exact"/>
        <w:ind w:firstLine="700" w:firstLineChars="250"/>
        <w:rPr>
          <w:rFonts w:hint="eastAsia" w:ascii="仿宋" w:hAnsi="仿宋" w:eastAsia="仿宋" w:cs="仿宋"/>
          <w:sz w:val="28"/>
          <w:szCs w:val="28"/>
          <w:lang w:eastAsia="zh-CN"/>
        </w:rPr>
      </w:pPr>
      <w:r>
        <w:rPr>
          <w:rFonts w:hint="eastAsia" w:ascii="仿宋" w:hAnsi="仿宋" w:eastAsia="仿宋" w:cs="仿宋"/>
          <w:sz w:val="28"/>
          <w:szCs w:val="28"/>
        </w:rPr>
        <w:t>5.2落实政府采购政策需满足的资格要求：</w:t>
      </w:r>
      <w:r>
        <w:rPr>
          <w:rFonts w:hint="eastAsia" w:ascii="仿宋" w:hAnsi="仿宋" w:eastAsia="仿宋" w:cs="仿宋"/>
          <w:sz w:val="28"/>
          <w:szCs w:val="28"/>
          <w:lang w:eastAsia="zh-CN"/>
        </w:rPr>
        <w:t>专门面向中小企业。</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6.投标费用</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投标人应承担其编制投标文件和提交投标文件所涉及的一切费用。不论投标结果如何，集中采购机构对上述费用不负任何责任。</w:t>
      </w:r>
    </w:p>
    <w:p>
      <w:pPr>
        <w:pStyle w:val="6"/>
        <w:spacing w:line="440" w:lineRule="exact"/>
        <w:jc w:val="center"/>
        <w:rPr>
          <w:rFonts w:hint="eastAsia" w:ascii="仿宋" w:hAnsi="仿宋" w:eastAsia="仿宋" w:cs="仿宋"/>
          <w:bCs w:val="0"/>
          <w:sz w:val="28"/>
          <w:szCs w:val="28"/>
        </w:rPr>
      </w:pPr>
      <w:bookmarkStart w:id="41" w:name="_Toc36454315"/>
      <w:r>
        <w:rPr>
          <w:rFonts w:hint="eastAsia" w:ascii="仿宋" w:hAnsi="仿宋" w:eastAsia="仿宋" w:cs="仿宋"/>
          <w:bCs w:val="0"/>
          <w:sz w:val="28"/>
          <w:szCs w:val="28"/>
        </w:rPr>
        <w:t>二、招标文件的说明</w:t>
      </w:r>
      <w:bookmarkEnd w:id="41"/>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7.招标文件的组成</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7.1招标文件包括以下内容</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第一章 投标人须知</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第二章 </w:t>
      </w:r>
      <w:r>
        <w:rPr>
          <w:rFonts w:hint="eastAsia" w:ascii="仿宋" w:hAnsi="仿宋" w:eastAsia="仿宋" w:cs="仿宋"/>
          <w:bCs/>
          <w:sz w:val="28"/>
          <w:szCs w:val="28"/>
        </w:rPr>
        <w:t>招标项目内容、数量、规格和技术要求</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第三章 合同主要条款</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第四章 投标文件格式</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第五章 评标办法及标准</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7.2集中采购机构在投标截止时间前，以书面形式发出的对招标文件的澄清或修改内容，均为招标文件的组成部分，对采购人、集中采购机构和投标人起约束作用。</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7.3投标人获取招标文件后，应仔细检查招标文件的所有内容，如有残缺等问题，均应在获得招标文件后3日内向集中采购机构书面提出，否则，由此引起的损失由投标人自己承担。投标人同时应认真审阅招标文件中所有的事项、格式、条款和规范要求（包括补充内容）等所有内容，若投标人的投标文件没有按招标文件要求提交全部资料，或投标文件没有对招标文件做出实质性响应，其风险由投标人自行承担，并根据有关条款规定，该投标有可能被拒绝。</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8.招标文件答疑</w:t>
      </w:r>
    </w:p>
    <w:p>
      <w:pPr>
        <w:spacing w:line="440" w:lineRule="exact"/>
        <w:ind w:firstLine="600"/>
        <w:rPr>
          <w:rFonts w:hint="eastAsia" w:ascii="仿宋" w:hAnsi="仿宋" w:eastAsia="仿宋" w:cs="仿宋"/>
          <w:sz w:val="28"/>
          <w:szCs w:val="28"/>
        </w:rPr>
      </w:pPr>
      <w:r>
        <w:rPr>
          <w:rFonts w:hint="eastAsia" w:ascii="仿宋" w:hAnsi="仿宋" w:eastAsia="仿宋" w:cs="仿宋"/>
          <w:sz w:val="28"/>
          <w:szCs w:val="28"/>
        </w:rPr>
        <w:t>投标人对招标文件有异议的，应当在</w:t>
      </w:r>
      <w:r>
        <w:rPr>
          <w:rFonts w:hint="eastAsia" w:ascii="仿宋" w:hAnsi="仿宋" w:eastAsia="仿宋" w:cs="仿宋"/>
          <w:b/>
          <w:sz w:val="28"/>
          <w:szCs w:val="28"/>
        </w:rPr>
        <w:t>招标公告中规定的时间</w:t>
      </w:r>
      <w:r>
        <w:rPr>
          <w:rFonts w:hint="eastAsia" w:ascii="仿宋" w:hAnsi="仿宋" w:eastAsia="仿宋" w:cs="仿宋"/>
          <w:sz w:val="28"/>
          <w:szCs w:val="28"/>
        </w:rPr>
        <w:t>以书面（含传真、电邮）形式向集中采购机构一次性提出，采购人和集中采购机构将在规定的时间内统一进行澄清和修改，并书面（含传真、电邮）通知所有获取招标文件的供应商。供应商未按规定要求提出的，则视同认可招标文件，但法律法规及规范性文件有明确规定的除外。</w:t>
      </w:r>
      <w:r>
        <w:rPr>
          <w:rFonts w:hint="eastAsia" w:ascii="仿宋" w:hAnsi="仿宋" w:eastAsia="仿宋" w:cs="仿宋"/>
          <w:b/>
          <w:sz w:val="28"/>
          <w:szCs w:val="28"/>
        </w:rPr>
        <w:t>逾期提出集中采购机构将不予受理。</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9.招标文件的澄清、修改</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9.1在投标截止时间前，采购人和集中采购机构对已发出的招标文件进行必要澄清或者修改时，将依法在财政部门指定的政府采购信息发布媒体上发布更正公告，并以书面形式通知所有招标文件收受人。该澄清或者修改的内容为招标文件的组成部分，对所有投标人有约束力。投标人在收到招标文件的澄清修改函后，应以书面形式予以确认。</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9.2采购人和集中采购机构可以视采购具体情况，延长投标截止时间和开标时间，并将变更时间书面通知所有招标文件收受人，并在财政部门指定的政府采购信息发布媒体上发布变更公告。</w:t>
      </w:r>
    </w:p>
    <w:p>
      <w:pPr>
        <w:pStyle w:val="6"/>
        <w:spacing w:line="440" w:lineRule="exact"/>
        <w:jc w:val="center"/>
        <w:rPr>
          <w:rFonts w:hint="eastAsia" w:ascii="仿宋" w:hAnsi="仿宋" w:eastAsia="仿宋" w:cs="仿宋"/>
          <w:bCs w:val="0"/>
          <w:sz w:val="28"/>
          <w:szCs w:val="28"/>
        </w:rPr>
      </w:pPr>
      <w:bookmarkStart w:id="42" w:name="_Toc36454316"/>
      <w:r>
        <w:rPr>
          <w:rFonts w:hint="eastAsia" w:ascii="仿宋" w:hAnsi="仿宋" w:eastAsia="仿宋" w:cs="仿宋"/>
          <w:bCs w:val="0"/>
          <w:sz w:val="28"/>
          <w:szCs w:val="28"/>
        </w:rPr>
        <w:t>三、投标文件的编制</w:t>
      </w:r>
      <w:bookmarkEnd w:id="42"/>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10.投标文件的语言及度量衡单位</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10.1投标文件及投标人与采购人和集中采购机构就投标有关的通知、信函和文件原则上均应使用简体中文。若投标人所提供的资料为外文的，需同时提供中文译文。</w:t>
      </w:r>
    </w:p>
    <w:p>
      <w:pPr>
        <w:spacing w:line="440" w:lineRule="exact"/>
        <w:ind w:firstLine="560" w:firstLineChars="200"/>
        <w:rPr>
          <w:rFonts w:hint="eastAsia" w:ascii="仿宋" w:hAnsi="仿宋" w:eastAsia="仿宋" w:cs="仿宋"/>
          <w:b/>
          <w:bCs/>
          <w:sz w:val="28"/>
          <w:szCs w:val="28"/>
        </w:rPr>
      </w:pPr>
      <w:r>
        <w:rPr>
          <w:rFonts w:hint="eastAsia" w:ascii="仿宋" w:hAnsi="仿宋" w:eastAsia="仿宋" w:cs="仿宋"/>
          <w:sz w:val="28"/>
          <w:szCs w:val="28"/>
        </w:rPr>
        <w:t>10.2除技术规范中另有规定外，投标文件所使用的度量衡单位，均采用我国法定计量单位。</w:t>
      </w:r>
    </w:p>
    <w:p>
      <w:pPr>
        <w:snapToGrid w:val="0"/>
        <w:spacing w:line="460" w:lineRule="exact"/>
        <w:jc w:val="left"/>
        <w:rPr>
          <w:rFonts w:hint="eastAsia" w:ascii="仿宋" w:hAnsi="仿宋" w:eastAsia="仿宋" w:cs="仿宋"/>
          <w:b/>
          <w:bCs/>
          <w:sz w:val="28"/>
          <w:szCs w:val="28"/>
        </w:rPr>
      </w:pPr>
      <w:r>
        <w:rPr>
          <w:rFonts w:hint="eastAsia" w:ascii="仿宋" w:hAnsi="仿宋" w:eastAsia="仿宋" w:cs="仿宋"/>
          <w:b/>
          <w:sz w:val="28"/>
          <w:szCs w:val="28"/>
        </w:rPr>
        <w:t>11.</w:t>
      </w:r>
      <w:r>
        <w:rPr>
          <w:rFonts w:hint="eastAsia" w:ascii="仿宋" w:hAnsi="仿宋" w:eastAsia="仿宋" w:cs="仿宋"/>
          <w:b/>
          <w:bCs/>
          <w:sz w:val="28"/>
          <w:szCs w:val="28"/>
        </w:rPr>
        <w:t>投标文件的形式与效力</w:t>
      </w:r>
    </w:p>
    <w:p>
      <w:pPr>
        <w:snapToGrid w:val="0"/>
        <w:spacing w:line="46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11.1供应商应准备电子投标文件，按政采云平台“政府采购项目电子交易管理操作视频-供应商”及本项目招标文件要求提交；</w:t>
      </w:r>
    </w:p>
    <w:p>
      <w:pPr>
        <w:snapToGrid w:val="0"/>
        <w:spacing w:line="460" w:lineRule="exact"/>
        <w:ind w:firstLine="560" w:firstLineChars="200"/>
        <w:rPr>
          <w:rFonts w:hint="eastAsia" w:ascii="仿宋" w:hAnsi="仿宋" w:eastAsia="仿宋" w:cs="仿宋"/>
          <w:kern w:val="0"/>
          <w:sz w:val="28"/>
          <w:szCs w:val="28"/>
        </w:rPr>
      </w:pPr>
      <w:r>
        <w:rPr>
          <w:rFonts w:hint="eastAsia" w:ascii="仿宋" w:hAnsi="仿宋" w:eastAsia="仿宋" w:cs="仿宋"/>
          <w:bCs/>
          <w:sz w:val="28"/>
          <w:szCs w:val="28"/>
        </w:rPr>
        <w:t>11.2</w:t>
      </w:r>
      <w:r>
        <w:rPr>
          <w:rFonts w:hint="eastAsia" w:ascii="仿宋" w:hAnsi="仿宋" w:eastAsia="仿宋" w:cs="仿宋"/>
          <w:kern w:val="0"/>
          <w:sz w:val="28"/>
          <w:szCs w:val="28"/>
        </w:rPr>
        <w:t>投标人在政府采购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kern w:val="0"/>
          <w:sz w:val="28"/>
          <w:szCs w:val="28"/>
        </w:rPr>
        <w:t>通过政府采购云平台成功上传递交的电子加密投标文件已按时解密的，备份投标文件自动失效；</w:t>
      </w:r>
      <w:r>
        <w:rPr>
          <w:rFonts w:hint="eastAsia" w:ascii="仿宋" w:hAnsi="仿宋" w:eastAsia="仿宋" w:cs="仿宋"/>
          <w:bCs/>
          <w:sz w:val="28"/>
          <w:szCs w:val="28"/>
        </w:rPr>
        <w:t>电子加密投标文件解密失败的，启用备份投标文件；启用成功的投标文件作为评标依据。</w:t>
      </w:r>
    </w:p>
    <w:p>
      <w:pPr>
        <w:snapToGrid w:val="0"/>
        <w:spacing w:line="46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投标截止时间前，投标供应商仅递交了“备份投标文件”而未将“电子加密投标文件”成功上传至“政府采购云平台”的，投标无效。</w:t>
      </w:r>
    </w:p>
    <w:p>
      <w:pPr>
        <w:spacing w:line="440" w:lineRule="exact"/>
        <w:rPr>
          <w:rFonts w:hint="eastAsia" w:ascii="仿宋" w:hAnsi="仿宋" w:eastAsia="仿宋" w:cs="仿宋"/>
          <w:b/>
          <w:sz w:val="28"/>
          <w:szCs w:val="28"/>
        </w:rPr>
      </w:pPr>
      <w:r>
        <w:rPr>
          <w:rFonts w:hint="eastAsia" w:ascii="仿宋" w:hAnsi="仿宋" w:eastAsia="仿宋" w:cs="仿宋"/>
          <w:b/>
          <w:sz w:val="28"/>
          <w:szCs w:val="28"/>
        </w:rPr>
        <w:t>12.电子投标文件的组成</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投标人应当按照招标文件的要求编制电子投标文件。电子投标文件应对招标文件提出的要求和条件做出实质性响应。电子投标文件由资格部分、商务部分、技术部分和价格部分组成（</w:t>
      </w:r>
      <w:r>
        <w:rPr>
          <w:rFonts w:hint="eastAsia" w:ascii="仿宋" w:hAnsi="仿宋" w:eastAsia="仿宋" w:cs="仿宋"/>
          <w:b/>
          <w:sz w:val="28"/>
          <w:szCs w:val="28"/>
        </w:rPr>
        <w:t>电子投标文件中所盖公章均采用CA签章</w:t>
      </w:r>
      <w:r>
        <w:rPr>
          <w:rFonts w:hint="eastAsia" w:ascii="仿宋" w:hAnsi="仿宋" w:eastAsia="仿宋" w:cs="仿宋"/>
          <w:sz w:val="28"/>
          <w:szCs w:val="28"/>
        </w:rPr>
        <w:t>）。</w:t>
      </w:r>
    </w:p>
    <w:p>
      <w:pPr>
        <w:spacing w:line="440" w:lineRule="exact"/>
        <w:rPr>
          <w:rFonts w:hint="eastAsia" w:ascii="仿宋" w:hAnsi="仿宋" w:eastAsia="仿宋" w:cs="仿宋"/>
          <w:b/>
          <w:sz w:val="28"/>
          <w:szCs w:val="28"/>
        </w:rPr>
      </w:pPr>
      <w:r>
        <w:rPr>
          <w:rFonts w:hint="eastAsia" w:ascii="仿宋" w:hAnsi="仿宋" w:eastAsia="仿宋" w:cs="仿宋"/>
          <w:sz w:val="28"/>
          <w:szCs w:val="28"/>
        </w:rPr>
        <w:t xml:space="preserve">    </w:t>
      </w:r>
      <w:r>
        <w:rPr>
          <w:rFonts w:hint="eastAsia" w:ascii="仿宋" w:hAnsi="仿宋" w:eastAsia="仿宋" w:cs="仿宋"/>
          <w:b/>
          <w:sz w:val="28"/>
          <w:szCs w:val="28"/>
        </w:rPr>
        <w:t>12.1资格部分</w:t>
      </w:r>
      <w:r>
        <w:rPr>
          <w:rFonts w:hint="eastAsia" w:ascii="仿宋" w:hAnsi="仿宋" w:eastAsia="仿宋" w:cs="仿宋"/>
          <w:b/>
          <w:bCs/>
          <w:sz w:val="28"/>
          <w:szCs w:val="28"/>
        </w:rPr>
        <w:t>包括下列内容：</w:t>
      </w:r>
    </w:p>
    <w:p>
      <w:pPr>
        <w:snapToGrid w:val="0"/>
        <w:spacing w:line="460" w:lineRule="exact"/>
        <w:ind w:firstLine="548" w:firstLineChars="196"/>
        <w:jc w:val="left"/>
        <w:rPr>
          <w:rFonts w:hint="eastAsia" w:ascii="仿宋" w:hAnsi="仿宋" w:eastAsia="仿宋" w:cs="仿宋"/>
          <w:sz w:val="28"/>
          <w:szCs w:val="28"/>
        </w:rPr>
      </w:pPr>
      <w:r>
        <w:rPr>
          <w:rFonts w:hint="eastAsia" w:ascii="仿宋" w:hAnsi="仿宋" w:eastAsia="仿宋" w:cs="仿宋"/>
          <w:sz w:val="28"/>
          <w:szCs w:val="28"/>
        </w:rPr>
        <w:t>12.1.1投标声明书(格式见附件1，含重大违法记录声明)；</w:t>
      </w:r>
    </w:p>
    <w:p>
      <w:pPr>
        <w:snapToGrid w:val="0"/>
        <w:spacing w:line="46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12.1.</w:t>
      </w:r>
      <w:r>
        <w:rPr>
          <w:rFonts w:hint="eastAsia" w:ascii="仿宋" w:hAnsi="仿宋" w:eastAsia="仿宋" w:cs="仿宋"/>
          <w:sz w:val="28"/>
          <w:szCs w:val="28"/>
          <w:lang w:val="en-US" w:eastAsia="zh-CN"/>
        </w:rPr>
        <w:t>2</w:t>
      </w:r>
      <w:r>
        <w:rPr>
          <w:rFonts w:hint="eastAsia" w:ascii="仿宋" w:hAnsi="仿宋" w:eastAsia="仿宋" w:cs="仿宋"/>
          <w:sz w:val="28"/>
          <w:szCs w:val="28"/>
        </w:rPr>
        <w:t>提供法定代表人授权委托书(原件、格式见附件</w:t>
      </w:r>
      <w:r>
        <w:rPr>
          <w:rFonts w:hint="eastAsia" w:ascii="仿宋" w:hAnsi="仿宋" w:eastAsia="仿宋" w:cs="仿宋"/>
          <w:sz w:val="28"/>
          <w:szCs w:val="28"/>
          <w:lang w:val="en-US" w:eastAsia="zh-CN"/>
        </w:rPr>
        <w:t>2、附件3</w:t>
      </w:r>
      <w:r>
        <w:rPr>
          <w:rFonts w:hint="eastAsia" w:ascii="仿宋" w:hAnsi="仿宋" w:eastAsia="仿宋" w:cs="仿宋"/>
          <w:sz w:val="28"/>
          <w:szCs w:val="28"/>
        </w:rPr>
        <w:t>)、授权代理人有效身份证明（复印件）以及授权代理人个人社保缴纳证明（缴纳凭证或人社部门出具的证明）；</w:t>
      </w:r>
    </w:p>
    <w:p>
      <w:pPr>
        <w:snapToGrid w:val="0"/>
        <w:spacing w:line="460" w:lineRule="exact"/>
        <w:ind w:firstLine="548" w:firstLineChars="196"/>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12.1.</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联合投标协议书、联合投标授权委托书（若需要）;</w:t>
      </w:r>
    </w:p>
    <w:p>
      <w:pPr>
        <w:snapToGrid w:val="0"/>
        <w:spacing w:line="460" w:lineRule="exact"/>
        <w:ind w:firstLine="548" w:firstLineChars="196"/>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12.1.</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中小企业声明函（如面向中小企业采购需提供，格式见附件1</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w:t>
      </w:r>
    </w:p>
    <w:p>
      <w:pPr>
        <w:snapToGrid w:val="0"/>
        <w:spacing w:line="460" w:lineRule="exact"/>
        <w:ind w:firstLine="548" w:firstLineChars="196"/>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请将以上资格部分材料上传政采云平台做资格审查，采购人或评标委员会仅根据上传的资格部分文件材料进行审查。</w:t>
      </w:r>
    </w:p>
    <w:p>
      <w:pPr>
        <w:snapToGrid w:val="0"/>
        <w:spacing w:line="460" w:lineRule="exact"/>
        <w:ind w:firstLine="548" w:firstLineChars="196"/>
        <w:jc w:val="lef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12.2商务部分</w:t>
      </w:r>
      <w:r>
        <w:rPr>
          <w:rFonts w:hint="eastAsia" w:ascii="仿宋" w:hAnsi="仿宋" w:eastAsia="仿宋" w:cs="仿宋"/>
          <w:b/>
          <w:bCs/>
          <w:color w:val="000000" w:themeColor="text1"/>
          <w:sz w:val="28"/>
          <w:szCs w:val="28"/>
          <w14:textFill>
            <w14:solidFill>
              <w14:schemeClr w14:val="tx1"/>
            </w14:solidFill>
          </w14:textFill>
        </w:rPr>
        <w:t>主要包括下列内容：</w:t>
      </w:r>
    </w:p>
    <w:p>
      <w:pPr>
        <w:snapToGrid w:val="0"/>
        <w:spacing w:line="460" w:lineRule="exact"/>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12.2.1评分索引表（格式见附件</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，主要用于评委对应评分内容，包括商务部分、技术部分）</w:t>
      </w:r>
    </w:p>
    <w:p>
      <w:pPr>
        <w:snapToGrid w:val="0"/>
        <w:spacing w:line="460" w:lineRule="exact"/>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12.2.2企业荣誉与业绩（见附件</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、附件</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w:t>
      </w:r>
    </w:p>
    <w:p>
      <w:pPr>
        <w:snapToGrid w:val="0"/>
        <w:spacing w:line="460" w:lineRule="exact"/>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12.2.3认证证书；</w:t>
      </w:r>
    </w:p>
    <w:p>
      <w:pPr>
        <w:snapToGrid w:val="0"/>
        <w:spacing w:line="460" w:lineRule="exact"/>
        <w:ind w:firstLine="560" w:firstLineChars="200"/>
        <w:jc w:val="lef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12.2.4人员配备</w:t>
      </w:r>
      <w:r>
        <w:rPr>
          <w:rFonts w:hint="eastAsia" w:ascii="仿宋" w:hAnsi="仿宋" w:eastAsia="仿宋" w:cs="仿宋"/>
          <w:color w:val="000000" w:themeColor="text1"/>
          <w:sz w:val="28"/>
          <w:szCs w:val="28"/>
          <w:lang w:eastAsia="zh-CN"/>
          <w14:textFill>
            <w14:solidFill>
              <w14:schemeClr w14:val="tx1"/>
            </w14:solidFill>
          </w14:textFill>
        </w:rPr>
        <w:t>；</w:t>
      </w:r>
    </w:p>
    <w:p>
      <w:pPr>
        <w:spacing w:line="440" w:lineRule="exact"/>
        <w:ind w:firstLine="6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12.2.5供货期，列明</w:t>
      </w:r>
      <w:r>
        <w:rPr>
          <w:rFonts w:hint="eastAsia" w:ascii="仿宋" w:hAnsi="仿宋" w:eastAsia="仿宋" w:cs="仿宋"/>
          <w:b/>
          <w:color w:val="000000" w:themeColor="text1"/>
          <w:sz w:val="28"/>
          <w:szCs w:val="28"/>
          <w14:textFill>
            <w14:solidFill>
              <w14:schemeClr w14:val="tx1"/>
            </w14:solidFill>
          </w14:textFill>
        </w:rPr>
        <w:t>施工进度计划表</w:t>
      </w:r>
      <w:r>
        <w:rPr>
          <w:rFonts w:hint="eastAsia" w:ascii="仿宋" w:hAnsi="仿宋" w:eastAsia="仿宋" w:cs="仿宋"/>
          <w:color w:val="000000" w:themeColor="text1"/>
          <w:sz w:val="28"/>
          <w:szCs w:val="28"/>
          <w14:textFill>
            <w14:solidFill>
              <w14:schemeClr w14:val="tx1"/>
            </w14:solidFill>
          </w14:textFill>
        </w:rPr>
        <w:t>（格式自拟）；</w:t>
      </w:r>
    </w:p>
    <w:p>
      <w:pPr>
        <w:spacing w:line="440" w:lineRule="exact"/>
        <w:ind w:firstLine="6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12.2.6售后服务</w:t>
      </w:r>
    </w:p>
    <w:p>
      <w:pPr>
        <w:spacing w:line="440" w:lineRule="exact"/>
        <w:ind w:firstLine="6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12.2.7商务条款偏离表（格式见附件</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w:t>
      </w:r>
    </w:p>
    <w:p>
      <w:pPr>
        <w:spacing w:line="440" w:lineRule="exact"/>
        <w:ind w:firstLine="6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12.2.</w:t>
      </w:r>
      <w:r>
        <w:rPr>
          <w:rFonts w:hint="eastAsia" w:ascii="仿宋" w:hAnsi="仿宋" w:eastAsia="仿宋" w:cs="仿宋"/>
          <w:bCs/>
          <w:color w:val="000000" w:themeColor="text1"/>
          <w:sz w:val="28"/>
          <w:szCs w:val="28"/>
          <w:lang w:val="en-US" w:eastAsia="zh-CN"/>
          <w14:textFill>
            <w14:solidFill>
              <w14:schemeClr w14:val="tx1"/>
            </w14:solidFill>
          </w14:textFill>
        </w:rPr>
        <w:t>8</w:t>
      </w:r>
      <w:r>
        <w:rPr>
          <w:rFonts w:hint="eastAsia" w:ascii="仿宋" w:hAnsi="仿宋" w:eastAsia="仿宋" w:cs="仿宋"/>
          <w:bCs/>
          <w:color w:val="000000" w:themeColor="text1"/>
          <w:sz w:val="28"/>
          <w:szCs w:val="28"/>
          <w14:textFill>
            <w14:solidFill>
              <w14:schemeClr w14:val="tx1"/>
            </w14:solidFill>
          </w14:textFill>
        </w:rPr>
        <w:t>政策分相关证明资料；</w:t>
      </w:r>
    </w:p>
    <w:p>
      <w:pPr>
        <w:snapToGrid w:val="0"/>
        <w:spacing w:line="460" w:lineRule="exact"/>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12.2.10投标人认为要说明的其他内容；</w:t>
      </w:r>
    </w:p>
    <w:p>
      <w:pPr>
        <w:spacing w:line="440" w:lineRule="exact"/>
        <w:ind w:firstLine="560" w:firstLineChars="2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12.3技术部分主要包括下列内容：</w:t>
      </w:r>
    </w:p>
    <w:p>
      <w:pPr>
        <w:spacing w:line="440" w:lineRule="exact"/>
        <w:ind w:firstLine="6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12.3.1平台的成熟度、运行能力和安全（如有，格式自拟）；</w:t>
      </w:r>
    </w:p>
    <w:p>
      <w:pPr>
        <w:spacing w:line="440" w:lineRule="exact"/>
        <w:ind w:firstLine="6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12.3.2项目实施方案（如有，格式自拟）；</w:t>
      </w:r>
    </w:p>
    <w:p>
      <w:pPr>
        <w:spacing w:line="440" w:lineRule="exact"/>
        <w:ind w:firstLine="6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12.3.4云内硬件、软件产品（如有，格式自拟）；</w:t>
      </w:r>
    </w:p>
    <w:p>
      <w:pPr>
        <w:spacing w:line="440" w:lineRule="exact"/>
        <w:ind w:firstLine="6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12.3.5机房环境（如有，格式自拟）；</w:t>
      </w:r>
    </w:p>
    <w:p>
      <w:pPr>
        <w:snapToGrid w:val="0"/>
        <w:spacing w:line="460" w:lineRule="exact"/>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12.3.6投标方认为需要的其他文件资料。</w:t>
      </w:r>
    </w:p>
    <w:p>
      <w:pPr>
        <w:spacing w:line="440" w:lineRule="exact"/>
        <w:ind w:firstLine="560" w:firstLineChars="2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12.4价格部分主要包括下列内容：</w:t>
      </w:r>
    </w:p>
    <w:p>
      <w:pPr>
        <w:spacing w:line="44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12.4.1开标一览表（报价表）（格式见附件</w:t>
      </w: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w:t>
      </w:r>
    </w:p>
    <w:p>
      <w:pPr>
        <w:spacing w:line="44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12.4.2投标项目报价明细表（格式见附件</w:t>
      </w: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 xml:space="preserve">）; </w:t>
      </w:r>
    </w:p>
    <w:p>
      <w:pPr>
        <w:spacing w:line="44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12.4.3中小企业声明函（若有，格式见附件</w:t>
      </w:r>
      <w:r>
        <w:rPr>
          <w:rFonts w:hint="eastAsia" w:ascii="仿宋" w:hAnsi="仿宋" w:eastAsia="仿宋" w:cs="仿宋"/>
          <w:color w:val="000000" w:themeColor="text1"/>
          <w:sz w:val="28"/>
          <w:szCs w:val="28"/>
          <w:lang w:val="en-US" w:eastAsia="zh-CN"/>
          <w14:textFill>
            <w14:solidFill>
              <w14:schemeClr w14:val="tx1"/>
            </w14:solidFill>
          </w14:textFill>
        </w:rPr>
        <w:t>10</w:t>
      </w:r>
      <w:r>
        <w:rPr>
          <w:rFonts w:hint="eastAsia" w:ascii="仿宋" w:hAnsi="仿宋" w:eastAsia="仿宋" w:cs="仿宋"/>
          <w:color w:val="000000" w:themeColor="text1"/>
          <w:sz w:val="28"/>
          <w:szCs w:val="28"/>
          <w14:textFill>
            <w14:solidFill>
              <w14:schemeClr w14:val="tx1"/>
            </w14:solidFill>
          </w14:textFill>
        </w:rPr>
        <w:t>）；</w:t>
      </w:r>
    </w:p>
    <w:p>
      <w:pPr>
        <w:spacing w:line="44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12.4.4残疾人福利企业声明函（若有，格式见附件1</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w:t>
      </w:r>
    </w:p>
    <w:p>
      <w:pPr>
        <w:spacing w:line="44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12.4.5属于监狱企业的证明文件（若有）。</w:t>
      </w:r>
    </w:p>
    <w:p>
      <w:pPr>
        <w:spacing w:line="400" w:lineRule="exact"/>
        <w:ind w:firstLine="548" w:firstLineChars="196"/>
        <w:rPr>
          <w:rFonts w:hint="eastAsia" w:ascii="仿宋" w:hAnsi="仿宋" w:eastAsia="仿宋" w:cs="仿宋"/>
          <w:b/>
          <w:color w:val="000000" w:themeColor="text1"/>
          <w:sz w:val="28"/>
          <w:szCs w:val="28"/>
          <w:u w:val="single"/>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注：法定代表人授权委托书、投标声明书、投标项目报价明细表必须按招标文件格式要求正确签署并加盖投标人电子签章。</w:t>
      </w:r>
      <w:r>
        <w:rPr>
          <w:rFonts w:hint="eastAsia" w:ascii="仿宋" w:hAnsi="仿宋" w:eastAsia="仿宋" w:cs="仿宋"/>
          <w:b/>
          <w:color w:val="000000" w:themeColor="text1"/>
          <w:sz w:val="28"/>
          <w:szCs w:val="28"/>
          <w:u w:val="single"/>
          <w14:textFill>
            <w14:solidFill>
              <w14:schemeClr w14:val="tx1"/>
            </w14:solidFill>
          </w14:textFill>
        </w:rPr>
        <w:t>资格部分、商务部分及技术部分中不得出现项目价格部分内容，否则将作无效标处理。</w:t>
      </w:r>
    </w:p>
    <w:p>
      <w:pPr>
        <w:spacing w:line="400" w:lineRule="exac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13.投标报价</w:t>
      </w:r>
    </w:p>
    <w:p>
      <w:pPr>
        <w:spacing w:line="440" w:lineRule="exact"/>
        <w:ind w:firstLine="560" w:firstLineChars="2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13.1投标人对同一投标货物不得同时出现可选择性品牌和一个品牌中的可选择性型号，</w:t>
      </w:r>
      <w:r>
        <w:rPr>
          <w:rFonts w:hint="eastAsia" w:ascii="仿宋" w:hAnsi="仿宋" w:eastAsia="仿宋" w:cs="仿宋"/>
          <w:color w:val="000000" w:themeColor="text1"/>
          <w:sz w:val="28"/>
          <w:szCs w:val="28"/>
          <w14:textFill>
            <w14:solidFill>
              <w14:schemeClr w14:val="tx1"/>
            </w14:solidFill>
          </w14:textFill>
        </w:rPr>
        <w:t>采购人和集中采购机构不接受备选方案。</w:t>
      </w:r>
    </w:p>
    <w:p>
      <w:pPr>
        <w:spacing w:line="44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13.2投标人应按招标文件规定的报价格式进行投标报价。投标文件只允许有一个报价，任何有选择性的报价将不予接受。</w:t>
      </w:r>
    </w:p>
    <w:p>
      <w:pPr>
        <w:spacing w:line="44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13.3开标一览表（报价表）上的价格应包括货物价格、标准附件、备品备件、专用工具、运输、装卸、安装调试、验收合格所需的各种费用及必要的保险费用和各项税金等完成采购项目所需的所有费用的总和，应为履行合同的最终价格，其市场风险由投标人承担。</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13.4投标人在填报</w:t>
      </w:r>
      <w:r>
        <w:rPr>
          <w:rFonts w:hint="eastAsia" w:ascii="仿宋" w:hAnsi="仿宋" w:eastAsia="仿宋" w:cs="仿宋"/>
          <w:bCs/>
          <w:color w:val="000000" w:themeColor="text1"/>
          <w:sz w:val="28"/>
          <w:szCs w:val="28"/>
          <w14:textFill>
            <w14:solidFill>
              <w14:schemeClr w14:val="tx1"/>
            </w14:solidFill>
          </w14:textFill>
        </w:rPr>
        <w:t>投标项目报价明细表</w:t>
      </w:r>
      <w:r>
        <w:rPr>
          <w:rFonts w:hint="eastAsia" w:ascii="仿宋" w:hAnsi="仿宋" w:eastAsia="仿宋" w:cs="仿宋"/>
          <w:color w:val="000000" w:themeColor="text1"/>
          <w:sz w:val="28"/>
          <w:szCs w:val="28"/>
          <w14:textFill>
            <w14:solidFill>
              <w14:schemeClr w14:val="tx1"/>
            </w14:solidFill>
          </w14:textFill>
        </w:rPr>
        <w:t>时必须</w:t>
      </w:r>
      <w:r>
        <w:rPr>
          <w:rFonts w:hint="eastAsia" w:ascii="仿宋" w:hAnsi="仿宋" w:eastAsia="仿宋" w:cs="仿宋"/>
          <w:sz w:val="28"/>
          <w:szCs w:val="28"/>
        </w:rPr>
        <w:t>按照采购需求货物清单内容逐项报价，不得随意更改序号、货物名称、单位、数量，</w:t>
      </w:r>
      <w:r>
        <w:rPr>
          <w:rFonts w:hint="eastAsia" w:ascii="仿宋" w:hAnsi="仿宋" w:eastAsia="仿宋" w:cs="仿宋"/>
          <w:b/>
          <w:sz w:val="28"/>
          <w:szCs w:val="28"/>
        </w:rPr>
        <w:t>否则有可能被视为无效投标</w:t>
      </w:r>
      <w:r>
        <w:rPr>
          <w:rFonts w:hint="eastAsia" w:ascii="仿宋" w:hAnsi="仿宋" w:eastAsia="仿宋" w:cs="仿宋"/>
          <w:sz w:val="28"/>
          <w:szCs w:val="28"/>
        </w:rPr>
        <w:t>。</w:t>
      </w:r>
    </w:p>
    <w:p>
      <w:pPr>
        <w:spacing w:line="440" w:lineRule="exact"/>
        <w:ind w:firstLine="560" w:firstLineChars="200"/>
        <w:rPr>
          <w:rFonts w:hint="eastAsia" w:ascii="仿宋" w:hAnsi="仿宋" w:eastAsia="仿宋" w:cs="仿宋"/>
          <w:b/>
          <w:bCs/>
          <w:sz w:val="28"/>
          <w:szCs w:val="28"/>
        </w:rPr>
      </w:pPr>
      <w:r>
        <w:rPr>
          <w:rFonts w:hint="eastAsia" w:ascii="仿宋" w:hAnsi="仿宋" w:eastAsia="仿宋" w:cs="仿宋"/>
          <w:sz w:val="28"/>
          <w:szCs w:val="28"/>
        </w:rPr>
        <w:t>13.5投标文件中的单价、合价、总价全部采用人民币表示。</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14.投标有效期</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14.1投标有效期见本须知前附表第15项（120日历天）所规定的期限，在此期限内，凡符合本招标文件要求的投标文件均保持有效。</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14.2在特殊情况下，采购人和集中采购机构在原定投标有效期内，可以根据需要以书面形式向投标人提出延长投标有效期的要求，对此要求投标人须以书面形式予以答复。投标人可以拒绝采购人和集中采购机构这种要求。同意延长投标有效期的投标人既不能要求也不允许修改其投标文件。</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15.投标保证金</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本项目不向投标人收取投标保证金。</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16.投标文件的签署</w:t>
      </w:r>
    </w:p>
    <w:p>
      <w:pPr>
        <w:spacing w:line="440" w:lineRule="exact"/>
        <w:ind w:firstLine="560" w:firstLineChars="200"/>
        <w:rPr>
          <w:rFonts w:hint="eastAsia" w:ascii="仿宋" w:hAnsi="仿宋" w:eastAsia="仿宋" w:cs="仿宋"/>
          <w:b/>
          <w:bCs/>
          <w:sz w:val="28"/>
          <w:szCs w:val="28"/>
        </w:rPr>
      </w:pPr>
      <w:r>
        <w:rPr>
          <w:rFonts w:hint="eastAsia" w:ascii="仿宋" w:hAnsi="仿宋" w:eastAsia="仿宋" w:cs="仿宋"/>
          <w:sz w:val="28"/>
          <w:szCs w:val="28"/>
        </w:rPr>
        <w:t>供应商应根据政采云平台“政府采购项目电子交易管理操作视频-供应商”及本招标文件规定的格式和顺序编制电子投标文件并进行关联定位。</w:t>
      </w:r>
    </w:p>
    <w:p>
      <w:pPr>
        <w:spacing w:line="44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投标人须按资格部分、商务部分、技术部分和价格部分编制投标文件，资格部分、商务部分和技术部分的投标文件不得体现价格部分内容。</w:t>
      </w:r>
    </w:p>
    <w:p>
      <w:pPr>
        <w:autoSpaceDE w:val="0"/>
        <w:autoSpaceDN w:val="0"/>
        <w:adjustRightInd w:val="0"/>
        <w:spacing w:line="440" w:lineRule="exact"/>
        <w:ind w:firstLine="565" w:firstLineChars="202"/>
        <w:jc w:val="left"/>
        <w:rPr>
          <w:rFonts w:hint="eastAsia" w:ascii="仿宋" w:hAnsi="仿宋" w:eastAsia="仿宋" w:cs="仿宋"/>
          <w:sz w:val="28"/>
          <w:szCs w:val="28"/>
        </w:rPr>
      </w:pPr>
      <w:r>
        <w:rPr>
          <w:rFonts w:hint="eastAsia" w:ascii="仿宋" w:hAnsi="仿宋" w:eastAsia="仿宋" w:cs="仿宋"/>
          <w:b/>
          <w:bCs/>
          <w:kern w:val="0"/>
          <w:sz w:val="28"/>
          <w:szCs w:val="28"/>
        </w:rPr>
        <w:t>投标文件需按招标文件要求的格式填写并签字盖章。</w:t>
      </w:r>
    </w:p>
    <w:p>
      <w:pPr>
        <w:pStyle w:val="6"/>
        <w:spacing w:line="440" w:lineRule="exact"/>
        <w:jc w:val="center"/>
        <w:rPr>
          <w:rFonts w:hint="eastAsia" w:ascii="仿宋" w:hAnsi="仿宋" w:eastAsia="仿宋" w:cs="仿宋"/>
          <w:bCs w:val="0"/>
          <w:sz w:val="28"/>
          <w:szCs w:val="28"/>
        </w:rPr>
      </w:pPr>
      <w:bookmarkStart w:id="43" w:name="_Toc36454317"/>
      <w:r>
        <w:rPr>
          <w:rFonts w:hint="eastAsia" w:ascii="仿宋" w:hAnsi="仿宋" w:eastAsia="仿宋" w:cs="仿宋"/>
          <w:bCs w:val="0"/>
          <w:sz w:val="28"/>
          <w:szCs w:val="28"/>
        </w:rPr>
        <w:t>四、投标文件的提交</w:t>
      </w:r>
      <w:bookmarkEnd w:id="43"/>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17.投标文件的提交及提交截止时间</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17.1投标人应当在投标截止时间前完成电子投标文件的传输提交，并可以补充、修改或者撤回电子投标文件。补充或者修改电子投标文件的，应当先行撤回原文件，补充、修改后重新传输提交。投标截止时间前未完成传输的，视为撤回投标文件。</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17.2集中采购机构可通过修改招标文件酌情延长投标截止时间，在此情况下，投标人的所有权利和义务以及投标人的投标截止时间均应以延长后新的截止时间为准；</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18.迟交的投标文件</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投标截止时间后传输提交的投标文件，将被政采云平台拒收。</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19.投标文件的撤回</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在投标截止时间至规定的投标有效期满之间的这段时间，投标人不得撤回其投标。</w:t>
      </w:r>
    </w:p>
    <w:p>
      <w:pPr>
        <w:pStyle w:val="6"/>
        <w:spacing w:line="440" w:lineRule="exact"/>
        <w:jc w:val="center"/>
        <w:rPr>
          <w:rFonts w:hint="eastAsia" w:ascii="仿宋" w:hAnsi="仿宋" w:eastAsia="仿宋" w:cs="仿宋"/>
          <w:bCs w:val="0"/>
          <w:sz w:val="28"/>
          <w:szCs w:val="28"/>
        </w:rPr>
      </w:pPr>
      <w:bookmarkStart w:id="44" w:name="_Toc36454318"/>
      <w:r>
        <w:rPr>
          <w:rFonts w:hint="eastAsia" w:ascii="仿宋" w:hAnsi="仿宋" w:eastAsia="仿宋" w:cs="仿宋"/>
          <w:bCs w:val="0"/>
          <w:sz w:val="28"/>
          <w:szCs w:val="28"/>
        </w:rPr>
        <w:t>五、开标程序</w:t>
      </w:r>
      <w:bookmarkEnd w:id="44"/>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20.开标程序</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20.1集中采购机构和采购人将于本须知《前附表》第13、14项规定的时间和地点举行开标会；</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20.2开标会由集中采购机构和采购人共同主持；</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20.3本项目采用政采云电子招投标开标程序</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投标截止时间后，投标人登录政采云平台，用“项目采购-开标评标”功能对电子投标文件进行在线解密。在线解密电子投标文件时间为</w:t>
      </w:r>
      <w:r>
        <w:rPr>
          <w:rFonts w:hint="eastAsia" w:ascii="仿宋" w:hAnsi="仿宋" w:eastAsia="仿宋" w:cs="仿宋"/>
          <w:b/>
          <w:sz w:val="28"/>
          <w:szCs w:val="28"/>
        </w:rPr>
        <w:t>开标时间起30分钟内</w:t>
      </w:r>
      <w:r>
        <w:rPr>
          <w:rFonts w:hint="eastAsia" w:ascii="仿宋" w:hAnsi="仿宋" w:eastAsia="仿宋" w:cs="仿宋"/>
          <w:sz w:val="28"/>
          <w:szCs w:val="28"/>
        </w:rPr>
        <w:t>。</w:t>
      </w:r>
      <w:r>
        <w:rPr>
          <w:rFonts w:hint="eastAsia" w:ascii="仿宋" w:hAnsi="仿宋" w:eastAsia="仿宋" w:cs="仿宋"/>
          <w:b/>
          <w:sz w:val="28"/>
          <w:szCs w:val="28"/>
          <w:u w:val="single"/>
        </w:rPr>
        <w:t>如投标人在开标开始后30分钟内解密失败，投标无效</w:t>
      </w:r>
      <w:r>
        <w:rPr>
          <w:rFonts w:hint="eastAsia" w:ascii="仿宋" w:hAnsi="仿宋" w:eastAsia="仿宋" w:cs="仿宋"/>
          <w:sz w:val="28"/>
          <w:szCs w:val="28"/>
          <w:u w:val="single"/>
        </w:rPr>
        <w:t>。</w:t>
      </w:r>
    </w:p>
    <w:p>
      <w:pPr>
        <w:spacing w:line="4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u w:val="single"/>
        </w:rPr>
        <w:t>说明：政采云平台如对电子开评标程序有调整的，按调整后的程序操作。</w:t>
      </w:r>
    </w:p>
    <w:p>
      <w:pPr>
        <w:pStyle w:val="6"/>
        <w:spacing w:line="440" w:lineRule="exact"/>
        <w:ind w:firstLine="3332" w:firstLineChars="1190"/>
        <w:rPr>
          <w:rFonts w:hint="eastAsia" w:ascii="仿宋" w:hAnsi="仿宋" w:eastAsia="仿宋" w:cs="仿宋"/>
          <w:bCs w:val="0"/>
          <w:snapToGrid w:val="0"/>
          <w:sz w:val="28"/>
          <w:szCs w:val="28"/>
        </w:rPr>
      </w:pPr>
      <w:bookmarkStart w:id="45" w:name="_Toc36454319"/>
      <w:r>
        <w:rPr>
          <w:rFonts w:hint="eastAsia" w:ascii="仿宋" w:hAnsi="仿宋" w:eastAsia="仿宋" w:cs="仿宋"/>
          <w:bCs w:val="0"/>
          <w:snapToGrid w:val="0"/>
          <w:sz w:val="28"/>
          <w:szCs w:val="28"/>
        </w:rPr>
        <w:t>六、评标</w:t>
      </w:r>
      <w:bookmarkEnd w:id="45"/>
    </w:p>
    <w:p>
      <w:pPr>
        <w:spacing w:line="440" w:lineRule="exact"/>
        <w:rPr>
          <w:rFonts w:hint="eastAsia" w:ascii="仿宋" w:hAnsi="仿宋" w:eastAsia="仿宋" w:cs="仿宋"/>
          <w:b/>
          <w:bCs/>
          <w:snapToGrid w:val="0"/>
          <w:sz w:val="28"/>
          <w:szCs w:val="28"/>
        </w:rPr>
      </w:pPr>
      <w:r>
        <w:rPr>
          <w:rFonts w:hint="eastAsia" w:ascii="仿宋" w:hAnsi="仿宋" w:eastAsia="仿宋" w:cs="仿宋"/>
          <w:b/>
          <w:bCs/>
          <w:snapToGrid w:val="0"/>
          <w:sz w:val="28"/>
          <w:szCs w:val="28"/>
        </w:rPr>
        <w:t>21.</w:t>
      </w:r>
      <w:r>
        <w:rPr>
          <w:rFonts w:hint="eastAsia" w:ascii="仿宋" w:hAnsi="仿宋" w:eastAsia="仿宋" w:cs="仿宋"/>
          <w:b/>
          <w:bCs/>
          <w:sz w:val="28"/>
          <w:szCs w:val="28"/>
        </w:rPr>
        <w:t>评标委员会与评标</w:t>
      </w:r>
    </w:p>
    <w:p>
      <w:pPr>
        <w:spacing w:line="440" w:lineRule="exact"/>
        <w:ind w:firstLine="560"/>
        <w:rPr>
          <w:rFonts w:hint="eastAsia" w:ascii="仿宋" w:hAnsi="仿宋" w:eastAsia="仿宋" w:cs="仿宋"/>
          <w:sz w:val="28"/>
          <w:szCs w:val="28"/>
        </w:rPr>
      </w:pPr>
      <w:r>
        <w:rPr>
          <w:rFonts w:hint="eastAsia" w:ascii="仿宋" w:hAnsi="仿宋" w:eastAsia="仿宋" w:cs="仿宋"/>
          <w:sz w:val="28"/>
          <w:szCs w:val="28"/>
        </w:rPr>
        <w:t>评标委员会由集中采购机构依法组建，负责评标活动。评标</w:t>
      </w:r>
      <w:r>
        <w:rPr>
          <w:rFonts w:hint="eastAsia" w:ascii="仿宋" w:hAnsi="仿宋" w:eastAsia="仿宋" w:cs="仿宋"/>
          <w:snapToGrid w:val="0"/>
          <w:sz w:val="28"/>
          <w:szCs w:val="28"/>
        </w:rPr>
        <w:t>委员会</w:t>
      </w:r>
      <w:r>
        <w:rPr>
          <w:rFonts w:hint="eastAsia" w:ascii="仿宋" w:hAnsi="仿宋" w:eastAsia="仿宋" w:cs="仿宋"/>
          <w:sz w:val="28"/>
          <w:szCs w:val="28"/>
        </w:rPr>
        <w:t>遵循公正、公平、科学合理，竞争择优的原则。</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22.评标过程的保密</w:t>
      </w:r>
    </w:p>
    <w:p>
      <w:pPr>
        <w:spacing w:line="440" w:lineRule="exact"/>
        <w:ind w:firstLine="500"/>
        <w:rPr>
          <w:rFonts w:hint="eastAsia" w:ascii="仿宋" w:hAnsi="仿宋" w:eastAsia="仿宋" w:cs="仿宋"/>
          <w:sz w:val="28"/>
          <w:szCs w:val="28"/>
        </w:rPr>
      </w:pPr>
      <w:r>
        <w:rPr>
          <w:rFonts w:hint="eastAsia" w:ascii="仿宋" w:hAnsi="仿宋" w:eastAsia="仿宋" w:cs="仿宋"/>
          <w:sz w:val="28"/>
          <w:szCs w:val="28"/>
        </w:rPr>
        <w:t>22.1开标后，直至授予中标供应商合同为止，凡属于对投标文件的审查、澄清、评价和比较的有关资料、中标候选人的推荐情况及与评标有关的其他任何情况均严格保密。</w:t>
      </w:r>
    </w:p>
    <w:p>
      <w:pPr>
        <w:spacing w:line="440" w:lineRule="exact"/>
        <w:ind w:firstLine="500"/>
        <w:rPr>
          <w:rFonts w:hint="eastAsia" w:ascii="仿宋" w:hAnsi="仿宋" w:eastAsia="仿宋" w:cs="仿宋"/>
          <w:sz w:val="28"/>
          <w:szCs w:val="28"/>
        </w:rPr>
      </w:pPr>
      <w:r>
        <w:rPr>
          <w:rFonts w:hint="eastAsia" w:ascii="仿宋" w:hAnsi="仿宋" w:eastAsia="仿宋" w:cs="仿宋"/>
          <w:sz w:val="28"/>
          <w:szCs w:val="28"/>
        </w:rPr>
        <w:t>22.2 在投标文件的评审和比较、中标候选人推荐以及授予合同的过程中，投标人向采购人、集中采购机构和评标委员会施加影响的任何行为，都将会导致其投标被拒绝。</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23.投标文件的澄清</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为有助于投标文件的审查、评价和比较，评标委员会可以要求投标人对于投标文件中含义不明确、同类问题表述不一致或者有明显文字和计算错误的内容作必要的澄清、说明或补正。</w:t>
      </w:r>
    </w:p>
    <w:p>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评审中需要投标人对投标、响应文件作出澄清、说明或者补正的，评标委员会和投标人应当通过政采云平台交换数据电文。给予投标人提交澄清说明或补正的时间不少于半小时，投标人已经明确表示澄清说明或补正完毕的除外。</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投标人通过政采云平台交换的数据电文必须进行电子签章。</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根据本须知第25条规定，凡属于评标委员会在评标中发现的计算错误进行核实的修改不在此列。</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24.投标文件的评定</w:t>
      </w:r>
    </w:p>
    <w:p>
      <w:pPr>
        <w:spacing w:line="440" w:lineRule="exact"/>
        <w:ind w:firstLine="500"/>
        <w:rPr>
          <w:rFonts w:hint="eastAsia" w:ascii="仿宋" w:hAnsi="仿宋" w:eastAsia="仿宋" w:cs="仿宋"/>
          <w:sz w:val="28"/>
          <w:szCs w:val="28"/>
        </w:rPr>
      </w:pPr>
      <w:r>
        <w:rPr>
          <w:rFonts w:hint="eastAsia" w:ascii="仿宋" w:hAnsi="仿宋" w:eastAsia="仿宋" w:cs="仿宋"/>
          <w:sz w:val="28"/>
          <w:szCs w:val="28"/>
        </w:rPr>
        <w:t>24.1资格性审查</w:t>
      </w:r>
    </w:p>
    <w:p>
      <w:pPr>
        <w:spacing w:line="440" w:lineRule="exact"/>
        <w:ind w:firstLine="500"/>
        <w:rPr>
          <w:rFonts w:hint="eastAsia" w:ascii="仿宋" w:hAnsi="仿宋" w:eastAsia="仿宋" w:cs="仿宋"/>
          <w:sz w:val="28"/>
          <w:szCs w:val="28"/>
        </w:rPr>
      </w:pPr>
      <w:r>
        <w:rPr>
          <w:rFonts w:hint="eastAsia" w:ascii="仿宋" w:hAnsi="仿宋" w:eastAsia="仿宋" w:cs="仿宋"/>
          <w:sz w:val="28"/>
          <w:szCs w:val="28"/>
        </w:rPr>
        <w:t>依据法律、法规和招标文件规定，对投标文件中的资格文件逐项进行审查，以确定投标人是否具备投标资格。资格性审查由采购人负责。</w:t>
      </w:r>
    </w:p>
    <w:p>
      <w:pPr>
        <w:spacing w:line="440" w:lineRule="exact"/>
        <w:ind w:firstLine="500"/>
        <w:rPr>
          <w:rFonts w:hint="eastAsia" w:ascii="仿宋" w:hAnsi="仿宋" w:eastAsia="仿宋" w:cs="仿宋"/>
          <w:sz w:val="28"/>
          <w:szCs w:val="28"/>
        </w:rPr>
      </w:pPr>
      <w:r>
        <w:rPr>
          <w:rFonts w:hint="eastAsia" w:ascii="仿宋" w:hAnsi="仿宋" w:eastAsia="仿宋" w:cs="仿宋"/>
          <w:sz w:val="28"/>
          <w:szCs w:val="28"/>
        </w:rPr>
        <w:t>24.2符合性审查</w:t>
      </w:r>
    </w:p>
    <w:p>
      <w:pPr>
        <w:spacing w:line="440" w:lineRule="exact"/>
        <w:ind w:firstLine="500"/>
        <w:rPr>
          <w:rFonts w:hint="eastAsia" w:ascii="仿宋" w:hAnsi="仿宋" w:eastAsia="仿宋" w:cs="仿宋"/>
          <w:sz w:val="28"/>
          <w:szCs w:val="28"/>
        </w:rPr>
      </w:pPr>
      <w:r>
        <w:rPr>
          <w:rFonts w:hint="eastAsia" w:ascii="仿宋" w:hAnsi="仿宋" w:eastAsia="仿宋" w:cs="仿宋"/>
          <w:sz w:val="28"/>
          <w:szCs w:val="28"/>
        </w:rPr>
        <w:t>评标时，评标委员会将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pPr>
        <w:spacing w:line="44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24.3如果投标文件实质上不响应招标文件的各项要求，评标委员会将予以拒绝，并且不允许投标人通过修改或撤销其不符合要求的差异或保留，使之成为具有响应性的投标。</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25.投标文件报价前后不一致的修正</w:t>
      </w:r>
    </w:p>
    <w:p>
      <w:pPr>
        <w:spacing w:line="440" w:lineRule="exact"/>
        <w:ind w:firstLine="500"/>
        <w:rPr>
          <w:rFonts w:hint="eastAsia" w:ascii="仿宋" w:hAnsi="仿宋" w:eastAsia="仿宋" w:cs="仿宋"/>
          <w:sz w:val="28"/>
          <w:szCs w:val="28"/>
        </w:rPr>
      </w:pPr>
      <w:r>
        <w:rPr>
          <w:rFonts w:hint="eastAsia" w:ascii="仿宋" w:hAnsi="仿宋" w:eastAsia="仿宋" w:cs="仿宋"/>
          <w:sz w:val="28"/>
          <w:szCs w:val="28"/>
        </w:rPr>
        <w:t>投标文件报价出现前后不一致的，除本招标文件另有规定外，按照下列规定修正：</w:t>
      </w:r>
    </w:p>
    <w:p>
      <w:pPr>
        <w:spacing w:line="440" w:lineRule="exact"/>
        <w:ind w:firstLine="500"/>
        <w:rPr>
          <w:rFonts w:hint="eastAsia" w:ascii="仿宋" w:hAnsi="仿宋" w:eastAsia="仿宋" w:cs="仿宋"/>
          <w:sz w:val="28"/>
          <w:szCs w:val="28"/>
        </w:rPr>
      </w:pPr>
      <w:r>
        <w:rPr>
          <w:rFonts w:hint="eastAsia" w:ascii="仿宋" w:hAnsi="仿宋" w:eastAsia="仿宋" w:cs="仿宋"/>
          <w:sz w:val="28"/>
          <w:szCs w:val="28"/>
        </w:rPr>
        <w:t>25.1投标文件中开标一览表（报价表）内容与投标文件中</w:t>
      </w:r>
      <w:r>
        <w:rPr>
          <w:rFonts w:hint="eastAsia" w:ascii="仿宋" w:hAnsi="仿宋" w:eastAsia="仿宋" w:cs="仿宋"/>
          <w:bCs/>
          <w:sz w:val="28"/>
          <w:szCs w:val="28"/>
        </w:rPr>
        <w:t>投标项目报价</w:t>
      </w:r>
      <w:r>
        <w:rPr>
          <w:rFonts w:hint="eastAsia" w:ascii="仿宋" w:hAnsi="仿宋" w:eastAsia="仿宋" w:cs="仿宋"/>
          <w:sz w:val="28"/>
          <w:szCs w:val="28"/>
        </w:rPr>
        <w:t>明细表内容不一致的，以开标一览表（报价表）为准；</w:t>
      </w:r>
    </w:p>
    <w:p>
      <w:pPr>
        <w:spacing w:line="440" w:lineRule="exact"/>
        <w:ind w:firstLine="500"/>
        <w:rPr>
          <w:rFonts w:hint="eastAsia" w:ascii="仿宋" w:hAnsi="仿宋" w:eastAsia="仿宋" w:cs="仿宋"/>
          <w:sz w:val="28"/>
          <w:szCs w:val="28"/>
        </w:rPr>
      </w:pPr>
      <w:r>
        <w:rPr>
          <w:rFonts w:hint="eastAsia" w:ascii="仿宋" w:hAnsi="仿宋" w:eastAsia="仿宋" w:cs="仿宋"/>
          <w:sz w:val="28"/>
          <w:szCs w:val="28"/>
        </w:rPr>
        <w:t>25.2投标文件的大写金额和小写金额不一致的，以大写金额为准；</w:t>
      </w:r>
    </w:p>
    <w:p>
      <w:pPr>
        <w:spacing w:line="440" w:lineRule="exact"/>
        <w:ind w:firstLine="500"/>
        <w:rPr>
          <w:rFonts w:hint="eastAsia" w:ascii="仿宋" w:hAnsi="仿宋" w:eastAsia="仿宋" w:cs="仿宋"/>
          <w:sz w:val="28"/>
          <w:szCs w:val="28"/>
        </w:rPr>
      </w:pPr>
      <w:r>
        <w:rPr>
          <w:rFonts w:hint="eastAsia" w:ascii="仿宋" w:hAnsi="仿宋" w:eastAsia="仿宋" w:cs="仿宋"/>
          <w:sz w:val="28"/>
          <w:szCs w:val="28"/>
        </w:rPr>
        <w:t>25.3单价金额小数点或者百分比有明显错位的，以开标一览表的总价为准，并修改单价；</w:t>
      </w:r>
    </w:p>
    <w:p>
      <w:pPr>
        <w:spacing w:line="440" w:lineRule="exact"/>
        <w:ind w:firstLine="500"/>
        <w:rPr>
          <w:rFonts w:hint="eastAsia" w:ascii="仿宋" w:hAnsi="仿宋" w:eastAsia="仿宋" w:cs="仿宋"/>
          <w:sz w:val="28"/>
          <w:szCs w:val="28"/>
        </w:rPr>
      </w:pPr>
      <w:r>
        <w:rPr>
          <w:rFonts w:hint="eastAsia" w:ascii="仿宋" w:hAnsi="仿宋" w:eastAsia="仿宋" w:cs="仿宋"/>
          <w:spacing w:val="-8"/>
          <w:sz w:val="28"/>
          <w:szCs w:val="28"/>
        </w:rPr>
        <w:t>25.4</w:t>
      </w:r>
      <w:r>
        <w:rPr>
          <w:rFonts w:hint="eastAsia" w:ascii="仿宋" w:hAnsi="仿宋" w:eastAsia="仿宋" w:cs="仿宋"/>
          <w:sz w:val="28"/>
          <w:szCs w:val="28"/>
        </w:rPr>
        <w:t>总价金额与按单价汇总金额不一致的，以单价金额计算结果为准。</w:t>
      </w:r>
    </w:p>
    <w:p>
      <w:pPr>
        <w:spacing w:line="440" w:lineRule="exact"/>
        <w:ind w:firstLine="500"/>
        <w:rPr>
          <w:rFonts w:hint="eastAsia" w:ascii="仿宋" w:hAnsi="仿宋" w:eastAsia="仿宋" w:cs="仿宋"/>
          <w:sz w:val="28"/>
          <w:szCs w:val="28"/>
        </w:rPr>
      </w:pPr>
      <w:r>
        <w:rPr>
          <w:rFonts w:hint="eastAsia" w:ascii="仿宋" w:hAnsi="仿宋" w:eastAsia="仿宋" w:cs="仿宋"/>
          <w:sz w:val="28"/>
          <w:szCs w:val="28"/>
        </w:rPr>
        <w:t>25.5同时出现两种以上不一致的，按照前款规定的顺序修正。修正后的报价经投标人确认后产生约束力，投标人不确认的，其投标无效。</w:t>
      </w:r>
    </w:p>
    <w:p>
      <w:pPr>
        <w:tabs>
          <w:tab w:val="left" w:pos="5685"/>
        </w:tabs>
        <w:spacing w:line="440" w:lineRule="exact"/>
        <w:rPr>
          <w:rFonts w:hint="eastAsia" w:ascii="仿宋" w:hAnsi="仿宋" w:eastAsia="仿宋" w:cs="仿宋"/>
          <w:b/>
          <w:bCs/>
          <w:sz w:val="28"/>
          <w:szCs w:val="28"/>
        </w:rPr>
      </w:pPr>
      <w:r>
        <w:rPr>
          <w:rFonts w:hint="eastAsia" w:ascii="仿宋" w:hAnsi="仿宋" w:eastAsia="仿宋" w:cs="仿宋"/>
          <w:b/>
          <w:bCs/>
          <w:sz w:val="28"/>
          <w:szCs w:val="28"/>
        </w:rPr>
        <w:t>26.投标文件的评审、比较和否决</w:t>
      </w:r>
      <w:r>
        <w:rPr>
          <w:rFonts w:hint="eastAsia" w:ascii="仿宋" w:hAnsi="仿宋" w:eastAsia="仿宋" w:cs="仿宋"/>
          <w:b/>
          <w:bCs/>
          <w:sz w:val="28"/>
          <w:szCs w:val="28"/>
        </w:rPr>
        <w:tab/>
      </w:r>
    </w:p>
    <w:p>
      <w:pPr>
        <w:spacing w:line="440" w:lineRule="exact"/>
        <w:ind w:firstLine="500"/>
        <w:rPr>
          <w:rFonts w:hint="eastAsia" w:ascii="仿宋" w:hAnsi="仿宋" w:eastAsia="仿宋" w:cs="仿宋"/>
          <w:sz w:val="28"/>
          <w:szCs w:val="28"/>
        </w:rPr>
      </w:pPr>
      <w:r>
        <w:rPr>
          <w:rFonts w:hint="eastAsia" w:ascii="仿宋" w:hAnsi="仿宋" w:eastAsia="仿宋" w:cs="仿宋"/>
          <w:sz w:val="28"/>
          <w:szCs w:val="28"/>
        </w:rPr>
        <w:t>26.1评标委员会将对在实质上响应招标文件要求的投标文件进行评估和比较。</w:t>
      </w:r>
    </w:p>
    <w:p>
      <w:pPr>
        <w:spacing w:line="440" w:lineRule="exact"/>
        <w:ind w:firstLine="500"/>
        <w:rPr>
          <w:rFonts w:hint="eastAsia" w:ascii="仿宋" w:hAnsi="仿宋" w:eastAsia="仿宋" w:cs="仿宋"/>
          <w:sz w:val="28"/>
          <w:szCs w:val="28"/>
        </w:rPr>
      </w:pPr>
      <w:r>
        <w:rPr>
          <w:rFonts w:hint="eastAsia" w:ascii="仿宋" w:hAnsi="仿宋" w:eastAsia="仿宋" w:cs="仿宋"/>
          <w:sz w:val="28"/>
          <w:szCs w:val="28"/>
        </w:rPr>
        <w:t>26.2 在评审过程中,评标委员会可以要求投标人就投标文件中含义不明确的内容进行说明并提供相关材料。</w:t>
      </w:r>
    </w:p>
    <w:p>
      <w:pPr>
        <w:spacing w:line="440" w:lineRule="exact"/>
        <w:ind w:firstLine="500"/>
        <w:rPr>
          <w:rFonts w:hint="eastAsia" w:ascii="仿宋" w:hAnsi="仿宋" w:eastAsia="仿宋" w:cs="仿宋"/>
          <w:sz w:val="28"/>
          <w:szCs w:val="28"/>
        </w:rPr>
      </w:pPr>
      <w:r>
        <w:rPr>
          <w:rFonts w:hint="eastAsia" w:ascii="仿宋" w:hAnsi="仿宋" w:eastAsia="仿宋" w:cs="仿宋"/>
          <w:sz w:val="28"/>
          <w:szCs w:val="28"/>
        </w:rPr>
        <w:t>26.3在评审过程中，如发现与招标文件要求相偏离的，评标委员会应对其偏离情形进行必要的书面核实。</w:t>
      </w:r>
    </w:p>
    <w:p>
      <w:pPr>
        <w:spacing w:line="440" w:lineRule="exact"/>
        <w:ind w:firstLine="500"/>
        <w:rPr>
          <w:rFonts w:hint="eastAsia" w:ascii="仿宋" w:hAnsi="仿宋" w:eastAsia="仿宋" w:cs="仿宋"/>
          <w:sz w:val="28"/>
          <w:szCs w:val="28"/>
        </w:rPr>
      </w:pPr>
      <w:r>
        <w:rPr>
          <w:rFonts w:hint="eastAsia" w:ascii="仿宋" w:hAnsi="仿宋" w:eastAsia="仿宋" w:cs="仿宋"/>
          <w:sz w:val="28"/>
          <w:szCs w:val="28"/>
        </w:rPr>
        <w:t>26.4在评审过程中，如属于实质性偏离或符合无效响应条件的，应当询问相关投标人，并允许其进行陈述申辩，但不允许其对偏离条款进行补充、修正或撤回。</w:t>
      </w:r>
    </w:p>
    <w:p>
      <w:pPr>
        <w:spacing w:line="440" w:lineRule="exact"/>
        <w:ind w:firstLine="500"/>
        <w:rPr>
          <w:rFonts w:hint="eastAsia" w:ascii="仿宋" w:hAnsi="仿宋" w:eastAsia="仿宋" w:cs="仿宋"/>
          <w:sz w:val="28"/>
          <w:szCs w:val="28"/>
          <w:u w:val="single"/>
        </w:rPr>
      </w:pPr>
      <w:r>
        <w:rPr>
          <w:rFonts w:hint="eastAsia" w:ascii="仿宋" w:hAnsi="仿宋" w:eastAsia="仿宋" w:cs="仿宋"/>
          <w:sz w:val="28"/>
          <w:szCs w:val="28"/>
        </w:rPr>
        <w:t>26.5在评审过程中，如发现投标文件同一内容前后描述不一致的，评标委员会有权对其做出不利的判定。</w:t>
      </w:r>
    </w:p>
    <w:p>
      <w:pPr>
        <w:spacing w:line="440" w:lineRule="exact"/>
        <w:ind w:firstLine="500"/>
        <w:rPr>
          <w:rFonts w:hint="eastAsia" w:ascii="仿宋" w:hAnsi="仿宋" w:eastAsia="仿宋" w:cs="仿宋"/>
          <w:sz w:val="28"/>
          <w:szCs w:val="28"/>
        </w:rPr>
      </w:pPr>
      <w:r>
        <w:rPr>
          <w:rFonts w:hint="eastAsia" w:ascii="仿宋" w:hAnsi="仿宋" w:eastAsia="仿宋" w:cs="仿宋"/>
          <w:sz w:val="28"/>
          <w:szCs w:val="28"/>
        </w:rPr>
        <w:t>26.6 评标委员会依据招标文件规定的评标标准和方法，对投标文件进行评审和比较，向集中采购机构提交书面评标报告，并推荐合格的中标候选人。</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27.废标</w:t>
      </w:r>
    </w:p>
    <w:p>
      <w:pPr>
        <w:spacing w:line="44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在招标采购中，出现下列情形之一的，应予废标（</w:t>
      </w:r>
      <w:r>
        <w:rPr>
          <w:rFonts w:hint="eastAsia" w:ascii="仿宋" w:hAnsi="仿宋" w:eastAsia="仿宋" w:cs="仿宋"/>
          <w:b/>
          <w:snapToGrid w:val="0"/>
          <w:sz w:val="28"/>
          <w:szCs w:val="28"/>
        </w:rPr>
        <w:t>法律、法规、规章、省级及以上监管部门规定的其他情形除外）</w:t>
      </w:r>
      <w:r>
        <w:rPr>
          <w:rFonts w:hint="eastAsia" w:ascii="仿宋" w:hAnsi="仿宋" w:eastAsia="仿宋" w:cs="仿宋"/>
          <w:b/>
          <w:bCs/>
          <w:sz w:val="28"/>
          <w:szCs w:val="28"/>
        </w:rPr>
        <w:t>：</w:t>
      </w:r>
    </w:p>
    <w:p>
      <w:pPr>
        <w:spacing w:line="44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27.1符合专业条件的供应商或者对招标文件作实质响应的供应商不足三家的；</w:t>
      </w:r>
    </w:p>
    <w:p>
      <w:pPr>
        <w:spacing w:line="44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27.2出现影响采购公正的违法、违规行为的；</w:t>
      </w:r>
    </w:p>
    <w:p>
      <w:pPr>
        <w:spacing w:line="44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27.3因重大变故，采购任务取消的;</w:t>
      </w:r>
    </w:p>
    <w:p>
      <w:pPr>
        <w:spacing w:line="440" w:lineRule="exact"/>
        <w:ind w:firstLine="560" w:firstLineChars="200"/>
        <w:rPr>
          <w:rFonts w:hint="eastAsia" w:ascii="仿宋" w:hAnsi="仿宋" w:eastAsia="仿宋" w:cs="仿宋"/>
          <w:b/>
          <w:snapToGrid w:val="0"/>
          <w:sz w:val="28"/>
          <w:szCs w:val="28"/>
        </w:rPr>
      </w:pPr>
      <w:r>
        <w:rPr>
          <w:rFonts w:hint="eastAsia" w:ascii="仿宋" w:hAnsi="仿宋" w:eastAsia="仿宋" w:cs="仿宋"/>
          <w:bCs/>
          <w:sz w:val="28"/>
          <w:szCs w:val="28"/>
        </w:rPr>
        <w:t>27.4投标人的报价均超采购预算的，采购人不能支付的。</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28.定标</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28.1集中采购机构在评标结束后2个工作日内将评标报告送交采购人确认，采购人应在收到评标报告后五个工作日内依法确定中标供应商，并将确认意见书面形式回复集中采购机构，逾期未复视为同意。</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28.2中标供应商确定后，中标结果在财政部门指定的政府采购信息发布媒体上公告。</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28.3在发布公告的同时，采购人和集中采购机构向中标供应商发出中标通知书，中标通知书对采购人和中标供应商具有同等法律效力。</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28.4中标通知书发出后，采购人改变中标结果，或者中标供应商放弃中标，应当承担相应的法律责任。</w:t>
      </w:r>
    </w:p>
    <w:p>
      <w:pPr>
        <w:pStyle w:val="6"/>
        <w:jc w:val="center"/>
        <w:rPr>
          <w:rFonts w:hint="eastAsia" w:ascii="仿宋" w:hAnsi="仿宋" w:eastAsia="仿宋" w:cs="仿宋"/>
          <w:sz w:val="28"/>
          <w:szCs w:val="28"/>
        </w:rPr>
      </w:pPr>
      <w:bookmarkStart w:id="46" w:name="_Toc36454320"/>
      <w:r>
        <w:rPr>
          <w:rFonts w:hint="eastAsia" w:ascii="仿宋" w:hAnsi="仿宋" w:eastAsia="仿宋" w:cs="仿宋"/>
          <w:sz w:val="28"/>
          <w:szCs w:val="28"/>
        </w:rPr>
        <w:t>七、投标无效的情形</w:t>
      </w:r>
      <w:bookmarkEnd w:id="46"/>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29.投标文件有下列情况之一者, 投标文件将被视为无效：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29.1资格审查没有通过的（指投标文件中下列情形：1.未提供投标声明书的；2.被列入失信被执行人、重大税收违法案件当事人名单、政府采购严重违法失信行为记录名单的；3.未提供法定代表人授权委托书及授权代理人有效身份证明的；4.未提供依法缴纳税收证明和社会保障资金证明的；5.联合体投标未提供联合体协议和联合体投标授权委托书的；6.未提供招标公告中投标人特定条件要求的其他资质复印件的；）；</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29.2电子投标文件在规定时间内解密失败的；</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29.3未按照招标文件规定的要求签署、盖章的；</w:t>
      </w:r>
    </w:p>
    <w:p>
      <w:pPr>
        <w:spacing w:line="440" w:lineRule="exact"/>
        <w:ind w:firstLine="548" w:firstLineChars="196"/>
        <w:rPr>
          <w:rFonts w:hint="eastAsia" w:ascii="仿宋" w:hAnsi="仿宋" w:eastAsia="仿宋" w:cs="仿宋"/>
          <w:b/>
          <w:sz w:val="28"/>
          <w:szCs w:val="28"/>
        </w:rPr>
      </w:pPr>
      <w:r>
        <w:rPr>
          <w:rFonts w:hint="eastAsia" w:ascii="仿宋" w:hAnsi="仿宋" w:eastAsia="仿宋" w:cs="仿宋"/>
          <w:b/>
          <w:sz w:val="28"/>
          <w:szCs w:val="28"/>
        </w:rPr>
        <w:t>29.4投标文件中资格部分、商务部分、技术部分中出现价格部分内容的；</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29.5投标人在一份投标文件中对同一采购项目有两个或两个以上报价的；</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29.6投标报价超过招标文件中规定的预算金额或者最高限价的；</w:t>
      </w:r>
    </w:p>
    <w:p>
      <w:pPr>
        <w:spacing w:line="440" w:lineRule="exact"/>
        <w:ind w:firstLine="560" w:firstLineChars="200"/>
        <w:rPr>
          <w:rFonts w:hint="eastAsia" w:ascii="仿宋" w:hAnsi="仿宋" w:eastAsia="仿宋" w:cs="仿宋"/>
          <w:b/>
          <w:snapToGrid w:val="0"/>
          <w:sz w:val="28"/>
          <w:szCs w:val="28"/>
        </w:rPr>
      </w:pPr>
      <w:r>
        <w:rPr>
          <w:rFonts w:hint="eastAsia" w:ascii="仿宋" w:hAnsi="仿宋" w:eastAsia="仿宋" w:cs="仿宋"/>
          <w:b/>
          <w:sz w:val="28"/>
          <w:szCs w:val="28"/>
        </w:rPr>
        <w:t>29.7投标文件</w:t>
      </w:r>
      <w:r>
        <w:rPr>
          <w:rFonts w:hint="eastAsia" w:ascii="仿宋" w:hAnsi="仿宋" w:eastAsia="仿宋" w:cs="仿宋"/>
          <w:b/>
          <w:snapToGrid w:val="0"/>
          <w:sz w:val="28"/>
          <w:szCs w:val="28"/>
        </w:rPr>
        <w:t>载明的招标项目完成期限超过招标文件规定的期限，采购人不能接受的；</w:t>
      </w:r>
    </w:p>
    <w:p>
      <w:pPr>
        <w:spacing w:line="440" w:lineRule="exact"/>
        <w:ind w:firstLine="560" w:firstLineChars="200"/>
        <w:rPr>
          <w:rFonts w:hint="eastAsia" w:ascii="仿宋" w:hAnsi="仿宋" w:eastAsia="仿宋" w:cs="仿宋"/>
          <w:b/>
          <w:snapToGrid w:val="0"/>
          <w:sz w:val="28"/>
          <w:szCs w:val="28"/>
        </w:rPr>
      </w:pPr>
      <w:r>
        <w:rPr>
          <w:rFonts w:hint="eastAsia" w:ascii="仿宋" w:hAnsi="仿宋" w:eastAsia="仿宋" w:cs="仿宋"/>
          <w:b/>
          <w:snapToGrid w:val="0"/>
          <w:sz w:val="28"/>
          <w:szCs w:val="28"/>
        </w:rPr>
        <w:t>29.8</w:t>
      </w:r>
      <w:r>
        <w:rPr>
          <w:rFonts w:hint="eastAsia" w:ascii="仿宋" w:hAnsi="仿宋" w:eastAsia="仿宋" w:cs="仿宋"/>
          <w:b/>
          <w:sz w:val="28"/>
          <w:szCs w:val="28"/>
        </w:rPr>
        <w:t>投标文件</w:t>
      </w:r>
      <w:r>
        <w:rPr>
          <w:rFonts w:hint="eastAsia" w:ascii="仿宋" w:hAnsi="仿宋" w:eastAsia="仿宋" w:cs="仿宋"/>
          <w:b/>
          <w:snapToGrid w:val="0"/>
          <w:sz w:val="28"/>
          <w:szCs w:val="28"/>
        </w:rPr>
        <w:t>载明的投标有效期、质量保证期少于招标文件规定期限的；</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29.9投标文件未响应招标文件规定的付款方式的；</w:t>
      </w:r>
    </w:p>
    <w:p>
      <w:pPr>
        <w:spacing w:line="440" w:lineRule="exact"/>
        <w:ind w:firstLine="548" w:firstLineChars="196"/>
        <w:rPr>
          <w:rFonts w:hint="eastAsia" w:ascii="仿宋" w:hAnsi="仿宋" w:eastAsia="仿宋" w:cs="仿宋"/>
          <w:b/>
          <w:snapToGrid w:val="0"/>
          <w:sz w:val="28"/>
          <w:szCs w:val="28"/>
        </w:rPr>
      </w:pPr>
      <w:r>
        <w:rPr>
          <w:rFonts w:hint="eastAsia" w:ascii="仿宋" w:hAnsi="仿宋" w:eastAsia="仿宋" w:cs="仿宋"/>
          <w:b/>
          <w:sz w:val="28"/>
          <w:szCs w:val="28"/>
        </w:rPr>
        <w:t>29.10投标货物的</w:t>
      </w:r>
      <w:r>
        <w:rPr>
          <w:rFonts w:hint="eastAsia" w:ascii="仿宋" w:hAnsi="仿宋" w:eastAsia="仿宋" w:cs="仿宋"/>
          <w:b/>
          <w:snapToGrid w:val="0"/>
          <w:sz w:val="28"/>
          <w:szCs w:val="28"/>
        </w:rPr>
        <w:t>技术规范、技术标准明显不符合国家强制性要求的；</w:t>
      </w:r>
    </w:p>
    <w:p>
      <w:pPr>
        <w:spacing w:line="440" w:lineRule="exact"/>
        <w:ind w:firstLine="600"/>
        <w:rPr>
          <w:rFonts w:hint="eastAsia" w:ascii="仿宋" w:hAnsi="仿宋" w:eastAsia="仿宋" w:cs="仿宋"/>
          <w:b/>
          <w:snapToGrid w:val="0"/>
          <w:sz w:val="28"/>
          <w:szCs w:val="28"/>
        </w:rPr>
      </w:pPr>
      <w:r>
        <w:rPr>
          <w:rFonts w:hint="eastAsia" w:ascii="仿宋" w:hAnsi="仿宋" w:eastAsia="仿宋" w:cs="仿宋"/>
          <w:b/>
          <w:snapToGrid w:val="0"/>
          <w:sz w:val="28"/>
          <w:szCs w:val="28"/>
        </w:rPr>
        <w:t>29.11投标货物载明的验收标准和方法等不符合国家规定及招标文件要求的；</w:t>
      </w:r>
    </w:p>
    <w:p>
      <w:pPr>
        <w:spacing w:line="440" w:lineRule="exact"/>
        <w:ind w:firstLine="600"/>
        <w:rPr>
          <w:rFonts w:hint="eastAsia" w:ascii="仿宋" w:hAnsi="仿宋" w:eastAsia="仿宋" w:cs="仿宋"/>
          <w:b/>
          <w:sz w:val="28"/>
          <w:szCs w:val="28"/>
        </w:rPr>
      </w:pPr>
      <w:r>
        <w:rPr>
          <w:rFonts w:hint="eastAsia" w:ascii="仿宋" w:hAnsi="仿宋" w:eastAsia="仿宋" w:cs="仿宋"/>
          <w:b/>
          <w:sz w:val="28"/>
          <w:szCs w:val="28"/>
        </w:rPr>
        <w:t>29.12投标文件字迹模糊辨认不清的（评标委员会一致认为难以确认）；</w:t>
      </w:r>
    </w:p>
    <w:p>
      <w:pPr>
        <w:spacing w:line="440" w:lineRule="exact"/>
        <w:ind w:firstLine="560" w:firstLineChars="200"/>
        <w:rPr>
          <w:rFonts w:hint="eastAsia" w:ascii="仿宋" w:hAnsi="仿宋" w:eastAsia="仿宋" w:cs="仿宋"/>
          <w:b/>
          <w:kern w:val="0"/>
          <w:sz w:val="28"/>
          <w:szCs w:val="28"/>
        </w:rPr>
      </w:pPr>
      <w:r>
        <w:rPr>
          <w:rFonts w:hint="eastAsia" w:ascii="仿宋" w:hAnsi="仿宋" w:eastAsia="仿宋" w:cs="仿宋"/>
          <w:b/>
          <w:snapToGrid w:val="0"/>
          <w:sz w:val="28"/>
          <w:szCs w:val="28"/>
        </w:rPr>
        <w:t>29.13</w:t>
      </w:r>
      <w:r>
        <w:rPr>
          <w:rFonts w:hint="eastAsia" w:ascii="仿宋" w:hAnsi="仿宋" w:eastAsia="仿宋" w:cs="仿宋"/>
          <w:b/>
          <w:kern w:val="0"/>
          <w:sz w:val="28"/>
          <w:szCs w:val="28"/>
        </w:rPr>
        <w:t>提供不真实资料的；</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napToGrid w:val="0"/>
          <w:sz w:val="28"/>
          <w:szCs w:val="28"/>
        </w:rPr>
        <w:t>29.14</w:t>
      </w:r>
      <w:r>
        <w:rPr>
          <w:rFonts w:hint="eastAsia" w:ascii="仿宋" w:hAnsi="仿宋" w:eastAsia="仿宋" w:cs="仿宋"/>
          <w:b/>
          <w:sz w:val="28"/>
          <w:szCs w:val="28"/>
        </w:rPr>
        <w:t>投标货物的</w:t>
      </w:r>
      <w:r>
        <w:rPr>
          <w:rFonts w:hint="eastAsia" w:ascii="仿宋" w:hAnsi="仿宋" w:eastAsia="仿宋" w:cs="仿宋"/>
          <w:b/>
          <w:snapToGrid w:val="0"/>
          <w:sz w:val="28"/>
          <w:szCs w:val="28"/>
        </w:rPr>
        <w:t>技术指标、参数等存在实质性偏离</w:t>
      </w:r>
      <w:r>
        <w:rPr>
          <w:rFonts w:hint="eastAsia" w:ascii="仿宋" w:hAnsi="仿宋" w:eastAsia="仿宋" w:cs="仿宋"/>
          <w:b/>
          <w:sz w:val="28"/>
          <w:szCs w:val="28"/>
        </w:rPr>
        <w:t>（评标委员会一致认定）</w:t>
      </w:r>
      <w:r>
        <w:rPr>
          <w:rFonts w:hint="eastAsia" w:ascii="仿宋" w:hAnsi="仿宋" w:eastAsia="仿宋" w:cs="仿宋"/>
          <w:b/>
          <w:snapToGrid w:val="0"/>
          <w:sz w:val="28"/>
          <w:szCs w:val="28"/>
        </w:rPr>
        <w:t>的；</w:t>
      </w:r>
    </w:p>
    <w:p>
      <w:pPr>
        <w:spacing w:line="440" w:lineRule="exact"/>
        <w:ind w:firstLine="560" w:firstLineChars="200"/>
        <w:rPr>
          <w:rFonts w:hint="eastAsia" w:ascii="仿宋" w:hAnsi="仿宋" w:eastAsia="仿宋" w:cs="仿宋"/>
          <w:b/>
          <w:snapToGrid w:val="0"/>
          <w:color w:val="000000"/>
          <w:sz w:val="28"/>
          <w:szCs w:val="28"/>
        </w:rPr>
      </w:pPr>
      <w:r>
        <w:rPr>
          <w:rFonts w:hint="eastAsia" w:ascii="仿宋" w:hAnsi="仿宋" w:eastAsia="仿宋" w:cs="仿宋"/>
          <w:b/>
          <w:snapToGrid w:val="0"/>
          <w:color w:val="000000"/>
          <w:sz w:val="28"/>
          <w:szCs w:val="28"/>
        </w:rPr>
        <w:t>29.15未满足招标文件中打“</w:t>
      </w:r>
      <w:r>
        <w:rPr>
          <w:rFonts w:hint="eastAsia" w:ascii="仿宋" w:hAnsi="仿宋" w:eastAsia="仿宋" w:cs="仿宋"/>
          <w:kern w:val="0"/>
          <w:sz w:val="28"/>
          <w:szCs w:val="28"/>
        </w:rPr>
        <w:t>★</w:t>
      </w:r>
      <w:r>
        <w:rPr>
          <w:rFonts w:hint="eastAsia" w:ascii="仿宋" w:hAnsi="仿宋" w:eastAsia="仿宋" w:cs="仿宋"/>
          <w:b/>
          <w:snapToGrid w:val="0"/>
          <w:color w:val="000000"/>
          <w:sz w:val="28"/>
          <w:szCs w:val="28"/>
        </w:rPr>
        <w:t>”条款的；</w:t>
      </w:r>
    </w:p>
    <w:p>
      <w:pPr>
        <w:spacing w:line="440" w:lineRule="exact"/>
        <w:ind w:firstLine="560" w:firstLineChars="200"/>
        <w:rPr>
          <w:rFonts w:hint="eastAsia" w:ascii="仿宋" w:hAnsi="仿宋" w:eastAsia="仿宋" w:cs="仿宋"/>
          <w:b/>
          <w:snapToGrid w:val="0"/>
          <w:sz w:val="28"/>
          <w:szCs w:val="28"/>
        </w:rPr>
      </w:pPr>
      <w:r>
        <w:rPr>
          <w:rFonts w:hint="eastAsia" w:ascii="仿宋" w:hAnsi="仿宋" w:eastAsia="仿宋" w:cs="仿宋"/>
          <w:b/>
          <w:snapToGrid w:val="0"/>
          <w:sz w:val="28"/>
          <w:szCs w:val="28"/>
        </w:rPr>
        <w:t>29.16</w:t>
      </w:r>
      <w:r>
        <w:rPr>
          <w:rFonts w:hint="eastAsia" w:ascii="仿宋" w:hAnsi="仿宋" w:eastAsia="仿宋" w:cs="仿宋"/>
          <w:b/>
          <w:snapToGrid w:val="0"/>
          <w:kern w:val="0"/>
          <w:sz w:val="28"/>
          <w:szCs w:val="28"/>
        </w:rPr>
        <w:t>不符合法律、法规和招标文件规定的其他实质</w:t>
      </w:r>
      <w:r>
        <w:rPr>
          <w:rFonts w:hint="eastAsia" w:ascii="仿宋" w:hAnsi="仿宋" w:eastAsia="仿宋" w:cs="仿宋"/>
          <w:b/>
          <w:snapToGrid w:val="0"/>
          <w:sz w:val="28"/>
          <w:szCs w:val="28"/>
        </w:rPr>
        <w:t>性要求</w:t>
      </w:r>
      <w:r>
        <w:rPr>
          <w:rFonts w:hint="eastAsia" w:ascii="仿宋" w:hAnsi="仿宋" w:eastAsia="仿宋" w:cs="仿宋"/>
          <w:b/>
          <w:sz w:val="28"/>
          <w:szCs w:val="28"/>
        </w:rPr>
        <w:t>（评标委员会一致认定）</w:t>
      </w:r>
      <w:r>
        <w:rPr>
          <w:rFonts w:hint="eastAsia" w:ascii="仿宋" w:hAnsi="仿宋" w:eastAsia="仿宋" w:cs="仿宋"/>
          <w:b/>
          <w:snapToGrid w:val="0"/>
          <w:sz w:val="28"/>
          <w:szCs w:val="28"/>
        </w:rPr>
        <w:t>的；</w:t>
      </w:r>
    </w:p>
    <w:p>
      <w:pPr>
        <w:spacing w:line="440" w:lineRule="exact"/>
        <w:ind w:firstLine="548" w:firstLineChars="196"/>
        <w:rPr>
          <w:rFonts w:hint="eastAsia" w:ascii="仿宋" w:hAnsi="仿宋" w:eastAsia="仿宋" w:cs="仿宋"/>
          <w:b/>
          <w:snapToGrid w:val="0"/>
          <w:sz w:val="28"/>
          <w:szCs w:val="28"/>
        </w:rPr>
      </w:pPr>
      <w:r>
        <w:rPr>
          <w:rFonts w:hint="eastAsia" w:ascii="仿宋" w:hAnsi="仿宋" w:eastAsia="仿宋" w:cs="仿宋"/>
          <w:b/>
          <w:snapToGrid w:val="0"/>
          <w:sz w:val="28"/>
          <w:szCs w:val="28"/>
        </w:rPr>
        <w:t>29.17二分之一以上的评委认为供应商报价明显高于市场平均价的；</w:t>
      </w:r>
    </w:p>
    <w:p>
      <w:pPr>
        <w:snapToGrid w:val="0"/>
        <w:spacing w:line="460" w:lineRule="exact"/>
        <w:ind w:firstLine="560" w:firstLineChars="200"/>
        <w:rPr>
          <w:rFonts w:hint="eastAsia" w:ascii="仿宋" w:hAnsi="仿宋" w:eastAsia="仿宋" w:cs="仿宋"/>
          <w:b/>
          <w:sz w:val="28"/>
          <w:szCs w:val="28"/>
        </w:rPr>
      </w:pPr>
      <w:r>
        <w:rPr>
          <w:rFonts w:hint="eastAsia" w:ascii="仿宋" w:hAnsi="仿宋" w:eastAsia="仿宋" w:cs="仿宋"/>
          <w:b/>
          <w:snapToGrid w:val="0"/>
          <w:sz w:val="28"/>
          <w:szCs w:val="28"/>
        </w:rPr>
        <w:t>29.18</w:t>
      </w:r>
      <w:r>
        <w:rPr>
          <w:rFonts w:hint="eastAsia" w:ascii="仿宋" w:hAnsi="仿宋" w:eastAsia="仿宋" w:cs="仿宋"/>
          <w:b/>
          <w:sz w:val="28"/>
          <w:szCs w:val="28"/>
        </w:rPr>
        <w:t>评标委员会认为投标人的报价明显低于其他通过符合性审查投标人的报价，有可能影响产品质量或者不能诚信履约，且不能在评标现场合理的时间内证明其报价合理性的；</w:t>
      </w:r>
    </w:p>
    <w:p>
      <w:pPr>
        <w:snapToGrid w:val="0"/>
        <w:spacing w:line="460" w:lineRule="exact"/>
        <w:ind w:firstLine="560" w:firstLineChars="200"/>
        <w:rPr>
          <w:rFonts w:hint="eastAsia" w:ascii="仿宋" w:hAnsi="仿宋" w:eastAsia="仿宋" w:cs="仿宋"/>
          <w:b/>
          <w:sz w:val="28"/>
          <w:szCs w:val="28"/>
        </w:rPr>
      </w:pPr>
      <w:r>
        <w:rPr>
          <w:rFonts w:hint="eastAsia" w:ascii="仿宋" w:hAnsi="仿宋" w:eastAsia="仿宋" w:cs="仿宋"/>
          <w:b/>
          <w:snapToGrid w:val="0"/>
          <w:sz w:val="28"/>
          <w:szCs w:val="28"/>
        </w:rPr>
        <w:t>29.19</w:t>
      </w:r>
      <w:r>
        <w:rPr>
          <w:rFonts w:hint="eastAsia" w:ascii="仿宋" w:hAnsi="仿宋" w:eastAsia="仿宋" w:cs="仿宋"/>
          <w:b/>
          <w:sz w:val="28"/>
          <w:szCs w:val="28"/>
        </w:rPr>
        <w:t>投标文件含有采购人不能接受的附加条件的；</w:t>
      </w:r>
    </w:p>
    <w:p>
      <w:pPr>
        <w:snapToGrid w:val="0"/>
        <w:spacing w:line="460" w:lineRule="exact"/>
        <w:ind w:firstLine="560" w:firstLineChars="200"/>
        <w:rPr>
          <w:rFonts w:hint="eastAsia" w:ascii="仿宋" w:hAnsi="仿宋" w:eastAsia="仿宋" w:cs="仿宋"/>
          <w:b/>
          <w:snapToGrid w:val="0"/>
          <w:sz w:val="28"/>
          <w:szCs w:val="28"/>
        </w:rPr>
      </w:pPr>
      <w:r>
        <w:rPr>
          <w:rFonts w:hint="eastAsia" w:ascii="仿宋" w:hAnsi="仿宋" w:eastAsia="仿宋" w:cs="仿宋"/>
          <w:b/>
          <w:snapToGrid w:val="0"/>
          <w:sz w:val="28"/>
          <w:szCs w:val="28"/>
        </w:rPr>
        <w:t>29.20</w:t>
      </w:r>
      <w:r>
        <w:rPr>
          <w:rFonts w:hint="eastAsia" w:ascii="仿宋" w:hAnsi="仿宋" w:eastAsia="仿宋" w:cs="仿宋"/>
          <w:b/>
          <w:sz w:val="28"/>
          <w:szCs w:val="28"/>
        </w:rPr>
        <w:t>投标人被视为串通投标的；</w:t>
      </w:r>
    </w:p>
    <w:p>
      <w:pPr>
        <w:spacing w:line="440" w:lineRule="exact"/>
        <w:ind w:firstLine="560" w:firstLineChars="200"/>
        <w:rPr>
          <w:rFonts w:hint="eastAsia" w:ascii="仿宋" w:hAnsi="仿宋" w:eastAsia="仿宋" w:cs="仿宋"/>
          <w:b/>
          <w:snapToGrid w:val="0"/>
          <w:color w:val="000000"/>
          <w:sz w:val="28"/>
          <w:szCs w:val="28"/>
        </w:rPr>
      </w:pPr>
      <w:r>
        <w:rPr>
          <w:rFonts w:hint="eastAsia" w:ascii="仿宋" w:hAnsi="仿宋" w:eastAsia="仿宋" w:cs="仿宋"/>
          <w:b/>
          <w:snapToGrid w:val="0"/>
          <w:sz w:val="28"/>
          <w:szCs w:val="28"/>
        </w:rPr>
        <w:t>29.21</w:t>
      </w:r>
      <w:r>
        <w:rPr>
          <w:rFonts w:hint="eastAsia" w:ascii="仿宋" w:hAnsi="仿宋" w:eastAsia="仿宋" w:cs="仿宋"/>
          <w:b/>
          <w:snapToGrid w:val="0"/>
          <w:color w:val="000000"/>
          <w:sz w:val="28"/>
          <w:szCs w:val="28"/>
        </w:rPr>
        <w:t>投标产品为进口产品且未经</w:t>
      </w:r>
      <w:r>
        <w:rPr>
          <w:rFonts w:hint="eastAsia" w:ascii="仿宋" w:hAnsi="仿宋" w:eastAsia="仿宋" w:cs="仿宋"/>
          <w:b/>
          <w:color w:val="000000"/>
          <w:sz w:val="28"/>
          <w:szCs w:val="28"/>
        </w:rPr>
        <w:t>批准</w:t>
      </w:r>
      <w:r>
        <w:rPr>
          <w:rFonts w:hint="eastAsia" w:ascii="仿宋" w:hAnsi="仿宋" w:eastAsia="仿宋" w:cs="仿宋"/>
          <w:b/>
          <w:snapToGrid w:val="0"/>
          <w:color w:val="000000"/>
          <w:sz w:val="28"/>
          <w:szCs w:val="28"/>
        </w:rPr>
        <w:t>的；</w:t>
      </w:r>
    </w:p>
    <w:p>
      <w:pPr>
        <w:spacing w:line="440" w:lineRule="exact"/>
        <w:ind w:firstLine="560" w:firstLineChars="200"/>
        <w:rPr>
          <w:rFonts w:hint="eastAsia" w:ascii="仿宋" w:hAnsi="仿宋" w:eastAsia="仿宋" w:cs="仿宋"/>
          <w:b/>
          <w:snapToGrid w:val="0"/>
          <w:color w:val="000000"/>
          <w:sz w:val="28"/>
          <w:szCs w:val="28"/>
        </w:rPr>
      </w:pPr>
      <w:r>
        <w:rPr>
          <w:rFonts w:hint="eastAsia" w:ascii="仿宋" w:hAnsi="仿宋" w:eastAsia="仿宋" w:cs="仿宋"/>
          <w:b/>
          <w:snapToGrid w:val="0"/>
          <w:sz w:val="28"/>
          <w:szCs w:val="28"/>
        </w:rPr>
        <w:t>29.22</w:t>
      </w:r>
      <w:r>
        <w:rPr>
          <w:rFonts w:hint="eastAsia" w:ascii="仿宋" w:hAnsi="仿宋" w:eastAsia="仿宋" w:cs="仿宋"/>
          <w:b/>
          <w:snapToGrid w:val="0"/>
          <w:color w:val="000000"/>
          <w:sz w:val="28"/>
          <w:szCs w:val="28"/>
        </w:rPr>
        <w:t>评标委员会按照规定对投标文件的计算错误进行修正后的报价，投标人不予确认的；</w:t>
      </w:r>
    </w:p>
    <w:p>
      <w:pPr>
        <w:spacing w:line="440" w:lineRule="exact"/>
        <w:ind w:firstLine="560" w:firstLineChars="200"/>
        <w:rPr>
          <w:rFonts w:hint="eastAsia" w:ascii="仿宋" w:hAnsi="仿宋" w:eastAsia="仿宋" w:cs="仿宋"/>
          <w:b/>
          <w:snapToGrid w:val="0"/>
          <w:color w:val="000000"/>
          <w:sz w:val="28"/>
          <w:szCs w:val="28"/>
        </w:rPr>
      </w:pPr>
      <w:r>
        <w:rPr>
          <w:rFonts w:hint="eastAsia" w:ascii="仿宋" w:hAnsi="仿宋" w:eastAsia="仿宋" w:cs="仿宋"/>
          <w:b/>
          <w:snapToGrid w:val="0"/>
          <w:color w:val="000000"/>
          <w:sz w:val="28"/>
          <w:szCs w:val="28"/>
        </w:rPr>
        <w:t>29.23招标需求中要求提供的产品属于政府强制采购节能品目的（详见《关于印发节能产品政府采购品目清单的通知》财库〔2019〕19号），投标人未提供认证证书或证书发布平台的投标产品认证证书查询截图的；</w:t>
      </w:r>
    </w:p>
    <w:p>
      <w:pPr>
        <w:spacing w:line="440" w:lineRule="exact"/>
        <w:ind w:firstLine="560" w:firstLineChars="200"/>
        <w:rPr>
          <w:rFonts w:hint="eastAsia" w:ascii="仿宋" w:hAnsi="仿宋" w:eastAsia="仿宋" w:cs="仿宋"/>
          <w:b/>
          <w:snapToGrid w:val="0"/>
          <w:sz w:val="28"/>
          <w:szCs w:val="28"/>
        </w:rPr>
      </w:pPr>
      <w:r>
        <w:rPr>
          <w:rFonts w:hint="eastAsia" w:ascii="仿宋" w:hAnsi="仿宋" w:eastAsia="仿宋" w:cs="仿宋"/>
          <w:b/>
          <w:snapToGrid w:val="0"/>
          <w:color w:val="000000"/>
          <w:sz w:val="28"/>
          <w:szCs w:val="28"/>
        </w:rPr>
        <w:t>29.24</w:t>
      </w:r>
      <w:r>
        <w:rPr>
          <w:rFonts w:hint="eastAsia" w:ascii="仿宋" w:hAnsi="仿宋" w:eastAsia="仿宋" w:cs="仿宋"/>
          <w:b/>
          <w:snapToGrid w:val="0"/>
          <w:sz w:val="28"/>
          <w:szCs w:val="28"/>
        </w:rPr>
        <w:t>法律、法规、规章及省级以上规范性文件等规定的其他情形；</w:t>
      </w:r>
    </w:p>
    <w:p>
      <w:pPr>
        <w:pStyle w:val="6"/>
        <w:spacing w:line="400" w:lineRule="exact"/>
        <w:jc w:val="center"/>
        <w:rPr>
          <w:rFonts w:hint="eastAsia" w:ascii="仿宋" w:hAnsi="仿宋" w:eastAsia="仿宋" w:cs="仿宋"/>
          <w:bCs w:val="0"/>
          <w:sz w:val="28"/>
          <w:szCs w:val="28"/>
        </w:rPr>
      </w:pPr>
      <w:bookmarkStart w:id="47" w:name="_Toc36454321"/>
      <w:r>
        <w:rPr>
          <w:rFonts w:hint="eastAsia" w:ascii="仿宋" w:hAnsi="仿宋" w:eastAsia="仿宋" w:cs="仿宋"/>
          <w:bCs w:val="0"/>
          <w:sz w:val="28"/>
          <w:szCs w:val="28"/>
        </w:rPr>
        <w:t>八、合同的授予</w:t>
      </w:r>
      <w:bookmarkEnd w:id="47"/>
    </w:p>
    <w:p>
      <w:pPr>
        <w:spacing w:line="400" w:lineRule="exact"/>
        <w:rPr>
          <w:rFonts w:hint="eastAsia" w:ascii="仿宋" w:hAnsi="仿宋" w:eastAsia="仿宋" w:cs="仿宋"/>
          <w:b/>
          <w:bCs/>
          <w:sz w:val="28"/>
          <w:szCs w:val="28"/>
        </w:rPr>
      </w:pPr>
      <w:r>
        <w:rPr>
          <w:rFonts w:hint="eastAsia" w:ascii="仿宋" w:hAnsi="仿宋" w:eastAsia="仿宋" w:cs="仿宋"/>
          <w:b/>
          <w:bCs/>
          <w:sz w:val="28"/>
          <w:szCs w:val="28"/>
        </w:rPr>
        <w:t>30.授予合同的依据</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30.1采购人和集中采购机构签发的中标通知书；</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30.2招标文件、招标文件的修改及补充文件；</w:t>
      </w:r>
    </w:p>
    <w:p>
      <w:pPr>
        <w:pStyle w:val="12"/>
        <w:spacing w:line="400" w:lineRule="exact"/>
        <w:ind w:firstLine="560"/>
        <w:rPr>
          <w:rFonts w:hint="eastAsia" w:ascii="仿宋" w:hAnsi="仿宋" w:eastAsia="仿宋" w:cs="仿宋"/>
          <w:sz w:val="28"/>
          <w:szCs w:val="28"/>
        </w:rPr>
      </w:pPr>
      <w:r>
        <w:rPr>
          <w:rFonts w:hint="eastAsia" w:ascii="仿宋" w:hAnsi="仿宋" w:eastAsia="仿宋" w:cs="仿宋"/>
          <w:sz w:val="28"/>
          <w:szCs w:val="28"/>
        </w:rPr>
        <w:t>30.3投标文件和询标时投标人做出的澄清、说明、纠正、承诺；</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30.4《中华人民共和国合同法》的规定。</w:t>
      </w:r>
    </w:p>
    <w:p>
      <w:pPr>
        <w:spacing w:line="400" w:lineRule="exact"/>
        <w:rPr>
          <w:rFonts w:hint="eastAsia" w:ascii="仿宋" w:hAnsi="仿宋" w:eastAsia="仿宋" w:cs="仿宋"/>
          <w:b/>
          <w:bCs/>
          <w:sz w:val="28"/>
          <w:szCs w:val="28"/>
        </w:rPr>
      </w:pPr>
      <w:r>
        <w:rPr>
          <w:rFonts w:hint="eastAsia" w:ascii="仿宋" w:hAnsi="仿宋" w:eastAsia="仿宋" w:cs="仿宋"/>
          <w:b/>
          <w:bCs/>
          <w:sz w:val="28"/>
          <w:szCs w:val="28"/>
        </w:rPr>
        <w:t>31.签署合同的要求</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31.1采购人与中标供应商按照中标通知书的规定时间、地点签订书面合同；</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31.2签订合同的时间必须在自中标通知书发出之日起三十日内；</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31.3所签订的合同内容不得对招标文件和中标供应商的投标文件作实质性修改；</w:t>
      </w:r>
    </w:p>
    <w:p>
      <w:pPr>
        <w:spacing w:line="400" w:lineRule="exact"/>
        <w:ind w:left="2" w:leftChars="1" w:firstLine="560" w:firstLineChars="200"/>
        <w:jc w:val="left"/>
        <w:rPr>
          <w:rFonts w:hint="eastAsia" w:ascii="仿宋" w:hAnsi="仿宋" w:eastAsia="仿宋" w:cs="仿宋"/>
          <w:spacing w:val="-4"/>
          <w:sz w:val="28"/>
          <w:szCs w:val="28"/>
        </w:rPr>
      </w:pPr>
      <w:r>
        <w:rPr>
          <w:rFonts w:hint="eastAsia" w:ascii="仿宋" w:hAnsi="仿宋" w:eastAsia="仿宋" w:cs="仿宋"/>
          <w:sz w:val="28"/>
          <w:szCs w:val="28"/>
        </w:rPr>
        <w:t>31.4采</w:t>
      </w:r>
      <w:r>
        <w:rPr>
          <w:rFonts w:hint="eastAsia" w:ascii="仿宋" w:hAnsi="仿宋" w:eastAsia="仿宋" w:cs="仿宋"/>
          <w:spacing w:val="-4"/>
          <w:sz w:val="28"/>
          <w:szCs w:val="28"/>
        </w:rPr>
        <w:t>购人不得向中标供应商提出任何不合理的要求，作为签订合同的条件，不得与中标供应商私下订立背离合同实质性内容的协议；</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31.5自采购合同签订之日起七个工作日内，将采购合同副本分别送集中采购机构、同级人民政府财政部门各一份备案。</w:t>
      </w:r>
    </w:p>
    <w:p>
      <w:pPr>
        <w:spacing w:line="400" w:lineRule="exact"/>
        <w:rPr>
          <w:rFonts w:hint="eastAsia" w:ascii="仿宋" w:hAnsi="仿宋" w:eastAsia="仿宋" w:cs="仿宋"/>
          <w:b/>
          <w:bCs/>
          <w:sz w:val="28"/>
          <w:szCs w:val="28"/>
        </w:rPr>
      </w:pPr>
      <w:r>
        <w:rPr>
          <w:rFonts w:hint="eastAsia" w:ascii="仿宋" w:hAnsi="仿宋" w:eastAsia="仿宋" w:cs="仿宋"/>
          <w:b/>
          <w:bCs/>
          <w:sz w:val="28"/>
          <w:szCs w:val="28"/>
        </w:rPr>
        <w:t>32.中标通知书</w:t>
      </w:r>
    </w:p>
    <w:p>
      <w:pPr>
        <w:spacing w:line="400" w:lineRule="exact"/>
        <w:ind w:firstLine="560" w:firstLineChars="200"/>
        <w:rPr>
          <w:rFonts w:hint="eastAsia" w:ascii="仿宋" w:hAnsi="仿宋" w:eastAsia="仿宋" w:cs="仿宋"/>
          <w:b/>
          <w:sz w:val="28"/>
          <w:szCs w:val="28"/>
        </w:rPr>
      </w:pPr>
      <w:r>
        <w:rPr>
          <w:rFonts w:hint="eastAsia" w:ascii="仿宋" w:hAnsi="仿宋" w:eastAsia="仿宋" w:cs="仿宋"/>
          <w:sz w:val="28"/>
          <w:szCs w:val="28"/>
        </w:rPr>
        <w:t>32.1确定中标供应商后，采购人和集中采购机构将发出中标通知书，通知中标的投标人其投标被接受;</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32.2中标通知书为双方签订合同的依据；</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32.3中标供应商应根据中标通知书中规定的时间内，由法定代表人或其授权代理人与采购人签订合同。</w:t>
      </w:r>
    </w:p>
    <w:p>
      <w:pPr>
        <w:spacing w:line="400" w:lineRule="exact"/>
        <w:rPr>
          <w:rFonts w:hint="eastAsia" w:ascii="仿宋" w:hAnsi="仿宋" w:eastAsia="仿宋" w:cs="仿宋"/>
          <w:b/>
          <w:bCs/>
          <w:sz w:val="28"/>
          <w:szCs w:val="28"/>
        </w:rPr>
      </w:pPr>
      <w:r>
        <w:rPr>
          <w:rFonts w:hint="eastAsia" w:ascii="仿宋" w:hAnsi="仿宋" w:eastAsia="仿宋" w:cs="仿宋"/>
          <w:b/>
          <w:bCs/>
          <w:sz w:val="28"/>
          <w:szCs w:val="28"/>
        </w:rPr>
        <w:t>33.履约保证金</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中标供应商在领取中标通知书的同时，应按本须知前附表第15项的规定，向采购人提交履约保证金；</w:t>
      </w:r>
    </w:p>
    <w:p>
      <w:pPr>
        <w:spacing w:line="400" w:lineRule="exact"/>
        <w:rPr>
          <w:rFonts w:hint="eastAsia" w:ascii="仿宋" w:hAnsi="仿宋" w:eastAsia="仿宋" w:cs="仿宋"/>
          <w:b/>
          <w:bCs/>
          <w:sz w:val="28"/>
          <w:szCs w:val="28"/>
        </w:rPr>
      </w:pPr>
      <w:r>
        <w:rPr>
          <w:rFonts w:hint="eastAsia" w:ascii="仿宋" w:hAnsi="仿宋" w:eastAsia="仿宋" w:cs="仿宋"/>
          <w:b/>
          <w:bCs/>
          <w:sz w:val="28"/>
          <w:szCs w:val="28"/>
        </w:rPr>
        <w:t>34.合同签订</w:t>
      </w:r>
    </w:p>
    <w:p>
      <w:pPr>
        <w:spacing w:line="400" w:lineRule="exact"/>
        <w:ind w:firstLine="500"/>
        <w:rPr>
          <w:rFonts w:hint="eastAsia" w:ascii="仿宋" w:hAnsi="仿宋" w:eastAsia="仿宋" w:cs="仿宋"/>
          <w:sz w:val="28"/>
          <w:szCs w:val="28"/>
        </w:rPr>
      </w:pPr>
      <w:r>
        <w:rPr>
          <w:rFonts w:hint="eastAsia" w:ascii="仿宋" w:hAnsi="仿宋" w:eastAsia="仿宋" w:cs="仿宋"/>
          <w:sz w:val="28"/>
          <w:szCs w:val="28"/>
        </w:rPr>
        <w:t>34.1</w:t>
      </w:r>
      <w:r>
        <w:rPr>
          <w:rFonts w:hint="eastAsia" w:ascii="仿宋" w:hAnsi="仿宋" w:eastAsia="仿宋" w:cs="仿宋"/>
          <w:snapToGrid w:val="0"/>
          <w:sz w:val="28"/>
          <w:szCs w:val="28"/>
        </w:rPr>
        <w:t>采购人与中标供应商将根据《中华人民共和国合同法》的规定，依据招标文件和中标供应商的投标文件签订书面合同。</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34.2 采购人如不与中标供应商订立合同，或者采购人、中标供应商订立背离合同实质性内容的协议，由政府有关部门责令改正，同时依法承担相应法律责任；</w:t>
      </w:r>
    </w:p>
    <w:p>
      <w:pPr>
        <w:spacing w:line="400" w:lineRule="exact"/>
        <w:ind w:firstLine="560"/>
        <w:rPr>
          <w:rFonts w:hint="eastAsia" w:ascii="仿宋" w:hAnsi="仿宋" w:eastAsia="仿宋" w:cs="仿宋"/>
          <w:sz w:val="28"/>
          <w:szCs w:val="28"/>
        </w:rPr>
      </w:pPr>
      <w:r>
        <w:rPr>
          <w:rFonts w:hint="eastAsia" w:ascii="仿宋" w:hAnsi="仿宋" w:eastAsia="仿宋" w:cs="仿宋"/>
          <w:sz w:val="28"/>
          <w:szCs w:val="28"/>
        </w:rPr>
        <w:t>34.3中标供应商如不按规定与采购人订立合同，则采购人废除授标，给采购人造成损失的还应当予以赔偿，同时依法承担相应法律责任。</w:t>
      </w:r>
    </w:p>
    <w:p>
      <w:pPr>
        <w:spacing w:line="400" w:lineRule="exact"/>
        <w:ind w:firstLine="500"/>
        <w:rPr>
          <w:rFonts w:hint="eastAsia" w:ascii="仿宋" w:hAnsi="仿宋" w:eastAsia="仿宋" w:cs="仿宋"/>
          <w:sz w:val="28"/>
          <w:szCs w:val="28"/>
        </w:rPr>
      </w:pPr>
      <w:r>
        <w:rPr>
          <w:rFonts w:hint="eastAsia" w:ascii="仿宋" w:hAnsi="仿宋" w:eastAsia="仿宋" w:cs="仿宋"/>
          <w:sz w:val="28"/>
          <w:szCs w:val="28"/>
        </w:rPr>
        <w:t>34.4 中标供应商应当按照合同约定履行义务，完成中标项目各项工作，不得将中标项目违法转让（转包）给他人；</w:t>
      </w:r>
    </w:p>
    <w:p>
      <w:pPr>
        <w:spacing w:line="400" w:lineRule="exact"/>
        <w:ind w:firstLine="500"/>
        <w:rPr>
          <w:rFonts w:hint="eastAsia" w:ascii="仿宋" w:hAnsi="仿宋" w:eastAsia="仿宋" w:cs="仿宋"/>
          <w:sz w:val="28"/>
          <w:szCs w:val="28"/>
        </w:rPr>
      </w:pPr>
      <w:r>
        <w:rPr>
          <w:rFonts w:hint="eastAsia" w:ascii="仿宋" w:hAnsi="仿宋" w:eastAsia="仿宋" w:cs="仿宋"/>
          <w:sz w:val="28"/>
          <w:szCs w:val="28"/>
        </w:rPr>
        <w:t>34.5如果中标供应商未能遵守本须知第33.3条的规定，则可取消其中标资格。</w:t>
      </w:r>
    </w:p>
    <w:p>
      <w:pPr>
        <w:spacing w:line="400" w:lineRule="exact"/>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35.“绿贷通”、“政采贷”</w:t>
      </w:r>
    </w:p>
    <w:p>
      <w:pPr>
        <w:spacing w:line="400" w:lineRule="exact"/>
        <w:ind w:firstLine="560" w:firstLineChars="2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为有效破解当前中小微企业面临的“融资难、融资贵”困局，充分发挥好政府采购扶持小微企业发展的政策功能，本项目中标供应商可凭中标通知书等材料至“绿贷通平台”网页（</w:t>
      </w:r>
      <w:r>
        <w:rPr>
          <w:rFonts w:hint="eastAsia" w:ascii="仿宋" w:hAnsi="仿宋" w:eastAsia="仿宋" w:cs="仿宋"/>
          <w:color w:val="000000" w:themeColor="text1"/>
          <w:kern w:val="0"/>
          <w:sz w:val="28"/>
          <w:szCs w:val="28"/>
          <w14:textFill>
            <w14:solidFill>
              <w14:schemeClr w14:val="tx1"/>
            </w14:solidFill>
          </w14:textFill>
        </w:rPr>
        <w:t>https://lvdt.huzldt.com</w:t>
      </w:r>
      <w:r>
        <w:rPr>
          <w:rFonts w:hint="eastAsia" w:ascii="仿宋" w:hAnsi="仿宋" w:eastAsia="仿宋" w:cs="仿宋"/>
          <w:color w:val="000000" w:themeColor="text1"/>
          <w:sz w:val="28"/>
          <w:szCs w:val="28"/>
          <w14:textFill>
            <w14:solidFill>
              <w14:schemeClr w14:val="tx1"/>
            </w14:solidFill>
          </w14:textFill>
        </w:rPr>
        <w:t>）或“政采贷”平台网页（www.zcygov.cn）申请相关融资产品。具体操作方式可在“绿贷通”或“政采贷”平台网站查询，也可向“绿贷通”或“政采贷”平台电话咨询（“绿贷通”联系电话：0572-2392590、“政采贷”联系电话：0572-2151055、18698580797）。</w:t>
      </w:r>
    </w:p>
    <w:p>
      <w:pPr>
        <w:pStyle w:val="6"/>
        <w:jc w:val="center"/>
        <w:rPr>
          <w:rFonts w:hint="eastAsia" w:ascii="仿宋" w:hAnsi="仿宋" w:eastAsia="仿宋" w:cs="仿宋"/>
          <w:sz w:val="28"/>
          <w:szCs w:val="28"/>
        </w:rPr>
      </w:pPr>
      <w:bookmarkStart w:id="48" w:name="_Toc36454322"/>
      <w:r>
        <w:rPr>
          <w:rFonts w:hint="eastAsia" w:ascii="仿宋" w:hAnsi="仿宋" w:eastAsia="仿宋" w:cs="仿宋"/>
          <w:sz w:val="28"/>
          <w:szCs w:val="28"/>
        </w:rPr>
        <w:t>九、质疑</w:t>
      </w:r>
      <w:bookmarkEnd w:id="48"/>
    </w:p>
    <w:p>
      <w:pPr>
        <w:spacing w:line="400" w:lineRule="exact"/>
        <w:rPr>
          <w:rFonts w:hint="eastAsia" w:ascii="仿宋" w:hAnsi="仿宋" w:eastAsia="仿宋" w:cs="仿宋"/>
          <w:b/>
          <w:sz w:val="28"/>
          <w:szCs w:val="28"/>
        </w:rPr>
      </w:pPr>
      <w:r>
        <w:rPr>
          <w:rFonts w:hint="eastAsia" w:ascii="仿宋" w:hAnsi="仿宋" w:eastAsia="仿宋" w:cs="仿宋"/>
          <w:b/>
          <w:sz w:val="28"/>
          <w:szCs w:val="28"/>
        </w:rPr>
        <w:t>36.质疑</w:t>
      </w:r>
    </w:p>
    <w:p>
      <w:pPr>
        <w:spacing w:line="400" w:lineRule="exact"/>
        <w:ind w:firstLine="499"/>
        <w:rPr>
          <w:rFonts w:hint="eastAsia" w:ascii="仿宋" w:hAnsi="仿宋" w:eastAsia="仿宋" w:cs="仿宋"/>
          <w:sz w:val="28"/>
          <w:szCs w:val="28"/>
        </w:rPr>
      </w:pPr>
      <w:r>
        <w:rPr>
          <w:rFonts w:hint="eastAsia" w:ascii="仿宋" w:hAnsi="仿宋" w:eastAsia="仿宋" w:cs="仿宋"/>
          <w:sz w:val="28"/>
          <w:szCs w:val="28"/>
        </w:rPr>
        <w:t>36.1 供应商认为招标文件、采购过程、中标或者成交结果使自己的权益受到损害的，可以在知道或者应知其权益受到损害之日起7个工作日内，以书面形式向采购人或集中采购机构提出质疑。</w:t>
      </w:r>
    </w:p>
    <w:p>
      <w:pPr>
        <w:spacing w:line="400" w:lineRule="exact"/>
        <w:ind w:firstLine="500"/>
        <w:rPr>
          <w:rFonts w:hint="eastAsia" w:ascii="仿宋" w:hAnsi="仿宋" w:eastAsia="仿宋" w:cs="仿宋"/>
          <w:sz w:val="28"/>
          <w:szCs w:val="28"/>
        </w:rPr>
      </w:pPr>
      <w:r>
        <w:rPr>
          <w:rFonts w:hint="eastAsia" w:ascii="仿宋" w:hAnsi="仿宋" w:eastAsia="仿宋" w:cs="仿宋"/>
          <w:sz w:val="28"/>
          <w:szCs w:val="28"/>
        </w:rPr>
        <w:t>36.2对招标文件第二章招标需求及第五章评标办法及标准的质疑由采购人接收并负责答复，其他质疑由集中采购机构接收并负责答复。</w:t>
      </w:r>
    </w:p>
    <w:p>
      <w:pPr>
        <w:spacing w:line="400" w:lineRule="exact"/>
        <w:ind w:firstLine="5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36.3 供应商须在法定质疑期内一次性提出针对同一采购程序环</w:t>
      </w:r>
      <w:r>
        <w:rPr>
          <w:rFonts w:hint="eastAsia" w:ascii="仿宋" w:hAnsi="仿宋" w:eastAsia="仿宋" w:cs="仿宋"/>
          <w:color w:val="000000" w:themeColor="text1"/>
          <w:sz w:val="28"/>
          <w:szCs w:val="28"/>
          <w14:textFill>
            <w14:solidFill>
              <w14:schemeClr w14:val="tx1"/>
            </w14:solidFill>
          </w14:textFill>
        </w:rPr>
        <w:t>节的质疑，否则采购人或集中采购机构有权拒绝第一次质疑以外其他所有质疑。</w:t>
      </w:r>
    </w:p>
    <w:p>
      <w:pPr>
        <w:spacing w:line="400" w:lineRule="exact"/>
        <w:ind w:firstLine="5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36.4质疑人可以采取直接递交、邮寄方式提交纸质质疑函。以电子邮件、传真或其他方式提出的质疑，以及以非纸质方式提出的质疑，采购人或集中采购机构将不予接受。</w:t>
      </w:r>
    </w:p>
    <w:p>
      <w:pPr>
        <w:spacing w:line="400" w:lineRule="exact"/>
        <w:ind w:firstLine="500"/>
        <w:rPr>
          <w:rFonts w:hint="eastAsia" w:ascii="仿宋" w:hAnsi="仿宋" w:eastAsia="仿宋" w:cs="仿宋"/>
          <w:sz w:val="28"/>
          <w:szCs w:val="28"/>
        </w:rPr>
        <w:sectPr>
          <w:footerReference r:id="rId7" w:type="first"/>
          <w:headerReference r:id="rId3" w:type="default"/>
          <w:footerReference r:id="rId5" w:type="default"/>
          <w:headerReference r:id="rId4" w:type="even"/>
          <w:footerReference r:id="rId6" w:type="even"/>
          <w:pgSz w:w="11906" w:h="16838"/>
          <w:pgMar w:top="1440" w:right="1701" w:bottom="1440" w:left="1701" w:header="851" w:footer="992" w:gutter="0"/>
          <w:cols w:space="425" w:num="1"/>
          <w:titlePg/>
          <w:docGrid w:type="linesAndChars" w:linePitch="312" w:charSpace="0"/>
        </w:sectPr>
      </w:pPr>
      <w:r>
        <w:rPr>
          <w:rFonts w:hint="eastAsia" w:ascii="仿宋" w:hAnsi="仿宋" w:eastAsia="仿宋" w:cs="仿宋"/>
          <w:sz w:val="28"/>
          <w:szCs w:val="28"/>
        </w:rPr>
        <w:t>36.5质疑函须采用财政部发布的政府采购供应商质疑函范本</w:t>
      </w:r>
      <w:r>
        <w:rPr>
          <w:rFonts w:hint="eastAsia" w:ascii="仿宋" w:hAnsi="仿宋" w:eastAsia="仿宋" w:cs="仿宋"/>
          <w:snapToGrid w:val="0"/>
          <w:sz w:val="28"/>
          <w:szCs w:val="28"/>
        </w:rPr>
        <w:t>（参考样式可从</w:t>
      </w:r>
      <w:r>
        <w:rPr>
          <w:rFonts w:hint="eastAsia" w:ascii="仿宋" w:hAnsi="仿宋" w:eastAsia="仿宋" w:cs="仿宋"/>
          <w:kern w:val="0"/>
          <w:sz w:val="28"/>
          <w:szCs w:val="28"/>
        </w:rPr>
        <w:t>“湖州市公共资源交易信息网-&gt;资料下载-&gt;采购资料下载”栏目下载）</w:t>
      </w:r>
      <w:r>
        <w:rPr>
          <w:rFonts w:hint="eastAsia" w:ascii="仿宋" w:hAnsi="仿宋" w:eastAsia="仿宋" w:cs="仿宋"/>
          <w:sz w:val="28"/>
          <w:szCs w:val="28"/>
        </w:rPr>
        <w:t>，否则采购人或集中采购机构有权要求质疑人修改正后重新提出。</w:t>
      </w:r>
    </w:p>
    <w:p>
      <w:pPr>
        <w:pStyle w:val="5"/>
        <w:spacing w:line="340" w:lineRule="exact"/>
        <w:jc w:val="center"/>
        <w:rPr>
          <w:rFonts w:hint="eastAsia" w:ascii="仿宋" w:hAnsi="仿宋" w:eastAsia="仿宋" w:cs="仿宋"/>
          <w:sz w:val="28"/>
          <w:szCs w:val="28"/>
        </w:rPr>
      </w:pPr>
      <w:bookmarkStart w:id="49" w:name="_Toc36454323"/>
      <w:r>
        <w:rPr>
          <w:rFonts w:hint="eastAsia" w:ascii="仿宋" w:hAnsi="仿宋" w:eastAsia="仿宋" w:cs="仿宋"/>
          <w:sz w:val="28"/>
          <w:szCs w:val="28"/>
        </w:rPr>
        <w:t>第二章  招标需求</w:t>
      </w:r>
      <w:bookmarkEnd w:id="49"/>
    </w:p>
    <w:p>
      <w:pPr>
        <w:pageBreakBefore w:val="0"/>
        <w:widowControl/>
        <w:kinsoku/>
        <w:wordWrap/>
        <w:overflowPunct/>
        <w:topLinePunct w:val="0"/>
        <w:autoSpaceDE/>
        <w:autoSpaceDN/>
        <w:bidi w:val="0"/>
        <w:adjustRightInd/>
        <w:spacing w:before="100" w:beforeAutospacing="1" w:after="240" w:line="400" w:lineRule="exact"/>
        <w:jc w:val="left"/>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一、设备清单和需求</w:t>
      </w:r>
    </w:p>
    <w:tbl>
      <w:tblPr>
        <w:tblStyle w:val="30"/>
        <w:tblW w:w="9717" w:type="dxa"/>
        <w:jc w:val="center"/>
        <w:tblLayout w:type="fixed"/>
        <w:tblCellMar>
          <w:top w:w="0" w:type="dxa"/>
          <w:left w:w="108" w:type="dxa"/>
          <w:bottom w:w="0" w:type="dxa"/>
          <w:right w:w="108" w:type="dxa"/>
        </w:tblCellMar>
      </w:tblPr>
      <w:tblGrid>
        <w:gridCol w:w="1103"/>
        <w:gridCol w:w="2025"/>
        <w:gridCol w:w="6589"/>
      </w:tblGrid>
      <w:tr>
        <w:tblPrEx>
          <w:tblCellMar>
            <w:top w:w="0" w:type="dxa"/>
            <w:left w:w="108" w:type="dxa"/>
            <w:bottom w:w="0" w:type="dxa"/>
            <w:right w:w="108" w:type="dxa"/>
          </w:tblCellMar>
        </w:tblPrEx>
        <w:trPr>
          <w:trHeight w:val="511"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采购项目名称</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采购需求概况</w:t>
            </w:r>
          </w:p>
        </w:tc>
      </w:tr>
      <w:tr>
        <w:tblPrEx>
          <w:tblCellMar>
            <w:top w:w="0" w:type="dxa"/>
            <w:left w:w="108" w:type="dxa"/>
            <w:bottom w:w="0" w:type="dxa"/>
            <w:right w:w="108" w:type="dxa"/>
          </w:tblCellMar>
        </w:tblPrEx>
        <w:trPr>
          <w:trHeight w:val="1497"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统筹云资源购置服务</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本次采购的云资源需基于阿里云“飞天”架构，所需资源包括云服务器、云数据库、大数据计算存储服务、网络服务等四个大类105种云资源。</w:t>
            </w:r>
          </w:p>
        </w:tc>
      </w:tr>
    </w:tbl>
    <w:p>
      <w:pPr>
        <w:pageBreakBefore w:val="0"/>
        <w:widowControl/>
        <w:kinsoku/>
        <w:wordWrap/>
        <w:overflowPunct/>
        <w:topLinePunct w:val="0"/>
        <w:autoSpaceDE/>
        <w:autoSpaceDN/>
        <w:bidi w:val="0"/>
        <w:adjustRightInd/>
        <w:spacing w:before="100" w:beforeAutospacing="1" w:after="240" w:line="400" w:lineRule="exact"/>
        <w:jc w:val="left"/>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lang w:eastAsia="zh-CN"/>
          <w14:textFill>
            <w14:solidFill>
              <w14:schemeClr w14:val="tx1"/>
            </w14:solidFill>
          </w14:textFill>
        </w:rPr>
        <w:t>二</w:t>
      </w:r>
      <w:r>
        <w:rPr>
          <w:rFonts w:hint="eastAsia" w:ascii="仿宋" w:hAnsi="仿宋" w:eastAsia="仿宋" w:cs="仿宋"/>
          <w:b/>
          <w:color w:val="000000" w:themeColor="text1"/>
          <w:sz w:val="24"/>
          <w:szCs w:val="24"/>
          <w14:textFill>
            <w14:solidFill>
              <w14:schemeClr w14:val="tx1"/>
            </w14:solidFill>
          </w14:textFill>
        </w:rPr>
        <w:t>、项目背景</w:t>
      </w:r>
    </w:p>
    <w:p>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国家、部、省关于政务信息系统整合、信息资源共享应用的管理要求并结合省委省政府推行的“云优先”战略的号召，深入贯彻落实省政府数字化改革“四横四纵”顶层设计，响应我市一体化智能化公共数据平台建设要求，进一步整合湖州市各部门的数据资源和业务系统统一入云，开展湖州市政务云资源服务采购，统筹各单位自建的数据中心整体迁移到湖州市政务云平台（购买服务方式），按《湖州市数字化改革总体方案》（湖委改发〔2021〕1号）和湖州市一体化智能化公共数据平台建设方案》的要求，所有信息数据将纳入市级信息资源目录体系，最终实现信息化项目的统筹建设、统一管理和整合共享，提高财政资金绩效水平。</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三</w:t>
      </w:r>
      <w:r>
        <w:rPr>
          <w:rFonts w:hint="eastAsia" w:ascii="仿宋" w:hAnsi="仿宋" w:eastAsia="仿宋" w:cs="仿宋"/>
          <w:b/>
          <w:bCs/>
          <w:color w:val="000000" w:themeColor="text1"/>
          <w:sz w:val="24"/>
          <w:szCs w:val="24"/>
          <w14:textFill>
            <w14:solidFill>
              <w14:schemeClr w14:val="tx1"/>
            </w14:solidFill>
          </w14:textFill>
        </w:rPr>
        <w:t>、服务需求清单</w:t>
      </w:r>
    </w:p>
    <w:tbl>
      <w:tblPr>
        <w:tblStyle w:val="30"/>
        <w:tblW w:w="8660" w:type="dxa"/>
        <w:tblInd w:w="0" w:type="dxa"/>
        <w:tblLayout w:type="autofit"/>
        <w:tblCellMar>
          <w:top w:w="0" w:type="dxa"/>
          <w:left w:w="108" w:type="dxa"/>
          <w:bottom w:w="0" w:type="dxa"/>
          <w:right w:w="108" w:type="dxa"/>
        </w:tblCellMar>
      </w:tblPr>
      <w:tblGrid>
        <w:gridCol w:w="1040"/>
        <w:gridCol w:w="784"/>
        <w:gridCol w:w="1362"/>
        <w:gridCol w:w="4352"/>
        <w:gridCol w:w="1122"/>
      </w:tblGrid>
      <w:tr>
        <w:tblPrEx>
          <w:tblCellMar>
            <w:top w:w="0" w:type="dxa"/>
            <w:left w:w="108" w:type="dxa"/>
            <w:bottom w:w="0" w:type="dxa"/>
            <w:right w:w="108" w:type="dxa"/>
          </w:tblCellMar>
        </w:tblPrEx>
        <w:trPr>
          <w:trHeight w:val="1210" w:hRule="atLeast"/>
          <w:tblHeader/>
        </w:trPr>
        <w:tc>
          <w:tcPr>
            <w:tcW w:w="1040" w:type="dxa"/>
            <w:tcBorders>
              <w:top w:val="single" w:color="000000" w:sz="8" w:space="0"/>
              <w:left w:val="single" w:color="000000" w:sz="8" w:space="0"/>
              <w:bottom w:val="single" w:color="000000" w:sz="8" w:space="0"/>
              <w:right w:val="single" w:color="000000" w:sz="8" w:space="0"/>
            </w:tcBorders>
            <w:shd w:val="clear" w:color="000000" w:fill="DBE5F1"/>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序号</w:t>
            </w:r>
          </w:p>
        </w:tc>
        <w:tc>
          <w:tcPr>
            <w:tcW w:w="1001" w:type="dxa"/>
            <w:tcBorders>
              <w:top w:val="single" w:color="000000" w:sz="8" w:space="0"/>
              <w:left w:val="nil"/>
              <w:bottom w:val="single" w:color="000000" w:sz="8" w:space="0"/>
              <w:right w:val="single" w:color="000000" w:sz="8" w:space="0"/>
            </w:tcBorders>
            <w:shd w:val="clear" w:color="000000" w:fill="DBE5F1"/>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类别</w:t>
            </w:r>
          </w:p>
        </w:tc>
        <w:tc>
          <w:tcPr>
            <w:tcW w:w="1230" w:type="dxa"/>
            <w:tcBorders>
              <w:top w:val="single" w:color="000000" w:sz="8" w:space="0"/>
              <w:left w:val="nil"/>
              <w:bottom w:val="single" w:color="000000" w:sz="8" w:space="0"/>
              <w:right w:val="single" w:color="000000" w:sz="8" w:space="0"/>
            </w:tcBorders>
            <w:shd w:val="clear" w:color="000000" w:fill="DBE5F1"/>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名称</w:t>
            </w:r>
          </w:p>
        </w:tc>
        <w:tc>
          <w:tcPr>
            <w:tcW w:w="4352" w:type="dxa"/>
            <w:tcBorders>
              <w:top w:val="single" w:color="000000" w:sz="8" w:space="0"/>
              <w:left w:val="nil"/>
              <w:bottom w:val="single" w:color="000000" w:sz="8" w:space="0"/>
              <w:right w:val="single" w:color="000000" w:sz="8" w:space="0"/>
            </w:tcBorders>
            <w:shd w:val="clear" w:color="000000" w:fill="DBE5F1"/>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规格</w:t>
            </w:r>
          </w:p>
        </w:tc>
        <w:tc>
          <w:tcPr>
            <w:tcW w:w="1037" w:type="dxa"/>
            <w:tcBorders>
              <w:top w:val="single" w:color="000000" w:sz="8" w:space="0"/>
              <w:left w:val="nil"/>
              <w:bottom w:val="single" w:color="000000" w:sz="8" w:space="0"/>
              <w:right w:val="single" w:color="000000" w:sz="8" w:space="0"/>
            </w:tcBorders>
            <w:shd w:val="clear" w:color="000000" w:fill="DBE5F1"/>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最高限价（单位：元/月）</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001" w:type="dxa"/>
            <w:vMerge w:val="restart"/>
            <w:tcBorders>
              <w:top w:val="nil"/>
              <w:left w:val="single" w:color="000000" w:sz="8" w:space="0"/>
              <w:bottom w:val="single" w:color="000000"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云服务器</w:t>
            </w:r>
          </w:p>
        </w:tc>
        <w:tc>
          <w:tcPr>
            <w:tcW w:w="1230" w:type="dxa"/>
            <w:vMerge w:val="restart"/>
            <w:tcBorders>
              <w:top w:val="nil"/>
              <w:left w:val="single" w:color="000000" w:sz="8" w:space="0"/>
              <w:bottom w:val="single" w:color="000000"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ECS（CPU）</w:t>
            </w:r>
          </w:p>
        </w:tc>
        <w:tc>
          <w:tcPr>
            <w:tcW w:w="4352" w:type="dxa"/>
            <w:tcBorders>
              <w:top w:val="nil"/>
              <w:left w:val="nil"/>
              <w:bottom w:val="single" w:color="000000"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1C1G</w:t>
            </w:r>
          </w:p>
        </w:tc>
        <w:tc>
          <w:tcPr>
            <w:tcW w:w="1037" w:type="dxa"/>
            <w:tcBorders>
              <w:top w:val="nil"/>
              <w:left w:val="nil"/>
              <w:bottom w:val="single" w:color="000000"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56.25</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1C2G</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105</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2C4G</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264</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2C8G</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401</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2C16G</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736</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4C8G</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519</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4C16G</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807</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4C32G</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1473</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8C16G</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1062</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8C32G</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1592</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8C64G</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2950</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16C32G</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2098</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13</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16C64G</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3227</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14</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16C128G</w:t>
            </w:r>
          </w:p>
        </w:tc>
        <w:tc>
          <w:tcPr>
            <w:tcW w:w="1037" w:type="dxa"/>
            <w:tcBorders>
              <w:top w:val="nil"/>
              <w:left w:val="nil"/>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5370</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15</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32C64G</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4154</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16</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32C128G</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6470</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17</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高效云盘</w:t>
            </w: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GB</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0.53</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18</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SSD云盘</w:t>
            </w: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GB</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1.25</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19</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restart"/>
            <w:tcBorders>
              <w:top w:val="nil"/>
              <w:left w:val="single" w:color="000000" w:sz="8" w:space="0"/>
              <w:bottom w:val="single" w:color="000000"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ECS（GPU）</w:t>
            </w:r>
          </w:p>
        </w:tc>
        <w:tc>
          <w:tcPr>
            <w:tcW w:w="4352" w:type="dxa"/>
            <w:tcBorders>
              <w:top w:val="nil"/>
              <w:left w:val="nil"/>
              <w:bottom w:val="single" w:color="000000"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20C80G+1GPU</w:t>
            </w:r>
          </w:p>
        </w:tc>
        <w:tc>
          <w:tcPr>
            <w:tcW w:w="1037" w:type="dxa"/>
            <w:tcBorders>
              <w:top w:val="nil"/>
              <w:left w:val="nil"/>
              <w:bottom w:val="single" w:color="000000"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7643</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20</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28C112G+2GPU</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11920</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21</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56C224G+4GPU</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22051</w:t>
            </w:r>
          </w:p>
        </w:tc>
      </w:tr>
      <w:tr>
        <w:tblPrEx>
          <w:tblCellMar>
            <w:top w:w="0" w:type="dxa"/>
            <w:left w:w="108" w:type="dxa"/>
            <w:bottom w:w="0" w:type="dxa"/>
            <w:right w:w="108" w:type="dxa"/>
          </w:tblCellMar>
        </w:tblPrEx>
        <w:trPr>
          <w:trHeight w:val="6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22</w:t>
            </w:r>
          </w:p>
        </w:tc>
        <w:tc>
          <w:tcPr>
            <w:tcW w:w="1001" w:type="dxa"/>
            <w:vMerge w:val="restart"/>
            <w:tcBorders>
              <w:top w:val="nil"/>
              <w:left w:val="single" w:color="000000" w:sz="8" w:space="0"/>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云数据库</w:t>
            </w:r>
          </w:p>
        </w:tc>
        <w:tc>
          <w:tcPr>
            <w:tcW w:w="1230" w:type="dxa"/>
            <w:vMerge w:val="restart"/>
            <w:tcBorders>
              <w:top w:val="nil"/>
              <w:left w:val="single" w:color="000000" w:sz="8" w:space="0"/>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数据库RDS</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MySQL 版</w:t>
            </w: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1C1G（最大连接数300）</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192</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23</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1C2G（最大连接数600）</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406</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24</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2C4G（最大连接数1200）</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783</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25</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2C8G（最大连接数2000）</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1409</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26</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2C16G（最大连接数2500）（独享）</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2583</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27</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4C8G（最大连接数2000）</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1537</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28</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4C16G（最大连接数2500）（独享）</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2661</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29</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4C16G（最大连接数4000）</w:t>
            </w:r>
          </w:p>
        </w:tc>
        <w:tc>
          <w:tcPr>
            <w:tcW w:w="1037" w:type="dxa"/>
            <w:tcBorders>
              <w:top w:val="nil"/>
              <w:left w:val="nil"/>
              <w:bottom w:val="single" w:color="000000"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2766</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30</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8C16G（最大连接数4000）</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2870</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31</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8C32G（最大连接数5000）（独享）</w:t>
            </w:r>
          </w:p>
        </w:tc>
        <w:tc>
          <w:tcPr>
            <w:tcW w:w="1037" w:type="dxa"/>
            <w:tcBorders>
              <w:top w:val="nil"/>
              <w:left w:val="nil"/>
              <w:bottom w:val="single" w:color="000000"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4868</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32</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8C32G（最大连接数8000）</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5161</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33</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16C64G（最大连接数10000）（独享）</w:t>
            </w:r>
          </w:p>
        </w:tc>
        <w:tc>
          <w:tcPr>
            <w:tcW w:w="1037" w:type="dxa"/>
            <w:tcBorders>
              <w:top w:val="nil"/>
              <w:left w:val="nil"/>
              <w:bottom w:val="single" w:color="000000"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9032</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34</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16C64G（最大连接数16000）</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10166</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35</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16C96G（最大连接数24000）</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14841</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36</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4C32G（最大连接数5000）（独享）</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4972.5</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37</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8C64G（最大连接数10000）（独享）</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9792</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38</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16C128G（最大连接数20000）（独享）</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19584</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39</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32C128G（最大连接数20000）（独享）</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24480</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40</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restart"/>
            <w:tcBorders>
              <w:top w:val="nil"/>
              <w:left w:val="single" w:color="000000" w:sz="8" w:space="0"/>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PostgreSQL</w:t>
            </w: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2C16G（独享型）</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1683</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41</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4C32G（独享型）</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3315</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42</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8C64G（独享型）</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6528</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43</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16C128G（独享型）</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13056</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44</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4C16G（独享型）</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2142</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45</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8C32G（独享型）</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4182</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46</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16C64G（独享型）</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8160</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47</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32C128G（独享型）</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16320</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48</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restart"/>
            <w:tcBorders>
              <w:top w:val="nil"/>
              <w:left w:val="single" w:color="000000" w:sz="8" w:space="0"/>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redis</w:t>
            </w: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主从（高配）版1G</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510</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49</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主从（高配）版2G</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695</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50</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主从（高配）版4G</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1320</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51</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主从（高配）版8G</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2490</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52</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主从（高配）版16G</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4885</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53</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主从（高配）版32G</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9676</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54</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主从（高配）版64G</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19185</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55</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集群版16G</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3077</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56</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集群版32G</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5962</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57</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集群版64G</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7500</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58</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集群版128G</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14232</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59</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restart"/>
            <w:tcBorders>
              <w:top w:val="nil"/>
              <w:left w:val="single" w:color="000000" w:sz="8" w:space="0"/>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MongoDB</w:t>
            </w: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2C4G（三节点副本版本）</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654</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60</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4C8G（三节点副本版本）</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1298</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61</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8C16G（三节点副本版本）</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2413</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62</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8C32G（三节点副本版本）</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4760</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63</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16C64G（三节点副本版本）</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8592</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64</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2C16G（独享）</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2700</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65</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4C32G（独享）</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5275</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66</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8C64G（独享）</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10425</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67</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16C128G（独享）</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20600</w:t>
            </w:r>
          </w:p>
        </w:tc>
      </w:tr>
      <w:tr>
        <w:tblPrEx>
          <w:tblCellMar>
            <w:top w:w="0" w:type="dxa"/>
            <w:left w:w="108" w:type="dxa"/>
            <w:bottom w:w="0" w:type="dxa"/>
            <w:right w:w="108" w:type="dxa"/>
          </w:tblCellMar>
        </w:tblPrEx>
        <w:trPr>
          <w:trHeight w:val="169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68</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tcBorders>
              <w:top w:val="nil"/>
              <w:left w:val="nil"/>
              <w:bottom w:val="nil"/>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通用数据库存储（注：PolarDB O无法使用）</w:t>
            </w: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GB</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1.06</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69</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restart"/>
            <w:tcBorders>
              <w:top w:val="single" w:color="000000" w:sz="8" w:space="0"/>
              <w:left w:val="single" w:color="000000" w:sz="8" w:space="0"/>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云数据库PolarDB O引擎</w:t>
            </w: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1C4G（独享型）</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385.97</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70</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single" w:color="000000" w:sz="8" w:space="0"/>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2C8G（独享型）</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771.94</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71</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single" w:color="000000" w:sz="8" w:space="0"/>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2C16G（独享型）</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1543.88</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72</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single" w:color="000000" w:sz="8" w:space="0"/>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4C16G（独享型）</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2760.94</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73</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single" w:color="000000" w:sz="8" w:space="0"/>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4C32G（独享型）</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3087.75</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74</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single" w:color="000000" w:sz="8" w:space="0"/>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8C32G（独享型）</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5885.6</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75</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single" w:color="000000" w:sz="8" w:space="0"/>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8C64G（独享型）</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8836.88</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76</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single" w:color="000000" w:sz="8" w:space="0"/>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16C64G（独享型）</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11771.2</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77</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single" w:color="000000" w:sz="8" w:space="0"/>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16C128G（独享型）</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17673.75</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78</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single" w:color="000000" w:sz="8" w:space="0"/>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32C128G（独享型）</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23542.4</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79</w:t>
            </w:r>
          </w:p>
        </w:tc>
        <w:tc>
          <w:tcPr>
            <w:tcW w:w="1001"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single" w:color="000000" w:sz="8" w:space="0"/>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PolarDB O专用存储（GB）</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3.725</w:t>
            </w:r>
          </w:p>
        </w:tc>
      </w:tr>
      <w:tr>
        <w:tblPrEx>
          <w:tblCellMar>
            <w:top w:w="0" w:type="dxa"/>
            <w:left w:w="108" w:type="dxa"/>
            <w:bottom w:w="0" w:type="dxa"/>
            <w:right w:w="108" w:type="dxa"/>
          </w:tblCellMar>
        </w:tblPrEx>
        <w:trPr>
          <w:trHeight w:val="6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80</w:t>
            </w:r>
          </w:p>
        </w:tc>
        <w:tc>
          <w:tcPr>
            <w:tcW w:w="1001" w:type="dxa"/>
            <w:tcBorders>
              <w:top w:val="nil"/>
              <w:left w:val="nil"/>
              <w:bottom w:val="nil"/>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大数据计算</w:t>
            </w:r>
          </w:p>
        </w:tc>
        <w:tc>
          <w:tcPr>
            <w:tcW w:w="1230"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对象存储OSS</w:t>
            </w: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GB</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0.19</w:t>
            </w:r>
          </w:p>
        </w:tc>
      </w:tr>
      <w:tr>
        <w:tblPrEx>
          <w:tblCellMar>
            <w:top w:w="0" w:type="dxa"/>
            <w:left w:w="108" w:type="dxa"/>
            <w:bottom w:w="0" w:type="dxa"/>
            <w:right w:w="108" w:type="dxa"/>
          </w:tblCellMar>
        </w:tblPrEx>
        <w:trPr>
          <w:trHeight w:val="610" w:hRule="atLeast"/>
        </w:trPr>
        <w:tc>
          <w:tcPr>
            <w:tcW w:w="1040" w:type="dxa"/>
            <w:tcBorders>
              <w:top w:val="nil"/>
              <w:left w:val="single" w:color="000000" w:sz="8" w:space="0"/>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81</w:t>
            </w:r>
          </w:p>
        </w:tc>
        <w:tc>
          <w:tcPr>
            <w:tcW w:w="1001" w:type="dxa"/>
            <w:tcBorders>
              <w:top w:val="nil"/>
              <w:left w:val="nil"/>
              <w:bottom w:val="nil"/>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存储服务</w:t>
            </w:r>
          </w:p>
        </w:tc>
        <w:tc>
          <w:tcPr>
            <w:tcW w:w="1230"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文件存储NAS</w:t>
            </w: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GB</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0.43</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82</w:t>
            </w:r>
          </w:p>
        </w:tc>
        <w:tc>
          <w:tcPr>
            <w:tcW w:w="1001" w:type="dxa"/>
            <w:tcBorders>
              <w:top w:val="nil"/>
              <w:left w:val="nil"/>
              <w:bottom w:val="nil"/>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1230" w:type="dxa"/>
            <w:vMerge w:val="restart"/>
            <w:tcBorders>
              <w:top w:val="nil"/>
              <w:left w:val="single" w:color="000000" w:sz="8" w:space="0"/>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ODPS</w:t>
            </w: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CU</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246</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83</w:t>
            </w:r>
          </w:p>
        </w:tc>
        <w:tc>
          <w:tcPr>
            <w:tcW w:w="1001" w:type="dxa"/>
            <w:tcBorders>
              <w:top w:val="nil"/>
              <w:left w:val="nil"/>
              <w:bottom w:val="nil"/>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存储（GB）</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0.9</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84</w:t>
            </w:r>
          </w:p>
        </w:tc>
        <w:tc>
          <w:tcPr>
            <w:tcW w:w="1001" w:type="dxa"/>
            <w:tcBorders>
              <w:top w:val="nil"/>
              <w:left w:val="nil"/>
              <w:bottom w:val="nil"/>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1230"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DataHub</w:t>
            </w: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topic</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255</w:t>
            </w:r>
          </w:p>
        </w:tc>
      </w:tr>
      <w:tr>
        <w:tblPrEx>
          <w:tblCellMar>
            <w:top w:w="0" w:type="dxa"/>
            <w:left w:w="108" w:type="dxa"/>
            <w:bottom w:w="0" w:type="dxa"/>
            <w:right w:w="108" w:type="dxa"/>
          </w:tblCellMar>
        </w:tblPrEx>
        <w:trPr>
          <w:trHeight w:val="610" w:hRule="atLeast"/>
        </w:trPr>
        <w:tc>
          <w:tcPr>
            <w:tcW w:w="1040" w:type="dxa"/>
            <w:tcBorders>
              <w:top w:val="nil"/>
              <w:left w:val="single" w:color="000000" w:sz="8" w:space="0"/>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85</w:t>
            </w:r>
          </w:p>
        </w:tc>
        <w:tc>
          <w:tcPr>
            <w:tcW w:w="1001" w:type="dxa"/>
            <w:tcBorders>
              <w:top w:val="nil"/>
              <w:left w:val="nil"/>
              <w:bottom w:val="nil"/>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1230" w:type="dxa"/>
            <w:vMerge w:val="restart"/>
            <w:tcBorders>
              <w:top w:val="nil"/>
              <w:left w:val="single" w:color="000000" w:sz="8" w:space="0"/>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ADS</w:t>
            </w: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C1（2CORE、7.5G内存、60G SSD存储、最大吞吐量6MB/s）</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798</w:t>
            </w:r>
          </w:p>
        </w:tc>
      </w:tr>
      <w:tr>
        <w:tblPrEx>
          <w:tblCellMar>
            <w:top w:w="0" w:type="dxa"/>
            <w:left w:w="108" w:type="dxa"/>
            <w:bottom w:w="0" w:type="dxa"/>
            <w:right w:w="108" w:type="dxa"/>
          </w:tblCellMar>
        </w:tblPrEx>
        <w:trPr>
          <w:trHeight w:val="6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86</w:t>
            </w:r>
          </w:p>
        </w:tc>
        <w:tc>
          <w:tcPr>
            <w:tcW w:w="1001" w:type="dxa"/>
            <w:tcBorders>
              <w:top w:val="nil"/>
              <w:left w:val="nil"/>
              <w:bottom w:val="nil"/>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c8(10CORE、60G内存 、600GSSD存储、最大吞吐量50MB/s）</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5905.2</w:t>
            </w:r>
          </w:p>
        </w:tc>
      </w:tr>
      <w:tr>
        <w:tblPrEx>
          <w:tblCellMar>
            <w:top w:w="0" w:type="dxa"/>
            <w:left w:w="108" w:type="dxa"/>
            <w:bottom w:w="0" w:type="dxa"/>
            <w:right w:w="108" w:type="dxa"/>
          </w:tblCellMar>
        </w:tblPrEx>
        <w:trPr>
          <w:trHeight w:val="610" w:hRule="atLeast"/>
        </w:trPr>
        <w:tc>
          <w:tcPr>
            <w:tcW w:w="1040" w:type="dxa"/>
            <w:tcBorders>
              <w:top w:val="nil"/>
              <w:left w:val="single" w:color="000000" w:sz="8" w:space="0"/>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87</w:t>
            </w:r>
          </w:p>
        </w:tc>
        <w:tc>
          <w:tcPr>
            <w:tcW w:w="1001" w:type="dxa"/>
            <w:tcBorders>
              <w:top w:val="nil"/>
              <w:left w:val="nil"/>
              <w:bottom w:val="nil"/>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1230"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流式计算(CPU)</w:t>
            </w: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CU</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375</w:t>
            </w:r>
          </w:p>
        </w:tc>
      </w:tr>
      <w:tr>
        <w:tblPrEx>
          <w:tblCellMar>
            <w:top w:w="0" w:type="dxa"/>
            <w:left w:w="108" w:type="dxa"/>
            <w:bottom w:w="0" w:type="dxa"/>
            <w:right w:w="108" w:type="dxa"/>
          </w:tblCellMar>
        </w:tblPrEx>
        <w:trPr>
          <w:trHeight w:val="6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88</w:t>
            </w:r>
          </w:p>
        </w:tc>
        <w:tc>
          <w:tcPr>
            <w:tcW w:w="1001" w:type="dxa"/>
            <w:tcBorders>
              <w:top w:val="nil"/>
              <w:left w:val="nil"/>
              <w:bottom w:val="nil"/>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1230"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流式计算(GPU)</w:t>
            </w: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CU</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673</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89</w:t>
            </w:r>
          </w:p>
        </w:tc>
        <w:tc>
          <w:tcPr>
            <w:tcW w:w="1001" w:type="dxa"/>
            <w:tcBorders>
              <w:top w:val="nil"/>
              <w:left w:val="nil"/>
              <w:bottom w:val="nil"/>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1230" w:type="dxa"/>
            <w:vMerge w:val="restart"/>
            <w:tcBorders>
              <w:top w:val="nil"/>
              <w:left w:val="single" w:color="000000" w:sz="8" w:space="0"/>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MQ</w:t>
            </w: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Topic基础包：50个</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2404</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90</w:t>
            </w:r>
          </w:p>
        </w:tc>
        <w:tc>
          <w:tcPr>
            <w:tcW w:w="1001" w:type="dxa"/>
            <w:tcBorders>
              <w:top w:val="nil"/>
              <w:left w:val="nil"/>
              <w:bottom w:val="nil"/>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Topic基础包：10个</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481</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91</w:t>
            </w:r>
          </w:p>
        </w:tc>
        <w:tc>
          <w:tcPr>
            <w:tcW w:w="1001" w:type="dxa"/>
            <w:tcBorders>
              <w:top w:val="nil"/>
              <w:left w:val="nil"/>
              <w:bottom w:val="nil"/>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消息发送基础包：1000TPS</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2289</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92</w:t>
            </w:r>
          </w:p>
        </w:tc>
        <w:tc>
          <w:tcPr>
            <w:tcW w:w="1001" w:type="dxa"/>
            <w:tcBorders>
              <w:top w:val="nil"/>
              <w:left w:val="nil"/>
              <w:bottom w:val="nil"/>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消息发送扩展包：500TPS</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1163</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93</w:t>
            </w:r>
          </w:p>
        </w:tc>
        <w:tc>
          <w:tcPr>
            <w:tcW w:w="1001" w:type="dxa"/>
            <w:tcBorders>
              <w:top w:val="nil"/>
              <w:left w:val="nil"/>
              <w:bottom w:val="nil"/>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消息订阅基础包：1000TPS</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2289</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94</w:t>
            </w:r>
          </w:p>
        </w:tc>
        <w:tc>
          <w:tcPr>
            <w:tcW w:w="1001" w:type="dxa"/>
            <w:tcBorders>
              <w:top w:val="nil"/>
              <w:left w:val="nil"/>
              <w:bottom w:val="nil"/>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消息订阅扩展包：500TPS</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1163</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95</w:t>
            </w:r>
          </w:p>
        </w:tc>
        <w:tc>
          <w:tcPr>
            <w:tcW w:w="1001" w:type="dxa"/>
            <w:tcBorders>
              <w:top w:val="nil"/>
              <w:left w:val="nil"/>
              <w:bottom w:val="nil"/>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1230" w:type="dxa"/>
            <w:vMerge w:val="restart"/>
            <w:tcBorders>
              <w:top w:val="nil"/>
              <w:left w:val="single" w:color="000000" w:sz="8" w:space="0"/>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DRDS</w:t>
            </w: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8核32GB入门版</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2215</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96</w:t>
            </w:r>
          </w:p>
        </w:tc>
        <w:tc>
          <w:tcPr>
            <w:tcW w:w="1001" w:type="dxa"/>
            <w:tcBorders>
              <w:top w:val="nil"/>
              <w:left w:val="nil"/>
              <w:bottom w:val="nil"/>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16核64GB标准版</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5818.75</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97</w:t>
            </w:r>
          </w:p>
        </w:tc>
        <w:tc>
          <w:tcPr>
            <w:tcW w:w="1001" w:type="dxa"/>
            <w:tcBorders>
              <w:top w:val="nil"/>
              <w:left w:val="nil"/>
              <w:bottom w:val="nil"/>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32核128GB标准版</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11552.5</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98</w:t>
            </w:r>
          </w:p>
        </w:tc>
        <w:tc>
          <w:tcPr>
            <w:tcW w:w="1001" w:type="dxa"/>
            <w:tcBorders>
              <w:top w:val="nil"/>
              <w:left w:val="nil"/>
              <w:bottom w:val="nil"/>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32核128GB企业版</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15628.75</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99</w:t>
            </w:r>
          </w:p>
        </w:tc>
        <w:tc>
          <w:tcPr>
            <w:tcW w:w="1001" w:type="dxa"/>
            <w:vMerge w:val="restart"/>
            <w:tcBorders>
              <w:top w:val="single" w:color="000000" w:sz="8" w:space="0"/>
              <w:left w:val="single" w:color="000000" w:sz="8" w:space="0"/>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网络服务</w:t>
            </w:r>
          </w:p>
        </w:tc>
        <w:tc>
          <w:tcPr>
            <w:tcW w:w="1230" w:type="dxa"/>
            <w:vMerge w:val="restart"/>
            <w:tcBorders>
              <w:top w:val="nil"/>
              <w:left w:val="single" w:color="000000" w:sz="8" w:space="0"/>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VPC</w:t>
            </w: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租户</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58</w:t>
            </w:r>
          </w:p>
        </w:tc>
      </w:tr>
      <w:tr>
        <w:tblPrEx>
          <w:tblCellMar>
            <w:top w:w="0" w:type="dxa"/>
            <w:left w:w="108" w:type="dxa"/>
            <w:bottom w:w="0" w:type="dxa"/>
            <w:right w:w="108" w:type="dxa"/>
          </w:tblCellMar>
        </w:tblPrEx>
        <w:trPr>
          <w:trHeight w:val="3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100</w:t>
            </w:r>
          </w:p>
        </w:tc>
        <w:tc>
          <w:tcPr>
            <w:tcW w:w="1001" w:type="dxa"/>
            <w:vMerge w:val="continue"/>
            <w:tcBorders>
              <w:top w:val="single" w:color="000000" w:sz="8" w:space="0"/>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实例</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20</w:t>
            </w:r>
          </w:p>
        </w:tc>
      </w:tr>
      <w:tr>
        <w:tblPrEx>
          <w:tblCellMar>
            <w:top w:w="0" w:type="dxa"/>
            <w:left w:w="108" w:type="dxa"/>
            <w:bottom w:w="0" w:type="dxa"/>
            <w:right w:w="108" w:type="dxa"/>
          </w:tblCellMar>
        </w:tblPrEx>
        <w:trPr>
          <w:trHeight w:val="910" w:hRule="atLeast"/>
        </w:trPr>
        <w:tc>
          <w:tcPr>
            <w:tcW w:w="1040" w:type="dxa"/>
            <w:tcBorders>
              <w:top w:val="nil"/>
              <w:left w:val="single" w:color="000000" w:sz="8" w:space="0"/>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101</w:t>
            </w:r>
          </w:p>
        </w:tc>
        <w:tc>
          <w:tcPr>
            <w:tcW w:w="1001" w:type="dxa"/>
            <w:vMerge w:val="continue"/>
            <w:tcBorders>
              <w:top w:val="single" w:color="000000" w:sz="8" w:space="0"/>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restart"/>
            <w:tcBorders>
              <w:top w:val="nil"/>
              <w:left w:val="single" w:color="000000" w:sz="8" w:space="0"/>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SLB（根据实例个数+规格 按月计费）</w:t>
            </w: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性能共享型：最大支持连接数500000、新建连接数 (CPS)50000、每秒查询数 (QPS)20000</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270.75</w:t>
            </w:r>
          </w:p>
        </w:tc>
      </w:tr>
      <w:tr>
        <w:tblPrEx>
          <w:tblCellMar>
            <w:top w:w="0" w:type="dxa"/>
            <w:left w:w="108" w:type="dxa"/>
            <w:bottom w:w="0" w:type="dxa"/>
            <w:right w:w="108" w:type="dxa"/>
          </w:tblCellMar>
        </w:tblPrEx>
        <w:trPr>
          <w:trHeight w:val="9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102</w:t>
            </w:r>
          </w:p>
        </w:tc>
        <w:tc>
          <w:tcPr>
            <w:tcW w:w="1001" w:type="dxa"/>
            <w:vMerge w:val="continue"/>
            <w:tcBorders>
              <w:top w:val="single" w:color="000000" w:sz="8" w:space="0"/>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性能保障型简约型I：最大支持连接数5000、新建连接数 (CPS)3000、 每秒查询数 (QPS)1000</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92</w:t>
            </w:r>
          </w:p>
        </w:tc>
      </w:tr>
      <w:tr>
        <w:tblPrEx>
          <w:tblCellMar>
            <w:top w:w="0" w:type="dxa"/>
            <w:left w:w="108" w:type="dxa"/>
            <w:bottom w:w="0" w:type="dxa"/>
            <w:right w:w="108" w:type="dxa"/>
          </w:tblCellMar>
        </w:tblPrEx>
        <w:trPr>
          <w:trHeight w:val="910" w:hRule="atLeast"/>
        </w:trPr>
        <w:tc>
          <w:tcPr>
            <w:tcW w:w="1040" w:type="dxa"/>
            <w:tcBorders>
              <w:top w:val="nil"/>
              <w:left w:val="single" w:color="000000" w:sz="8" w:space="0"/>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103</w:t>
            </w:r>
          </w:p>
        </w:tc>
        <w:tc>
          <w:tcPr>
            <w:tcW w:w="1001" w:type="dxa"/>
            <w:vMerge w:val="continue"/>
            <w:tcBorders>
              <w:top w:val="single" w:color="000000" w:sz="8" w:space="0"/>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性能保障型标准型I：最大支持连接数50000、新建连接数 (CPS)5000、每秒查询数 (QPS)5000</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237.5</w:t>
            </w:r>
          </w:p>
        </w:tc>
      </w:tr>
      <w:tr>
        <w:tblPrEx>
          <w:tblCellMar>
            <w:top w:w="0" w:type="dxa"/>
            <w:left w:w="108" w:type="dxa"/>
            <w:bottom w:w="0" w:type="dxa"/>
            <w:right w:w="108" w:type="dxa"/>
          </w:tblCellMar>
        </w:tblPrEx>
        <w:trPr>
          <w:trHeight w:val="910" w:hRule="atLeast"/>
        </w:trPr>
        <w:tc>
          <w:tcPr>
            <w:tcW w:w="1040" w:type="dxa"/>
            <w:tcBorders>
              <w:top w:val="nil"/>
              <w:left w:val="single" w:color="000000" w:sz="8" w:space="0"/>
              <w:bottom w:val="single" w:color="000000" w:sz="8" w:space="0"/>
              <w:right w:val="single" w:color="000000" w:sz="8" w:space="0"/>
            </w:tcBorders>
            <w:shd w:val="clear" w:color="auto" w:fill="auto"/>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104</w:t>
            </w:r>
          </w:p>
        </w:tc>
        <w:tc>
          <w:tcPr>
            <w:tcW w:w="1001" w:type="dxa"/>
            <w:vMerge w:val="continue"/>
            <w:tcBorders>
              <w:top w:val="single" w:color="000000" w:sz="8" w:space="0"/>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性能保障型标准型II：最大支持连接数100000、新建连接数 (CPS)10000 、每秒查询数 (QPS)10000</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475</w:t>
            </w:r>
          </w:p>
        </w:tc>
      </w:tr>
      <w:tr>
        <w:tblPrEx>
          <w:tblCellMar>
            <w:top w:w="0" w:type="dxa"/>
            <w:left w:w="108" w:type="dxa"/>
            <w:bottom w:w="0" w:type="dxa"/>
            <w:right w:w="108" w:type="dxa"/>
          </w:tblCellMar>
        </w:tblPrEx>
        <w:trPr>
          <w:trHeight w:val="910" w:hRule="atLeast"/>
        </w:trPr>
        <w:tc>
          <w:tcPr>
            <w:tcW w:w="1040" w:type="dxa"/>
            <w:tcBorders>
              <w:top w:val="nil"/>
              <w:left w:val="single" w:color="000000" w:sz="8" w:space="0"/>
              <w:bottom w:val="single" w:color="000000" w:sz="8" w:space="0"/>
              <w:right w:val="single" w:color="000000" w:sz="8" w:space="0"/>
            </w:tcBorders>
            <w:shd w:val="clear" w:color="000000" w:fill="FFFFFF"/>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105</w:t>
            </w:r>
          </w:p>
        </w:tc>
        <w:tc>
          <w:tcPr>
            <w:tcW w:w="1001" w:type="dxa"/>
            <w:vMerge w:val="continue"/>
            <w:tcBorders>
              <w:top w:val="single" w:color="000000" w:sz="8" w:space="0"/>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30" w:type="dxa"/>
            <w:vMerge w:val="continue"/>
            <w:tcBorders>
              <w:top w:val="nil"/>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352"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性能保障型高阶型I：最大支持连接数 200000、新建连接数 (CPS)20000 、每秒查询数 (QPS)20000</w:t>
            </w:r>
          </w:p>
        </w:tc>
        <w:tc>
          <w:tcPr>
            <w:tcW w:w="1037" w:type="dxa"/>
            <w:tcBorders>
              <w:top w:val="nil"/>
              <w:left w:val="nil"/>
              <w:bottom w:val="single" w:color="000000" w:sz="8" w:space="0"/>
              <w:right w:val="single" w:color="000000" w:sz="8" w:space="0"/>
            </w:tcBorders>
            <w:shd w:val="clear" w:color="000000" w:fill="FFFFFF"/>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950</w:t>
            </w:r>
          </w:p>
        </w:tc>
      </w:tr>
    </w:tbl>
    <w:p>
      <w:pPr>
        <w:pageBreakBefore w:val="0"/>
        <w:kinsoku/>
        <w:wordWrap/>
        <w:overflowPunct/>
        <w:topLinePunct w:val="0"/>
        <w:autoSpaceDE/>
        <w:autoSpaceDN/>
        <w:bidi w:val="0"/>
        <w:adjustRightInd/>
        <w:spacing w:line="400" w:lineRule="exact"/>
        <w:textAlignment w:val="auto"/>
        <w:rPr>
          <w:rFonts w:hint="eastAsia" w:ascii="仿宋" w:hAnsi="仿宋" w:eastAsia="仿宋" w:cs="仿宋"/>
          <w:color w:val="000000" w:themeColor="text1"/>
          <w:sz w:val="24"/>
          <w:szCs w:val="24"/>
          <w14:textFill>
            <w14:solidFill>
              <w14:schemeClr w14:val="tx1"/>
            </w14:solidFill>
          </w14:textFill>
        </w:rPr>
      </w:pP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四</w:t>
      </w:r>
      <w:r>
        <w:rPr>
          <w:rFonts w:hint="eastAsia" w:ascii="仿宋" w:hAnsi="仿宋" w:eastAsia="仿宋" w:cs="仿宋"/>
          <w:b/>
          <w:bCs/>
          <w:color w:val="000000" w:themeColor="text1"/>
          <w:sz w:val="24"/>
          <w:szCs w:val="24"/>
          <w14:textFill>
            <w14:solidFill>
              <w14:schemeClr w14:val="tx1"/>
            </w14:solidFill>
          </w14:textFill>
        </w:rPr>
        <w:t>、服务技术要求</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（一）云服务器</w:t>
      </w:r>
    </w:p>
    <w:p>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云服务器提供简单高效、处理能力可弹性伸缩的计算服务，包括ECS（CPU）、高效云盘、SSD云盘、ECS（GPU），其中ECS（GPU）提供GPU加速计算能力，实现GPU计算资源的即开即用和弹性伸缩。</w:t>
      </w:r>
    </w:p>
    <w:p>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云服务器ECS系统由虚拟化平台与分布式存储、控制系统、运维及监控系统组成。</w:t>
      </w:r>
    </w:p>
    <w:p>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控制系统由以下模块组成：</w:t>
      </w:r>
    </w:p>
    <w:p>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1.数据采集：负责整个虚拟化平台的数据采集，包括计算资源、存储资源、网络资源等使用情况。通过数据采集可以对集群的资源使用情况进行统一的监控管理，并作为资源调度的一个重要依据。</w:t>
      </w:r>
    </w:p>
    <w:p>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2.资源调度系统：决定ECS启动的位置，在创建ECS时，会根据物理服务器的资源负载情况，合理地调度ECS。且在ECS发生故障时，决定ECS再次启动的位置。</w:t>
      </w:r>
    </w:p>
    <w:p>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3.ECS管理模块：管理及控制ECS，例如启动、关闭、重启云服务。</w:t>
      </w:r>
    </w:p>
    <w:p>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4.安全控制模块：进行整个集群的网络安全监控与管理。</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（二）云数据库</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1、数据库RDS MySQL 版</w:t>
      </w:r>
    </w:p>
    <w:p>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数据库RDS MySQL 版是一种稳定可靠、可弹性伸缩的在线数据库服务，支持MySQL引擎，满足容灾、备份、恢复、监控、迁移等方面的需求。</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2、PostgreSQL</w:t>
      </w:r>
    </w:p>
    <w:p>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PostgreSQL是一种稳定可靠、可弹性伸缩的在线数据库服务，支持PostgreSQL引擎，满足容灾、备份、恢复、监控、迁移等方面的需求。</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3、Redis</w:t>
      </w:r>
    </w:p>
    <w:p>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缓存数据库（KVStore for Redis）支持内存加硬盘的存储方式，满足缓存数据库KVStore for Redis在提供高速数据读写能力的同时满足数据持久化需求。</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4、MongoDB</w:t>
      </w:r>
    </w:p>
    <w:p>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MongoDB完全兼容MongoDB协议，基于分布式系统和高可靠存储引擎，提供多节点高可用架构、弹性扩容、容灾、备份恢复、性能优化等功能。</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5、PolarDB O引擎</w:t>
      </w:r>
    </w:p>
    <w:p>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PolarDB O高度兼容Oracle，采用存储和计算分离的架构，所有计算节点共享一份数据，提供分钟级的配置升降级、秒级的故障恢复、全局数据一致性和免费的数据备份容灾服务。</w:t>
      </w:r>
    </w:p>
    <w:p>
      <w:pPr>
        <w:pStyle w:val="6"/>
        <w:pageBreakBefore w:val="0"/>
        <w:kinsoku/>
        <w:wordWrap/>
        <w:overflowPunct/>
        <w:topLinePunct w:val="0"/>
        <w:autoSpaceDE/>
        <w:autoSpaceDN/>
        <w:bidi w:val="0"/>
        <w:adjustRightInd/>
        <w:spacing w:line="4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（三）大数据计算</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1、对象存储OSS</w:t>
      </w:r>
    </w:p>
    <w:p>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对象存储服务（简称 OSS）提供的海量、安全、低成本、高可靠的云存储服务。可以通过网络随时存储和调用包括文本、图片、音频和视频等在内的各种非结构化数据文件。</w:t>
      </w:r>
    </w:p>
    <w:p>
      <w:pPr>
        <w:pStyle w:val="8"/>
        <w:pageBreakBefore w:val="0"/>
        <w:kinsoku/>
        <w:wordWrap/>
        <w:overflowPunct/>
        <w:topLinePunct w:val="0"/>
        <w:autoSpaceDE/>
        <w:autoSpaceDN/>
        <w:bidi w:val="0"/>
        <w:adjustRightInd/>
        <w:spacing w:line="4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2、文件存储NAS</w:t>
      </w:r>
    </w:p>
    <w:p>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云文件存储（Network Attached Storage，简称NAS）提供标准的文件访问协议，用户无需对现有应用做任何修改，即可使用具备无限容量及性能扩展、单一命名空间、多共享、高可靠和高可用等特性的分布式文件系统。</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3、ODPS</w:t>
      </w:r>
    </w:p>
    <w:p>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ODPS可提供针对TB/PB级别数据、实时性要求不高的批量处理能力，主要应用于日志分析、机器学习、数据仓库、数据挖掘、商业智能等领域。</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4、DataHub</w:t>
      </w:r>
    </w:p>
    <w:p>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提供对流式数据的发布（Publish）、订阅（Subscribe）及分发功能，满足基于流式数据的分析和应用构建需求；可支持对各种移动设备、应用软件、网站服务、传感器等产生的大量流式数据进行持续不断的采集、存储和处理；提供分发流式数据到各种云产品的功能。</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5、ADS</w:t>
      </w:r>
    </w:p>
    <w:p>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分析型数据库（AnalyticDB，简称 ADS）可支持对千亿级数据进行即时的（毫秒级）多维分析透视和业务探索的需求。</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6、流式计算</w:t>
      </w:r>
    </w:p>
    <w:p>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流式计算包括流式计算(CPU)和流式计算(GPU)。流计算是一种提供实时流数据计算服务的通用计算平台。流计算的产生即来源于对于上述数据加工时效性的严苛需求，数据的业务价值随着时间的流失而迅速降低，因此在数据发生后必须尽快对其进行计算和处理。而传统的大数据处理模式对于数据加工均遵循传统日清日毕模式，即以小时甚至以天为计算周期对当前数据进行累计并处理，显然这类处理方式无法满足数据实时计算的需求。在诸如实时大数据分析、风控预警、实时预测、金融交易等诸多业务场景领域，批量（或者说离线）处理对于上述对于数据处理时延要求苛刻的应用领域而言，是完全无法胜任其业务需求的。而流计算作为一类针对流数据的实时计算模型，可有效地缩短全链路数据流时延、实时化计算逻辑、平摊计算成本，最终有效满足实时处理大数据的业务需求。</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7、MQ</w:t>
      </w:r>
    </w:p>
    <w:p>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消息队列（Message Queue，简称MQ）提供消息订阅和发布、消息轨迹查询、定时（延时）消息、资源统计、监控报警等一系列消息云服务。</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8、DRDS</w:t>
      </w:r>
    </w:p>
    <w:p>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DRDS兼容MySQL交互协议，支持大部分的MySQLDML和DDL语法，具备分库分表、平滑扩容、服务升降配、透明读写分离等分布式数据库核心能力。</w:t>
      </w:r>
    </w:p>
    <w:p>
      <w:pPr>
        <w:pStyle w:val="6"/>
        <w:pageBreakBefore w:val="0"/>
        <w:kinsoku/>
        <w:wordWrap/>
        <w:overflowPunct/>
        <w:topLinePunct w:val="0"/>
        <w:autoSpaceDE/>
        <w:autoSpaceDN/>
        <w:bidi w:val="0"/>
        <w:adjustRightInd/>
        <w:spacing w:line="4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（四）网络服务</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1、VPC</w:t>
      </w:r>
    </w:p>
    <w:p>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专有网络VPC（Virtual Private Cloud），提供逻辑上隔离、按需定制的网络环境，满足应用的平滑迁移上云和对各部门行业专网数据中心扩展的需求。</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2、SLB</w:t>
      </w:r>
    </w:p>
    <w:p>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负载均衡（Server Load Balancer，简称SLB）提供流量分发控制服务。</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bCs/>
          <w:color w:val="000000" w:themeColor="text1"/>
          <w:sz w:val="24"/>
          <w:szCs w:val="24"/>
          <w:lang w:eastAsia="zh-CN"/>
          <w14:textFill>
            <w14:solidFill>
              <w14:schemeClr w14:val="tx1"/>
            </w14:solidFill>
          </w14:textFill>
        </w:rPr>
      </w:pP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五</w:t>
      </w:r>
      <w:r>
        <w:rPr>
          <w:rFonts w:hint="eastAsia" w:ascii="仿宋" w:hAnsi="仿宋" w:eastAsia="仿宋" w:cs="仿宋"/>
          <w:b/>
          <w:bCs/>
          <w:color w:val="000000" w:themeColor="text1"/>
          <w:sz w:val="24"/>
          <w:szCs w:val="24"/>
          <w14:textFill>
            <w14:solidFill>
              <w14:schemeClr w14:val="tx1"/>
            </w14:solidFill>
          </w14:textFill>
        </w:rPr>
        <w:t>、其他服务要求</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（一）服务能力要求</w:t>
      </w:r>
    </w:p>
    <w:p>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服务供应商能够承诺满足2022－2023年数字化改革湖州市对市政务云资源服务要求，要求提供包括但不限于以下规模的云服务产品：</w:t>
      </w:r>
    </w:p>
    <w:tbl>
      <w:tblPr>
        <w:tblStyle w:val="30"/>
        <w:tblW w:w="0" w:type="auto"/>
        <w:tblInd w:w="0" w:type="dxa"/>
        <w:tblLayout w:type="fixed"/>
        <w:tblCellMar>
          <w:top w:w="0" w:type="dxa"/>
          <w:left w:w="108" w:type="dxa"/>
          <w:bottom w:w="0" w:type="dxa"/>
          <w:right w:w="108" w:type="dxa"/>
        </w:tblCellMar>
      </w:tblPr>
      <w:tblGrid>
        <w:gridCol w:w="1835"/>
        <w:gridCol w:w="4114"/>
        <w:gridCol w:w="1276"/>
        <w:gridCol w:w="1071"/>
      </w:tblGrid>
      <w:tr>
        <w:tblPrEx>
          <w:tblCellMar>
            <w:top w:w="0" w:type="dxa"/>
            <w:left w:w="108" w:type="dxa"/>
            <w:bottom w:w="0" w:type="dxa"/>
            <w:right w:w="108" w:type="dxa"/>
          </w:tblCellMar>
        </w:tblPrEx>
        <w:trPr>
          <w:trHeight w:val="320" w:hRule="atLeast"/>
          <w:tblHeader/>
        </w:trPr>
        <w:tc>
          <w:tcPr>
            <w:tcW w:w="1835" w:type="dxa"/>
            <w:tcBorders>
              <w:top w:val="single" w:color="auto" w:sz="4" w:space="0"/>
              <w:left w:val="single" w:color="auto" w:sz="4" w:space="0"/>
              <w:bottom w:val="single" w:color="auto" w:sz="4" w:space="0"/>
              <w:right w:val="single" w:color="auto" w:sz="4" w:space="0"/>
            </w:tcBorders>
            <w:shd w:val="clear" w:color="auto" w:fill="DBE5F1"/>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云产品服务名称</w:t>
            </w:r>
          </w:p>
        </w:tc>
        <w:tc>
          <w:tcPr>
            <w:tcW w:w="4114" w:type="dxa"/>
            <w:tcBorders>
              <w:top w:val="single" w:color="auto" w:sz="4" w:space="0"/>
              <w:left w:val="nil"/>
              <w:bottom w:val="single" w:color="auto" w:sz="4" w:space="0"/>
              <w:right w:val="single" w:color="auto" w:sz="4" w:space="0"/>
            </w:tcBorders>
            <w:shd w:val="clear" w:color="auto" w:fill="DBE5F1"/>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参考规格</w:t>
            </w:r>
          </w:p>
        </w:tc>
        <w:tc>
          <w:tcPr>
            <w:tcW w:w="1276" w:type="dxa"/>
            <w:tcBorders>
              <w:top w:val="single" w:color="auto" w:sz="4" w:space="0"/>
              <w:left w:val="nil"/>
              <w:bottom w:val="single" w:color="auto" w:sz="4" w:space="0"/>
              <w:right w:val="single" w:color="auto" w:sz="4" w:space="0"/>
            </w:tcBorders>
            <w:shd w:val="clear" w:color="auto" w:fill="DBE5F1"/>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单位</w:t>
            </w:r>
          </w:p>
        </w:tc>
        <w:tc>
          <w:tcPr>
            <w:tcW w:w="1071" w:type="dxa"/>
            <w:tcBorders>
              <w:top w:val="single" w:color="auto" w:sz="4" w:space="0"/>
              <w:left w:val="nil"/>
              <w:bottom w:val="single" w:color="auto" w:sz="4" w:space="0"/>
              <w:right w:val="single" w:color="auto" w:sz="4" w:space="0"/>
            </w:tcBorders>
            <w:shd w:val="clear" w:color="auto" w:fill="DBE5F1"/>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数量</w:t>
            </w:r>
          </w:p>
        </w:tc>
      </w:tr>
      <w:tr>
        <w:tblPrEx>
          <w:tblCellMar>
            <w:top w:w="0" w:type="dxa"/>
            <w:left w:w="108" w:type="dxa"/>
            <w:bottom w:w="0" w:type="dxa"/>
            <w:right w:w="108" w:type="dxa"/>
          </w:tblCellMar>
        </w:tblPrEx>
        <w:trPr>
          <w:trHeight w:val="320" w:hRule="atLeast"/>
        </w:trPr>
        <w:tc>
          <w:tcPr>
            <w:tcW w:w="1835"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★云服务器ECS（CPU）</w:t>
            </w:r>
          </w:p>
        </w:tc>
        <w:tc>
          <w:tcPr>
            <w:tcW w:w="4114"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4cpu/16GB内存/40G ssd系统盘 + 200GB磁盘</w:t>
            </w:r>
          </w:p>
        </w:tc>
        <w:tc>
          <w:tcPr>
            <w:tcW w:w="1276"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实例</w:t>
            </w:r>
          </w:p>
        </w:tc>
        <w:tc>
          <w:tcPr>
            <w:tcW w:w="1071"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5500</w:t>
            </w:r>
          </w:p>
        </w:tc>
      </w:tr>
      <w:tr>
        <w:tblPrEx>
          <w:tblCellMar>
            <w:top w:w="0" w:type="dxa"/>
            <w:left w:w="108" w:type="dxa"/>
            <w:bottom w:w="0" w:type="dxa"/>
            <w:right w:w="108" w:type="dxa"/>
          </w:tblCellMar>
        </w:tblPrEx>
        <w:trPr>
          <w:trHeight w:val="320" w:hRule="atLeast"/>
        </w:trPr>
        <w:tc>
          <w:tcPr>
            <w:tcW w:w="1835"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云服务器ECS（GPU）</w:t>
            </w:r>
          </w:p>
        </w:tc>
        <w:tc>
          <w:tcPr>
            <w:tcW w:w="4114"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28cpu/112GB内存/40G ssd系统盘 + 200GB磁盘</w:t>
            </w:r>
          </w:p>
        </w:tc>
        <w:tc>
          <w:tcPr>
            <w:tcW w:w="1276"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实例</w:t>
            </w:r>
          </w:p>
        </w:tc>
        <w:tc>
          <w:tcPr>
            <w:tcW w:w="1071"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30</w:t>
            </w:r>
          </w:p>
        </w:tc>
      </w:tr>
      <w:tr>
        <w:tblPrEx>
          <w:tblCellMar>
            <w:top w:w="0" w:type="dxa"/>
            <w:left w:w="108" w:type="dxa"/>
            <w:bottom w:w="0" w:type="dxa"/>
            <w:right w:w="108" w:type="dxa"/>
          </w:tblCellMar>
        </w:tblPrEx>
        <w:trPr>
          <w:trHeight w:val="320" w:hRule="atLeast"/>
        </w:trPr>
        <w:tc>
          <w:tcPr>
            <w:tcW w:w="1835"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★RDS for Mysql</w:t>
            </w:r>
          </w:p>
        </w:tc>
        <w:tc>
          <w:tcPr>
            <w:tcW w:w="4114"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2cpu/8GB内存/200GB存储</w:t>
            </w:r>
          </w:p>
        </w:tc>
        <w:tc>
          <w:tcPr>
            <w:tcW w:w="1276"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实例</w:t>
            </w:r>
          </w:p>
        </w:tc>
        <w:tc>
          <w:tcPr>
            <w:tcW w:w="1071"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600</w:t>
            </w:r>
          </w:p>
        </w:tc>
      </w:tr>
      <w:tr>
        <w:tblPrEx>
          <w:tblCellMar>
            <w:top w:w="0" w:type="dxa"/>
            <w:left w:w="108" w:type="dxa"/>
            <w:bottom w:w="0" w:type="dxa"/>
            <w:right w:w="108" w:type="dxa"/>
          </w:tblCellMar>
        </w:tblPrEx>
        <w:trPr>
          <w:trHeight w:val="320" w:hRule="atLeast"/>
        </w:trPr>
        <w:tc>
          <w:tcPr>
            <w:tcW w:w="1835"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RDS for PostgreSQL</w:t>
            </w:r>
          </w:p>
        </w:tc>
        <w:tc>
          <w:tcPr>
            <w:tcW w:w="4114"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4cpu/16GB内存/250GB存储</w:t>
            </w:r>
          </w:p>
        </w:tc>
        <w:tc>
          <w:tcPr>
            <w:tcW w:w="1276"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实例</w:t>
            </w:r>
          </w:p>
        </w:tc>
        <w:tc>
          <w:tcPr>
            <w:tcW w:w="1071"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100</w:t>
            </w:r>
          </w:p>
        </w:tc>
      </w:tr>
      <w:tr>
        <w:tblPrEx>
          <w:tblCellMar>
            <w:top w:w="0" w:type="dxa"/>
            <w:left w:w="108" w:type="dxa"/>
            <w:bottom w:w="0" w:type="dxa"/>
            <w:right w:w="108" w:type="dxa"/>
          </w:tblCellMar>
        </w:tblPrEx>
        <w:trPr>
          <w:trHeight w:val="320" w:hRule="atLeast"/>
        </w:trPr>
        <w:tc>
          <w:tcPr>
            <w:tcW w:w="1835"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RDS for Redis</w:t>
            </w:r>
          </w:p>
        </w:tc>
        <w:tc>
          <w:tcPr>
            <w:tcW w:w="4114"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8GB内存</w:t>
            </w:r>
          </w:p>
        </w:tc>
        <w:tc>
          <w:tcPr>
            <w:tcW w:w="1276"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实例</w:t>
            </w:r>
          </w:p>
        </w:tc>
        <w:tc>
          <w:tcPr>
            <w:tcW w:w="1071"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300</w:t>
            </w:r>
          </w:p>
        </w:tc>
      </w:tr>
      <w:tr>
        <w:tblPrEx>
          <w:tblCellMar>
            <w:top w:w="0" w:type="dxa"/>
            <w:left w:w="108" w:type="dxa"/>
            <w:bottom w:w="0" w:type="dxa"/>
            <w:right w:w="108" w:type="dxa"/>
          </w:tblCellMar>
        </w:tblPrEx>
        <w:trPr>
          <w:trHeight w:val="320" w:hRule="atLeast"/>
        </w:trPr>
        <w:tc>
          <w:tcPr>
            <w:tcW w:w="1835"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RDS for Mongodb</w:t>
            </w:r>
          </w:p>
        </w:tc>
        <w:tc>
          <w:tcPr>
            <w:tcW w:w="4114"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8cpu/32GB内存/300GB存储</w:t>
            </w:r>
          </w:p>
        </w:tc>
        <w:tc>
          <w:tcPr>
            <w:tcW w:w="1276"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实例</w:t>
            </w:r>
          </w:p>
        </w:tc>
        <w:tc>
          <w:tcPr>
            <w:tcW w:w="1071"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30</w:t>
            </w:r>
          </w:p>
        </w:tc>
      </w:tr>
      <w:tr>
        <w:tblPrEx>
          <w:tblCellMar>
            <w:top w:w="0" w:type="dxa"/>
            <w:left w:w="108" w:type="dxa"/>
            <w:bottom w:w="0" w:type="dxa"/>
            <w:right w:w="108" w:type="dxa"/>
          </w:tblCellMar>
        </w:tblPrEx>
        <w:trPr>
          <w:trHeight w:val="320" w:hRule="atLeast"/>
        </w:trPr>
        <w:tc>
          <w:tcPr>
            <w:tcW w:w="1835"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★PolarDB O</w:t>
            </w:r>
          </w:p>
        </w:tc>
        <w:tc>
          <w:tcPr>
            <w:tcW w:w="4114"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4C16G（独享型）</w:t>
            </w:r>
          </w:p>
        </w:tc>
        <w:tc>
          <w:tcPr>
            <w:tcW w:w="1276"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实例</w:t>
            </w:r>
          </w:p>
        </w:tc>
        <w:tc>
          <w:tcPr>
            <w:tcW w:w="1071"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48</w:t>
            </w:r>
          </w:p>
        </w:tc>
      </w:tr>
      <w:tr>
        <w:tblPrEx>
          <w:tblCellMar>
            <w:top w:w="0" w:type="dxa"/>
            <w:left w:w="108" w:type="dxa"/>
            <w:bottom w:w="0" w:type="dxa"/>
            <w:right w:w="108" w:type="dxa"/>
          </w:tblCellMar>
        </w:tblPrEx>
        <w:trPr>
          <w:trHeight w:val="320" w:hRule="atLeast"/>
        </w:trPr>
        <w:tc>
          <w:tcPr>
            <w:tcW w:w="1835"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文件存储服务NAS</w:t>
            </w:r>
          </w:p>
        </w:tc>
        <w:tc>
          <w:tcPr>
            <w:tcW w:w="4114"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c>
          <w:tcPr>
            <w:tcW w:w="1276"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TB</w:t>
            </w:r>
          </w:p>
        </w:tc>
        <w:tc>
          <w:tcPr>
            <w:tcW w:w="1071"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135</w:t>
            </w:r>
          </w:p>
        </w:tc>
      </w:tr>
      <w:tr>
        <w:tblPrEx>
          <w:tblCellMar>
            <w:top w:w="0" w:type="dxa"/>
            <w:left w:w="108" w:type="dxa"/>
            <w:bottom w:w="0" w:type="dxa"/>
            <w:right w:w="108" w:type="dxa"/>
          </w:tblCellMar>
        </w:tblPrEx>
        <w:trPr>
          <w:trHeight w:val="320" w:hRule="atLeast"/>
        </w:trPr>
        <w:tc>
          <w:tcPr>
            <w:tcW w:w="1835"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★对象存储服务OSS</w:t>
            </w:r>
          </w:p>
        </w:tc>
        <w:tc>
          <w:tcPr>
            <w:tcW w:w="4114"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c>
          <w:tcPr>
            <w:tcW w:w="1276"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TB</w:t>
            </w:r>
          </w:p>
        </w:tc>
        <w:tc>
          <w:tcPr>
            <w:tcW w:w="1071"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950</w:t>
            </w:r>
          </w:p>
        </w:tc>
      </w:tr>
      <w:tr>
        <w:tblPrEx>
          <w:tblCellMar>
            <w:top w:w="0" w:type="dxa"/>
            <w:left w:w="108" w:type="dxa"/>
            <w:bottom w:w="0" w:type="dxa"/>
            <w:right w:w="108" w:type="dxa"/>
          </w:tblCellMar>
        </w:tblPrEx>
        <w:trPr>
          <w:trHeight w:val="320" w:hRule="atLeast"/>
        </w:trPr>
        <w:tc>
          <w:tcPr>
            <w:tcW w:w="1835" w:type="dxa"/>
            <w:vMerge w:val="restart"/>
            <w:tcBorders>
              <w:top w:val="nil"/>
              <w:left w:val="single" w:color="auto" w:sz="4" w:space="0"/>
              <w:bottom w:val="single" w:color="000000"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ODPS</w:t>
            </w:r>
          </w:p>
        </w:tc>
        <w:tc>
          <w:tcPr>
            <w:tcW w:w="4114"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计算CU</w:t>
            </w:r>
          </w:p>
        </w:tc>
        <w:tc>
          <w:tcPr>
            <w:tcW w:w="1276"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CU数</w:t>
            </w:r>
          </w:p>
        </w:tc>
        <w:tc>
          <w:tcPr>
            <w:tcW w:w="1071"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1900</w:t>
            </w:r>
          </w:p>
        </w:tc>
      </w:tr>
      <w:tr>
        <w:tblPrEx>
          <w:tblCellMar>
            <w:top w:w="0" w:type="dxa"/>
            <w:left w:w="108" w:type="dxa"/>
            <w:bottom w:w="0" w:type="dxa"/>
            <w:right w:w="108" w:type="dxa"/>
          </w:tblCellMar>
        </w:tblPrEx>
        <w:trPr>
          <w:trHeight w:val="320" w:hRule="atLeast"/>
        </w:trPr>
        <w:tc>
          <w:tcPr>
            <w:tcW w:w="1835" w:type="dxa"/>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4114"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存储容量TB</w:t>
            </w:r>
          </w:p>
        </w:tc>
        <w:tc>
          <w:tcPr>
            <w:tcW w:w="1276"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TB</w:t>
            </w:r>
          </w:p>
        </w:tc>
        <w:tc>
          <w:tcPr>
            <w:tcW w:w="1071"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1450</w:t>
            </w:r>
          </w:p>
        </w:tc>
      </w:tr>
      <w:tr>
        <w:tblPrEx>
          <w:tblCellMar>
            <w:top w:w="0" w:type="dxa"/>
            <w:left w:w="108" w:type="dxa"/>
            <w:bottom w:w="0" w:type="dxa"/>
            <w:right w:w="108" w:type="dxa"/>
          </w:tblCellMar>
        </w:tblPrEx>
        <w:trPr>
          <w:trHeight w:val="320" w:hRule="atLeast"/>
        </w:trPr>
        <w:tc>
          <w:tcPr>
            <w:tcW w:w="1835"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分析型数据库ADS</w:t>
            </w:r>
          </w:p>
        </w:tc>
        <w:tc>
          <w:tcPr>
            <w:tcW w:w="4114"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C4(30GB内存／180GB SSD 存储）</w:t>
            </w:r>
          </w:p>
        </w:tc>
        <w:tc>
          <w:tcPr>
            <w:tcW w:w="1276"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实例</w:t>
            </w:r>
          </w:p>
        </w:tc>
        <w:tc>
          <w:tcPr>
            <w:tcW w:w="1071"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70</w:t>
            </w:r>
          </w:p>
        </w:tc>
      </w:tr>
      <w:tr>
        <w:tblPrEx>
          <w:tblCellMar>
            <w:top w:w="0" w:type="dxa"/>
            <w:left w:w="108" w:type="dxa"/>
            <w:bottom w:w="0" w:type="dxa"/>
            <w:right w:w="108" w:type="dxa"/>
          </w:tblCellMar>
        </w:tblPrEx>
        <w:trPr>
          <w:trHeight w:val="320" w:hRule="atLeast"/>
        </w:trPr>
        <w:tc>
          <w:tcPr>
            <w:tcW w:w="1835"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分布式关系型数据库DRDS</w:t>
            </w:r>
          </w:p>
        </w:tc>
        <w:tc>
          <w:tcPr>
            <w:tcW w:w="4114"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8core /16GB 内存</w:t>
            </w:r>
          </w:p>
        </w:tc>
        <w:tc>
          <w:tcPr>
            <w:tcW w:w="1276"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实例</w:t>
            </w:r>
          </w:p>
        </w:tc>
        <w:tc>
          <w:tcPr>
            <w:tcW w:w="1071"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45</w:t>
            </w:r>
          </w:p>
        </w:tc>
      </w:tr>
      <w:tr>
        <w:tblPrEx>
          <w:tblCellMar>
            <w:top w:w="0" w:type="dxa"/>
            <w:left w:w="108" w:type="dxa"/>
            <w:bottom w:w="0" w:type="dxa"/>
            <w:right w:w="108" w:type="dxa"/>
          </w:tblCellMar>
        </w:tblPrEx>
        <w:trPr>
          <w:trHeight w:val="320" w:hRule="atLeast"/>
        </w:trPr>
        <w:tc>
          <w:tcPr>
            <w:tcW w:w="1835"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消息队列MQ</w:t>
            </w:r>
          </w:p>
        </w:tc>
        <w:tc>
          <w:tcPr>
            <w:tcW w:w="4114"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1276"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topic</w:t>
            </w:r>
          </w:p>
        </w:tc>
        <w:tc>
          <w:tcPr>
            <w:tcW w:w="1071"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50</w:t>
            </w:r>
          </w:p>
        </w:tc>
      </w:tr>
      <w:tr>
        <w:tblPrEx>
          <w:tblCellMar>
            <w:top w:w="0" w:type="dxa"/>
            <w:left w:w="108" w:type="dxa"/>
            <w:bottom w:w="0" w:type="dxa"/>
            <w:right w:w="108" w:type="dxa"/>
          </w:tblCellMar>
        </w:tblPrEx>
        <w:trPr>
          <w:trHeight w:val="320" w:hRule="atLeast"/>
        </w:trPr>
        <w:tc>
          <w:tcPr>
            <w:tcW w:w="1835"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流计算服务Blink</w:t>
            </w:r>
          </w:p>
        </w:tc>
        <w:tc>
          <w:tcPr>
            <w:tcW w:w="4114"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CU</w:t>
            </w:r>
          </w:p>
        </w:tc>
        <w:tc>
          <w:tcPr>
            <w:tcW w:w="1276"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CU数</w:t>
            </w:r>
          </w:p>
        </w:tc>
        <w:tc>
          <w:tcPr>
            <w:tcW w:w="1071"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640</w:t>
            </w:r>
          </w:p>
        </w:tc>
      </w:tr>
      <w:tr>
        <w:tblPrEx>
          <w:tblCellMar>
            <w:top w:w="0" w:type="dxa"/>
            <w:left w:w="108" w:type="dxa"/>
            <w:bottom w:w="0" w:type="dxa"/>
            <w:right w:w="108" w:type="dxa"/>
          </w:tblCellMar>
        </w:tblPrEx>
        <w:trPr>
          <w:trHeight w:val="320" w:hRule="atLeast"/>
        </w:trPr>
        <w:tc>
          <w:tcPr>
            <w:tcW w:w="1835"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流计算服务Blink for GPU</w:t>
            </w:r>
          </w:p>
        </w:tc>
        <w:tc>
          <w:tcPr>
            <w:tcW w:w="4114"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CU</w:t>
            </w:r>
          </w:p>
        </w:tc>
        <w:tc>
          <w:tcPr>
            <w:tcW w:w="1276"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CU数</w:t>
            </w:r>
          </w:p>
        </w:tc>
        <w:tc>
          <w:tcPr>
            <w:tcW w:w="1071"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920</w:t>
            </w:r>
          </w:p>
        </w:tc>
      </w:tr>
      <w:tr>
        <w:tblPrEx>
          <w:tblCellMar>
            <w:top w:w="0" w:type="dxa"/>
            <w:left w:w="108" w:type="dxa"/>
            <w:bottom w:w="0" w:type="dxa"/>
            <w:right w:w="108" w:type="dxa"/>
          </w:tblCellMar>
        </w:tblPrEx>
        <w:trPr>
          <w:trHeight w:val="320" w:hRule="atLeast"/>
        </w:trPr>
        <w:tc>
          <w:tcPr>
            <w:tcW w:w="1835"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★负载均衡SLB</w:t>
            </w:r>
          </w:p>
        </w:tc>
        <w:tc>
          <w:tcPr>
            <w:tcW w:w="4114"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该规格最大可以支持连接数: 50000，新建连接数 (CPS): 5000，每秒查询数 (QPS): 5000</w:t>
            </w:r>
          </w:p>
        </w:tc>
        <w:tc>
          <w:tcPr>
            <w:tcW w:w="1276"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实例</w:t>
            </w:r>
          </w:p>
        </w:tc>
        <w:tc>
          <w:tcPr>
            <w:tcW w:w="1071"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1000</w:t>
            </w:r>
          </w:p>
        </w:tc>
      </w:tr>
      <w:tr>
        <w:tblPrEx>
          <w:tblCellMar>
            <w:top w:w="0" w:type="dxa"/>
            <w:left w:w="108" w:type="dxa"/>
            <w:bottom w:w="0" w:type="dxa"/>
            <w:right w:w="108" w:type="dxa"/>
          </w:tblCellMar>
        </w:tblPrEx>
        <w:trPr>
          <w:trHeight w:val="320" w:hRule="atLeast"/>
        </w:trPr>
        <w:tc>
          <w:tcPr>
            <w:tcW w:w="1835" w:type="dxa"/>
            <w:tcBorders>
              <w:top w:val="nil"/>
              <w:left w:val="single" w:color="auto" w:sz="4" w:space="0"/>
              <w:bottom w:val="single" w:color="auto" w:sz="4" w:space="0"/>
              <w:right w:val="nil"/>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DataHub</w:t>
            </w:r>
          </w:p>
        </w:tc>
        <w:tc>
          <w:tcPr>
            <w:tcW w:w="4114"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100MB/S批量数据写入的吞吐性能</w:t>
            </w:r>
          </w:p>
        </w:tc>
        <w:tc>
          <w:tcPr>
            <w:tcW w:w="1276"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TB</w:t>
            </w:r>
          </w:p>
        </w:tc>
        <w:tc>
          <w:tcPr>
            <w:tcW w:w="1071"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240</w:t>
            </w:r>
          </w:p>
        </w:tc>
      </w:tr>
    </w:tbl>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bCs/>
          <w:color w:val="000000" w:themeColor="text1"/>
          <w:sz w:val="24"/>
          <w:szCs w:val="24"/>
          <w14:textFill>
            <w14:solidFill>
              <w14:schemeClr w14:val="tx1"/>
            </w14:solidFill>
          </w14:textFill>
        </w:rPr>
      </w:pP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（二）云服务基础指标要求</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325"/>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shd w:val="clear" w:color="auto" w:fill="DBE5F1"/>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指标项</w:t>
            </w:r>
          </w:p>
        </w:tc>
        <w:tc>
          <w:tcPr>
            <w:tcW w:w="6325" w:type="dxa"/>
            <w:shd w:val="clear" w:color="auto" w:fill="DBE5F1"/>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规格要求</w:t>
            </w:r>
          </w:p>
        </w:tc>
        <w:tc>
          <w:tcPr>
            <w:tcW w:w="666" w:type="dxa"/>
            <w:shd w:val="clear" w:color="auto" w:fill="DBE5F1"/>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建设标准</w:t>
            </w:r>
          </w:p>
        </w:tc>
        <w:tc>
          <w:tcPr>
            <w:tcW w:w="6325" w:type="dxa"/>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平台基于阿里云“飞天”架构，需满足全省统一的“一朵云”架构。</w:t>
            </w:r>
          </w:p>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需和我市政务云（一期）使用同一个云资源管理系统，实现省对地市云资源利用率、可靠性的监测。</w:t>
            </w:r>
          </w:p>
        </w:tc>
        <w:tc>
          <w:tcPr>
            <w:tcW w:w="666" w:type="dxa"/>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6325" w:type="dxa"/>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采用统一管理集群资源，统一管理集群内的CPU、内存、磁盘和网络资源，使得这些关键资源可以被高效地使用。</w:t>
            </w:r>
          </w:p>
        </w:tc>
        <w:tc>
          <w:tcPr>
            <w:tcW w:w="666" w:type="dxa"/>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1" w:type="dxa"/>
            <w:vMerge w:val="continue"/>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6325" w:type="dxa"/>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采用文件多备份的策略提高存储的可靠性。</w:t>
            </w:r>
          </w:p>
        </w:tc>
        <w:tc>
          <w:tcPr>
            <w:tcW w:w="666" w:type="dxa"/>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6325" w:type="dxa"/>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根据应用对资源进行全局的调度，提高资源的利用率。</w:t>
            </w:r>
          </w:p>
        </w:tc>
        <w:tc>
          <w:tcPr>
            <w:tcW w:w="666" w:type="dxa"/>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6325" w:type="dxa"/>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采用自动故障切换提高系统整体的可用性。</w:t>
            </w:r>
          </w:p>
        </w:tc>
        <w:tc>
          <w:tcPr>
            <w:tcW w:w="666" w:type="dxa"/>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6325" w:type="dxa"/>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采用统一的安全措施，保证政务信息的安全性。</w:t>
            </w:r>
          </w:p>
        </w:tc>
        <w:tc>
          <w:tcPr>
            <w:tcW w:w="666" w:type="dxa"/>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1" w:type="dxa"/>
            <w:vMerge w:val="continue"/>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6325" w:type="dxa"/>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采用统一运维的方式，提高系统的安全并降低成本。</w:t>
            </w:r>
          </w:p>
        </w:tc>
        <w:tc>
          <w:tcPr>
            <w:tcW w:w="666" w:type="dxa"/>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市场商业化程度</w:t>
            </w:r>
          </w:p>
        </w:tc>
        <w:tc>
          <w:tcPr>
            <w:tcW w:w="6325" w:type="dxa"/>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云服务已商业化运行，经过了市场的有效检验。</w:t>
            </w:r>
          </w:p>
        </w:tc>
        <w:tc>
          <w:tcPr>
            <w:tcW w:w="666" w:type="dxa"/>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政务VIP服务</w:t>
            </w:r>
          </w:p>
        </w:tc>
        <w:tc>
          <w:tcPr>
            <w:tcW w:w="6325" w:type="dxa"/>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为政务用户提供VIP服务，划定政务服务逻辑专区，集中存放政务应用系统和数据资源，专区内的物理主机、存储、数据库、网络等资源不得提供给非政务用户使用。</w:t>
            </w:r>
          </w:p>
        </w:tc>
        <w:tc>
          <w:tcPr>
            <w:tcW w:w="666" w:type="dxa"/>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1" w:type="dxa"/>
            <w:shd w:val="clear" w:color="auto" w:fill="FFFFFF"/>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单集群规模</w:t>
            </w:r>
          </w:p>
        </w:tc>
        <w:tc>
          <w:tcPr>
            <w:tcW w:w="6325" w:type="dxa"/>
            <w:shd w:val="clear" w:color="auto" w:fill="FFFFFF"/>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单个集群可支持5000台物理服务器。</w:t>
            </w:r>
          </w:p>
        </w:tc>
        <w:tc>
          <w:tcPr>
            <w:tcW w:w="666" w:type="dxa"/>
            <w:shd w:val="clear" w:color="auto" w:fill="FFFFFF"/>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资源管理</w:t>
            </w:r>
          </w:p>
        </w:tc>
        <w:tc>
          <w:tcPr>
            <w:tcW w:w="6325" w:type="dxa"/>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负责调度和分配集群的内存和计算等资源给上层应用和服务，管理运行在集群节点上的任务的生命周期和资源使用。</w:t>
            </w:r>
          </w:p>
        </w:tc>
        <w:tc>
          <w:tcPr>
            <w:tcW w:w="666" w:type="dxa"/>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安全管理</w:t>
            </w:r>
          </w:p>
        </w:tc>
        <w:tc>
          <w:tcPr>
            <w:tcW w:w="6325" w:type="dxa"/>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安全管理提供以用户为单位的身份认证和授权，对集群数据资源和服务进行访问控制生成。</w:t>
            </w:r>
          </w:p>
        </w:tc>
        <w:tc>
          <w:tcPr>
            <w:tcW w:w="666" w:type="dxa"/>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远程过程调用</w:t>
            </w:r>
          </w:p>
        </w:tc>
        <w:tc>
          <w:tcPr>
            <w:tcW w:w="6325" w:type="dxa"/>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远程过程调用提供可靠高效的进程间远程调用服务，支持通讯信道的数据压缩和一致性校验。</w:t>
            </w:r>
          </w:p>
        </w:tc>
        <w:tc>
          <w:tcPr>
            <w:tcW w:w="666" w:type="dxa"/>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分布协同服务</w:t>
            </w:r>
          </w:p>
        </w:tc>
        <w:tc>
          <w:tcPr>
            <w:tcW w:w="6325" w:type="dxa"/>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分布协同服务提供分布式系统基本的命名服务、状态同步服务和分布式锁服务。</w:t>
            </w:r>
          </w:p>
        </w:tc>
        <w:tc>
          <w:tcPr>
            <w:tcW w:w="666" w:type="dxa"/>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分布式文件系统</w:t>
            </w:r>
          </w:p>
        </w:tc>
        <w:tc>
          <w:tcPr>
            <w:tcW w:w="6325" w:type="dxa"/>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能实现大规模数据的快速读写功能，具备文件并行操作的高效机制。</w:t>
            </w:r>
          </w:p>
        </w:tc>
        <w:tc>
          <w:tcPr>
            <w:tcW w:w="666" w:type="dxa"/>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6325" w:type="dxa"/>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拥有存储系统状态的监视机制以及故障诊断和恢复高效算法。</w:t>
            </w:r>
          </w:p>
        </w:tc>
        <w:tc>
          <w:tcPr>
            <w:tcW w:w="666" w:type="dxa"/>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6325" w:type="dxa"/>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具备数据安全防护，包括数据加密技术，冗余存储和自动恢复技术，多租户，用户隔离，访问控制技术，为云存储提供数据安全保障。</w:t>
            </w:r>
          </w:p>
        </w:tc>
        <w:tc>
          <w:tcPr>
            <w:tcW w:w="666" w:type="dxa"/>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6325" w:type="dxa"/>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支持大规模并发读写，充分利用分布式并行带宽。</w:t>
            </w:r>
          </w:p>
        </w:tc>
        <w:tc>
          <w:tcPr>
            <w:tcW w:w="666" w:type="dxa"/>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任务调度</w:t>
            </w:r>
          </w:p>
        </w:tc>
        <w:tc>
          <w:tcPr>
            <w:tcW w:w="6325" w:type="dxa"/>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采用数据驱动的多级流水线并行计算框架，在表述能力上兼容MapReduce，Map-Reduce-Merge等多种编程模式。</w:t>
            </w:r>
          </w:p>
        </w:tc>
        <w:tc>
          <w:tcPr>
            <w:tcW w:w="666" w:type="dxa"/>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6325" w:type="dxa"/>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高可扩展性，支持十万以上级的并行任务调度。</w:t>
            </w:r>
          </w:p>
        </w:tc>
        <w:tc>
          <w:tcPr>
            <w:tcW w:w="666" w:type="dxa"/>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6325" w:type="dxa"/>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自动检测故障和系统热点，重试失败任务，保证作业稳定可靠运行完成。</w:t>
            </w:r>
          </w:p>
        </w:tc>
        <w:tc>
          <w:tcPr>
            <w:tcW w:w="666" w:type="dxa"/>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大规模数据分析</w:t>
            </w:r>
          </w:p>
        </w:tc>
        <w:tc>
          <w:tcPr>
            <w:tcW w:w="6325" w:type="dxa"/>
            <w:vAlign w:val="center"/>
          </w:tcPr>
          <w:p>
            <w:pPr>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支持Map、Reduce、Join、Union 等多种数据节点处理模式，支持直接使用SQL 语句对海量数据进行离线分析。</w:t>
            </w:r>
          </w:p>
        </w:tc>
        <w:tc>
          <w:tcPr>
            <w:tcW w:w="666" w:type="dxa"/>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6325" w:type="dxa"/>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提供与ANSI SQL 高度兼容的语法支持，支持用户复杂的数据分析需求。提供Client 工具、RESTful 开放接口以及Java SDK 来为用户服务，用户可以根据自己的需求选择合适的方式来使用该服务。</w:t>
            </w:r>
          </w:p>
        </w:tc>
        <w:tc>
          <w:tcPr>
            <w:tcW w:w="666" w:type="dxa"/>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集群部署与监控</w:t>
            </w:r>
          </w:p>
        </w:tc>
        <w:tc>
          <w:tcPr>
            <w:tcW w:w="6325" w:type="dxa"/>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集群部署与监控提供整个政务云以及上层应用服务的部署、配置管理、以及服务的自检和自举。</w:t>
            </w:r>
          </w:p>
        </w:tc>
        <w:tc>
          <w:tcPr>
            <w:tcW w:w="666" w:type="dxa"/>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6325" w:type="dxa"/>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支持在线集群扩容。</w:t>
            </w:r>
          </w:p>
        </w:tc>
        <w:tc>
          <w:tcPr>
            <w:tcW w:w="666" w:type="dxa"/>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531" w:type="dxa"/>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平台网络要求</w:t>
            </w:r>
          </w:p>
        </w:tc>
        <w:tc>
          <w:tcPr>
            <w:tcW w:w="6325" w:type="dxa"/>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★具备可与湖州市政务外网相对接的网络环境。</w:t>
            </w:r>
          </w:p>
        </w:tc>
        <w:tc>
          <w:tcPr>
            <w:tcW w:w="666" w:type="dxa"/>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与一期政务云平台的关系</w:t>
            </w:r>
          </w:p>
        </w:tc>
        <w:tc>
          <w:tcPr>
            <w:tcW w:w="6325" w:type="dxa"/>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eastAsia="zh-Hans"/>
                <w14:textFill>
                  <w14:solidFill>
                    <w14:schemeClr w14:val="tx1"/>
                  </w14:solidFill>
                </w14:textFill>
              </w:rPr>
              <w:t>政务云扩容云平台作为一期云平台的延伸，相关数据需要落在湖州</w:t>
            </w:r>
            <w:r>
              <w:rPr>
                <w:rFonts w:hint="eastAsia" w:ascii="仿宋" w:hAnsi="仿宋" w:eastAsia="仿宋" w:cs="仿宋"/>
                <w:color w:val="000000" w:themeColor="text1"/>
                <w:kern w:val="0"/>
                <w:sz w:val="24"/>
                <w:szCs w:val="24"/>
                <w14:textFill>
                  <w14:solidFill>
                    <w14:schemeClr w14:val="tx1"/>
                  </w14:solidFill>
                </w14:textFill>
              </w:rPr>
              <w:t>市</w:t>
            </w:r>
            <w:r>
              <w:rPr>
                <w:rFonts w:hint="eastAsia" w:ascii="仿宋" w:hAnsi="仿宋" w:eastAsia="仿宋" w:cs="仿宋"/>
                <w:color w:val="000000" w:themeColor="text1"/>
                <w:kern w:val="0"/>
                <w:sz w:val="24"/>
                <w:szCs w:val="24"/>
                <w:lang w:eastAsia="zh-Hans"/>
                <w14:textFill>
                  <w14:solidFill>
                    <w14:schemeClr w14:val="tx1"/>
                  </w14:solidFill>
                </w14:textFill>
              </w:rPr>
              <w:t>本地，扩容云平台与一期云平台数据互做备份</w:t>
            </w:r>
            <w:r>
              <w:rPr>
                <w:rFonts w:hint="eastAsia" w:ascii="仿宋" w:hAnsi="仿宋" w:eastAsia="仿宋" w:cs="仿宋"/>
                <w:color w:val="000000" w:themeColor="text1"/>
                <w:kern w:val="0"/>
                <w:sz w:val="24"/>
                <w:szCs w:val="24"/>
                <w14:textFill>
                  <w14:solidFill>
                    <w14:schemeClr w14:val="tx1"/>
                  </w14:solidFill>
                </w14:textFill>
              </w:rPr>
              <w:t>，云资源管理平台需使用政务云（一期）平台</w:t>
            </w:r>
            <w:r>
              <w:rPr>
                <w:rFonts w:hint="eastAsia" w:ascii="仿宋" w:hAnsi="仿宋" w:eastAsia="仿宋" w:cs="仿宋"/>
                <w:color w:val="000000" w:themeColor="text1"/>
                <w:kern w:val="0"/>
                <w:sz w:val="24"/>
                <w:szCs w:val="24"/>
                <w:lang w:eastAsia="zh-Hans"/>
                <w14:textFill>
                  <w14:solidFill>
                    <w14:schemeClr w14:val="tx1"/>
                  </w14:solidFill>
                </w14:textFill>
              </w:rPr>
              <w:t>。针对数据读写性能要求高的应用，存在跨区域的数据访问场景，对网络延时要求高，对于两个专有云域进行管理存在物理距离的限制，</w:t>
            </w:r>
            <w:r>
              <w:rPr>
                <w:rFonts w:hint="eastAsia" w:ascii="仿宋" w:hAnsi="仿宋" w:eastAsia="仿宋" w:cs="仿宋"/>
                <w:color w:val="000000" w:themeColor="text1"/>
                <w:kern w:val="0"/>
                <w:sz w:val="24"/>
                <w:szCs w:val="24"/>
                <w14:textFill>
                  <w14:solidFill>
                    <w14:schemeClr w14:val="tx1"/>
                  </w14:solidFill>
                </w14:textFill>
              </w:rPr>
              <w:t>要求与湖州市市民服务中心</w:t>
            </w:r>
            <w:r>
              <w:rPr>
                <w:rFonts w:hint="eastAsia" w:ascii="仿宋" w:hAnsi="仿宋" w:eastAsia="仿宋" w:cs="仿宋"/>
                <w:color w:val="000000" w:themeColor="text1"/>
                <w:kern w:val="0"/>
                <w:sz w:val="24"/>
                <w:szCs w:val="24"/>
                <w:lang w:eastAsia="zh-Hans"/>
                <w14:textFill>
                  <w14:solidFill>
                    <w14:schemeClr w14:val="tx1"/>
                  </w14:solidFill>
                </w14:textFill>
              </w:rPr>
              <w:t>物理距离不能超过1</w:t>
            </w:r>
            <w:r>
              <w:rPr>
                <w:rFonts w:hint="eastAsia" w:ascii="仿宋" w:hAnsi="仿宋" w:eastAsia="仿宋" w:cs="仿宋"/>
                <w:color w:val="000000" w:themeColor="text1"/>
                <w:kern w:val="0"/>
                <w:sz w:val="24"/>
                <w:szCs w:val="24"/>
                <w14:textFill>
                  <w14:solidFill>
                    <w14:schemeClr w14:val="tx1"/>
                  </w14:solidFill>
                </w14:textFill>
              </w:rPr>
              <w:t>0</w:t>
            </w:r>
            <w:r>
              <w:rPr>
                <w:rFonts w:hint="eastAsia" w:ascii="仿宋" w:hAnsi="仿宋" w:eastAsia="仿宋" w:cs="仿宋"/>
                <w:color w:val="000000" w:themeColor="text1"/>
                <w:kern w:val="0"/>
                <w:sz w:val="24"/>
                <w:szCs w:val="24"/>
                <w:lang w:eastAsia="zh-Hans"/>
                <w14:textFill>
                  <w14:solidFill>
                    <w14:schemeClr w14:val="tx1"/>
                  </w14:solidFill>
                </w14:textFill>
              </w:rPr>
              <w:t>KM。</w:t>
            </w:r>
          </w:p>
        </w:tc>
        <w:tc>
          <w:tcPr>
            <w:tcW w:w="666" w:type="dxa"/>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运维保障</w:t>
            </w:r>
          </w:p>
        </w:tc>
        <w:tc>
          <w:tcPr>
            <w:tcW w:w="6325" w:type="dxa"/>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保障7*24小时云平台稳定运行，稳定运行率达99.95%。</w:t>
            </w:r>
          </w:p>
        </w:tc>
        <w:tc>
          <w:tcPr>
            <w:tcW w:w="666" w:type="dxa"/>
            <w:vAlign w:val="center"/>
          </w:tcPr>
          <w:p>
            <w:pPr>
              <w:pStyle w:val="68"/>
              <w:pageBreakBefore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c>
          <w:tcPr>
            <w:tcW w:w="6325" w:type="dxa"/>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专门配属具备多年云平台维护经验运维人员。</w:t>
            </w:r>
          </w:p>
        </w:tc>
        <w:tc>
          <w:tcPr>
            <w:tcW w:w="666" w:type="dxa"/>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云平台互联网出口及政务网边界防护要求</w:t>
            </w:r>
          </w:p>
        </w:tc>
        <w:tc>
          <w:tcPr>
            <w:tcW w:w="6325" w:type="dxa"/>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eastAsia="zh-Hans"/>
                <w14:textFill>
                  <w14:solidFill>
                    <w14:schemeClr w14:val="tx1"/>
                  </w14:solidFill>
                </w14:textFill>
              </w:rPr>
              <w:t>基于防火墙、态势感知</w:t>
            </w:r>
            <w:r>
              <w:rPr>
                <w:rFonts w:hint="eastAsia" w:ascii="仿宋" w:hAnsi="仿宋" w:eastAsia="仿宋" w:cs="仿宋"/>
                <w:color w:val="000000" w:themeColor="text1"/>
                <w:kern w:val="0"/>
                <w:sz w:val="24"/>
                <w:szCs w:val="24"/>
                <w14:textFill>
                  <w14:solidFill>
                    <w14:schemeClr w14:val="tx1"/>
                  </w14:solidFill>
                </w14:textFill>
              </w:rPr>
              <w:t>提供政务云平台互联网出口及政务网边界防护，提供入侵防护、异常流量攻击等安全防护，提供基于IP和端口的精细化安全策略防护。</w:t>
            </w:r>
          </w:p>
        </w:tc>
        <w:tc>
          <w:tcPr>
            <w:tcW w:w="666" w:type="dxa"/>
            <w:vAlign w:val="center"/>
          </w:tcPr>
          <w:p>
            <w:pPr>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p>
        </w:tc>
      </w:tr>
    </w:tbl>
    <w:p>
      <w:pPr>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themeColor="text1"/>
          <w:sz w:val="24"/>
          <w:szCs w:val="24"/>
          <w14:textFill>
            <w14:solidFill>
              <w14:schemeClr w14:val="tx1"/>
            </w14:solidFill>
          </w14:textFill>
        </w:rPr>
      </w:pP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（三）服务要求（需包含以下服务但不限于以下内容）</w:t>
      </w:r>
    </w:p>
    <w:p>
      <w:pPr>
        <w:pStyle w:val="2"/>
        <w:pageBreakBefore w:val="0"/>
        <w:numPr>
          <w:ilvl w:val="0"/>
          <w:numId w:val="2"/>
        </w:numPr>
        <w:kinsoku/>
        <w:wordWrap/>
        <w:overflowPunct/>
        <w:topLinePunct w:val="0"/>
        <w:autoSpaceDE/>
        <w:autoSpaceDN/>
        <w:bidi w:val="0"/>
        <w:adjustRightInd/>
        <w:spacing w:line="400" w:lineRule="exact"/>
        <w:ind w:firstLineChars="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基础设施资源服务：包括机房资源服务、网络资源服务、计算资源服务、存储资源服务和将政务云ECS、RDS、OSS灾备至市行政中心3号楼灾备中心技术支持。</w:t>
      </w:r>
    </w:p>
    <w:p>
      <w:pPr>
        <w:pStyle w:val="2"/>
        <w:pageBreakBefore w:val="0"/>
        <w:numPr>
          <w:ilvl w:val="0"/>
          <w:numId w:val="2"/>
        </w:numPr>
        <w:kinsoku/>
        <w:wordWrap/>
        <w:overflowPunct/>
        <w:topLinePunct w:val="0"/>
        <w:autoSpaceDE/>
        <w:autoSpaceDN/>
        <w:bidi w:val="0"/>
        <w:adjustRightInd/>
        <w:spacing w:line="400" w:lineRule="exact"/>
        <w:ind w:firstLineChars="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支撑软件资源服务：对于用户提出的操作系统、数据库、中间件等应用支撑软件服务需求，云服务商应提供相应服务。</w:t>
      </w:r>
    </w:p>
    <w:p>
      <w:pPr>
        <w:pStyle w:val="2"/>
        <w:pageBreakBefore w:val="0"/>
        <w:numPr>
          <w:ilvl w:val="0"/>
          <w:numId w:val="2"/>
        </w:numPr>
        <w:kinsoku/>
        <w:wordWrap/>
        <w:overflowPunct/>
        <w:topLinePunct w:val="0"/>
        <w:autoSpaceDE/>
        <w:autoSpaceDN/>
        <w:bidi w:val="0"/>
        <w:adjustRightInd/>
        <w:spacing w:line="400" w:lineRule="exact"/>
        <w:ind w:firstLineChars="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信息安全技术服务：包括安全防护服务、用户安全服务、安全接入服务、安全管理服务、安全扫描服务、网站防护服务等。</w:t>
      </w:r>
    </w:p>
    <w:p>
      <w:pPr>
        <w:pStyle w:val="2"/>
        <w:pageBreakBefore w:val="0"/>
        <w:numPr>
          <w:ilvl w:val="0"/>
          <w:numId w:val="2"/>
        </w:numPr>
        <w:kinsoku/>
        <w:wordWrap/>
        <w:overflowPunct/>
        <w:topLinePunct w:val="0"/>
        <w:autoSpaceDE/>
        <w:autoSpaceDN/>
        <w:bidi w:val="0"/>
        <w:adjustRightInd/>
        <w:spacing w:line="400" w:lineRule="exact"/>
        <w:ind w:firstLineChars="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应用部署迁移服务：包括应用部署和业务迁移两类服务。应用部署服务包括部署设计服务、部署验证服务、部署实施服务，业务迁移服务包括迁移设计服务、数据迁移服务、业务系统迁移服务。</w:t>
      </w:r>
    </w:p>
    <w:p>
      <w:pPr>
        <w:pStyle w:val="2"/>
        <w:pageBreakBefore w:val="0"/>
        <w:numPr>
          <w:ilvl w:val="0"/>
          <w:numId w:val="2"/>
        </w:numPr>
        <w:kinsoku/>
        <w:wordWrap/>
        <w:overflowPunct/>
        <w:topLinePunct w:val="0"/>
        <w:autoSpaceDE/>
        <w:autoSpaceDN/>
        <w:bidi w:val="0"/>
        <w:adjustRightInd/>
        <w:spacing w:line="400" w:lineRule="exact"/>
        <w:ind w:firstLineChars="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服务的实施：包括基础设施服务实施、支撑软件服务实施、信息安全服务实施、运行保障服务实施。</w:t>
      </w:r>
    </w:p>
    <w:p>
      <w:pPr>
        <w:pStyle w:val="2"/>
        <w:pageBreakBefore w:val="0"/>
        <w:numPr>
          <w:ilvl w:val="0"/>
          <w:numId w:val="2"/>
        </w:numPr>
        <w:kinsoku/>
        <w:wordWrap/>
        <w:overflowPunct/>
        <w:topLinePunct w:val="0"/>
        <w:autoSpaceDE/>
        <w:autoSpaceDN/>
        <w:bidi w:val="0"/>
        <w:adjustRightInd/>
        <w:spacing w:line="400" w:lineRule="exact"/>
        <w:ind w:firstLineChars="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运行保障服务：包括政务云平台的资源监测、资源配置、资源优化、服务监控、事件处理、运维流程、日常巡检、备份恢复、灾备管理、应急预案管理、服务质量监督和报告等服务。</w:t>
      </w:r>
    </w:p>
    <w:p>
      <w:pPr>
        <w:pStyle w:val="2"/>
        <w:pageBreakBefore w:val="0"/>
        <w:numPr>
          <w:ilvl w:val="0"/>
          <w:numId w:val="2"/>
        </w:numPr>
        <w:kinsoku/>
        <w:wordWrap/>
        <w:overflowPunct/>
        <w:topLinePunct w:val="0"/>
        <w:autoSpaceDE/>
        <w:autoSpaceDN/>
        <w:bidi w:val="0"/>
        <w:adjustRightInd/>
        <w:spacing w:line="400" w:lineRule="exact"/>
        <w:ind w:firstLineChars="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完成与政务云（一期）平台联通和部署，并完成云资源的集中管理。</w:t>
      </w:r>
    </w:p>
    <w:p>
      <w:pPr>
        <w:pStyle w:val="2"/>
        <w:pageBreakBefore w:val="0"/>
        <w:numPr>
          <w:ilvl w:val="0"/>
          <w:numId w:val="2"/>
        </w:numPr>
        <w:kinsoku/>
        <w:wordWrap/>
        <w:overflowPunct/>
        <w:topLinePunct w:val="0"/>
        <w:autoSpaceDE/>
        <w:autoSpaceDN/>
        <w:bidi w:val="0"/>
        <w:adjustRightInd/>
        <w:spacing w:line="400" w:lineRule="exact"/>
        <w:ind w:firstLineChars="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建立健全配套制度标准。投标企业可提供基于自身平台的相关标准、办法及建议，如：云服务商可提供政务云管理办法、运维制度、应急预案等。</w:t>
      </w:r>
    </w:p>
    <w:p>
      <w:pPr>
        <w:pStyle w:val="2"/>
        <w:pageBreakBefore w:val="0"/>
        <w:numPr>
          <w:ilvl w:val="0"/>
          <w:numId w:val="2"/>
        </w:numPr>
        <w:kinsoku/>
        <w:wordWrap/>
        <w:overflowPunct/>
        <w:topLinePunct w:val="0"/>
        <w:autoSpaceDE/>
        <w:autoSpaceDN/>
        <w:bidi w:val="0"/>
        <w:adjustRightInd/>
        <w:spacing w:line="400" w:lineRule="exact"/>
        <w:ind w:firstLineChars="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提供中间平台层接口及对第三方控件、模块的要求，为建设完善政务云中间平台层、业务应用层服务功能打下基础。</w:t>
      </w:r>
    </w:p>
    <w:p>
      <w:pPr>
        <w:pStyle w:val="2"/>
        <w:pageBreakBefore w:val="0"/>
        <w:numPr>
          <w:ilvl w:val="0"/>
          <w:numId w:val="2"/>
        </w:numPr>
        <w:kinsoku/>
        <w:wordWrap/>
        <w:overflowPunct/>
        <w:topLinePunct w:val="0"/>
        <w:autoSpaceDE/>
        <w:autoSpaceDN/>
        <w:bidi w:val="0"/>
        <w:adjustRightInd/>
        <w:spacing w:line="400" w:lineRule="exact"/>
        <w:ind w:firstLineChars="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建立健全满足云安全监管需要的配套检测、监管手段（如：流量），及相应监测办法。</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color w:val="000000" w:themeColor="text1"/>
          <w:sz w:val="24"/>
          <w:szCs w:val="24"/>
          <w14:textFill>
            <w14:solidFill>
              <w14:schemeClr w14:val="tx1"/>
            </w14:solidFill>
          </w14:textFill>
        </w:rPr>
      </w:pP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（四）售后服务要求：</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１、服务期：合同规定的服务期限内要求提供7×24小时售后服务。</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２、服务响应：</w:t>
      </w:r>
    </w:p>
    <w:p>
      <w:pPr>
        <w:pageBreakBefore w:val="0"/>
        <w:numPr>
          <w:ilvl w:val="0"/>
          <w:numId w:val="3"/>
        </w:numPr>
        <w:kinsoku/>
        <w:wordWrap/>
        <w:overflowPunct/>
        <w:topLinePunct w:val="0"/>
        <w:autoSpaceDE/>
        <w:autoSpaceDN/>
        <w:bidi w:val="0"/>
        <w:adjustRightInd/>
        <w:spacing w:line="4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投标人应具有完善的服务保障体系，在本地有直接设立的服务机构，配备有足够的专业技术人员。</w:t>
      </w:r>
    </w:p>
    <w:p>
      <w:pPr>
        <w:pageBreakBefore w:val="0"/>
        <w:numPr>
          <w:ilvl w:val="0"/>
          <w:numId w:val="3"/>
        </w:numPr>
        <w:kinsoku/>
        <w:wordWrap/>
        <w:overflowPunct/>
        <w:topLinePunct w:val="0"/>
        <w:autoSpaceDE/>
        <w:autoSpaceDN/>
        <w:bidi w:val="0"/>
        <w:adjustRightInd/>
        <w:spacing w:line="4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投标人应明确说明此次投标的服务策略，提供此次投标货物的服务计划（服务内容、等级、相关服务指标、服务组织机构及人员安排情况及其联络信息）。</w:t>
      </w:r>
    </w:p>
    <w:p>
      <w:pPr>
        <w:pageBreakBefore w:val="0"/>
        <w:numPr>
          <w:ilvl w:val="0"/>
          <w:numId w:val="3"/>
        </w:numPr>
        <w:kinsoku/>
        <w:wordWrap/>
        <w:overflowPunct/>
        <w:topLinePunct w:val="0"/>
        <w:autoSpaceDE/>
        <w:autoSpaceDN/>
        <w:bidi w:val="0"/>
        <w:adjustRightInd/>
        <w:spacing w:line="4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在服务期内供应商必须为最终用户提供技术服务热线（7*24小时），负责解答用户在云平台使用中遇到的问题，并及时提出解决问题的建议和操作方法。技术服务热线支持应是中文服务。</w:t>
      </w:r>
    </w:p>
    <w:p>
      <w:pPr>
        <w:pageBreakBefore w:val="0"/>
        <w:numPr>
          <w:ilvl w:val="0"/>
          <w:numId w:val="3"/>
        </w:numPr>
        <w:kinsoku/>
        <w:wordWrap/>
        <w:overflowPunct/>
        <w:topLinePunct w:val="0"/>
        <w:autoSpaceDE/>
        <w:autoSpaceDN/>
        <w:bidi w:val="0"/>
        <w:adjustRightInd/>
        <w:spacing w:line="4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在服务期内，供应商应提供不低于7*24小时的现场和技术支持服务，对故障1小时内响应；如果逾期未作出响应，供应商应承担由于故障所造成的全部损失。 </w:t>
      </w:r>
    </w:p>
    <w:p>
      <w:pPr>
        <w:pageBreakBefore w:val="0"/>
        <w:numPr>
          <w:ilvl w:val="0"/>
          <w:numId w:val="3"/>
        </w:numPr>
        <w:kinsoku/>
        <w:wordWrap/>
        <w:overflowPunct/>
        <w:topLinePunct w:val="0"/>
        <w:autoSpaceDE/>
        <w:autoSpaceDN/>
        <w:bidi w:val="0"/>
        <w:adjustRightInd/>
        <w:spacing w:line="4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在服务期内，供应商应按月提供云平台各业务系统资源使用情况报表并对相应资源进行实时动态调整。</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（五）迁移上云支持</w:t>
      </w:r>
    </w:p>
    <w:p>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针对2021年湖州政务云资源扩容服务项目（磋商文件编号：HZCS2021-04）合同签订后已经迁移上云的部门信息系统，若需迁移的，供应商应提供完整的迁移方案，保证现有系统可以无缝迁移到新政务云平台上，且不会对系统业务运行的连续性稳定性产生影响。原服务提供商将配合中标人完成数据的迁移工作，其余迁移工作须中标人独立解决。</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（六）服务提供周期</w:t>
      </w:r>
    </w:p>
    <w:p>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政务云服务输出周期为自合同签订后，60个日历日内完成，同时出具运行报告。</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（七）等保要求</w:t>
      </w:r>
    </w:p>
    <w:p>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提供服务的政务云平台在本年度内完成三级（含）及以上测评。</w:t>
      </w:r>
    </w:p>
    <w:p>
      <w:pPr>
        <w:rPr>
          <w:rFonts w:hint="eastAsia" w:ascii="仿宋" w:hAnsi="仿宋" w:eastAsia="仿宋" w:cs="仿宋"/>
          <w:b/>
          <w:sz w:val="28"/>
          <w:szCs w:val="28"/>
        </w:rPr>
      </w:pPr>
    </w:p>
    <w:p>
      <w:pPr>
        <w:rPr>
          <w:rFonts w:hint="eastAsia" w:ascii="仿宋" w:hAnsi="仿宋" w:eastAsia="仿宋" w:cs="仿宋"/>
          <w:b/>
          <w:spacing w:val="40"/>
          <w:kern w:val="0"/>
          <w:sz w:val="28"/>
          <w:szCs w:val="28"/>
        </w:rPr>
      </w:pPr>
      <w:r>
        <w:rPr>
          <w:rFonts w:hint="eastAsia" w:ascii="仿宋" w:hAnsi="仿宋" w:eastAsia="仿宋" w:cs="仿宋"/>
          <w:b/>
          <w:sz w:val="28"/>
          <w:szCs w:val="28"/>
        </w:rPr>
        <w:t>三、商务条款</w:t>
      </w:r>
    </w:p>
    <w:tbl>
      <w:tblPr>
        <w:tblStyle w:val="30"/>
        <w:tblW w:w="9498"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3"/>
        <w:gridCol w:w="7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723" w:type="dxa"/>
            <w:tcBorders>
              <w:top w:val="single" w:color="auto" w:sz="4" w:space="0"/>
              <w:left w:val="single" w:color="auto" w:sz="4" w:space="0"/>
              <w:bottom w:val="single" w:color="auto" w:sz="4" w:space="0"/>
              <w:right w:val="single" w:color="auto" w:sz="4" w:space="0"/>
            </w:tcBorders>
          </w:tcPr>
          <w:p>
            <w:pPr>
              <w:snapToGrid w:val="0"/>
              <w:spacing w:line="360" w:lineRule="exact"/>
              <w:rPr>
                <w:rFonts w:hint="eastAsia" w:ascii="仿宋" w:hAnsi="仿宋" w:eastAsia="仿宋" w:cs="仿宋"/>
                <w:b/>
                <w:sz w:val="28"/>
                <w:szCs w:val="28"/>
              </w:rPr>
            </w:pPr>
            <w:r>
              <w:rPr>
                <w:rFonts w:hint="eastAsia" w:ascii="仿宋" w:hAnsi="仿宋" w:eastAsia="仿宋" w:cs="仿宋"/>
                <w:b/>
                <w:sz w:val="28"/>
                <w:szCs w:val="28"/>
                <w:lang w:eastAsia="zh-CN"/>
              </w:rPr>
              <w:t>服务</w:t>
            </w:r>
            <w:r>
              <w:rPr>
                <w:rFonts w:hint="eastAsia" w:ascii="仿宋" w:hAnsi="仿宋" w:eastAsia="仿宋" w:cs="仿宋"/>
                <w:b/>
                <w:sz w:val="28"/>
                <w:szCs w:val="28"/>
              </w:rPr>
              <w:t>期</w:t>
            </w:r>
          </w:p>
        </w:tc>
        <w:tc>
          <w:tcPr>
            <w:tcW w:w="7775" w:type="dxa"/>
            <w:tcBorders>
              <w:top w:val="single" w:color="auto" w:sz="4" w:space="0"/>
              <w:left w:val="single" w:color="auto" w:sz="4" w:space="0"/>
              <w:bottom w:val="single" w:color="auto" w:sz="4" w:space="0"/>
              <w:right w:val="single" w:color="auto" w:sz="4" w:space="0"/>
            </w:tcBorders>
          </w:tcPr>
          <w:p>
            <w:pPr>
              <w:snapToGrid w:val="0"/>
              <w:spacing w:line="360" w:lineRule="exact"/>
              <w:rPr>
                <w:rFonts w:hint="eastAsia" w:ascii="仿宋" w:hAnsi="仿宋" w:eastAsia="仿宋" w:cs="仿宋"/>
                <w:b/>
                <w:sz w:val="28"/>
                <w:szCs w:val="28"/>
              </w:rPr>
            </w:pPr>
            <w:r>
              <w:rPr>
                <w:rFonts w:hint="eastAsia" w:ascii="仿宋" w:hAnsi="仿宋" w:eastAsia="仿宋" w:cs="仿宋"/>
                <w:b/>
                <w:sz w:val="28"/>
                <w:szCs w:val="28"/>
                <w:lang w:eastAsia="zh-CN"/>
              </w:rPr>
              <w:t>一年</w:t>
            </w:r>
            <w:r>
              <w:rPr>
                <w:rFonts w:hint="eastAsia" w:ascii="仿宋" w:hAnsi="仿宋" w:eastAsia="仿宋" w:cs="仿宋"/>
                <w:b/>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723" w:type="dxa"/>
            <w:tcBorders>
              <w:top w:val="single" w:color="auto" w:sz="4" w:space="0"/>
              <w:left w:val="single" w:color="auto" w:sz="4" w:space="0"/>
              <w:bottom w:val="single" w:color="auto" w:sz="4" w:space="0"/>
              <w:right w:val="single" w:color="auto" w:sz="4" w:space="0"/>
            </w:tcBorders>
          </w:tcPr>
          <w:p>
            <w:pPr>
              <w:snapToGrid w:val="0"/>
              <w:spacing w:line="360" w:lineRule="exact"/>
              <w:rPr>
                <w:rFonts w:hint="eastAsia" w:ascii="仿宋" w:hAnsi="仿宋" w:eastAsia="仿宋" w:cs="仿宋"/>
                <w:b/>
                <w:sz w:val="28"/>
                <w:szCs w:val="28"/>
              </w:rPr>
            </w:pPr>
            <w:r>
              <w:rPr>
                <w:rFonts w:hint="eastAsia" w:ascii="仿宋" w:hAnsi="仿宋" w:eastAsia="仿宋" w:cs="仿宋"/>
                <w:b/>
                <w:sz w:val="28"/>
                <w:szCs w:val="28"/>
              </w:rPr>
              <w:t>合同履行期限及地点</w:t>
            </w:r>
          </w:p>
        </w:tc>
        <w:tc>
          <w:tcPr>
            <w:tcW w:w="7775" w:type="dxa"/>
            <w:tcBorders>
              <w:top w:val="single" w:color="auto" w:sz="4" w:space="0"/>
              <w:left w:val="single" w:color="auto" w:sz="4" w:space="0"/>
              <w:bottom w:val="single" w:color="auto" w:sz="4" w:space="0"/>
              <w:right w:val="single" w:color="auto" w:sz="4" w:space="0"/>
            </w:tcBorders>
          </w:tcPr>
          <w:p>
            <w:pPr>
              <w:snapToGrid w:val="0"/>
              <w:spacing w:line="360" w:lineRule="exact"/>
              <w:rPr>
                <w:rFonts w:hint="eastAsia" w:ascii="仿宋" w:hAnsi="仿宋" w:eastAsia="仿宋" w:cs="仿宋"/>
                <w:b/>
                <w:sz w:val="28"/>
                <w:szCs w:val="28"/>
              </w:rPr>
            </w:pPr>
            <w:r>
              <w:rPr>
                <w:rFonts w:hint="eastAsia" w:ascii="仿宋" w:hAnsi="仿宋" w:eastAsia="仿宋" w:cs="仿宋"/>
                <w:b/>
                <w:sz w:val="28"/>
                <w:szCs w:val="28"/>
              </w:rPr>
              <w:t>合同履行期限：政务云服务输出周期为自合同签订后，60个日历日内完成，同时出具运行报告。</w:t>
            </w:r>
          </w:p>
          <w:p>
            <w:pPr>
              <w:snapToGrid w:val="0"/>
              <w:spacing w:line="360" w:lineRule="exact"/>
              <w:rPr>
                <w:rFonts w:hint="eastAsia" w:ascii="仿宋" w:hAnsi="仿宋" w:eastAsia="仿宋" w:cs="仿宋"/>
                <w:b/>
                <w:sz w:val="28"/>
                <w:szCs w:val="28"/>
              </w:rPr>
            </w:pPr>
            <w:r>
              <w:rPr>
                <w:rFonts w:hint="eastAsia" w:ascii="仿宋" w:hAnsi="仿宋" w:eastAsia="仿宋" w:cs="仿宋"/>
                <w:b/>
                <w:sz w:val="28"/>
                <w:szCs w:val="28"/>
              </w:rPr>
              <w:t xml:space="preserve">地点:采购人指定地点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723" w:type="dxa"/>
            <w:tcBorders>
              <w:top w:val="single" w:color="auto" w:sz="4" w:space="0"/>
              <w:left w:val="single" w:color="auto" w:sz="4" w:space="0"/>
              <w:bottom w:val="single" w:color="auto" w:sz="4" w:space="0"/>
              <w:right w:val="single" w:color="auto" w:sz="4" w:space="0"/>
            </w:tcBorders>
          </w:tcPr>
          <w:p>
            <w:pPr>
              <w:snapToGrid w:val="0"/>
              <w:spacing w:line="3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付款方式</w:t>
            </w:r>
          </w:p>
        </w:tc>
        <w:tc>
          <w:tcPr>
            <w:tcW w:w="7775" w:type="dxa"/>
            <w:tcBorders>
              <w:top w:val="single" w:color="auto" w:sz="4" w:space="0"/>
              <w:left w:val="single" w:color="auto" w:sz="4" w:space="0"/>
              <w:bottom w:val="single" w:color="auto" w:sz="4" w:space="0"/>
              <w:right w:val="single" w:color="auto" w:sz="4" w:space="0"/>
            </w:tcBorders>
          </w:tcPr>
          <w:p>
            <w:pPr>
              <w:snapToGrid w:val="0"/>
              <w:spacing w:line="3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根据省财政厅《关于进一步发挥政府采购政策功能全力推动经济稳进提质的通知》（浙财采监【2022】3号）要求，制定如下付款方式：</w:t>
            </w:r>
          </w:p>
          <w:p>
            <w:pPr>
              <w:snapToGrid w:val="0"/>
              <w:spacing w:line="360" w:lineRule="exac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1、预付</w:t>
            </w:r>
            <w:r>
              <w:rPr>
                <w:rFonts w:hint="eastAsia" w:ascii="仿宋" w:hAnsi="仿宋" w:eastAsia="仿宋" w:cs="仿宋"/>
                <w:b/>
                <w:bCs/>
                <w:color w:val="000000"/>
                <w:sz w:val="28"/>
                <w:szCs w:val="28"/>
                <w:lang w:eastAsia="zh-CN"/>
              </w:rPr>
              <w:t>款：</w:t>
            </w:r>
          </w:p>
          <w:p>
            <w:pPr>
              <w:snapToGrid w:val="0"/>
              <w:spacing w:line="3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采购人可在合同有效期内按照财政预算批复金额范围内向中标人预付服务费用。该预付费用于抵扣将来实际发生的服务费。</w:t>
            </w:r>
          </w:p>
          <w:p>
            <w:pPr>
              <w:snapToGrid w:val="0"/>
              <w:spacing w:line="360" w:lineRule="exac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2、服务费用支付：</w:t>
            </w:r>
          </w:p>
          <w:p>
            <w:pPr>
              <w:snapToGrid w:val="0"/>
              <w:spacing w:line="3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政务云服务费用采用先用后付、按实结算的原则进行支付，采购人根据本年度实际使用数量情况，按照对应的服务单价结算，扣除当年度考核和违约处罚金的相应额度（考核要求在合同签订前出具），并扣除预付费金额后（未抵扣完部分，于下一年度继续扣除，扣完为止），在下一年度向中标人支付剩余的服务费用。</w:t>
            </w:r>
          </w:p>
          <w:p>
            <w:pPr>
              <w:snapToGrid w:val="0"/>
              <w:spacing w:line="36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支付时间暂定为当年的第十一月。</w:t>
            </w:r>
          </w:p>
          <w:p>
            <w:pPr>
              <w:snapToGrid w:val="0"/>
              <w:spacing w:line="360" w:lineRule="exact"/>
              <w:rPr>
                <w:rFonts w:hint="eastAsia" w:ascii="仿宋" w:hAnsi="仿宋" w:eastAsia="仿宋" w:cs="仿宋"/>
                <w:color w:val="000000"/>
                <w:sz w:val="28"/>
                <w:szCs w:val="28"/>
              </w:rPr>
            </w:pPr>
            <w:r>
              <w:rPr>
                <w:rFonts w:hint="eastAsia" w:ascii="仿宋" w:hAnsi="仿宋" w:eastAsia="仿宋" w:cs="仿宋"/>
                <w:b/>
                <w:bCs/>
                <w:color w:val="000000"/>
                <w:sz w:val="28"/>
                <w:szCs w:val="28"/>
              </w:rPr>
              <w:t>3、供应商明确表示无需预付款或者主动要求降低预付款比例的，采购单位可不适用前述规定</w:t>
            </w:r>
            <w:r>
              <w:rPr>
                <w:rFonts w:hint="eastAsia" w:ascii="仿宋" w:hAnsi="仿宋" w:eastAsia="仿宋" w:cs="仿宋"/>
                <w:color w:val="000000"/>
                <w:sz w:val="28"/>
                <w:szCs w:val="28"/>
              </w:rPr>
              <w:t>。</w:t>
            </w:r>
          </w:p>
        </w:tc>
      </w:tr>
    </w:tbl>
    <w:p>
      <w:pPr>
        <w:rPr>
          <w:rFonts w:hint="eastAsia" w:ascii="仿宋" w:hAnsi="仿宋" w:eastAsia="仿宋" w:cs="仿宋"/>
          <w:b/>
          <w:sz w:val="28"/>
          <w:szCs w:val="28"/>
        </w:rPr>
      </w:pPr>
      <w:r>
        <w:rPr>
          <w:rFonts w:hint="eastAsia" w:ascii="仿宋" w:hAnsi="仿宋" w:eastAsia="仿宋" w:cs="仿宋"/>
          <w:b/>
          <w:sz w:val="28"/>
          <w:szCs w:val="28"/>
        </w:rPr>
        <w:t>特别说明：</w:t>
      </w:r>
    </w:p>
    <w:p>
      <w:pPr>
        <w:ind w:firstLine="562" w:firstLineChars="200"/>
        <w:rPr>
          <w:rFonts w:hint="eastAsia" w:ascii="仿宋" w:hAnsi="仿宋" w:eastAsia="仿宋" w:cs="仿宋"/>
          <w:b/>
          <w:sz w:val="28"/>
          <w:szCs w:val="28"/>
        </w:rPr>
      </w:pPr>
      <w:r>
        <w:rPr>
          <w:rFonts w:hint="eastAsia" w:ascii="仿宋" w:hAnsi="仿宋" w:eastAsia="仿宋" w:cs="仿宋"/>
          <w:b/>
          <w:sz w:val="28"/>
          <w:szCs w:val="28"/>
        </w:rPr>
        <w:t>1、根据浙财采监字[2007]2号文件规定：除招标文件明确的品牌外，欢迎其他能满足本项目技术需求且性能与所明确品牌相当的产品参加。</w:t>
      </w:r>
    </w:p>
    <w:p>
      <w:pPr>
        <w:ind w:firstLine="562" w:firstLineChars="200"/>
        <w:rPr>
          <w:rFonts w:hint="eastAsia" w:ascii="仿宋" w:hAnsi="仿宋" w:eastAsia="仿宋" w:cs="仿宋"/>
          <w:b/>
          <w:sz w:val="28"/>
          <w:szCs w:val="28"/>
        </w:rPr>
      </w:pPr>
      <w:r>
        <w:rPr>
          <w:rFonts w:hint="eastAsia" w:ascii="仿宋" w:hAnsi="仿宋" w:eastAsia="仿宋" w:cs="仿宋"/>
          <w:b/>
          <w:sz w:val="28"/>
          <w:szCs w:val="28"/>
        </w:rPr>
        <w:t>2、需求中不允许负偏离的实质性要求和条件，以“★”号标明，如投标人未响应的，将被视为无效。</w:t>
      </w:r>
    </w:p>
    <w:p>
      <w:pPr>
        <w:ind w:firstLine="562" w:firstLineChars="200"/>
        <w:rPr>
          <w:rFonts w:hint="eastAsia" w:ascii="仿宋" w:hAnsi="仿宋" w:eastAsia="仿宋" w:cs="仿宋"/>
          <w:b/>
          <w:sz w:val="28"/>
          <w:szCs w:val="28"/>
        </w:rPr>
      </w:pPr>
      <w:r>
        <w:rPr>
          <w:rFonts w:hint="eastAsia" w:ascii="仿宋" w:hAnsi="仿宋" w:eastAsia="仿宋" w:cs="仿宋"/>
          <w:b/>
          <w:sz w:val="28"/>
          <w:szCs w:val="28"/>
        </w:rPr>
        <w:t>3、核心产品在各标项内容中明确，如出现同品牌情况的，评标委员会根据《政府采购货物和服务招标投标管理办法》（财政部令第87号）第三十一条规定执行。</w:t>
      </w:r>
    </w:p>
    <w:p>
      <w:pPr>
        <w:pStyle w:val="2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5"/>
        <w:jc w:val="both"/>
        <w:rPr>
          <w:rFonts w:hint="default" w:ascii="仿宋" w:hAnsi="仿宋" w:eastAsia="仿宋" w:cs="仿宋"/>
          <w:b/>
          <w:kern w:val="2"/>
          <w:sz w:val="28"/>
          <w:szCs w:val="28"/>
          <w:lang w:val="en-US" w:eastAsia="zh-CN" w:bidi="ar-SA"/>
        </w:rPr>
      </w:pPr>
      <w:bookmarkStart w:id="50" w:name="_Toc36454324"/>
      <w:r>
        <w:rPr>
          <w:rFonts w:hint="eastAsia" w:ascii="仿宋" w:hAnsi="仿宋" w:eastAsia="仿宋" w:cs="仿宋"/>
          <w:b/>
          <w:kern w:val="2"/>
          <w:sz w:val="28"/>
          <w:szCs w:val="28"/>
          <w:lang w:val="en-US" w:eastAsia="zh-CN" w:bidi="ar-SA"/>
        </w:rPr>
        <w:t>4、本项目所属行业：</w:t>
      </w:r>
      <w:r>
        <w:rPr>
          <w:rFonts w:hint="default" w:ascii="仿宋" w:hAnsi="仿宋" w:eastAsia="仿宋" w:cs="仿宋"/>
          <w:b/>
          <w:kern w:val="2"/>
          <w:sz w:val="28"/>
          <w:szCs w:val="28"/>
          <w:lang w:val="en-US" w:eastAsia="zh-CN" w:bidi="ar-SA"/>
        </w:rPr>
        <w:t>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pPr>
        <w:ind w:firstLine="562" w:firstLineChars="200"/>
        <w:rPr>
          <w:rFonts w:hint="eastAsia" w:ascii="仿宋" w:hAnsi="仿宋" w:eastAsia="仿宋" w:cs="仿宋"/>
          <w:b/>
          <w:sz w:val="28"/>
          <w:szCs w:val="28"/>
        </w:rPr>
      </w:pPr>
    </w:p>
    <w:p>
      <w:pPr>
        <w:rPr>
          <w:rFonts w:hint="eastAsia" w:ascii="仿宋" w:hAnsi="仿宋" w:eastAsia="仿宋" w:cs="仿宋"/>
          <w:sz w:val="28"/>
          <w:szCs w:val="28"/>
        </w:rPr>
      </w:pPr>
    </w:p>
    <w:p>
      <w:pPr>
        <w:pStyle w:val="2"/>
        <w:ind w:firstLine="210"/>
        <w:rPr>
          <w:rFonts w:hint="eastAsia" w:ascii="仿宋" w:hAnsi="仿宋" w:eastAsia="仿宋" w:cs="仿宋"/>
          <w:sz w:val="28"/>
          <w:szCs w:val="28"/>
        </w:rPr>
      </w:pPr>
    </w:p>
    <w:p>
      <w:pPr>
        <w:pStyle w:val="4"/>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ascii="仿宋" w:hAnsi="仿宋" w:eastAsia="仿宋" w:cs="仿宋"/>
          <w:sz w:val="28"/>
          <w:szCs w:val="28"/>
        </w:rPr>
      </w:pPr>
    </w:p>
    <w:p>
      <w:pPr>
        <w:pStyle w:val="4"/>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ascii="仿宋" w:hAnsi="仿宋" w:eastAsia="仿宋" w:cs="仿宋"/>
          <w:sz w:val="28"/>
          <w:szCs w:val="28"/>
        </w:rPr>
      </w:pPr>
    </w:p>
    <w:p>
      <w:pPr>
        <w:pStyle w:val="4"/>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ascii="仿宋" w:hAnsi="仿宋" w:eastAsia="仿宋" w:cs="仿宋"/>
          <w:sz w:val="28"/>
          <w:szCs w:val="28"/>
        </w:rPr>
      </w:pPr>
    </w:p>
    <w:p>
      <w:pPr>
        <w:pStyle w:val="4"/>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ascii="仿宋" w:hAnsi="仿宋" w:eastAsia="仿宋" w:cs="仿宋"/>
          <w:sz w:val="28"/>
          <w:szCs w:val="28"/>
        </w:rPr>
      </w:pPr>
    </w:p>
    <w:p>
      <w:pPr>
        <w:pStyle w:val="4"/>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ascii="仿宋" w:hAnsi="仿宋" w:eastAsia="仿宋" w:cs="仿宋"/>
          <w:sz w:val="28"/>
          <w:szCs w:val="28"/>
        </w:rPr>
      </w:pPr>
    </w:p>
    <w:p>
      <w:pPr>
        <w:pStyle w:val="4"/>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ascii="仿宋" w:hAnsi="仿宋" w:eastAsia="仿宋" w:cs="仿宋"/>
          <w:sz w:val="28"/>
          <w:szCs w:val="28"/>
        </w:rPr>
      </w:pPr>
    </w:p>
    <w:p>
      <w:pPr>
        <w:pStyle w:val="4"/>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ascii="仿宋" w:hAnsi="仿宋" w:eastAsia="仿宋" w:cs="仿宋"/>
          <w:sz w:val="28"/>
          <w:szCs w:val="28"/>
        </w:rPr>
      </w:pPr>
    </w:p>
    <w:p>
      <w:pPr>
        <w:pStyle w:val="4"/>
        <w:rPr>
          <w:rFonts w:hint="eastAsia"/>
        </w:rPr>
      </w:pPr>
    </w:p>
    <w:p>
      <w:pPr>
        <w:pStyle w:val="5"/>
        <w:spacing w:line="400" w:lineRule="exact"/>
        <w:jc w:val="center"/>
        <w:rPr>
          <w:rFonts w:hint="eastAsia" w:ascii="仿宋" w:hAnsi="仿宋" w:eastAsia="仿宋" w:cs="仿宋"/>
          <w:sz w:val="28"/>
          <w:szCs w:val="28"/>
        </w:rPr>
      </w:pPr>
      <w:r>
        <w:rPr>
          <w:rFonts w:hint="eastAsia" w:ascii="仿宋" w:hAnsi="仿宋" w:eastAsia="仿宋" w:cs="仿宋"/>
          <w:sz w:val="28"/>
          <w:szCs w:val="28"/>
        </w:rPr>
        <w:t>第三章  合同主要条款</w:t>
      </w:r>
      <w:bookmarkEnd w:id="50"/>
    </w:p>
    <w:p>
      <w:pPr>
        <w:spacing w:line="400" w:lineRule="exact"/>
        <w:ind w:firstLine="482" w:firstLineChars="200"/>
        <w:rPr>
          <w:rFonts w:hint="eastAsia" w:ascii="仿宋" w:hAnsi="仿宋" w:eastAsia="仿宋" w:cs="仿宋"/>
          <w:b/>
          <w:spacing w:val="-20"/>
          <w:sz w:val="28"/>
          <w:szCs w:val="28"/>
        </w:rPr>
      </w:pPr>
      <w:r>
        <w:rPr>
          <w:rFonts w:hint="eastAsia" w:ascii="仿宋" w:hAnsi="仿宋" w:eastAsia="仿宋" w:cs="仿宋"/>
          <w:b/>
          <w:bCs/>
          <w:spacing w:val="-20"/>
          <w:sz w:val="28"/>
          <w:szCs w:val="28"/>
        </w:rPr>
        <w:t xml:space="preserve">财政审批编号:     ; 招标文件编号: </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1.定义</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本合同中的下列术语应解释为：</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1.1“合同”系指供需双方签署的、合同格式中载明的供需双方所达成的协议，包括所有的附件、附录和构成合同的所有文件；</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1.2“合同价”系指根据合同规定，需方在供方完全履行合同义务后应付给的价格；</w:t>
      </w:r>
    </w:p>
    <w:p>
      <w:pPr>
        <w:spacing w:line="44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1.3“货物”系指供方根据合同规定向需方提供的一切货物、质量保证书和其他技术资料及技术参数；</w:t>
      </w:r>
    </w:p>
    <w:p>
      <w:pPr>
        <w:spacing w:line="44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1.4“服务”系指根据合同规定供方承担与供货有关的辅助服务，如运输、装卸、安装、保险以及其他的服务，例如安装、调试提供技术援助、培训和其他类似的义务；</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1.5“需方”系指</w:t>
      </w:r>
      <w:r>
        <w:rPr>
          <w:rFonts w:hint="eastAsia" w:ascii="仿宋" w:hAnsi="仿宋" w:eastAsia="仿宋" w:cs="仿宋"/>
          <w:bCs/>
          <w:sz w:val="28"/>
          <w:szCs w:val="28"/>
        </w:rPr>
        <w:t>具体使用货物和接受服务的使用单位（即采购人）；</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1.6“供方”系指根据合同规定提供采购项目货物和服务的具有法人资格的公司、企业或实体（即供应商）；</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1.7“财政审批编号”系指湖州市（区）财政局审批编号。</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2.合同项目与内容</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湖州市大数据发展管理局统筹云资源购置服务</w:t>
      </w:r>
      <w:r>
        <w:rPr>
          <w:rFonts w:hint="eastAsia" w:ascii="仿宋" w:hAnsi="仿宋" w:eastAsia="仿宋" w:cs="仿宋"/>
          <w:sz w:val="28"/>
          <w:szCs w:val="28"/>
        </w:rPr>
        <w:t>采购项目采购项目</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3.供货时间与交货地点</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供货时间：详见招标文件第二章商务条款要求；</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供货地点：由采购单位指定。</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4.标准</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4.1国家有强制性标准的，执行国家强制性标准。</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4.2货物质量按最新颁发的国家标准执行；国家没有规定的按地方标准执行，国家与地方均没有的，按行业或厂商规定执行。国家、地方规定标准低于行业或厂商标准的按行业或厂商标准执行，就高不就低。</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5.技术规范</w:t>
      </w:r>
    </w:p>
    <w:p>
      <w:pPr>
        <w:pStyle w:val="9"/>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本合同执行国家及本省、市现行施工及验收规范及有关条例、实施办法等。</w:t>
      </w:r>
    </w:p>
    <w:p>
      <w:pPr>
        <w:pStyle w:val="12"/>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提供和交付的货物及相关服务的技术规范应与招标文件规定的技术规范相一致。</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6.专利权</w:t>
      </w:r>
    </w:p>
    <w:p>
      <w:pPr>
        <w:pStyle w:val="12"/>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供方应保证需方在使用时不受第三方提出侵犯其专利权、商标权等知识产权的起诉。</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7.包装</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8.装运标记</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8.1供方应在每一包装箱的四面用不可擦除的油漆和明显的中文字样做出以下标记：</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8.1.1收货人；</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8.1.2合同号；</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8.1.3发货标记（唛头）；</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8.1.4收货人编号；</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8.1.5目的港；</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8.1.6货物名称、品目号和箱号；</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8.1.7毛重/净重（用kg表示）；</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8.1.8尺寸（长×宽×高用cm表示）。</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8.2如果单件包装箱的重量在2吨或2吨以上，供方应在包装箱两侧用通用的运输标记标准“重心”和“起吊点”以便装卸和搬运。</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根据货物的特点和运输的不同要求，供方应在包装箱上清楚地标注“小心轻放”，“此端朝上，请勿倒置”、“保持干燥”等标记。</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9.装卸要求</w:t>
      </w:r>
    </w:p>
    <w:p>
      <w:pPr>
        <w:pStyle w:val="12"/>
        <w:spacing w:line="440" w:lineRule="exact"/>
        <w:ind w:firstLine="560"/>
        <w:rPr>
          <w:rFonts w:hint="eastAsia" w:ascii="仿宋" w:hAnsi="仿宋" w:eastAsia="仿宋" w:cs="仿宋"/>
          <w:sz w:val="28"/>
          <w:szCs w:val="28"/>
        </w:rPr>
      </w:pPr>
      <w:r>
        <w:rPr>
          <w:rFonts w:hint="eastAsia" w:ascii="仿宋" w:hAnsi="仿宋" w:eastAsia="仿宋" w:cs="仿宋"/>
          <w:sz w:val="28"/>
          <w:szCs w:val="28"/>
        </w:rPr>
        <w:t>除合同另有规定外，供方提供的全部货物，均应按标准采取保护措施，确保货物安全无损运抵现场。由于装卸或运输途中一切不善所造成的损失均由供方承担。</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10.装运条件</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供方负责安排运输，运输中的一切费用由供方承担；</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11.装运通知</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供方应在合同规定的装运日期之前，将合同号、货物名称、数量、箱数、总毛重、总体积（用m</w:t>
      </w:r>
      <w:r>
        <w:rPr>
          <w:rFonts w:hint="eastAsia" w:ascii="仿宋" w:hAnsi="仿宋" w:eastAsia="仿宋" w:cs="仿宋"/>
          <w:sz w:val="28"/>
          <w:szCs w:val="28"/>
          <w:vertAlign w:val="superscript"/>
        </w:rPr>
        <w:t>3</w:t>
      </w:r>
      <w:r>
        <w:rPr>
          <w:rFonts w:hint="eastAsia" w:ascii="仿宋" w:hAnsi="仿宋" w:eastAsia="仿宋" w:cs="仿宋"/>
          <w:sz w:val="28"/>
          <w:szCs w:val="28"/>
        </w:rPr>
        <w:t>表示）运输工具以传真形式通知需方。具体安装时间以需方通知为准。</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12.货物就位</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供方负责所供货物就位，如受条件影响就位，供方负责货物拆装，就位一切费用供方负责。</w:t>
      </w:r>
    </w:p>
    <w:p>
      <w:pPr>
        <w:spacing w:line="440" w:lineRule="exact"/>
        <w:rPr>
          <w:rFonts w:hint="eastAsia" w:ascii="仿宋" w:hAnsi="仿宋" w:eastAsia="仿宋" w:cs="仿宋"/>
          <w:b/>
          <w:bCs/>
          <w:sz w:val="28"/>
          <w:szCs w:val="28"/>
          <w:lang w:eastAsia="zh-CN"/>
        </w:rPr>
      </w:pPr>
      <w:r>
        <w:rPr>
          <w:rFonts w:hint="eastAsia" w:ascii="仿宋" w:hAnsi="仿宋" w:eastAsia="仿宋" w:cs="仿宋"/>
          <w:b/>
          <w:bCs/>
          <w:sz w:val="28"/>
          <w:szCs w:val="28"/>
        </w:rPr>
        <w:t>13.付款方法和条件</w:t>
      </w:r>
      <w:r>
        <w:rPr>
          <w:rFonts w:hint="eastAsia" w:ascii="仿宋" w:hAnsi="仿宋" w:eastAsia="仿宋" w:cs="仿宋"/>
          <w:b/>
          <w:bCs/>
          <w:sz w:val="28"/>
          <w:szCs w:val="28"/>
          <w:lang w:eastAsia="zh-CN"/>
        </w:rPr>
        <w:t>：详见第二章商务条款</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14.支付</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14.1支付应使用人民币；</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14.2提交下列单据后结算：</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14.2.1生产厂家出具的出厂合格证书和质量检验报告；</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14.2.2商业发票一份，其金额为所签合同的相应金额；</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14.2.3双方签字验收的验收证书一份。</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15.技术服务及货物的安装、调试</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15.1供方应负责安排需方相关人员进行操作、维修的培训。具体时间及培训内容在投标时由供方提出建议；</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15.2合同所指的货物到达需方工地现场后，供方应在收到需方通知后，派专业安装技术人员前往需方现场进行安装调试，并提供详细的作业流程图及相关人数、技术级别、服务内容和逗留时间等；</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15.3安装调试期间的一切费用由供方自理。</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16.售后服务及承诺</w:t>
      </w:r>
    </w:p>
    <w:p>
      <w:pPr>
        <w:spacing w:line="44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16.1供方应明确承诺售后服务各项内容和措施，提供详细的服务地点、联系人、电话等有关资料；</w:t>
      </w:r>
    </w:p>
    <w:p>
      <w:pPr>
        <w:spacing w:line="44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16.2</w:t>
      </w:r>
      <w:r>
        <w:rPr>
          <w:rFonts w:hint="eastAsia" w:ascii="仿宋" w:hAnsi="仿宋" w:eastAsia="仿宋" w:cs="仿宋"/>
          <w:bCs/>
          <w:sz w:val="28"/>
          <w:szCs w:val="28"/>
          <w:lang w:eastAsia="zh-CN"/>
        </w:rPr>
        <w:t>服务期</w:t>
      </w:r>
      <w:r>
        <w:rPr>
          <w:rFonts w:hint="eastAsia" w:ascii="仿宋" w:hAnsi="仿宋" w:eastAsia="仿宋" w:cs="仿宋"/>
          <w:bCs/>
          <w:sz w:val="28"/>
          <w:szCs w:val="28"/>
        </w:rPr>
        <w:t>：</w:t>
      </w:r>
      <w:r>
        <w:rPr>
          <w:rFonts w:hint="eastAsia" w:ascii="仿宋" w:hAnsi="仿宋" w:eastAsia="仿宋" w:cs="仿宋"/>
          <w:b/>
          <w:sz w:val="28"/>
          <w:szCs w:val="28"/>
        </w:rPr>
        <w:t>详见招标文件第二章商务条款要求</w:t>
      </w:r>
      <w:r>
        <w:rPr>
          <w:rFonts w:hint="eastAsia" w:ascii="仿宋" w:hAnsi="仿宋" w:eastAsia="仿宋" w:cs="仿宋"/>
          <w:bCs/>
          <w:sz w:val="28"/>
          <w:szCs w:val="28"/>
        </w:rPr>
        <w:t>。在质保期内，因货物的维修和保养所发生的一切费用均由供方承担；</w:t>
      </w:r>
    </w:p>
    <w:p>
      <w:pPr>
        <w:spacing w:line="44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16.3货物签约的同时，双方可签订质保修期满后的维修保养协议或合同;</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bCs/>
          <w:sz w:val="28"/>
          <w:szCs w:val="28"/>
        </w:rPr>
        <w:t>16.4供方在收到需方维修通知后须按投标文件的承诺及时进行现场响应。</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17.备件</w:t>
      </w:r>
    </w:p>
    <w:p>
      <w:pPr>
        <w:spacing w:line="440" w:lineRule="exact"/>
        <w:ind w:firstLine="560" w:firstLineChars="200"/>
        <w:rPr>
          <w:rFonts w:hint="eastAsia" w:ascii="仿宋" w:hAnsi="仿宋" w:eastAsia="仿宋" w:cs="仿宋"/>
          <w:bCs/>
          <w:sz w:val="28"/>
          <w:szCs w:val="28"/>
        </w:rPr>
      </w:pPr>
      <w:r>
        <w:rPr>
          <w:rFonts w:hint="eastAsia" w:ascii="仿宋" w:hAnsi="仿宋" w:eastAsia="仿宋" w:cs="仿宋"/>
          <w:sz w:val="28"/>
          <w:szCs w:val="28"/>
        </w:rPr>
        <w:t>正如合同条款所规定，供方可能被要求提供下列与备件有关的材料、通知和资料：</w:t>
      </w:r>
    </w:p>
    <w:p>
      <w:pPr>
        <w:spacing w:line="44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17.1需方从供方选购备件，但前提条件是该选择并不能免除供方在合同保证期内所承担的义务；</w:t>
      </w:r>
    </w:p>
    <w:p>
      <w:pPr>
        <w:spacing w:line="44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17.2在备件停产的情况下，供方应事先将要停止生产的计划通知需方使需方有足够的时间采购所需的备件；</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bCs/>
          <w:sz w:val="28"/>
          <w:szCs w:val="28"/>
        </w:rPr>
        <w:t>17.3在备件停产后，如果需方要求，供方应免费向需方提供备件的蓝图等相关技术资料。</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18.技术质量保证</w:t>
      </w:r>
    </w:p>
    <w:p>
      <w:pPr>
        <w:spacing w:line="440" w:lineRule="exact"/>
        <w:ind w:firstLine="560" w:firstLineChars="200"/>
        <w:rPr>
          <w:rFonts w:hint="eastAsia" w:ascii="仿宋" w:hAnsi="仿宋" w:eastAsia="仿宋" w:cs="仿宋"/>
          <w:spacing w:val="-4"/>
          <w:sz w:val="28"/>
          <w:szCs w:val="28"/>
        </w:rPr>
      </w:pPr>
      <w:r>
        <w:rPr>
          <w:rFonts w:hint="eastAsia" w:ascii="仿宋" w:hAnsi="仿宋" w:eastAsia="仿宋" w:cs="仿宋"/>
          <w:sz w:val="28"/>
          <w:szCs w:val="28"/>
        </w:rPr>
        <w:t>18.1</w:t>
      </w:r>
      <w:r>
        <w:rPr>
          <w:rFonts w:hint="eastAsia" w:ascii="仿宋" w:hAnsi="仿宋" w:eastAsia="仿宋" w:cs="仿宋"/>
          <w:spacing w:val="-4"/>
          <w:sz w:val="28"/>
          <w:szCs w:val="28"/>
        </w:rPr>
        <w:t>供方应保证提供的货物是最近生产的原装合格正品，并完全符合规定的质量、规格和性能的要求。供方应保证货物经过正确安装、正常使用和保养条件下，在其使用寿命内应具有满意的性能。</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18.2合同货物提交前，供方应将其有关技术资料一套，如使用指南或服务手册和示意图提交给需方；</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18.3质保期以项目安装完毕并经采购人组织验收合格起计算；</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18.4供方对提供的货物执行一定的保质期限，供方应对保质期内由于货物的缺陷（非人为因素）而引发的任何不足负责，费用由供方承担；</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18.5需方应尽快以书面形式通知供方由于货物缺陷而发生的索赔；</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18.6供方在收到通知后3天内应免费更换有缺陷的材料；</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18.7如果供方在收到通知后3天内没有弥补缺陷，需方可采取必要的补救措施，但风险和费用将由供方负责。</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19.检验和测试</w:t>
      </w:r>
    </w:p>
    <w:p>
      <w:pPr>
        <w:widowControl/>
        <w:autoSpaceDE w:val="0"/>
        <w:autoSpaceDN w:val="0"/>
        <w:spacing w:line="440" w:lineRule="exact"/>
        <w:ind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19.1需方或其代表应有权在生产阶段检验或测试货物，以确认货物是否符合合同规定的要求，并且不承担额外的费用。合同条款和技术规格应说明需方要求进行的检验和测试。需方应及时以书面形式把检验或需方测试代表的身份通知供方；</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19.2检验和测试应在货物的最终目的地进行；</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19.3如果任何被检验或测试的货物不能满足规定要求，需方可以拒绝接受该货物，供方应更换被拒绝的货物，或者免费进行必要的修改以满足规定的要求；</w:t>
      </w:r>
    </w:p>
    <w:p>
      <w:pPr>
        <w:widowControl/>
        <w:autoSpaceDE w:val="0"/>
        <w:autoSpaceDN w:val="0"/>
        <w:spacing w:line="440" w:lineRule="exact"/>
        <w:ind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19.4 在交货前，供方应指定制造商对货物的质量、规格、性能、数量和重量等进行详细而全面的检验，并出具一份证明货物符合合同规定的检验证书，检验证书是付款时提交给需方的重要文件，但不能作为有关质量、规格、性能、数量或重量的最终检验。</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20.验收</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20.1中标货物验收标准按最新颁发的国家标准执行；国家没有规定的按地方标准执行，国家与地方均没有的，按行业规定执行。国家、地方规定标准低于行业标准的按行业标准执行，就高不就低。国家、地方、行业均没有验收标准的，则在获取需方同意后，按双方商定的标准执行。</w:t>
      </w:r>
    </w:p>
    <w:p>
      <w:pPr>
        <w:widowControl/>
        <w:autoSpaceDE w:val="0"/>
        <w:autoSpaceDN w:val="0"/>
        <w:spacing w:line="440" w:lineRule="exact"/>
        <w:ind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20.2 验收费用由供方承担。</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21.索赔</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21.1如果供方对偏差负有责任而需方在合同条款规定的检验、安装、调试、验收和质量保证期内提出了索赔，供方应按照需方同意的下列一种或几种方式结合起来解决索赔事宜：</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21.1.1供方同意退货并用合同规定的货币将货款退还给需方，并承担由此发生的一切损失和费用，包括利息、银行手续费、运费、保险费、检验费、仓储费、装卸费以及为看管和保护退回货物等所需的直接费用，以及包括延误项目实施造成的经济损失；</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21.1.2根据货物的偏差情况、损坏程度以及需方所遭受损失的金额，经供需双方商定降低货物的价格；</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21.1.3用符合合同规定的规格、质量和性能要求的新零件、部件和/或货物来更换有缺陷的部分和/或修补缺陷部分，供方应承担一切费用和风险并负担需方蒙受的全部直接损失费用，同时，供方应按合同规定，相应延长所更换货物的质量保证期。</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21.1.4如果在需方发出索赔通知后三十（30）天内，供方未作答复，上述索赔应视为已被供方接受，如供方未能在需方发出索赔通知后三十（30）天内或需方同意的延长期限内，按照需方同意的上述规定的任何一种方法解决索赔事宜，需方将以合同付款或从供方开具的履约保证金中扣回索赔金额。</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21.1.5如果在合同条款规定的保质期内，根据质量检验机构的检验结果，发现货物的质量或规格与合同要求不符，或货物被证实有缺陷、包括潜在的缺陷或使用不合适的材料，需方应向供方提出索赔； </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21.1.6合同条款的规定不能免除供方在本合同项下的保证义务或其他义务。</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22.迟交货</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22.1需方的“供货计划一览表”在合同签订的同时提交给供方。供方需按照需方提供的“供货计划一览表”中规定的时间、数量交货和提供服务；</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22.2在供货期间，如遇中标货物型号停产或市场断货，供方可在不改变品牌并获取需方书面同意后提供相当于（或优于）中标货物技术性能、档次的替代产品；</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22.3如果供方毫无理由地拖延交货，将受到以下制裁：赔偿损失或终止合同；</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22.4在履行合同过程中，如果供方遇到不能按时交货和提供服务的情况，应及时以书面形式将不能按时交货的理由、延误时间通知需方，并承担由此造成的法律和经济责任；</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22.5供方按照“供货计划一览表”中规定的时间、数量如期供货，需方由于自身原因无法及时验收，造成货物积压，需方应赔偿由此给供方所造成的直接损失费用。</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23.不可抗力</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23.1如果双方任何一方由于严重火灾、水灾、台风和地震以及其它经双方同意属于不可抗力的事故，致使影响合同履行时，履行合同的期限应予以延长，延长的期限应相当于事故所影响的时间；</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23.2受事故影响的一方应在不可抗力发生后3天内以电报或电传通知另一方，并在事故发生后14天内，将有关部门出具的证明文件寄给另一方。</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24.税</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本合同执行中相关的一切税费均由供方负担。</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25.供方履约延误</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25.1供方应按照“供货计划一览表”中需方规定的时间表交货和提供服务；</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25.2在履行合同过程中，如果供方不能按时交货和提供服务的情况时，应及时以书面形式将拖延的事实、可能拖延的时间和原因通知需方。需方在收到供方通知后，应尽快对情况进行评价，并确定是否同意延长交货时间以及是否收取误期赔偿费。延期应通过修改合同的方式由双方认可；</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25.3除了合同条款规定的情况外，除非拖延是根据合同条款的规定并取得双方同意而不收取误期赔偿费之外，供方延误交货将按合同条款的规定被收取误期赔偿费。</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26.误期赔偿费</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除了合同条款规定的情况外，如果供方没有按照合同规定的时间交货和提供服务，需方应在不影响合同项下的其他补救措施的情况下，以合同价款中扣除误期赔偿费。延期10天以内每延期一天扣罚合同价款的百分之零点五（0.5%），延期10天以上每延期一天扣罚合同价款的百分之一（1%），累计在履约保证金中扣除，若履约保证金扣完不够，继续从合同价款中扣除。</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27.违约终止合同</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27.1在需方对供方违约而采取的任何补救措施不受影响的情况下，需方可向供方发出书面违约通知书，提出终止部分或全部合同；</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27.2如果供方未能在合同规定的期限内或需方根据合同条款的规定同意延长的期限内提供部分或全部货物；</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27.3如果供方未能履行合同规定的其它任何义务；</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27.4如果需方认为供方在本招投标竞争和合同实施过程中有腐败和欺诈行为。为此目的，定义下述条件：</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27.4.1“腐败行为”是指提供、给予、接受或索取任何有价值的物品来影响公共官员在采购过程或合同实施过程中的行为；</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27.4.2“欺诈行为”是指为了影响采购过程或合同实施过程而谎报事实，损害需方利益的行为。</w:t>
      </w:r>
    </w:p>
    <w:p>
      <w:pPr>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27.5如果需方根据合同条款的规定，终止了全部或部分合同，需方可以依其认为适当的条件和方法购买与未交货物类似的货物，供方应对购买类似货物所超出的那部分费用负责。但是，供方应继续执行合同中未终止的部分。</w:t>
      </w:r>
    </w:p>
    <w:p>
      <w:pPr>
        <w:spacing w:line="420" w:lineRule="exact"/>
        <w:rPr>
          <w:rFonts w:hint="eastAsia" w:ascii="仿宋" w:hAnsi="仿宋" w:eastAsia="仿宋" w:cs="仿宋"/>
          <w:b/>
          <w:bCs/>
          <w:sz w:val="28"/>
          <w:szCs w:val="28"/>
        </w:rPr>
      </w:pPr>
      <w:r>
        <w:rPr>
          <w:rFonts w:hint="eastAsia" w:ascii="仿宋" w:hAnsi="仿宋" w:eastAsia="仿宋" w:cs="仿宋"/>
          <w:b/>
          <w:bCs/>
          <w:sz w:val="28"/>
          <w:szCs w:val="28"/>
        </w:rPr>
        <w:t>28.仲裁</w:t>
      </w:r>
    </w:p>
    <w:p>
      <w:pPr>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28.1在执行本合同中所发生的或与本合同有关的一切争端，供需双方应通过友好协商解决，如从协商开始15天内仍不能解决，双方应将争端提交湖州市仲裁委员会仲裁或直接向需方所在地的人民法院起诉；</w:t>
      </w:r>
    </w:p>
    <w:p>
      <w:pPr>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28.2如果提请仲裁，仲裁裁决书应为终局裁决，对双方均有约束力；</w:t>
      </w:r>
    </w:p>
    <w:p>
      <w:pPr>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28.3仲裁费用应由败诉方负担；</w:t>
      </w:r>
    </w:p>
    <w:p>
      <w:pPr>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28.4如果向人民法院起诉，在收到判决书后，如有异议，有异议方应在收到判决书后在法定时间内提出上诉，逾期未提出的，判决有法律效力，双方应遵照执行；</w:t>
      </w:r>
    </w:p>
    <w:p>
      <w:pPr>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28.5在仲裁或起诉期间，除进行仲裁或起诉的部分外，本合同其它部分应继续执行。</w:t>
      </w:r>
    </w:p>
    <w:p>
      <w:pPr>
        <w:spacing w:line="420" w:lineRule="exact"/>
        <w:rPr>
          <w:rFonts w:hint="eastAsia" w:ascii="仿宋" w:hAnsi="仿宋" w:eastAsia="仿宋" w:cs="仿宋"/>
          <w:b/>
          <w:bCs/>
          <w:sz w:val="28"/>
          <w:szCs w:val="28"/>
        </w:rPr>
      </w:pPr>
      <w:r>
        <w:rPr>
          <w:rFonts w:hint="eastAsia" w:ascii="仿宋" w:hAnsi="仿宋" w:eastAsia="仿宋" w:cs="仿宋"/>
          <w:b/>
          <w:bCs/>
          <w:sz w:val="28"/>
          <w:szCs w:val="28"/>
        </w:rPr>
        <w:t>29.转让或分包</w:t>
      </w:r>
    </w:p>
    <w:p>
      <w:pPr>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29.1本合同范围的货物，应由供方直接供应，不得转让他人供应；</w:t>
      </w:r>
    </w:p>
    <w:p>
      <w:pPr>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29.2除非得到需方的书面同意后，供方可以将其中部分依法分包给他人供应和实施。需方有绝对权力阻止分包。虽然需方之前未有阻止分包，需方仍有权抛弃任何分包人，并有权要求任何分包人脱离本货物的供应和服务；</w:t>
      </w:r>
    </w:p>
    <w:p>
      <w:pPr>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29.3本合同全部或部分的分包不能减轻供方承担的责任，供方仍须将分包人的任何行动、错误或疏忽当作是自己完成的并负全责；</w:t>
      </w:r>
    </w:p>
    <w:p>
      <w:pPr>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29.4在任何分包合同中，须注明分包人按分包合同的范围履行，在供方按本合同的履行终止时（不论任何原因），亦同时一并终止；</w:t>
      </w:r>
    </w:p>
    <w:p>
      <w:pPr>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29.5如有转让和未经需方同意的分包行为，需方有权给予终止合同。</w:t>
      </w:r>
    </w:p>
    <w:p>
      <w:pPr>
        <w:spacing w:line="420" w:lineRule="exact"/>
        <w:rPr>
          <w:rFonts w:hint="eastAsia" w:ascii="仿宋" w:hAnsi="仿宋" w:eastAsia="仿宋" w:cs="仿宋"/>
          <w:b/>
          <w:bCs/>
          <w:sz w:val="28"/>
          <w:szCs w:val="28"/>
        </w:rPr>
      </w:pPr>
      <w:r>
        <w:rPr>
          <w:rFonts w:hint="eastAsia" w:ascii="仿宋" w:hAnsi="仿宋" w:eastAsia="仿宋" w:cs="仿宋"/>
          <w:b/>
          <w:bCs/>
          <w:sz w:val="28"/>
          <w:szCs w:val="28"/>
        </w:rPr>
        <w:t>30.适用法律</w:t>
      </w:r>
    </w:p>
    <w:p>
      <w:pPr>
        <w:pStyle w:val="24"/>
        <w:spacing w:line="420" w:lineRule="exact"/>
        <w:ind w:firstLine="528"/>
        <w:rPr>
          <w:rFonts w:hint="eastAsia" w:ascii="仿宋" w:hAnsi="仿宋" w:eastAsia="仿宋" w:cs="仿宋"/>
          <w:sz w:val="28"/>
          <w:szCs w:val="28"/>
        </w:rPr>
      </w:pPr>
      <w:r>
        <w:rPr>
          <w:rFonts w:hint="eastAsia" w:ascii="仿宋" w:hAnsi="仿宋" w:eastAsia="仿宋" w:cs="仿宋"/>
          <w:sz w:val="28"/>
          <w:szCs w:val="28"/>
        </w:rPr>
        <w:t>合同适用法律有《中华人民共和国政府采购法》、《中华人民共和国合同法》、《中华人民共和国产品质量法》和浙江省有关条例等。</w:t>
      </w:r>
    </w:p>
    <w:p>
      <w:pPr>
        <w:spacing w:line="420" w:lineRule="exact"/>
        <w:rPr>
          <w:rFonts w:hint="eastAsia" w:ascii="仿宋" w:hAnsi="仿宋" w:eastAsia="仿宋" w:cs="仿宋"/>
          <w:b/>
          <w:bCs/>
          <w:sz w:val="28"/>
          <w:szCs w:val="28"/>
        </w:rPr>
      </w:pPr>
      <w:r>
        <w:rPr>
          <w:rFonts w:hint="eastAsia" w:ascii="仿宋" w:hAnsi="仿宋" w:eastAsia="仿宋" w:cs="仿宋"/>
          <w:b/>
          <w:bCs/>
          <w:sz w:val="28"/>
          <w:szCs w:val="28"/>
        </w:rPr>
        <w:t>31.合同生效及其他</w:t>
      </w:r>
    </w:p>
    <w:p>
      <w:pPr>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31.1本合同经双方法人及法定代表人签字盖章生效；</w:t>
      </w:r>
    </w:p>
    <w:p>
      <w:pPr>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31.2本合同一式四份，供、需方各执一份；湖州市财政局（市政府采购办）、集中采购机构各一份。</w:t>
      </w:r>
    </w:p>
    <w:p>
      <w:pPr>
        <w:spacing w:line="400" w:lineRule="exact"/>
        <w:rPr>
          <w:rFonts w:hint="eastAsia" w:ascii="仿宋" w:hAnsi="仿宋" w:eastAsia="仿宋" w:cs="仿宋"/>
          <w:sz w:val="28"/>
          <w:szCs w:val="28"/>
        </w:rPr>
      </w:pPr>
    </w:p>
    <w:p>
      <w:pPr>
        <w:pStyle w:val="2"/>
        <w:rPr>
          <w:rFonts w:hint="eastAsia" w:ascii="仿宋" w:hAnsi="仿宋" w:eastAsia="仿宋" w:cs="仿宋"/>
          <w:sz w:val="28"/>
          <w:szCs w:val="28"/>
        </w:rPr>
      </w:pPr>
    </w:p>
    <w:p>
      <w:pPr>
        <w:pStyle w:val="4"/>
        <w:rPr>
          <w:rFonts w:hint="eastAsia" w:ascii="仿宋" w:hAnsi="仿宋" w:eastAsia="仿宋" w:cs="仿宋"/>
          <w:sz w:val="28"/>
          <w:szCs w:val="28"/>
        </w:rPr>
      </w:pPr>
    </w:p>
    <w:p>
      <w:pPr>
        <w:pStyle w:val="2"/>
        <w:ind w:left="0" w:leftChars="0" w:firstLine="0" w:firstLineChars="0"/>
        <w:rPr>
          <w:rFonts w:hint="eastAsia" w:ascii="仿宋" w:hAnsi="仿宋" w:eastAsia="仿宋" w:cs="仿宋"/>
          <w:sz w:val="28"/>
          <w:szCs w:val="28"/>
        </w:rPr>
      </w:pPr>
    </w:p>
    <w:p>
      <w:pPr>
        <w:pStyle w:val="4"/>
        <w:rPr>
          <w:rFonts w:hint="eastAsia"/>
        </w:rPr>
      </w:pPr>
    </w:p>
    <w:p>
      <w:pPr>
        <w:pStyle w:val="5"/>
        <w:spacing w:line="240" w:lineRule="auto"/>
        <w:jc w:val="center"/>
        <w:rPr>
          <w:rFonts w:hint="eastAsia" w:ascii="仿宋" w:hAnsi="仿宋" w:eastAsia="仿宋" w:cs="仿宋"/>
          <w:b w:val="0"/>
          <w:bCs w:val="0"/>
          <w:sz w:val="28"/>
          <w:szCs w:val="28"/>
        </w:rPr>
      </w:pPr>
      <w:bookmarkStart w:id="51" w:name="_Toc36454325"/>
      <w:r>
        <w:rPr>
          <w:rFonts w:hint="eastAsia" w:ascii="仿宋" w:hAnsi="仿宋" w:eastAsia="仿宋" w:cs="仿宋"/>
          <w:sz w:val="28"/>
          <w:szCs w:val="28"/>
        </w:rPr>
        <w:t>第四章  投标文件的格式附件</w:t>
      </w:r>
      <w:bookmarkEnd w:id="51"/>
    </w:p>
    <w:p>
      <w:pPr>
        <w:snapToGrid w:val="0"/>
        <w:spacing w:before="120" w:beforeLines="50" w:after="50"/>
        <w:ind w:firstLine="550" w:firstLineChars="196"/>
        <w:rPr>
          <w:rFonts w:hint="eastAsia" w:ascii="仿宋" w:hAnsi="仿宋" w:eastAsia="仿宋" w:cs="仿宋"/>
          <w:sz w:val="28"/>
          <w:szCs w:val="28"/>
        </w:rPr>
      </w:pPr>
      <w:r>
        <w:rPr>
          <w:rFonts w:hint="eastAsia" w:ascii="仿宋" w:hAnsi="仿宋" w:eastAsia="仿宋" w:cs="仿宋"/>
          <w:b/>
          <w:bCs/>
          <w:kern w:val="44"/>
          <w:sz w:val="28"/>
          <w:szCs w:val="28"/>
        </w:rPr>
        <w:t>注：本章节内容提供部分投标文件格式，招标文件中有要求但未提供格式的，须由投标人根据招标文件的要求自行制作。</w:t>
      </w:r>
    </w:p>
    <w:p>
      <w:pPr>
        <w:snapToGrid w:val="0"/>
        <w:spacing w:before="50" w:after="120" w:afterLines="50"/>
        <w:jc w:val="left"/>
        <w:rPr>
          <w:rFonts w:hint="eastAsia" w:ascii="仿宋" w:hAnsi="仿宋" w:eastAsia="仿宋" w:cs="仿宋"/>
          <w:b/>
          <w:sz w:val="28"/>
          <w:szCs w:val="28"/>
        </w:rPr>
      </w:pPr>
      <w:r>
        <w:rPr>
          <w:rFonts w:hint="eastAsia" w:ascii="仿宋" w:hAnsi="仿宋" w:eastAsia="仿宋" w:cs="仿宋"/>
          <w:b/>
          <w:sz w:val="28"/>
          <w:szCs w:val="28"/>
        </w:rPr>
        <w:t>附件1：</w:t>
      </w:r>
    </w:p>
    <w:p>
      <w:pPr>
        <w:snapToGrid w:val="0"/>
        <w:spacing w:before="50" w:after="50"/>
        <w:jc w:val="center"/>
        <w:rPr>
          <w:rFonts w:hint="eastAsia" w:ascii="仿宋" w:hAnsi="仿宋" w:eastAsia="仿宋" w:cs="仿宋"/>
          <w:b/>
          <w:sz w:val="28"/>
          <w:szCs w:val="28"/>
        </w:rPr>
      </w:pPr>
      <w:r>
        <w:rPr>
          <w:rFonts w:hint="eastAsia" w:ascii="仿宋" w:hAnsi="仿宋" w:eastAsia="仿宋" w:cs="仿宋"/>
          <w:b/>
          <w:sz w:val="28"/>
          <w:szCs w:val="28"/>
        </w:rPr>
        <w:t>投 标 声 明 书</w:t>
      </w:r>
    </w:p>
    <w:p>
      <w:pPr>
        <w:snapToGrid w:val="0"/>
        <w:spacing w:before="50" w:after="50"/>
        <w:jc w:val="center"/>
        <w:rPr>
          <w:rFonts w:hint="eastAsia" w:ascii="仿宋" w:hAnsi="仿宋" w:eastAsia="仿宋" w:cs="仿宋"/>
          <w:b/>
          <w:sz w:val="28"/>
          <w:szCs w:val="28"/>
        </w:rPr>
      </w:pPr>
    </w:p>
    <w:p>
      <w:pPr>
        <w:snapToGrid w:val="0"/>
        <w:spacing w:line="360" w:lineRule="auto"/>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致湖州市政府采购中心：</w:t>
      </w:r>
    </w:p>
    <w:p>
      <w:pPr>
        <w:snapToGrid w:val="0"/>
        <w:spacing w:line="360" w:lineRule="auto"/>
        <w:ind w:firstLine="560" w:firstLineChars="200"/>
        <w:jc w:val="left"/>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u w:val="single"/>
        </w:rPr>
        <w:t xml:space="preserve">（投标人名称）               </w:t>
      </w:r>
      <w:r>
        <w:rPr>
          <w:rFonts w:hint="eastAsia" w:ascii="仿宋" w:hAnsi="仿宋" w:eastAsia="仿宋" w:cs="仿宋"/>
          <w:snapToGrid w:val="0"/>
          <w:kern w:val="0"/>
          <w:sz w:val="28"/>
          <w:szCs w:val="28"/>
        </w:rPr>
        <w:t>系中华人民共和国合法企业，经营地址</w:t>
      </w:r>
      <w:r>
        <w:rPr>
          <w:rFonts w:hint="eastAsia" w:ascii="仿宋" w:hAnsi="仿宋" w:eastAsia="仿宋" w:cs="仿宋"/>
          <w:snapToGrid w:val="0"/>
          <w:kern w:val="0"/>
          <w:sz w:val="28"/>
          <w:szCs w:val="28"/>
          <w:u w:val="single"/>
        </w:rPr>
        <w:t xml:space="preserve">                            </w:t>
      </w:r>
      <w:r>
        <w:rPr>
          <w:rFonts w:hint="eastAsia" w:ascii="仿宋" w:hAnsi="仿宋" w:eastAsia="仿宋" w:cs="仿宋"/>
          <w:snapToGrid w:val="0"/>
          <w:kern w:val="0"/>
          <w:sz w:val="28"/>
          <w:szCs w:val="28"/>
        </w:rPr>
        <w:t>。</w:t>
      </w:r>
    </w:p>
    <w:p>
      <w:pPr>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我</w:t>
      </w:r>
      <w:r>
        <w:rPr>
          <w:rFonts w:hint="eastAsia" w:ascii="仿宋" w:hAnsi="仿宋" w:eastAsia="仿宋" w:cs="仿宋"/>
          <w:snapToGrid w:val="0"/>
          <w:kern w:val="0"/>
          <w:sz w:val="28"/>
          <w:szCs w:val="28"/>
          <w:u w:val="single"/>
        </w:rPr>
        <w:t>（姓名）</w:t>
      </w:r>
      <w:r>
        <w:rPr>
          <w:rFonts w:hint="eastAsia" w:ascii="仿宋" w:hAnsi="仿宋" w:eastAsia="仿宋" w:cs="仿宋"/>
          <w:snapToGrid w:val="0"/>
          <w:kern w:val="0"/>
          <w:sz w:val="28"/>
          <w:szCs w:val="28"/>
        </w:rPr>
        <w:t>系</w:t>
      </w:r>
      <w:r>
        <w:rPr>
          <w:rFonts w:hint="eastAsia" w:ascii="仿宋" w:hAnsi="仿宋" w:eastAsia="仿宋" w:cs="仿宋"/>
          <w:snapToGrid w:val="0"/>
          <w:kern w:val="0"/>
          <w:sz w:val="28"/>
          <w:szCs w:val="28"/>
          <w:u w:val="single"/>
        </w:rPr>
        <w:t>（投标人名称）</w:t>
      </w:r>
      <w:r>
        <w:rPr>
          <w:rFonts w:hint="eastAsia" w:ascii="仿宋" w:hAnsi="仿宋" w:eastAsia="仿宋" w:cs="仿宋"/>
          <w:snapToGrid w:val="0"/>
          <w:kern w:val="0"/>
          <w:sz w:val="28"/>
          <w:szCs w:val="28"/>
        </w:rPr>
        <w:t>的法定代表人，我方愿意参加贵方组织的</w:t>
      </w:r>
      <w:r>
        <w:rPr>
          <w:rFonts w:hint="eastAsia" w:ascii="仿宋" w:hAnsi="仿宋" w:eastAsia="仿宋" w:cs="仿宋"/>
          <w:snapToGrid w:val="0"/>
          <w:kern w:val="0"/>
          <w:sz w:val="28"/>
          <w:szCs w:val="28"/>
          <w:u w:val="single"/>
        </w:rPr>
        <w:t>（招标项目名称）（编号：</w:t>
      </w:r>
      <w:r>
        <w:rPr>
          <w:rFonts w:hint="eastAsia" w:ascii="仿宋" w:hAnsi="仿宋" w:eastAsia="仿宋" w:cs="仿宋"/>
          <w:snapToGrid w:val="0"/>
          <w:kern w:val="0"/>
          <w:sz w:val="28"/>
          <w:szCs w:val="28"/>
          <w:u w:val="single"/>
          <w:lang w:eastAsia="zh-CN"/>
        </w:rPr>
        <w:t>HZGZ2022-45</w:t>
      </w:r>
      <w:r>
        <w:rPr>
          <w:rFonts w:hint="eastAsia" w:ascii="仿宋" w:hAnsi="仿宋" w:eastAsia="仿宋" w:cs="仿宋"/>
          <w:snapToGrid w:val="0"/>
          <w:kern w:val="0"/>
          <w:sz w:val="28"/>
          <w:szCs w:val="28"/>
          <w:u w:val="single"/>
        </w:rPr>
        <w:t>）</w:t>
      </w:r>
      <w:r>
        <w:rPr>
          <w:rFonts w:hint="eastAsia" w:ascii="仿宋" w:hAnsi="仿宋" w:eastAsia="仿宋" w:cs="仿宋"/>
          <w:snapToGrid w:val="0"/>
          <w:kern w:val="0"/>
          <w:sz w:val="28"/>
          <w:szCs w:val="28"/>
        </w:rPr>
        <w:t>的投标，为此，我方就本次投标有关事项郑重声明如下：</w:t>
      </w:r>
    </w:p>
    <w:p>
      <w:pPr>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1、我方已详细审查全部招标文件，同意招标文件的各项要求。</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2、我方向贵方提交的所有投标文件、资料都是准确的和真实的。</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3、若中标，我方将按招标文件规定履行合同责任和义务。</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4、我方不是采购人的附属机构，在获知本项目采购信息后，与采购人聘请的为此项目提供咨询服务的公司及其附属机构没有任何联系。</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5、投标文件自开标日起有效期为120天。</w:t>
      </w:r>
    </w:p>
    <w:p>
      <w:pPr>
        <w:snapToGrid w:val="0"/>
        <w:spacing w:line="360" w:lineRule="auto"/>
        <w:ind w:firstLine="550" w:firstLineChars="196"/>
        <w:jc w:val="left"/>
        <w:rPr>
          <w:rFonts w:hint="eastAsia" w:ascii="仿宋" w:hAnsi="仿宋" w:eastAsia="仿宋" w:cs="仿宋"/>
          <w:b/>
          <w:sz w:val="28"/>
          <w:szCs w:val="28"/>
        </w:rPr>
      </w:pPr>
      <w:r>
        <w:rPr>
          <w:rFonts w:hint="eastAsia" w:ascii="仿宋" w:hAnsi="仿宋" w:eastAsia="仿宋" w:cs="仿宋"/>
          <w:b/>
          <w:sz w:val="28"/>
          <w:szCs w:val="28"/>
        </w:rPr>
        <w:t>6、</w:t>
      </w:r>
      <w:r>
        <w:rPr>
          <w:rFonts w:hint="eastAsia" w:ascii="仿宋" w:hAnsi="仿宋" w:eastAsia="仿宋" w:cs="仿宋"/>
          <w:b/>
          <w:sz w:val="28"/>
          <w:szCs w:val="28"/>
          <w:lang w:eastAsia="zh-CN"/>
        </w:rPr>
        <w:t>符合《中华人民共和国政府采购法》第二十二条：参加政府采购活动应当具备的条件</w:t>
      </w:r>
      <w:r>
        <w:rPr>
          <w:rFonts w:hint="eastAsia" w:ascii="仿宋" w:hAnsi="仿宋" w:eastAsia="仿宋" w:cs="仿宋"/>
          <w:b/>
          <w:sz w:val="28"/>
          <w:szCs w:val="28"/>
        </w:rPr>
        <w:t>；</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8、以上事项如有虚假或隐瞒，我方愿意承担一切后果，并不再寻求任何旨在减轻或免除法律责任的辩解。</w:t>
      </w:r>
    </w:p>
    <w:p>
      <w:pPr>
        <w:snapToGrid w:val="0"/>
        <w:ind w:right="600" w:firstLine="140" w:firstLineChars="50"/>
        <w:rPr>
          <w:rFonts w:hint="eastAsia" w:ascii="仿宋" w:hAnsi="仿宋" w:eastAsia="仿宋" w:cs="仿宋"/>
          <w:sz w:val="28"/>
          <w:szCs w:val="28"/>
        </w:rPr>
      </w:pPr>
    </w:p>
    <w:p>
      <w:pPr>
        <w:snapToGrid w:val="0"/>
        <w:ind w:right="600" w:firstLine="140" w:firstLineChars="50"/>
        <w:rPr>
          <w:rFonts w:hint="eastAsia" w:ascii="仿宋" w:hAnsi="仿宋" w:eastAsia="仿宋" w:cs="仿宋"/>
          <w:sz w:val="28"/>
          <w:szCs w:val="28"/>
          <w:u w:val="single"/>
        </w:rPr>
      </w:pPr>
      <w:r>
        <w:rPr>
          <w:rFonts w:hint="eastAsia" w:ascii="仿宋" w:hAnsi="仿宋" w:eastAsia="仿宋" w:cs="仿宋"/>
          <w:sz w:val="28"/>
          <w:szCs w:val="28"/>
        </w:rPr>
        <w:t>法定代表人签名（或签名章）：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日 期：</w:t>
      </w:r>
      <w:r>
        <w:rPr>
          <w:rFonts w:hint="eastAsia" w:ascii="仿宋" w:hAnsi="仿宋" w:eastAsia="仿宋" w:cs="仿宋"/>
          <w:sz w:val="28"/>
          <w:szCs w:val="28"/>
          <w:u w:val="single"/>
        </w:rPr>
        <w:t xml:space="preserve">          </w:t>
      </w:r>
    </w:p>
    <w:p>
      <w:pPr>
        <w:snapToGrid w:val="0"/>
        <w:ind w:firstLine="140" w:firstLineChars="50"/>
        <w:rPr>
          <w:rFonts w:hint="eastAsia" w:ascii="仿宋" w:hAnsi="仿宋" w:eastAsia="仿宋" w:cs="仿宋"/>
          <w:sz w:val="28"/>
          <w:szCs w:val="28"/>
        </w:rPr>
      </w:pPr>
      <w:r>
        <w:rPr>
          <w:rFonts w:hint="eastAsia" w:ascii="仿宋" w:hAnsi="仿宋" w:eastAsia="仿宋" w:cs="仿宋"/>
          <w:sz w:val="28"/>
          <w:szCs w:val="28"/>
        </w:rPr>
        <w:t>投标人全称（电子签章）：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sz w:val="28"/>
          <w:szCs w:val="28"/>
        </w:rPr>
        <w:br w:type="page"/>
      </w:r>
    </w:p>
    <w:p>
      <w:pPr>
        <w:pStyle w:val="9"/>
        <w:spacing w:line="500" w:lineRule="exact"/>
        <w:ind w:firstLine="0"/>
        <w:rPr>
          <w:rFonts w:hint="eastAsia" w:ascii="仿宋" w:hAnsi="仿宋" w:eastAsia="仿宋" w:cs="仿宋"/>
          <w:b/>
          <w:bCs/>
          <w:spacing w:val="24"/>
          <w:sz w:val="28"/>
          <w:szCs w:val="28"/>
        </w:rPr>
      </w:pPr>
      <w:r>
        <w:rPr>
          <w:rFonts w:hint="eastAsia" w:ascii="仿宋" w:hAnsi="仿宋" w:eastAsia="仿宋" w:cs="仿宋"/>
          <w:b/>
          <w:bCs/>
          <w:spacing w:val="24"/>
          <w:sz w:val="28"/>
          <w:szCs w:val="28"/>
        </w:rPr>
        <w:t>附件2：</w:t>
      </w:r>
    </w:p>
    <w:p>
      <w:pPr>
        <w:snapToGrid w:val="0"/>
        <w:spacing w:before="50" w:after="50"/>
        <w:jc w:val="center"/>
        <w:rPr>
          <w:rFonts w:hint="eastAsia" w:ascii="仿宋" w:hAnsi="仿宋" w:eastAsia="仿宋" w:cs="仿宋"/>
          <w:b/>
          <w:sz w:val="28"/>
          <w:szCs w:val="28"/>
        </w:rPr>
      </w:pPr>
      <w:r>
        <w:rPr>
          <w:rFonts w:hint="eastAsia" w:ascii="仿宋" w:hAnsi="仿宋" w:eastAsia="仿宋" w:cs="仿宋"/>
          <w:b/>
          <w:sz w:val="28"/>
          <w:szCs w:val="28"/>
        </w:rPr>
        <w:t>法定代表人有效身份证明书</w:t>
      </w:r>
    </w:p>
    <w:p>
      <w:pPr>
        <w:pStyle w:val="9"/>
        <w:spacing w:line="500" w:lineRule="exact"/>
        <w:ind w:firstLine="513" w:firstLineChars="156"/>
        <w:jc w:val="center"/>
        <w:rPr>
          <w:rFonts w:hint="eastAsia" w:ascii="仿宋" w:hAnsi="仿宋" w:eastAsia="仿宋" w:cs="仿宋"/>
          <w:b/>
          <w:bCs/>
          <w:spacing w:val="24"/>
          <w:sz w:val="28"/>
          <w:szCs w:val="28"/>
        </w:rPr>
      </w:pPr>
    </w:p>
    <w:p>
      <w:pPr>
        <w:pStyle w:val="9"/>
        <w:spacing w:line="500" w:lineRule="exact"/>
        <w:ind w:firstLine="513" w:firstLineChars="156"/>
        <w:jc w:val="center"/>
        <w:rPr>
          <w:rFonts w:hint="eastAsia" w:ascii="仿宋" w:hAnsi="仿宋" w:eastAsia="仿宋" w:cs="仿宋"/>
          <w:b/>
          <w:bCs/>
          <w:spacing w:val="24"/>
          <w:sz w:val="28"/>
          <w:szCs w:val="28"/>
        </w:rPr>
      </w:pPr>
    </w:p>
    <w:p>
      <w:pPr>
        <w:pStyle w:val="9"/>
        <w:spacing w:line="500" w:lineRule="exact"/>
        <w:ind w:firstLine="1400" w:firstLineChars="500"/>
        <w:rPr>
          <w:rFonts w:hint="eastAsia" w:ascii="仿宋" w:hAnsi="仿宋" w:eastAsia="仿宋" w:cs="仿宋"/>
          <w:sz w:val="28"/>
          <w:szCs w:val="28"/>
        </w:rPr>
      </w:pPr>
      <w:r>
        <w:rPr>
          <w:rFonts w:hint="eastAsia" w:ascii="仿宋" w:hAnsi="仿宋" w:eastAsia="仿宋" w:cs="仿宋"/>
          <w:sz w:val="28"/>
          <w:szCs w:val="28"/>
          <w:u w:val="single"/>
        </w:rPr>
        <w:t>（姓名）</w:t>
      </w:r>
      <w:r>
        <w:rPr>
          <w:rFonts w:hint="eastAsia" w:ascii="仿宋" w:hAnsi="仿宋" w:eastAsia="仿宋" w:cs="仿宋"/>
          <w:sz w:val="28"/>
          <w:szCs w:val="28"/>
        </w:rPr>
        <w:t xml:space="preserve">是 </w:t>
      </w:r>
      <w:r>
        <w:rPr>
          <w:rFonts w:hint="eastAsia" w:ascii="仿宋" w:hAnsi="仿宋" w:eastAsia="仿宋" w:cs="仿宋"/>
          <w:sz w:val="28"/>
          <w:szCs w:val="28"/>
          <w:u w:val="single"/>
        </w:rPr>
        <w:t xml:space="preserve">                              </w:t>
      </w:r>
      <w:r>
        <w:rPr>
          <w:rFonts w:hint="eastAsia" w:ascii="仿宋" w:hAnsi="仿宋" w:eastAsia="仿宋" w:cs="仿宋"/>
          <w:sz w:val="28"/>
          <w:szCs w:val="28"/>
        </w:rPr>
        <w:t>（单位全称）</w:t>
      </w:r>
    </w:p>
    <w:p>
      <w:pPr>
        <w:pStyle w:val="9"/>
        <w:spacing w:line="500" w:lineRule="exact"/>
        <w:ind w:firstLine="436" w:firstLineChars="156"/>
        <w:rPr>
          <w:rFonts w:hint="eastAsia" w:ascii="仿宋" w:hAnsi="仿宋" w:eastAsia="仿宋" w:cs="仿宋"/>
          <w:sz w:val="28"/>
          <w:szCs w:val="28"/>
        </w:rPr>
      </w:pPr>
      <w:r>
        <w:rPr>
          <w:rFonts w:hint="eastAsia" w:ascii="仿宋" w:hAnsi="仿宋" w:eastAsia="仿宋" w:cs="仿宋"/>
          <w:sz w:val="28"/>
          <w:szCs w:val="28"/>
        </w:rPr>
        <w:t xml:space="preserve">的法定代表人，身份证号码为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9"/>
        <w:spacing w:line="500" w:lineRule="exact"/>
        <w:ind w:firstLine="436" w:firstLineChars="156"/>
        <w:rPr>
          <w:rFonts w:hint="eastAsia" w:ascii="仿宋" w:hAnsi="仿宋" w:eastAsia="仿宋" w:cs="仿宋"/>
          <w:sz w:val="28"/>
          <w:szCs w:val="28"/>
        </w:rPr>
      </w:pPr>
    </w:p>
    <w:p>
      <w:pPr>
        <w:pStyle w:val="9"/>
        <w:spacing w:line="500" w:lineRule="exact"/>
        <w:ind w:firstLine="436" w:firstLineChars="156"/>
        <w:rPr>
          <w:rFonts w:hint="eastAsia" w:ascii="仿宋" w:hAnsi="仿宋" w:eastAsia="仿宋" w:cs="仿宋"/>
          <w:sz w:val="28"/>
          <w:szCs w:val="28"/>
        </w:rPr>
      </w:pPr>
    </w:p>
    <w:p>
      <w:pPr>
        <w:pStyle w:val="9"/>
        <w:spacing w:line="500" w:lineRule="exact"/>
        <w:ind w:firstLine="436" w:firstLineChars="156"/>
        <w:rPr>
          <w:rFonts w:hint="eastAsia" w:ascii="仿宋" w:hAnsi="仿宋" w:eastAsia="仿宋" w:cs="仿宋"/>
          <w:sz w:val="28"/>
          <w:szCs w:val="28"/>
        </w:rPr>
      </w:pPr>
      <w:r>
        <w:rPr>
          <w:rFonts w:hint="eastAsia" w:ascii="仿宋" w:hAnsi="仿宋" w:eastAsia="仿宋" w:cs="仿宋"/>
          <w:sz w:val="28"/>
          <w:szCs w:val="28"/>
        </w:rPr>
        <w:t xml:space="preserve">    特此证明</w:t>
      </w:r>
    </w:p>
    <w:p>
      <w:pPr>
        <w:pStyle w:val="9"/>
        <w:spacing w:line="500" w:lineRule="exact"/>
        <w:ind w:firstLine="436" w:firstLineChars="156"/>
        <w:rPr>
          <w:rFonts w:hint="eastAsia" w:ascii="仿宋" w:hAnsi="仿宋" w:eastAsia="仿宋" w:cs="仿宋"/>
          <w:sz w:val="28"/>
          <w:szCs w:val="28"/>
        </w:rPr>
      </w:pPr>
    </w:p>
    <w:p>
      <w:pPr>
        <w:pStyle w:val="9"/>
        <w:spacing w:line="500" w:lineRule="exact"/>
        <w:ind w:firstLine="436" w:firstLineChars="156"/>
        <w:rPr>
          <w:rFonts w:hint="eastAsia" w:ascii="仿宋" w:hAnsi="仿宋" w:eastAsia="仿宋" w:cs="仿宋"/>
          <w:sz w:val="28"/>
          <w:szCs w:val="28"/>
        </w:rPr>
      </w:pPr>
    </w:p>
    <w:p>
      <w:pPr>
        <w:pStyle w:val="9"/>
        <w:spacing w:line="500" w:lineRule="exact"/>
        <w:ind w:firstLine="436" w:firstLineChars="156"/>
        <w:rPr>
          <w:rFonts w:hint="eastAsia" w:ascii="仿宋" w:hAnsi="仿宋" w:eastAsia="仿宋" w:cs="仿宋"/>
          <w:sz w:val="28"/>
          <w:szCs w:val="28"/>
        </w:rPr>
      </w:pPr>
    </w:p>
    <w:p>
      <w:pPr>
        <w:pStyle w:val="9"/>
        <w:spacing w:line="500" w:lineRule="exact"/>
        <w:ind w:firstLine="436" w:firstLineChars="156"/>
        <w:rPr>
          <w:rFonts w:hint="eastAsia" w:ascii="仿宋" w:hAnsi="仿宋" w:eastAsia="仿宋" w:cs="仿宋"/>
          <w:sz w:val="28"/>
          <w:szCs w:val="28"/>
        </w:rPr>
      </w:pPr>
    </w:p>
    <w:p>
      <w:pPr>
        <w:pStyle w:val="9"/>
        <w:spacing w:line="500" w:lineRule="exact"/>
        <w:ind w:firstLine="436" w:firstLineChars="156"/>
        <w:rPr>
          <w:rFonts w:hint="eastAsia" w:ascii="仿宋" w:hAnsi="仿宋" w:eastAsia="仿宋" w:cs="仿宋"/>
          <w:sz w:val="28"/>
          <w:szCs w:val="28"/>
        </w:rPr>
      </w:pPr>
      <w:r>
        <w:rPr>
          <w:rFonts w:hint="eastAsia" w:ascii="仿宋" w:hAnsi="仿宋" w:eastAsia="仿宋" w:cs="仿宋"/>
          <w:sz w:val="28"/>
          <w:szCs w:val="28"/>
        </w:rPr>
        <w:t xml:space="preserve">          投标人（电子签章）：</w:t>
      </w:r>
    </w:p>
    <w:p>
      <w:pPr>
        <w:pStyle w:val="9"/>
        <w:spacing w:line="500" w:lineRule="exact"/>
        <w:ind w:firstLine="436" w:firstLineChars="156"/>
        <w:rPr>
          <w:rFonts w:hint="eastAsia" w:ascii="仿宋" w:hAnsi="仿宋" w:eastAsia="仿宋" w:cs="仿宋"/>
          <w:sz w:val="28"/>
          <w:szCs w:val="28"/>
        </w:rPr>
      </w:pPr>
    </w:p>
    <w:p>
      <w:pPr>
        <w:pStyle w:val="9"/>
        <w:spacing w:line="500" w:lineRule="exact"/>
        <w:ind w:firstLine="1696" w:firstLineChars="606"/>
        <w:rPr>
          <w:rFonts w:hint="eastAsia" w:ascii="仿宋" w:hAnsi="仿宋" w:eastAsia="仿宋" w:cs="仿宋"/>
          <w:sz w:val="28"/>
          <w:szCs w:val="28"/>
        </w:rPr>
      </w:pPr>
      <w:r>
        <w:rPr>
          <w:rFonts w:hint="eastAsia" w:ascii="仿宋" w:hAnsi="仿宋" w:eastAsia="仿宋" w:cs="仿宋"/>
          <w:sz w:val="28"/>
          <w:szCs w:val="28"/>
        </w:rPr>
        <w:t>法定代表人或其授权代理人（签名或盖章）</w:t>
      </w:r>
    </w:p>
    <w:p>
      <w:pPr>
        <w:pStyle w:val="9"/>
        <w:spacing w:line="500" w:lineRule="exact"/>
        <w:ind w:firstLine="436" w:firstLineChars="156"/>
        <w:jc w:val="center"/>
        <w:rPr>
          <w:rFonts w:hint="eastAsia" w:ascii="仿宋" w:hAnsi="仿宋" w:eastAsia="仿宋" w:cs="仿宋"/>
          <w:sz w:val="28"/>
          <w:szCs w:val="28"/>
        </w:rPr>
      </w:pPr>
    </w:p>
    <w:p>
      <w:pPr>
        <w:pStyle w:val="9"/>
        <w:spacing w:line="500" w:lineRule="exact"/>
        <w:ind w:firstLine="436" w:firstLineChars="156"/>
        <w:rPr>
          <w:rFonts w:hint="eastAsia" w:ascii="仿宋" w:hAnsi="仿宋" w:eastAsia="仿宋" w:cs="仿宋"/>
          <w:sz w:val="28"/>
          <w:szCs w:val="28"/>
        </w:rPr>
      </w:pPr>
      <w:r>
        <w:rPr>
          <w:rFonts w:hint="eastAsia" w:ascii="仿宋" w:hAnsi="仿宋" w:eastAsia="仿宋" w:cs="仿宋"/>
          <w:sz w:val="28"/>
          <w:szCs w:val="28"/>
        </w:rPr>
        <w:t xml:space="preserve">              日期：    年   月   日</w:t>
      </w:r>
    </w:p>
    <w:p>
      <w:pPr>
        <w:pStyle w:val="9"/>
        <w:spacing w:line="500" w:lineRule="exact"/>
        <w:ind w:firstLine="436" w:firstLineChars="156"/>
        <w:jc w:val="center"/>
        <w:rPr>
          <w:rFonts w:hint="eastAsia" w:ascii="仿宋" w:hAnsi="仿宋" w:eastAsia="仿宋" w:cs="仿宋"/>
          <w:sz w:val="28"/>
          <w:szCs w:val="28"/>
        </w:rPr>
      </w:pPr>
    </w:p>
    <w:p>
      <w:pPr>
        <w:pStyle w:val="9"/>
        <w:spacing w:line="500" w:lineRule="exact"/>
        <w:ind w:firstLine="436" w:firstLineChars="156"/>
        <w:rPr>
          <w:rFonts w:hint="eastAsia" w:ascii="仿宋" w:hAnsi="仿宋" w:eastAsia="仿宋" w:cs="仿宋"/>
          <w:sz w:val="28"/>
          <w:szCs w:val="28"/>
        </w:rPr>
      </w:pPr>
      <w:r>
        <w:rPr>
          <w:rFonts w:hint="eastAsia" w:ascii="仿宋" w:hAnsi="仿宋" w:eastAsia="仿宋" w:cs="仿宋"/>
          <w:sz w:val="28"/>
          <w:szCs w:val="28"/>
        </w:rPr>
        <w:t>————————————————————-----------</w:t>
      </w:r>
    </w:p>
    <w:p>
      <w:pPr>
        <w:pStyle w:val="9"/>
        <w:spacing w:line="500" w:lineRule="exact"/>
        <w:ind w:firstLine="0"/>
        <w:rPr>
          <w:rFonts w:hint="eastAsia" w:ascii="仿宋" w:hAnsi="仿宋" w:eastAsia="仿宋" w:cs="仿宋"/>
          <w:sz w:val="28"/>
          <w:szCs w:val="28"/>
        </w:rPr>
      </w:pPr>
    </w:p>
    <w:p>
      <w:pPr>
        <w:pStyle w:val="9"/>
        <w:spacing w:line="500" w:lineRule="exact"/>
        <w:ind w:firstLine="436" w:firstLineChars="156"/>
        <w:jc w:val="center"/>
        <w:rPr>
          <w:rFonts w:hint="eastAsia" w:ascii="仿宋" w:hAnsi="仿宋" w:eastAsia="仿宋" w:cs="仿宋"/>
          <w:sz w:val="28"/>
          <w:szCs w:val="28"/>
        </w:rPr>
      </w:pPr>
      <w:r>
        <w:rPr>
          <w:rFonts w:hint="eastAsia" w:ascii="仿宋" w:hAnsi="仿宋" w:eastAsia="仿宋" w:cs="仿宋"/>
          <w:sz w:val="28"/>
          <w:szCs w:val="28"/>
        </w:rPr>
        <w:t>有效身份证明复印件粘贴处</w:t>
      </w:r>
    </w:p>
    <w:p>
      <w:pPr>
        <w:pStyle w:val="9"/>
        <w:spacing w:line="500" w:lineRule="exact"/>
        <w:ind w:firstLine="436" w:firstLineChars="156"/>
        <w:jc w:val="center"/>
        <w:rPr>
          <w:rFonts w:hint="eastAsia" w:ascii="仿宋" w:hAnsi="仿宋" w:eastAsia="仿宋" w:cs="仿宋"/>
          <w:sz w:val="28"/>
          <w:szCs w:val="28"/>
        </w:rPr>
      </w:pPr>
    </w:p>
    <w:p>
      <w:pPr>
        <w:pStyle w:val="9"/>
        <w:spacing w:line="500" w:lineRule="exact"/>
        <w:ind w:firstLine="436" w:firstLineChars="156"/>
        <w:jc w:val="center"/>
        <w:rPr>
          <w:rFonts w:hint="eastAsia" w:ascii="仿宋" w:hAnsi="仿宋" w:eastAsia="仿宋" w:cs="仿宋"/>
          <w:sz w:val="28"/>
          <w:szCs w:val="28"/>
        </w:rPr>
      </w:pPr>
    </w:p>
    <w:p>
      <w:pPr>
        <w:pStyle w:val="9"/>
        <w:spacing w:line="500" w:lineRule="exact"/>
        <w:ind w:firstLine="513" w:firstLineChars="156"/>
        <w:jc w:val="center"/>
        <w:rPr>
          <w:rFonts w:hint="eastAsia" w:ascii="仿宋" w:hAnsi="仿宋" w:eastAsia="仿宋" w:cs="仿宋"/>
          <w:b/>
          <w:bCs/>
          <w:spacing w:val="24"/>
          <w:sz w:val="28"/>
          <w:szCs w:val="28"/>
        </w:rPr>
      </w:pPr>
    </w:p>
    <w:p>
      <w:pPr>
        <w:pStyle w:val="9"/>
        <w:spacing w:line="500" w:lineRule="exact"/>
        <w:ind w:firstLine="513" w:firstLineChars="156"/>
        <w:jc w:val="center"/>
        <w:rPr>
          <w:rFonts w:hint="eastAsia" w:ascii="仿宋" w:hAnsi="仿宋" w:eastAsia="仿宋" w:cs="仿宋"/>
          <w:b/>
          <w:bCs/>
          <w:spacing w:val="24"/>
          <w:sz w:val="28"/>
          <w:szCs w:val="28"/>
        </w:rPr>
      </w:pPr>
    </w:p>
    <w:p>
      <w:pPr>
        <w:snapToGrid w:val="0"/>
        <w:spacing w:before="120" w:beforeLines="50" w:after="50" w:line="460" w:lineRule="exact"/>
        <w:rPr>
          <w:rFonts w:hint="eastAsia" w:ascii="仿宋" w:hAnsi="仿宋" w:eastAsia="仿宋" w:cs="仿宋"/>
          <w:sz w:val="28"/>
          <w:szCs w:val="28"/>
        </w:rPr>
      </w:pPr>
    </w:p>
    <w:p>
      <w:pPr>
        <w:snapToGrid w:val="0"/>
        <w:spacing w:before="120" w:beforeLines="50" w:after="50" w:line="460" w:lineRule="exact"/>
        <w:rPr>
          <w:rFonts w:hint="eastAsia" w:ascii="仿宋" w:hAnsi="仿宋" w:eastAsia="仿宋" w:cs="仿宋"/>
          <w:b/>
          <w:sz w:val="28"/>
          <w:szCs w:val="28"/>
        </w:rPr>
      </w:pPr>
      <w:r>
        <w:rPr>
          <w:rFonts w:hint="eastAsia" w:ascii="仿宋" w:hAnsi="仿宋" w:eastAsia="仿宋" w:cs="仿宋"/>
          <w:b/>
          <w:sz w:val="28"/>
          <w:szCs w:val="28"/>
        </w:rPr>
        <w:t>附件3：</w:t>
      </w:r>
    </w:p>
    <w:p>
      <w:pPr>
        <w:snapToGrid w:val="0"/>
        <w:spacing w:before="50" w:after="50"/>
        <w:jc w:val="center"/>
        <w:rPr>
          <w:rFonts w:hint="eastAsia" w:ascii="仿宋" w:hAnsi="仿宋" w:eastAsia="仿宋" w:cs="仿宋"/>
          <w:b/>
          <w:sz w:val="28"/>
          <w:szCs w:val="28"/>
        </w:rPr>
      </w:pPr>
      <w:r>
        <w:rPr>
          <w:rFonts w:hint="eastAsia" w:ascii="仿宋" w:hAnsi="仿宋" w:eastAsia="仿宋" w:cs="仿宋"/>
          <w:b/>
          <w:sz w:val="28"/>
          <w:szCs w:val="28"/>
        </w:rPr>
        <w:t>法定代表人授权委托书</w:t>
      </w:r>
    </w:p>
    <w:p>
      <w:pPr>
        <w:snapToGrid w:val="0"/>
        <w:spacing w:before="120" w:beforeLines="50" w:after="50"/>
        <w:jc w:val="center"/>
        <w:rPr>
          <w:rFonts w:hint="eastAsia" w:ascii="仿宋" w:hAnsi="仿宋" w:eastAsia="仿宋" w:cs="仿宋"/>
          <w:b/>
          <w:sz w:val="28"/>
          <w:szCs w:val="28"/>
        </w:rPr>
      </w:pPr>
    </w:p>
    <w:p>
      <w:pPr>
        <w:snapToGrid w:val="0"/>
        <w:spacing w:line="360" w:lineRule="auto"/>
        <w:rPr>
          <w:rFonts w:hint="eastAsia" w:ascii="仿宋" w:hAnsi="仿宋" w:eastAsia="仿宋" w:cs="仿宋"/>
          <w:b/>
          <w:bCs/>
          <w:sz w:val="28"/>
          <w:szCs w:val="28"/>
        </w:rPr>
      </w:pPr>
      <w:r>
        <w:rPr>
          <w:rFonts w:hint="eastAsia" w:ascii="仿宋" w:hAnsi="仿宋" w:eastAsia="仿宋" w:cs="仿宋"/>
          <w:bCs/>
          <w:sz w:val="28"/>
          <w:szCs w:val="28"/>
        </w:rPr>
        <w:t>湖州市政府采购中心：</w:t>
      </w:r>
    </w:p>
    <w:p>
      <w:pPr>
        <w:snapToGrid w:val="0"/>
        <w:spacing w:line="360" w:lineRule="auto"/>
        <w:ind w:firstLine="840" w:firstLineChars="300"/>
        <w:rPr>
          <w:rFonts w:hint="eastAsia" w:ascii="仿宋" w:hAnsi="仿宋" w:eastAsia="仿宋" w:cs="仿宋"/>
          <w:sz w:val="28"/>
          <w:szCs w:val="28"/>
          <w:u w:val="single"/>
        </w:rPr>
      </w:pPr>
      <w:r>
        <w:rPr>
          <w:rFonts w:hint="eastAsia" w:ascii="仿宋" w:hAnsi="仿宋" w:eastAsia="仿宋" w:cs="仿宋"/>
          <w:sz w:val="28"/>
          <w:szCs w:val="28"/>
        </w:rPr>
        <w:t>我</w:t>
      </w:r>
      <w:r>
        <w:rPr>
          <w:rFonts w:hint="eastAsia" w:ascii="仿宋" w:hAnsi="仿宋" w:eastAsia="仿宋" w:cs="仿宋"/>
          <w:sz w:val="28"/>
          <w:szCs w:val="28"/>
          <w:u w:val="single"/>
        </w:rPr>
        <w:t xml:space="preserve">    </w:t>
      </w:r>
      <w:r>
        <w:rPr>
          <w:rFonts w:hint="eastAsia" w:ascii="仿宋" w:hAnsi="仿宋" w:eastAsia="仿宋" w:cs="仿宋"/>
          <w:sz w:val="28"/>
          <w:szCs w:val="28"/>
        </w:rPr>
        <w:t>（姓名）系</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（投标人名称）的法定代表人，现授权委托本单位在职职工 </w:t>
      </w:r>
      <w:r>
        <w:rPr>
          <w:rFonts w:hint="eastAsia" w:ascii="仿宋" w:hAnsi="仿宋" w:eastAsia="仿宋" w:cs="仿宋"/>
          <w:b/>
          <w:sz w:val="28"/>
          <w:szCs w:val="28"/>
        </w:rPr>
        <w:t xml:space="preserve">(提供个人在本单位缴纳社保的证明) </w:t>
      </w:r>
      <w:r>
        <w:rPr>
          <w:rFonts w:hint="eastAsia" w:ascii="仿宋" w:hAnsi="仿宋" w:eastAsia="仿宋" w:cs="仿宋"/>
          <w:b/>
          <w:sz w:val="28"/>
          <w:szCs w:val="28"/>
          <w:u w:val="single"/>
        </w:rPr>
        <w:t xml:space="preserve">   </w:t>
      </w:r>
      <w:r>
        <w:rPr>
          <w:rFonts w:hint="eastAsia" w:ascii="仿宋" w:hAnsi="仿宋" w:eastAsia="仿宋" w:cs="仿宋"/>
          <w:sz w:val="28"/>
          <w:szCs w:val="28"/>
          <w:u w:val="single"/>
        </w:rPr>
        <w:t xml:space="preserve"> </w:t>
      </w:r>
    </w:p>
    <w:p>
      <w:pPr>
        <w:snapToGrid w:val="0"/>
        <w:spacing w:line="360" w:lineRule="auto"/>
        <w:rPr>
          <w:rFonts w:hint="eastAsia" w:ascii="仿宋" w:hAnsi="仿宋" w:eastAsia="仿宋" w:cs="仿宋"/>
          <w:sz w:val="28"/>
          <w:szCs w:val="28"/>
          <w:u w:val="single"/>
        </w:rPr>
      </w:pPr>
      <w:r>
        <w:rPr>
          <w:rFonts w:hint="eastAsia" w:ascii="仿宋" w:hAnsi="仿宋" w:eastAsia="仿宋" w:cs="仿宋"/>
          <w:sz w:val="28"/>
          <w:szCs w:val="28"/>
          <w:u w:val="single"/>
        </w:rPr>
        <w:t xml:space="preserve">         </w:t>
      </w:r>
      <w:r>
        <w:rPr>
          <w:rFonts w:hint="eastAsia" w:ascii="仿宋" w:hAnsi="仿宋" w:eastAsia="仿宋" w:cs="仿宋"/>
          <w:sz w:val="28"/>
          <w:szCs w:val="28"/>
        </w:rPr>
        <w:t>（姓名）为授权代表，以我方的名义参加项目编号：</w:t>
      </w:r>
      <w:r>
        <w:rPr>
          <w:rFonts w:hint="eastAsia" w:ascii="仿宋" w:hAnsi="仿宋" w:eastAsia="仿宋" w:cs="仿宋"/>
          <w:sz w:val="28"/>
          <w:szCs w:val="28"/>
          <w:u w:val="single"/>
        </w:rPr>
        <w:t xml:space="preserve">           </w:t>
      </w:r>
    </w:p>
    <w:p>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r>
        <w:rPr>
          <w:rFonts w:hint="eastAsia" w:ascii="仿宋" w:hAnsi="仿宋" w:eastAsia="仿宋" w:cs="仿宋"/>
          <w:sz w:val="28"/>
          <w:szCs w:val="28"/>
        </w:rPr>
        <w:t>项目的投标活动，并代表我方全权办理针对上述项目的投标、开标、评标、签约等具体事务和签署相关文件。我方对授权代表的签名事项负全部责任。</w:t>
      </w:r>
    </w:p>
    <w:p>
      <w:pPr>
        <w:snapToGri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在撤销授权的书面通知以前，本授权书一直有效。授权代表在授权书有效期内签署的所有文件不因授权的撤销而失效。</w:t>
      </w:r>
    </w:p>
    <w:p>
      <w:pPr>
        <w:snapToGri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授权代表无转委托权，特此委托。</w:t>
      </w:r>
    </w:p>
    <w:p>
      <w:pPr>
        <w:snapToGrid w:val="0"/>
        <w:spacing w:line="360" w:lineRule="auto"/>
        <w:ind w:firstLine="480"/>
        <w:rPr>
          <w:rFonts w:hint="eastAsia" w:ascii="仿宋" w:hAnsi="仿宋" w:eastAsia="仿宋" w:cs="仿宋"/>
          <w:sz w:val="28"/>
          <w:szCs w:val="28"/>
        </w:rPr>
      </w:pPr>
    </w:p>
    <w:p>
      <w:pPr>
        <w:snapToGrid w:val="0"/>
        <w:spacing w:before="120" w:beforeLines="50" w:after="50" w:line="460" w:lineRule="exact"/>
        <w:rPr>
          <w:rFonts w:hint="eastAsia" w:ascii="仿宋" w:hAnsi="仿宋" w:eastAsia="仿宋" w:cs="仿宋"/>
          <w:sz w:val="28"/>
          <w:szCs w:val="28"/>
        </w:rPr>
      </w:pPr>
      <w:r>
        <w:rPr>
          <w:rFonts w:hint="eastAsia" w:ascii="仿宋" w:hAnsi="仿宋" w:eastAsia="仿宋" w:cs="仿宋"/>
          <w:sz w:val="28"/>
          <w:szCs w:val="28"/>
        </w:rPr>
        <w:t>授权代表签名：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职务：</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napToGrid w:val="0"/>
        <w:spacing w:before="120" w:beforeLines="50" w:after="50" w:line="460" w:lineRule="exact"/>
        <w:rPr>
          <w:rFonts w:hint="eastAsia" w:ascii="仿宋" w:hAnsi="仿宋" w:eastAsia="仿宋" w:cs="仿宋"/>
          <w:sz w:val="28"/>
          <w:szCs w:val="28"/>
        </w:rPr>
      </w:pPr>
      <w:r>
        <w:rPr>
          <w:rFonts w:hint="eastAsia" w:ascii="仿宋" w:hAnsi="仿宋" w:eastAsia="仿宋" w:cs="仿宋"/>
          <w:sz w:val="28"/>
          <w:szCs w:val="28"/>
        </w:rPr>
        <w:t>联系手机：</w:t>
      </w:r>
      <w:r>
        <w:rPr>
          <w:rFonts w:hint="eastAsia" w:ascii="仿宋" w:hAnsi="仿宋" w:eastAsia="仿宋" w:cs="仿宋"/>
          <w:sz w:val="28"/>
          <w:szCs w:val="28"/>
          <w:u w:val="single"/>
        </w:rPr>
        <w:t xml:space="preserve">              </w:t>
      </w:r>
      <w:r>
        <w:rPr>
          <w:rFonts w:hint="eastAsia" w:ascii="仿宋" w:hAnsi="仿宋" w:eastAsia="仿宋" w:cs="仿宋"/>
          <w:sz w:val="28"/>
          <w:szCs w:val="28"/>
        </w:rPr>
        <w:t>（开评标期间务必保持通畅，用以询标联系）</w:t>
      </w:r>
    </w:p>
    <w:p>
      <w:pPr>
        <w:snapToGrid w:val="0"/>
        <w:spacing w:before="120" w:beforeLines="50" w:after="50" w:line="460" w:lineRule="exact"/>
        <w:rPr>
          <w:rFonts w:hint="eastAsia" w:ascii="仿宋" w:hAnsi="仿宋" w:eastAsia="仿宋" w:cs="仿宋"/>
          <w:sz w:val="28"/>
          <w:szCs w:val="28"/>
        </w:rPr>
      </w:pPr>
      <w:r>
        <w:rPr>
          <w:rFonts w:hint="eastAsia" w:ascii="仿宋" w:hAnsi="仿宋" w:eastAsia="仿宋" w:cs="仿宋"/>
          <w:sz w:val="28"/>
          <w:szCs w:val="28"/>
        </w:rPr>
        <w:t>授权代表身份证号码：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napToGrid w:val="0"/>
        <w:spacing w:before="120" w:beforeLines="50" w:after="50" w:line="460" w:lineRule="exact"/>
        <w:rPr>
          <w:rFonts w:hint="eastAsia" w:ascii="仿宋" w:hAnsi="仿宋" w:eastAsia="仿宋" w:cs="仿宋"/>
          <w:sz w:val="28"/>
          <w:szCs w:val="28"/>
        </w:rPr>
      </w:pPr>
      <w:r>
        <w:rPr>
          <w:rFonts w:hint="eastAsia" w:ascii="仿宋" w:hAnsi="仿宋" w:eastAsia="仿宋" w:cs="仿宋"/>
          <w:sz w:val="28"/>
          <w:szCs w:val="28"/>
        </w:rPr>
        <w:t>法定代表人签名（或签名章）：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职务：</w:t>
      </w:r>
      <w:r>
        <w:rPr>
          <w:rFonts w:hint="eastAsia" w:ascii="仿宋" w:hAnsi="仿宋" w:eastAsia="仿宋" w:cs="仿宋"/>
          <w:sz w:val="28"/>
          <w:szCs w:val="28"/>
          <w:u w:val="single"/>
        </w:rPr>
        <w:t xml:space="preserve">           </w:t>
      </w:r>
    </w:p>
    <w:p>
      <w:pPr>
        <w:snapToGrid w:val="0"/>
        <w:spacing w:before="120" w:beforeLines="50" w:after="50" w:line="460" w:lineRule="exact"/>
        <w:rPr>
          <w:rFonts w:hint="eastAsia" w:ascii="仿宋" w:hAnsi="仿宋" w:eastAsia="仿宋" w:cs="仿宋"/>
          <w:sz w:val="28"/>
          <w:szCs w:val="28"/>
        </w:rPr>
      </w:pPr>
    </w:p>
    <w:p>
      <w:pPr>
        <w:snapToGrid w:val="0"/>
        <w:spacing w:before="120" w:beforeLines="50" w:after="50" w:line="460" w:lineRule="exact"/>
        <w:rPr>
          <w:rFonts w:hint="eastAsia" w:ascii="仿宋" w:hAnsi="仿宋" w:eastAsia="仿宋" w:cs="仿宋"/>
          <w:sz w:val="28"/>
          <w:szCs w:val="28"/>
          <w:u w:val="single"/>
        </w:rPr>
      </w:pPr>
      <w:r>
        <w:rPr>
          <w:rFonts w:hint="eastAsia" w:ascii="仿宋" w:hAnsi="仿宋" w:eastAsia="仿宋" w:cs="仿宋"/>
          <w:sz w:val="28"/>
          <w:szCs w:val="28"/>
        </w:rPr>
        <w:t>投标人全称（电子签章）：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日  期：</w:t>
      </w:r>
      <w:r>
        <w:rPr>
          <w:rFonts w:hint="eastAsia" w:ascii="仿宋" w:hAnsi="仿宋" w:eastAsia="仿宋" w:cs="仿宋"/>
          <w:sz w:val="28"/>
          <w:szCs w:val="28"/>
          <w:u w:val="single"/>
        </w:rPr>
        <w:t xml:space="preserve">     </w:t>
      </w:r>
    </w:p>
    <w:p>
      <w:pPr>
        <w:pStyle w:val="9"/>
        <w:spacing w:line="500" w:lineRule="exact"/>
        <w:ind w:firstLine="436" w:firstLineChars="156"/>
        <w:rPr>
          <w:rFonts w:hint="eastAsia" w:ascii="仿宋" w:hAnsi="仿宋" w:eastAsia="仿宋" w:cs="仿宋"/>
          <w:sz w:val="28"/>
          <w:szCs w:val="28"/>
        </w:rPr>
      </w:pPr>
    </w:p>
    <w:p>
      <w:pPr>
        <w:pStyle w:val="9"/>
        <w:spacing w:line="500" w:lineRule="exact"/>
        <w:ind w:firstLine="436" w:firstLineChars="156"/>
        <w:rPr>
          <w:rFonts w:hint="eastAsia" w:ascii="仿宋" w:hAnsi="仿宋" w:eastAsia="仿宋" w:cs="仿宋"/>
          <w:sz w:val="28"/>
          <w:szCs w:val="28"/>
        </w:rPr>
      </w:pPr>
      <w:r>
        <w:rPr>
          <w:rFonts w:hint="eastAsia" w:ascii="仿宋" w:hAnsi="仿宋" w:eastAsia="仿宋" w:cs="仿宋"/>
          <w:sz w:val="28"/>
          <w:szCs w:val="28"/>
        </w:rPr>
        <w:t>————————————————————-----------</w:t>
      </w:r>
    </w:p>
    <w:p>
      <w:pPr>
        <w:snapToGrid w:val="0"/>
        <w:spacing w:before="120" w:beforeLines="50" w:after="50" w:line="460" w:lineRule="exact"/>
        <w:jc w:val="center"/>
        <w:rPr>
          <w:rFonts w:hint="eastAsia" w:ascii="仿宋" w:hAnsi="仿宋" w:eastAsia="仿宋" w:cs="仿宋"/>
          <w:sz w:val="28"/>
          <w:szCs w:val="28"/>
          <w:u w:val="single"/>
        </w:rPr>
      </w:pPr>
      <w:r>
        <w:rPr>
          <w:rFonts w:hint="eastAsia" w:ascii="仿宋" w:hAnsi="仿宋" w:eastAsia="仿宋" w:cs="仿宋"/>
          <w:sz w:val="28"/>
          <w:szCs w:val="28"/>
        </w:rPr>
        <w:t>有效身份证明复印件粘贴处</w:t>
      </w:r>
    </w:p>
    <w:p>
      <w:pPr>
        <w:snapToGrid w:val="0"/>
        <w:spacing w:before="120" w:beforeLines="50" w:after="50" w:line="460" w:lineRule="exact"/>
        <w:rPr>
          <w:rFonts w:hint="eastAsia" w:ascii="仿宋" w:hAnsi="仿宋" w:eastAsia="仿宋" w:cs="仿宋"/>
          <w:sz w:val="28"/>
          <w:szCs w:val="28"/>
          <w:u w:val="single"/>
        </w:rPr>
      </w:pPr>
    </w:p>
    <w:p>
      <w:pPr>
        <w:snapToGrid w:val="0"/>
        <w:spacing w:before="120" w:beforeLines="50" w:after="50" w:line="460" w:lineRule="exact"/>
        <w:rPr>
          <w:rFonts w:hint="eastAsia" w:ascii="仿宋" w:hAnsi="仿宋" w:eastAsia="仿宋" w:cs="仿宋"/>
          <w:sz w:val="28"/>
          <w:szCs w:val="28"/>
          <w:u w:val="single"/>
        </w:rPr>
      </w:pPr>
    </w:p>
    <w:p>
      <w:pPr>
        <w:snapToGrid w:val="0"/>
        <w:spacing w:before="50" w:after="50"/>
        <w:rPr>
          <w:rFonts w:hint="eastAsia" w:ascii="仿宋" w:hAnsi="仿宋" w:eastAsia="仿宋" w:cs="仿宋"/>
          <w:b/>
          <w:sz w:val="28"/>
          <w:szCs w:val="28"/>
        </w:rPr>
      </w:pPr>
      <w:r>
        <w:rPr>
          <w:rFonts w:hint="eastAsia" w:ascii="仿宋" w:hAnsi="仿宋" w:eastAsia="仿宋" w:cs="仿宋"/>
          <w:b/>
          <w:sz w:val="28"/>
          <w:szCs w:val="28"/>
        </w:rPr>
        <w:t>附件4：</w:t>
      </w:r>
    </w:p>
    <w:p>
      <w:pPr>
        <w:snapToGrid w:val="0"/>
        <w:spacing w:before="50" w:after="50"/>
        <w:jc w:val="center"/>
        <w:rPr>
          <w:rFonts w:hint="eastAsia" w:ascii="仿宋" w:hAnsi="仿宋" w:eastAsia="仿宋" w:cs="仿宋"/>
          <w:b/>
          <w:sz w:val="28"/>
          <w:szCs w:val="28"/>
        </w:rPr>
      </w:pPr>
      <w:r>
        <w:rPr>
          <w:rFonts w:hint="eastAsia" w:ascii="仿宋" w:hAnsi="仿宋" w:eastAsia="仿宋" w:cs="仿宋"/>
          <w:b/>
          <w:sz w:val="28"/>
          <w:szCs w:val="28"/>
        </w:rPr>
        <w:t>评分索引表</w:t>
      </w:r>
    </w:p>
    <w:p>
      <w:pPr>
        <w:snapToGrid w:val="0"/>
        <w:spacing w:before="50"/>
        <w:jc w:val="center"/>
        <w:rPr>
          <w:rFonts w:hint="eastAsia" w:ascii="仿宋" w:hAnsi="仿宋" w:eastAsia="仿宋" w:cs="仿宋"/>
          <w:b/>
          <w:sz w:val="28"/>
          <w:szCs w:val="28"/>
        </w:rPr>
      </w:pPr>
    </w:p>
    <w:p>
      <w:pPr>
        <w:pStyle w:val="10"/>
        <w:snapToGrid w:val="0"/>
        <w:rPr>
          <w:rFonts w:hint="eastAsia" w:ascii="仿宋" w:hAnsi="仿宋" w:eastAsia="仿宋" w:cs="仿宋"/>
          <w:sz w:val="28"/>
          <w:szCs w:val="28"/>
          <w:u w:val="single"/>
        </w:rPr>
      </w:pPr>
      <w:r>
        <w:rPr>
          <w:rFonts w:hint="eastAsia" w:ascii="仿宋" w:hAnsi="仿宋" w:eastAsia="仿宋" w:cs="仿宋"/>
          <w:sz w:val="28"/>
          <w:szCs w:val="28"/>
        </w:rPr>
        <w:t>投标人全称（电子签章）：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标项：</w:t>
      </w:r>
      <w:r>
        <w:rPr>
          <w:rFonts w:hint="eastAsia" w:ascii="仿宋" w:hAnsi="仿宋" w:eastAsia="仿宋" w:cs="仿宋"/>
          <w:sz w:val="28"/>
          <w:szCs w:val="28"/>
          <w:u w:val="single"/>
        </w:rPr>
        <w:t xml:space="preserve">       </w:t>
      </w:r>
    </w:p>
    <w:tbl>
      <w:tblPr>
        <w:tblStyle w:val="30"/>
        <w:tblW w:w="875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2977"/>
        <w:gridCol w:w="1275"/>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22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 w:hAnsi="仿宋" w:eastAsia="仿宋" w:cs="仿宋"/>
                <w:sz w:val="28"/>
                <w:szCs w:val="28"/>
              </w:rPr>
            </w:pPr>
            <w:r>
              <w:rPr>
                <w:rFonts w:hint="eastAsia" w:ascii="仿宋" w:hAnsi="仿宋" w:eastAsia="仿宋" w:cs="仿宋"/>
                <w:sz w:val="28"/>
                <w:szCs w:val="28"/>
              </w:rPr>
              <w:t>评分项目</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 w:hAnsi="仿宋" w:eastAsia="仿宋" w:cs="仿宋"/>
                <w:sz w:val="28"/>
                <w:szCs w:val="28"/>
              </w:rPr>
            </w:pPr>
            <w:r>
              <w:rPr>
                <w:rFonts w:hint="eastAsia" w:ascii="仿宋" w:hAnsi="仿宋" w:eastAsia="仿宋" w:cs="仿宋"/>
                <w:sz w:val="28"/>
                <w:szCs w:val="28"/>
              </w:rPr>
              <w:t>投标文件对应资料</w:t>
            </w:r>
          </w:p>
          <w:p>
            <w:pPr>
              <w:snapToGrid w:val="0"/>
              <w:spacing w:before="120" w:beforeLines="50"/>
              <w:jc w:val="center"/>
              <w:rPr>
                <w:rFonts w:hint="eastAsia" w:ascii="仿宋" w:hAnsi="仿宋" w:eastAsia="仿宋" w:cs="仿宋"/>
                <w:sz w:val="28"/>
                <w:szCs w:val="28"/>
              </w:rPr>
            </w:pPr>
            <w:r>
              <w:rPr>
                <w:rFonts w:hint="eastAsia" w:ascii="仿宋" w:hAnsi="仿宋" w:eastAsia="仿宋" w:cs="仿宋"/>
                <w:b/>
                <w:sz w:val="28"/>
                <w:szCs w:val="28"/>
              </w:rPr>
              <w:t>（请详细列明评分项中各小项）</w:t>
            </w: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hint="eastAsia" w:ascii="仿宋" w:hAnsi="仿宋" w:eastAsia="仿宋" w:cs="仿宋"/>
                <w:sz w:val="28"/>
                <w:szCs w:val="28"/>
              </w:rPr>
            </w:pPr>
            <w:r>
              <w:rPr>
                <w:rFonts w:hint="eastAsia" w:ascii="仿宋" w:hAnsi="仿宋" w:eastAsia="仿宋" w:cs="仿宋"/>
                <w:sz w:val="28"/>
                <w:szCs w:val="28"/>
              </w:rPr>
              <w:t>自评分</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 w:hAnsi="仿宋" w:eastAsia="仿宋" w:cs="仿宋"/>
                <w:sz w:val="28"/>
                <w:szCs w:val="28"/>
              </w:rPr>
            </w:pPr>
            <w:r>
              <w:rPr>
                <w:rFonts w:hint="eastAsia" w:ascii="仿宋" w:hAnsi="仿宋" w:eastAsia="仿宋" w:cs="仿宋"/>
                <w:sz w:val="28"/>
                <w:szCs w:val="28"/>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hint="eastAsia" w:ascii="仿宋" w:hAnsi="仿宋" w:eastAsia="仿宋" w:cs="仿宋"/>
                <w:sz w:val="28"/>
                <w:szCs w:val="28"/>
              </w:rPr>
            </w:pPr>
            <w:r>
              <w:rPr>
                <w:rFonts w:hint="eastAsia" w:ascii="仿宋" w:hAnsi="仿宋" w:eastAsia="仿宋" w:cs="仿宋"/>
                <w:sz w:val="28"/>
                <w:szCs w:val="28"/>
              </w:rPr>
              <w:t>对应第五章评分办法及评分标准（报价除外）</w:t>
            </w: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hint="eastAsia" w:ascii="仿宋" w:hAnsi="仿宋" w:eastAsia="仿宋" w:cs="仿宋"/>
                <w:sz w:val="28"/>
                <w:szCs w:val="28"/>
              </w:rPr>
            </w:pPr>
            <w:r>
              <w:rPr>
                <w:rFonts w:hint="eastAsia" w:ascii="仿宋" w:hAnsi="仿宋" w:eastAsia="仿宋" w:cs="仿宋"/>
                <w:sz w:val="28"/>
                <w:szCs w:val="28"/>
              </w:rPr>
              <w:t>……</w:t>
            </w: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hint="eastAsia"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hint="eastAsia" w:ascii="仿宋" w:hAnsi="仿宋" w:eastAsia="仿宋" w:cs="仿宋"/>
                <w:sz w:val="28"/>
                <w:szCs w:val="28"/>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hint="eastAsia"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hint="eastAsia" w:ascii="仿宋" w:hAnsi="仿宋" w:eastAsia="仿宋" w:cs="仿宋"/>
                <w:sz w:val="28"/>
                <w:szCs w:val="28"/>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hint="eastAsia"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hint="eastAsia" w:ascii="仿宋" w:hAnsi="仿宋" w:eastAsia="仿宋" w:cs="仿宋"/>
                <w:sz w:val="28"/>
                <w:szCs w:val="28"/>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hint="eastAsia" w:ascii="仿宋" w:hAnsi="仿宋" w:eastAsia="仿宋" w:cs="仿宋"/>
                <w:sz w:val="28"/>
                <w:szCs w:val="28"/>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hint="eastAsia" w:ascii="仿宋" w:hAnsi="仿宋" w:eastAsia="仿宋" w:cs="仿宋"/>
                <w:sz w:val="28"/>
                <w:szCs w:val="28"/>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hint="eastAsia" w:ascii="仿宋" w:hAnsi="仿宋" w:eastAsia="仿宋" w:cs="仿宋"/>
                <w:sz w:val="28"/>
                <w:szCs w:val="28"/>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hint="eastAsia" w:ascii="仿宋" w:hAnsi="仿宋" w:eastAsia="仿宋" w:cs="仿宋"/>
                <w:sz w:val="28"/>
                <w:szCs w:val="28"/>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cs="仿宋"/>
                <w:sz w:val="28"/>
                <w:szCs w:val="28"/>
              </w:rPr>
            </w:pPr>
          </w:p>
        </w:tc>
      </w:tr>
    </w:tbl>
    <w:p>
      <w:pPr>
        <w:snapToGrid w:val="0"/>
        <w:spacing w:before="120" w:beforeLines="50"/>
        <w:jc w:val="left"/>
        <w:rPr>
          <w:rFonts w:hint="eastAsia" w:ascii="仿宋" w:hAnsi="仿宋" w:eastAsia="仿宋" w:cs="仿宋"/>
          <w:sz w:val="28"/>
          <w:szCs w:val="28"/>
          <w:u w:val="single"/>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p>
    <w:p>
      <w:pPr>
        <w:snapToGrid w:val="0"/>
        <w:spacing w:before="50" w:after="120" w:afterLines="50"/>
        <w:jc w:val="left"/>
        <w:rPr>
          <w:rFonts w:hint="eastAsia" w:ascii="仿宋" w:hAnsi="仿宋" w:eastAsia="仿宋" w:cs="仿宋"/>
          <w:sz w:val="28"/>
          <w:szCs w:val="28"/>
        </w:rPr>
      </w:pPr>
    </w:p>
    <w:p>
      <w:pPr>
        <w:snapToGrid w:val="0"/>
        <w:spacing w:before="50" w:after="120" w:afterLines="50"/>
        <w:jc w:val="left"/>
        <w:rPr>
          <w:rFonts w:hint="eastAsia" w:ascii="仿宋" w:hAnsi="仿宋" w:eastAsia="仿宋" w:cs="仿宋"/>
          <w:sz w:val="28"/>
          <w:szCs w:val="28"/>
        </w:rPr>
      </w:pPr>
    </w:p>
    <w:p>
      <w:pPr>
        <w:snapToGrid w:val="0"/>
        <w:spacing w:before="120" w:beforeLines="50" w:after="50" w:line="460" w:lineRule="exact"/>
        <w:rPr>
          <w:rFonts w:hint="eastAsia" w:ascii="仿宋" w:hAnsi="仿宋" w:eastAsia="仿宋" w:cs="仿宋"/>
          <w:sz w:val="28"/>
          <w:szCs w:val="28"/>
          <w:u w:val="single"/>
        </w:rPr>
      </w:pPr>
    </w:p>
    <w:p>
      <w:pPr>
        <w:snapToGrid w:val="0"/>
        <w:spacing w:before="120" w:beforeLines="50" w:after="50" w:line="460" w:lineRule="exact"/>
        <w:rPr>
          <w:rFonts w:hint="eastAsia" w:ascii="仿宋" w:hAnsi="仿宋" w:eastAsia="仿宋" w:cs="仿宋"/>
          <w:sz w:val="28"/>
          <w:szCs w:val="28"/>
          <w:u w:val="single"/>
        </w:rPr>
      </w:pPr>
    </w:p>
    <w:p>
      <w:pPr>
        <w:snapToGrid w:val="0"/>
        <w:spacing w:before="120" w:beforeLines="50" w:after="50" w:line="460" w:lineRule="exact"/>
        <w:rPr>
          <w:rFonts w:hint="eastAsia" w:ascii="仿宋" w:hAnsi="仿宋" w:eastAsia="仿宋" w:cs="仿宋"/>
          <w:sz w:val="28"/>
          <w:szCs w:val="28"/>
          <w:u w:val="single"/>
        </w:rPr>
        <w:sectPr>
          <w:headerReference r:id="rId8" w:type="default"/>
          <w:footerReference r:id="rId9" w:type="default"/>
          <w:footerReference r:id="rId10" w:type="even"/>
          <w:pgSz w:w="11906" w:h="16838"/>
          <w:pgMar w:top="1559" w:right="1531" w:bottom="471" w:left="1531" w:header="851" w:footer="851" w:gutter="0"/>
          <w:pgNumType w:chapStyle="1" w:chapSep="colon"/>
          <w:cols w:space="720" w:num="1"/>
          <w:docGrid w:linePitch="312" w:charSpace="0"/>
        </w:sectPr>
      </w:pP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附件5：</w:t>
      </w:r>
    </w:p>
    <w:p>
      <w:pPr>
        <w:snapToGrid w:val="0"/>
        <w:spacing w:before="50" w:after="50"/>
        <w:jc w:val="center"/>
        <w:rPr>
          <w:rFonts w:hint="eastAsia" w:ascii="仿宋" w:hAnsi="仿宋" w:eastAsia="仿宋" w:cs="仿宋"/>
          <w:b/>
          <w:sz w:val="28"/>
          <w:szCs w:val="28"/>
        </w:rPr>
      </w:pPr>
      <w:r>
        <w:rPr>
          <w:rFonts w:hint="eastAsia" w:ascii="仿宋" w:hAnsi="仿宋" w:eastAsia="仿宋" w:cs="仿宋"/>
          <w:b/>
          <w:sz w:val="28"/>
          <w:szCs w:val="28"/>
        </w:rPr>
        <w:t>企业荣誉</w:t>
      </w:r>
    </w:p>
    <w:p>
      <w:pPr>
        <w:spacing w:line="360" w:lineRule="auto"/>
        <w:jc w:val="center"/>
        <w:rPr>
          <w:rFonts w:hint="eastAsia" w:ascii="仿宋" w:hAnsi="仿宋" w:eastAsia="仿宋" w:cs="仿宋"/>
          <w:spacing w:val="14"/>
          <w:sz w:val="28"/>
          <w:szCs w:val="28"/>
        </w:rPr>
      </w:pPr>
    </w:p>
    <w:p>
      <w:pPr>
        <w:spacing w:line="360" w:lineRule="auto"/>
        <w:rPr>
          <w:rFonts w:hint="eastAsia" w:ascii="仿宋" w:hAnsi="仿宋" w:eastAsia="仿宋" w:cs="仿宋"/>
          <w:sz w:val="28"/>
          <w:szCs w:val="28"/>
        </w:rPr>
      </w:pPr>
      <w:r>
        <w:rPr>
          <w:rFonts w:hint="eastAsia" w:ascii="仿宋" w:hAnsi="仿宋" w:eastAsia="仿宋" w:cs="仿宋"/>
          <w:sz w:val="28"/>
          <w:szCs w:val="28"/>
        </w:rPr>
        <w:t>投标人全称（电子签章）：           招标文件编号：</w:t>
      </w:r>
    </w:p>
    <w:tbl>
      <w:tblPr>
        <w:tblStyle w:val="30"/>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596"/>
        <w:gridCol w:w="198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60" w:lineRule="auto"/>
              <w:jc w:val="center"/>
              <w:rPr>
                <w:rFonts w:hint="eastAsia" w:ascii="仿宋" w:hAnsi="仿宋" w:eastAsia="仿宋" w:cs="仿宋"/>
                <w:bCs/>
                <w:sz w:val="28"/>
                <w:szCs w:val="28"/>
              </w:rPr>
            </w:pPr>
            <w:r>
              <w:rPr>
                <w:rFonts w:hint="eastAsia" w:ascii="仿宋" w:hAnsi="仿宋" w:eastAsia="仿宋" w:cs="仿宋"/>
                <w:bCs/>
                <w:sz w:val="28"/>
                <w:szCs w:val="28"/>
              </w:rPr>
              <w:t>序号</w:t>
            </w:r>
          </w:p>
        </w:tc>
        <w:tc>
          <w:tcPr>
            <w:tcW w:w="1980" w:type="dxa"/>
            <w:vAlign w:val="center"/>
          </w:tcPr>
          <w:p>
            <w:pPr>
              <w:spacing w:line="360" w:lineRule="auto"/>
              <w:jc w:val="center"/>
              <w:rPr>
                <w:rFonts w:hint="eastAsia" w:ascii="仿宋" w:hAnsi="仿宋" w:eastAsia="仿宋" w:cs="仿宋"/>
                <w:bCs/>
                <w:sz w:val="28"/>
                <w:szCs w:val="28"/>
              </w:rPr>
            </w:pPr>
            <w:r>
              <w:rPr>
                <w:rFonts w:hint="eastAsia" w:ascii="仿宋" w:hAnsi="仿宋" w:eastAsia="仿宋" w:cs="仿宋"/>
                <w:bCs/>
                <w:sz w:val="28"/>
                <w:szCs w:val="28"/>
              </w:rPr>
              <w:t>证书名称</w:t>
            </w:r>
          </w:p>
        </w:tc>
        <w:tc>
          <w:tcPr>
            <w:tcW w:w="1596" w:type="dxa"/>
            <w:vAlign w:val="center"/>
          </w:tcPr>
          <w:p>
            <w:pPr>
              <w:spacing w:line="360" w:lineRule="auto"/>
              <w:jc w:val="center"/>
              <w:rPr>
                <w:rFonts w:hint="eastAsia" w:ascii="仿宋" w:hAnsi="仿宋" w:eastAsia="仿宋" w:cs="仿宋"/>
                <w:bCs/>
                <w:sz w:val="28"/>
                <w:szCs w:val="28"/>
              </w:rPr>
            </w:pPr>
            <w:r>
              <w:rPr>
                <w:rFonts w:hint="eastAsia" w:ascii="仿宋" w:hAnsi="仿宋" w:eastAsia="仿宋" w:cs="仿宋"/>
                <w:bCs/>
                <w:sz w:val="28"/>
                <w:szCs w:val="28"/>
              </w:rPr>
              <w:t>颁发机构</w:t>
            </w:r>
          </w:p>
        </w:tc>
        <w:tc>
          <w:tcPr>
            <w:tcW w:w="1980" w:type="dxa"/>
            <w:vAlign w:val="center"/>
          </w:tcPr>
          <w:p>
            <w:pPr>
              <w:spacing w:line="360" w:lineRule="auto"/>
              <w:jc w:val="center"/>
              <w:rPr>
                <w:rFonts w:hint="eastAsia" w:ascii="仿宋" w:hAnsi="仿宋" w:eastAsia="仿宋" w:cs="仿宋"/>
                <w:bCs/>
                <w:sz w:val="28"/>
                <w:szCs w:val="28"/>
              </w:rPr>
            </w:pPr>
            <w:r>
              <w:rPr>
                <w:rFonts w:hint="eastAsia" w:ascii="仿宋" w:hAnsi="仿宋" w:eastAsia="仿宋" w:cs="仿宋"/>
                <w:bCs/>
                <w:sz w:val="28"/>
                <w:szCs w:val="28"/>
              </w:rPr>
              <w:t>颁发时间</w:t>
            </w:r>
          </w:p>
        </w:tc>
        <w:tc>
          <w:tcPr>
            <w:tcW w:w="2474" w:type="dxa"/>
            <w:vAlign w:val="center"/>
          </w:tcPr>
          <w:p>
            <w:pPr>
              <w:spacing w:line="360" w:lineRule="auto"/>
              <w:jc w:val="center"/>
              <w:rPr>
                <w:rFonts w:hint="eastAsia"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1596"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2474" w:type="dxa"/>
          </w:tcPr>
          <w:p>
            <w:pPr>
              <w:spacing w:line="360" w:lineRule="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1596"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2474" w:type="dxa"/>
          </w:tcPr>
          <w:p>
            <w:pPr>
              <w:spacing w:line="360" w:lineRule="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1596"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2474" w:type="dxa"/>
          </w:tcPr>
          <w:p>
            <w:pPr>
              <w:spacing w:line="360" w:lineRule="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1596"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2474" w:type="dxa"/>
          </w:tcPr>
          <w:p>
            <w:pPr>
              <w:spacing w:line="360" w:lineRule="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1596"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2474" w:type="dxa"/>
          </w:tcPr>
          <w:p>
            <w:pPr>
              <w:spacing w:line="360" w:lineRule="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1596"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2474" w:type="dxa"/>
          </w:tcPr>
          <w:p>
            <w:pPr>
              <w:spacing w:line="360" w:lineRule="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1596"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2474" w:type="dxa"/>
          </w:tcPr>
          <w:p>
            <w:pPr>
              <w:spacing w:line="360" w:lineRule="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1596"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2474" w:type="dxa"/>
          </w:tcPr>
          <w:p>
            <w:pPr>
              <w:spacing w:line="360" w:lineRule="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1596"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2474" w:type="dxa"/>
          </w:tcPr>
          <w:p>
            <w:pPr>
              <w:spacing w:line="360" w:lineRule="auto"/>
              <w:rPr>
                <w:rFonts w:hint="eastAsia" w:ascii="仿宋" w:hAnsi="仿宋" w:eastAsia="仿宋" w:cs="仿宋"/>
                <w:bCs/>
                <w:sz w:val="28"/>
                <w:szCs w:val="28"/>
              </w:rPr>
            </w:pPr>
          </w:p>
        </w:tc>
      </w:tr>
    </w:tbl>
    <w:p>
      <w:pPr>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日期：     年  月  日</w:t>
      </w:r>
    </w:p>
    <w:p>
      <w:pPr>
        <w:spacing w:line="360" w:lineRule="auto"/>
        <w:ind w:left="840" w:hanging="980" w:hangingChars="350"/>
        <w:rPr>
          <w:rFonts w:hint="eastAsia" w:ascii="仿宋" w:hAnsi="仿宋" w:eastAsia="仿宋" w:cs="仿宋"/>
          <w:bCs/>
          <w:sz w:val="28"/>
          <w:szCs w:val="28"/>
        </w:rPr>
      </w:pPr>
      <w:r>
        <w:rPr>
          <w:rFonts w:hint="eastAsia" w:ascii="仿宋" w:hAnsi="仿宋" w:eastAsia="仿宋" w:cs="仿宋"/>
          <w:bCs/>
          <w:sz w:val="28"/>
          <w:szCs w:val="28"/>
        </w:rPr>
        <w:t>注：</w:t>
      </w:r>
      <w:r>
        <w:rPr>
          <w:rFonts w:hint="eastAsia" w:ascii="仿宋" w:hAnsi="仿宋" w:eastAsia="仿宋" w:cs="仿宋"/>
          <w:sz w:val="28"/>
          <w:szCs w:val="28"/>
        </w:rPr>
        <w:t>1、投标</w:t>
      </w:r>
      <w:r>
        <w:rPr>
          <w:rFonts w:hint="eastAsia" w:ascii="仿宋" w:hAnsi="仿宋" w:eastAsia="仿宋" w:cs="仿宋"/>
          <w:bCs/>
          <w:sz w:val="28"/>
          <w:szCs w:val="28"/>
        </w:rPr>
        <w:t>企业获得的荣誉证书是指2018年1月1日至今获得的荣誉证书(附荣誉证书复印件并加盖电子签章）；</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sz w:val="28"/>
          <w:szCs w:val="28"/>
        </w:rPr>
        <w:t>2、此表仅提供了表格形式，投标人应根据需要准备足够数量的表格来填写。</w:t>
      </w:r>
    </w:p>
    <w:p>
      <w:pPr>
        <w:spacing w:line="360" w:lineRule="auto"/>
        <w:rPr>
          <w:rFonts w:hint="eastAsia" w:ascii="仿宋" w:hAnsi="仿宋" w:eastAsia="仿宋" w:cs="仿宋"/>
          <w:b/>
          <w:bCs/>
          <w:spacing w:val="14"/>
          <w:sz w:val="28"/>
          <w:szCs w:val="28"/>
        </w:rPr>
      </w:pPr>
    </w:p>
    <w:p>
      <w:pPr>
        <w:spacing w:line="360" w:lineRule="auto"/>
        <w:rPr>
          <w:rFonts w:hint="eastAsia" w:ascii="仿宋" w:hAnsi="仿宋" w:eastAsia="仿宋" w:cs="仿宋"/>
          <w:b/>
          <w:bCs/>
          <w:spacing w:val="14"/>
          <w:sz w:val="28"/>
          <w:szCs w:val="28"/>
        </w:rPr>
      </w:pPr>
      <w:r>
        <w:rPr>
          <w:rFonts w:hint="eastAsia" w:ascii="仿宋" w:hAnsi="仿宋" w:eastAsia="仿宋" w:cs="仿宋"/>
          <w:b/>
          <w:bCs/>
          <w:spacing w:val="14"/>
          <w:sz w:val="28"/>
          <w:szCs w:val="28"/>
        </w:rPr>
        <w:t>附件6：</w:t>
      </w:r>
    </w:p>
    <w:p>
      <w:pPr>
        <w:snapToGrid w:val="0"/>
        <w:spacing w:before="50" w:after="50"/>
        <w:jc w:val="center"/>
        <w:rPr>
          <w:rFonts w:hint="eastAsia" w:ascii="仿宋" w:hAnsi="仿宋" w:eastAsia="仿宋" w:cs="仿宋"/>
          <w:b/>
          <w:sz w:val="28"/>
          <w:szCs w:val="28"/>
        </w:rPr>
      </w:pPr>
      <w:r>
        <w:rPr>
          <w:rFonts w:hint="eastAsia" w:ascii="仿宋" w:hAnsi="仿宋" w:eastAsia="仿宋" w:cs="仿宋"/>
          <w:b/>
          <w:sz w:val="28"/>
          <w:szCs w:val="28"/>
        </w:rPr>
        <w:t>企业业绩</w:t>
      </w:r>
    </w:p>
    <w:p>
      <w:pPr>
        <w:spacing w:line="360" w:lineRule="auto"/>
        <w:jc w:val="right"/>
        <w:rPr>
          <w:rFonts w:hint="eastAsia" w:ascii="仿宋" w:hAnsi="仿宋" w:eastAsia="仿宋" w:cs="仿宋"/>
          <w:sz w:val="28"/>
          <w:szCs w:val="28"/>
        </w:rPr>
      </w:pPr>
    </w:p>
    <w:p>
      <w:pPr>
        <w:spacing w:line="360" w:lineRule="auto"/>
        <w:rPr>
          <w:rFonts w:hint="eastAsia" w:ascii="仿宋" w:hAnsi="仿宋" w:eastAsia="仿宋" w:cs="仿宋"/>
          <w:sz w:val="28"/>
          <w:szCs w:val="28"/>
        </w:rPr>
      </w:pPr>
      <w:r>
        <w:rPr>
          <w:rFonts w:hint="eastAsia" w:ascii="仿宋" w:hAnsi="仿宋" w:eastAsia="仿宋" w:cs="仿宋"/>
          <w:sz w:val="28"/>
          <w:szCs w:val="28"/>
        </w:rPr>
        <w:t>投标人全称（电子签章）：          招标文件编号：</w:t>
      </w: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1440"/>
        <w:gridCol w:w="144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hint="eastAsia" w:ascii="仿宋" w:hAnsi="仿宋" w:eastAsia="仿宋" w:cs="仿宋"/>
                <w:bCs/>
                <w:sz w:val="28"/>
                <w:szCs w:val="28"/>
              </w:rPr>
            </w:pPr>
            <w:r>
              <w:rPr>
                <w:rFonts w:hint="eastAsia" w:ascii="仿宋" w:hAnsi="仿宋" w:eastAsia="仿宋" w:cs="仿宋"/>
                <w:bCs/>
                <w:sz w:val="28"/>
                <w:szCs w:val="28"/>
              </w:rPr>
              <w:t>序号</w:t>
            </w:r>
          </w:p>
        </w:tc>
        <w:tc>
          <w:tcPr>
            <w:tcW w:w="1980" w:type="dxa"/>
            <w:vAlign w:val="center"/>
          </w:tcPr>
          <w:p>
            <w:pPr>
              <w:jc w:val="center"/>
              <w:rPr>
                <w:rFonts w:hint="eastAsia" w:ascii="仿宋" w:hAnsi="仿宋" w:eastAsia="仿宋" w:cs="仿宋"/>
                <w:bCs/>
                <w:sz w:val="28"/>
                <w:szCs w:val="28"/>
              </w:rPr>
            </w:pPr>
            <w:r>
              <w:rPr>
                <w:rFonts w:hint="eastAsia" w:ascii="仿宋" w:hAnsi="仿宋" w:eastAsia="仿宋" w:cs="仿宋"/>
                <w:bCs/>
                <w:sz w:val="28"/>
                <w:szCs w:val="28"/>
              </w:rPr>
              <w:t>使用方</w:t>
            </w:r>
          </w:p>
        </w:tc>
        <w:tc>
          <w:tcPr>
            <w:tcW w:w="1440" w:type="dxa"/>
            <w:vAlign w:val="center"/>
          </w:tcPr>
          <w:p>
            <w:pPr>
              <w:jc w:val="center"/>
              <w:rPr>
                <w:rFonts w:hint="eastAsia" w:ascii="仿宋" w:hAnsi="仿宋" w:eastAsia="仿宋" w:cs="仿宋"/>
                <w:bCs/>
                <w:sz w:val="28"/>
                <w:szCs w:val="28"/>
              </w:rPr>
            </w:pPr>
            <w:r>
              <w:rPr>
                <w:rFonts w:hint="eastAsia" w:ascii="仿宋" w:hAnsi="仿宋" w:eastAsia="仿宋" w:cs="仿宋"/>
                <w:bCs/>
                <w:sz w:val="28"/>
                <w:szCs w:val="28"/>
              </w:rPr>
              <w:t>合同金额</w:t>
            </w:r>
          </w:p>
          <w:p>
            <w:pPr>
              <w:jc w:val="center"/>
              <w:rPr>
                <w:rFonts w:hint="eastAsia" w:ascii="仿宋" w:hAnsi="仿宋" w:eastAsia="仿宋" w:cs="仿宋"/>
                <w:bCs/>
                <w:sz w:val="28"/>
                <w:szCs w:val="28"/>
              </w:rPr>
            </w:pPr>
            <w:r>
              <w:rPr>
                <w:rFonts w:hint="eastAsia" w:ascii="仿宋" w:hAnsi="仿宋" w:eastAsia="仿宋" w:cs="仿宋"/>
                <w:bCs/>
                <w:sz w:val="28"/>
                <w:szCs w:val="28"/>
              </w:rPr>
              <w:t>(人民币)</w:t>
            </w:r>
          </w:p>
        </w:tc>
        <w:tc>
          <w:tcPr>
            <w:tcW w:w="1440" w:type="dxa"/>
            <w:vAlign w:val="center"/>
          </w:tcPr>
          <w:p>
            <w:pPr>
              <w:jc w:val="center"/>
              <w:rPr>
                <w:rFonts w:hint="eastAsia" w:ascii="仿宋" w:hAnsi="仿宋" w:eastAsia="仿宋" w:cs="仿宋"/>
                <w:bCs/>
                <w:sz w:val="28"/>
                <w:szCs w:val="28"/>
              </w:rPr>
            </w:pPr>
            <w:r>
              <w:rPr>
                <w:rFonts w:hint="eastAsia" w:ascii="仿宋" w:hAnsi="仿宋" w:eastAsia="仿宋" w:cs="仿宋"/>
                <w:bCs/>
                <w:sz w:val="28"/>
                <w:szCs w:val="28"/>
              </w:rPr>
              <w:t>签订时间</w:t>
            </w:r>
          </w:p>
        </w:tc>
        <w:tc>
          <w:tcPr>
            <w:tcW w:w="1440" w:type="dxa"/>
            <w:vAlign w:val="center"/>
          </w:tcPr>
          <w:p>
            <w:pPr>
              <w:jc w:val="center"/>
              <w:rPr>
                <w:rFonts w:hint="eastAsia" w:ascii="仿宋" w:hAnsi="仿宋" w:eastAsia="仿宋" w:cs="仿宋"/>
                <w:bCs/>
                <w:sz w:val="28"/>
                <w:szCs w:val="28"/>
              </w:rPr>
            </w:pPr>
            <w:r>
              <w:rPr>
                <w:rFonts w:hint="eastAsia" w:ascii="仿宋" w:hAnsi="仿宋" w:eastAsia="仿宋" w:cs="仿宋"/>
                <w:bCs/>
                <w:sz w:val="28"/>
                <w:szCs w:val="28"/>
              </w:rPr>
              <w:t>使用方联系人</w:t>
            </w:r>
          </w:p>
        </w:tc>
        <w:tc>
          <w:tcPr>
            <w:tcW w:w="1574" w:type="dxa"/>
            <w:vAlign w:val="center"/>
          </w:tcPr>
          <w:p>
            <w:pPr>
              <w:jc w:val="center"/>
              <w:rPr>
                <w:rFonts w:hint="eastAsia" w:ascii="仿宋" w:hAnsi="仿宋" w:eastAsia="仿宋" w:cs="仿宋"/>
                <w:bCs/>
                <w:sz w:val="28"/>
                <w:szCs w:val="28"/>
              </w:rPr>
            </w:pPr>
            <w:r>
              <w:rPr>
                <w:rFonts w:hint="eastAsia" w:ascii="仿宋" w:hAnsi="仿宋" w:eastAsia="仿宋" w:cs="仿宋"/>
                <w:bCs/>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574" w:type="dxa"/>
          </w:tcPr>
          <w:p>
            <w:pPr>
              <w:spacing w:line="360" w:lineRule="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574" w:type="dxa"/>
          </w:tcPr>
          <w:p>
            <w:pPr>
              <w:spacing w:line="360" w:lineRule="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574" w:type="dxa"/>
          </w:tcPr>
          <w:p>
            <w:pPr>
              <w:spacing w:line="360" w:lineRule="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574" w:type="dxa"/>
          </w:tcPr>
          <w:p>
            <w:pPr>
              <w:spacing w:line="360" w:lineRule="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574" w:type="dxa"/>
          </w:tcPr>
          <w:p>
            <w:pPr>
              <w:spacing w:line="360" w:lineRule="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574" w:type="dxa"/>
          </w:tcPr>
          <w:p>
            <w:pPr>
              <w:spacing w:line="360" w:lineRule="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574" w:type="dxa"/>
          </w:tcPr>
          <w:p>
            <w:pPr>
              <w:spacing w:line="360" w:lineRule="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574" w:type="dxa"/>
          </w:tcPr>
          <w:p>
            <w:pPr>
              <w:spacing w:line="360" w:lineRule="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574" w:type="dxa"/>
          </w:tcPr>
          <w:p>
            <w:pPr>
              <w:spacing w:line="360" w:lineRule="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574" w:type="dxa"/>
          </w:tcPr>
          <w:p>
            <w:pPr>
              <w:spacing w:line="360" w:lineRule="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574" w:type="dxa"/>
          </w:tcPr>
          <w:p>
            <w:pPr>
              <w:spacing w:line="360" w:lineRule="auto"/>
              <w:rPr>
                <w:rFonts w:hint="eastAsia" w:ascii="仿宋" w:hAnsi="仿宋" w:eastAsia="仿宋" w:cs="仿宋"/>
                <w:bCs/>
                <w:sz w:val="28"/>
                <w:szCs w:val="28"/>
              </w:rPr>
            </w:pPr>
          </w:p>
        </w:tc>
      </w:tr>
    </w:tbl>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日期：    年   月  日</w:t>
      </w:r>
    </w:p>
    <w:p>
      <w:pPr>
        <w:spacing w:line="360" w:lineRule="auto"/>
        <w:ind w:left="720" w:hanging="840" w:hangingChars="300"/>
        <w:rPr>
          <w:rFonts w:hint="eastAsia" w:ascii="仿宋" w:hAnsi="仿宋" w:eastAsia="仿宋" w:cs="仿宋"/>
          <w:bCs/>
          <w:sz w:val="28"/>
          <w:szCs w:val="28"/>
        </w:rPr>
      </w:pPr>
      <w:r>
        <w:rPr>
          <w:rFonts w:hint="eastAsia" w:ascii="仿宋" w:hAnsi="仿宋" w:eastAsia="仿宋" w:cs="仿宋"/>
          <w:sz w:val="28"/>
          <w:szCs w:val="28"/>
        </w:rPr>
        <w:t>注：1、</w:t>
      </w:r>
      <w:r>
        <w:rPr>
          <w:rFonts w:hint="eastAsia" w:ascii="仿宋" w:hAnsi="仿宋" w:eastAsia="仿宋" w:cs="仿宋"/>
          <w:bCs/>
          <w:sz w:val="28"/>
          <w:szCs w:val="28"/>
        </w:rPr>
        <w:t>企业业绩是指投标人2018年1月1日至今采购货物（设备）已签署的项目合同(附合同复印件并加盖电子签章）；</w:t>
      </w:r>
    </w:p>
    <w:p>
      <w:pPr>
        <w:spacing w:line="360" w:lineRule="auto"/>
        <w:ind w:firstLine="420" w:firstLineChars="150"/>
        <w:rPr>
          <w:rFonts w:hint="eastAsia" w:ascii="仿宋" w:hAnsi="仿宋" w:eastAsia="仿宋" w:cs="仿宋"/>
          <w:sz w:val="28"/>
          <w:szCs w:val="28"/>
        </w:rPr>
      </w:pPr>
      <w:r>
        <w:rPr>
          <w:rFonts w:hint="eastAsia" w:ascii="仿宋" w:hAnsi="仿宋" w:eastAsia="仿宋" w:cs="仿宋"/>
          <w:sz w:val="28"/>
          <w:szCs w:val="28"/>
        </w:rPr>
        <w:t>2、此表仅提供了表格形式，投标人应根据需要准备足够数量的表格来填写。</w:t>
      </w:r>
    </w:p>
    <w:p>
      <w:pPr>
        <w:pStyle w:val="9"/>
        <w:spacing w:line="500" w:lineRule="exact"/>
        <w:ind w:firstLine="0"/>
        <w:rPr>
          <w:rFonts w:hint="eastAsia" w:ascii="仿宋" w:hAnsi="仿宋" w:eastAsia="仿宋" w:cs="仿宋"/>
          <w:b/>
          <w:bCs/>
          <w:color w:val="auto"/>
          <w:sz w:val="28"/>
          <w:szCs w:val="28"/>
        </w:rPr>
      </w:pPr>
      <w:r>
        <w:rPr>
          <w:rFonts w:hint="eastAsia" w:ascii="仿宋" w:hAnsi="仿宋" w:eastAsia="仿宋" w:cs="仿宋"/>
          <w:b/>
          <w:color w:val="auto"/>
          <w:sz w:val="28"/>
          <w:szCs w:val="28"/>
        </w:rPr>
        <w:t>附件7：</w:t>
      </w:r>
      <w:r>
        <w:rPr>
          <w:rFonts w:hint="eastAsia" w:ascii="仿宋" w:hAnsi="仿宋" w:eastAsia="仿宋" w:cs="仿宋"/>
          <w:color w:val="auto"/>
          <w:sz w:val="28"/>
          <w:szCs w:val="28"/>
        </w:rPr>
        <w:t xml:space="preserve"> </w:t>
      </w:r>
    </w:p>
    <w:p>
      <w:pPr>
        <w:snapToGrid w:val="0"/>
        <w:spacing w:before="50" w:after="5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商务条款偏离表</w:t>
      </w:r>
    </w:p>
    <w:p>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投标人全称（电子签章）：           招标文件编号：</w:t>
      </w:r>
    </w:p>
    <w:tbl>
      <w:tblPr>
        <w:tblStyle w:val="30"/>
        <w:tblW w:w="87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3060"/>
        <w:gridCol w:w="3060"/>
        <w:gridCol w:w="1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招标文件的商务条款</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投标文件的商务条款</w:t>
            </w:r>
          </w:p>
        </w:tc>
        <w:tc>
          <w:tcPr>
            <w:tcW w:w="17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偏离原因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r>
    </w:tbl>
    <w:p>
      <w:pPr>
        <w:rPr>
          <w:rFonts w:hint="eastAsia" w:ascii="仿宋" w:hAnsi="仿宋" w:eastAsia="仿宋" w:cs="仿宋"/>
          <w:color w:val="auto"/>
          <w:sz w:val="28"/>
          <w:szCs w:val="28"/>
        </w:rPr>
      </w:pPr>
    </w:p>
    <w:p>
      <w:pPr>
        <w:spacing w:line="360" w:lineRule="auto"/>
        <w:rPr>
          <w:rFonts w:hint="eastAsia" w:ascii="仿宋" w:hAnsi="仿宋" w:eastAsia="仿宋" w:cs="仿宋"/>
          <w:color w:val="auto"/>
          <w:sz w:val="28"/>
          <w:szCs w:val="28"/>
        </w:rPr>
      </w:pPr>
    </w:p>
    <w:p>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日期：    年  月  日</w:t>
      </w:r>
    </w:p>
    <w:p>
      <w:pPr>
        <w:rPr>
          <w:rFonts w:hint="eastAsia" w:ascii="仿宋" w:hAnsi="仿宋" w:eastAsia="仿宋" w:cs="仿宋"/>
          <w:color w:val="auto"/>
          <w:sz w:val="28"/>
          <w:szCs w:val="28"/>
        </w:rPr>
      </w:pPr>
    </w:p>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注：此表仅提供了表格形式，投标人应根据需要准备足够数量的表格来填写。</w:t>
      </w:r>
    </w:p>
    <w:p>
      <w:pPr>
        <w:jc w:val="left"/>
        <w:rPr>
          <w:rFonts w:hint="eastAsia" w:ascii="仿宋" w:hAnsi="仿宋" w:eastAsia="仿宋" w:cs="仿宋"/>
          <w:b/>
          <w:sz w:val="28"/>
          <w:szCs w:val="28"/>
        </w:rPr>
      </w:pPr>
      <w:r>
        <w:rPr>
          <w:rFonts w:hint="eastAsia" w:ascii="仿宋" w:hAnsi="仿宋" w:eastAsia="仿宋" w:cs="仿宋"/>
          <w:b/>
          <w:sz w:val="28"/>
          <w:szCs w:val="28"/>
        </w:rPr>
        <w:t>附件</w:t>
      </w:r>
      <w:r>
        <w:rPr>
          <w:rFonts w:hint="eastAsia" w:ascii="仿宋" w:hAnsi="仿宋" w:eastAsia="仿宋" w:cs="仿宋"/>
          <w:b/>
          <w:sz w:val="28"/>
          <w:szCs w:val="28"/>
          <w:lang w:val="en-US" w:eastAsia="zh-CN"/>
        </w:rPr>
        <w:t>8</w:t>
      </w:r>
      <w:r>
        <w:rPr>
          <w:rFonts w:hint="eastAsia" w:ascii="仿宋" w:hAnsi="仿宋" w:eastAsia="仿宋" w:cs="仿宋"/>
          <w:b/>
          <w:sz w:val="28"/>
          <w:szCs w:val="28"/>
        </w:rPr>
        <w:t>：</w:t>
      </w:r>
    </w:p>
    <w:p>
      <w:pPr>
        <w:snapToGrid w:val="0"/>
        <w:spacing w:before="50" w:after="50"/>
        <w:jc w:val="center"/>
        <w:rPr>
          <w:rFonts w:hint="eastAsia" w:ascii="仿宋" w:hAnsi="仿宋" w:eastAsia="仿宋" w:cs="仿宋"/>
          <w:b/>
          <w:sz w:val="28"/>
          <w:szCs w:val="28"/>
        </w:rPr>
      </w:pPr>
    </w:p>
    <w:p>
      <w:pPr>
        <w:snapToGrid w:val="0"/>
        <w:spacing w:before="50" w:after="50"/>
        <w:jc w:val="center"/>
        <w:rPr>
          <w:rFonts w:hint="eastAsia" w:ascii="仿宋" w:hAnsi="仿宋" w:eastAsia="仿宋" w:cs="仿宋"/>
          <w:b/>
          <w:sz w:val="28"/>
          <w:szCs w:val="28"/>
        </w:rPr>
      </w:pPr>
      <w:r>
        <w:rPr>
          <w:rFonts w:hint="eastAsia" w:ascii="仿宋" w:hAnsi="仿宋" w:eastAsia="仿宋" w:cs="仿宋"/>
          <w:b/>
          <w:sz w:val="28"/>
          <w:szCs w:val="28"/>
        </w:rPr>
        <w:t>开标一览表（报价表）</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投标人全称（电子签章）：           招标文件编号：          </w:t>
      </w:r>
    </w:p>
    <w:tbl>
      <w:tblPr>
        <w:tblStyle w:val="30"/>
        <w:tblW w:w="8177"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8" w:hRule="atLeast"/>
        </w:trPr>
        <w:tc>
          <w:tcPr>
            <w:tcW w:w="2417"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投标项目名称</w:t>
            </w:r>
          </w:p>
        </w:tc>
        <w:tc>
          <w:tcPr>
            <w:tcW w:w="5760" w:type="dxa"/>
            <w:vAlign w:val="center"/>
          </w:tcPr>
          <w:p>
            <w:pPr>
              <w:spacing w:line="500" w:lineRule="exact"/>
              <w:jc w:val="center"/>
              <w:rPr>
                <w:rFonts w:hint="eastAsia" w:ascii="仿宋" w:hAnsi="仿宋" w:eastAsia="仿宋" w:cs="仿宋"/>
                <w:b/>
                <w:sz w:val="28"/>
                <w:szCs w:val="28"/>
              </w:rPr>
            </w:pPr>
          </w:p>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trPr>
        <w:tc>
          <w:tcPr>
            <w:tcW w:w="2417"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投标有效期</w:t>
            </w:r>
          </w:p>
        </w:tc>
        <w:tc>
          <w:tcPr>
            <w:tcW w:w="576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120天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0" w:hRule="atLeast"/>
        </w:trPr>
        <w:tc>
          <w:tcPr>
            <w:tcW w:w="2417" w:type="dxa"/>
            <w:tcBorders>
              <w:top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b/>
                <w:bCs/>
                <w:spacing w:val="14"/>
                <w:sz w:val="28"/>
                <w:szCs w:val="28"/>
              </w:rPr>
              <w:t>总体有效投标优惠比率（%）</w:t>
            </w:r>
          </w:p>
          <w:p>
            <w:pPr>
              <w:jc w:val="center"/>
              <w:rPr>
                <w:rFonts w:hint="eastAsia" w:ascii="仿宋" w:hAnsi="仿宋" w:eastAsia="仿宋" w:cs="仿宋"/>
                <w:sz w:val="28"/>
                <w:szCs w:val="28"/>
              </w:rPr>
            </w:pPr>
          </w:p>
        </w:tc>
        <w:tc>
          <w:tcPr>
            <w:tcW w:w="5760" w:type="dxa"/>
            <w:vAlign w:val="center"/>
          </w:tcPr>
          <w:p>
            <w:pPr>
              <w:jc w:val="center"/>
              <w:rPr>
                <w:rFonts w:hint="eastAsia" w:ascii="仿宋" w:hAnsi="仿宋" w:eastAsia="仿宋" w:cs="仿宋"/>
                <w:sz w:val="28"/>
                <w:szCs w:val="28"/>
              </w:rPr>
            </w:pPr>
          </w:p>
        </w:tc>
      </w:tr>
    </w:tbl>
    <w:p>
      <w:pPr>
        <w:rPr>
          <w:rFonts w:hint="eastAsia" w:ascii="仿宋" w:hAnsi="仿宋" w:eastAsia="仿宋" w:cs="仿宋"/>
          <w:sz w:val="28"/>
          <w:szCs w:val="28"/>
        </w:rPr>
      </w:pPr>
    </w:p>
    <w:p>
      <w:pPr>
        <w:spacing w:line="440" w:lineRule="exact"/>
        <w:ind w:firstLine="618" w:firstLineChars="200"/>
        <w:jc w:val="left"/>
        <w:rPr>
          <w:rFonts w:hint="eastAsia" w:ascii="仿宋" w:hAnsi="仿宋" w:eastAsia="仿宋" w:cs="仿宋"/>
          <w:b/>
          <w:bCs/>
          <w:spacing w:val="14"/>
          <w:sz w:val="28"/>
          <w:szCs w:val="28"/>
        </w:rPr>
      </w:pPr>
      <w:r>
        <w:rPr>
          <w:rFonts w:hint="eastAsia" w:ascii="仿宋" w:hAnsi="仿宋" w:eastAsia="仿宋" w:cs="仿宋"/>
          <w:b/>
          <w:bCs/>
          <w:spacing w:val="14"/>
          <w:sz w:val="28"/>
          <w:szCs w:val="28"/>
        </w:rPr>
        <w:t>总体有效投标优惠比率（%）=云服务器有效投标优惠比率（%）*0.6+云数据库有效投标优惠比率（%）*0.25+大数据计算存储服务*0.13+网络服务*0.02</w:t>
      </w:r>
    </w:p>
    <w:p>
      <w:pPr>
        <w:rPr>
          <w:rFonts w:hint="eastAsia" w:ascii="仿宋" w:hAnsi="仿宋" w:eastAsia="仿宋" w:cs="仿宋"/>
          <w:sz w:val="28"/>
          <w:szCs w:val="28"/>
        </w:rPr>
      </w:pPr>
    </w:p>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 xml:space="preserve">                                日期：    年  月  日</w:t>
      </w:r>
    </w:p>
    <w:p>
      <w:pPr>
        <w:spacing w:line="500" w:lineRule="exact"/>
        <w:jc w:val="center"/>
        <w:rPr>
          <w:rFonts w:hint="eastAsia" w:ascii="仿宋" w:hAnsi="仿宋" w:eastAsia="仿宋" w:cs="仿宋"/>
          <w:sz w:val="28"/>
          <w:szCs w:val="28"/>
        </w:rPr>
      </w:pPr>
    </w:p>
    <w:p>
      <w:pPr>
        <w:spacing w:line="500" w:lineRule="exact"/>
        <w:jc w:val="center"/>
        <w:rPr>
          <w:rFonts w:hint="eastAsia" w:ascii="仿宋" w:hAnsi="仿宋" w:eastAsia="仿宋" w:cs="仿宋"/>
          <w:sz w:val="28"/>
          <w:szCs w:val="28"/>
        </w:rPr>
      </w:pPr>
    </w:p>
    <w:p>
      <w:pPr>
        <w:spacing w:line="500" w:lineRule="exact"/>
        <w:rPr>
          <w:rFonts w:hint="eastAsia" w:ascii="仿宋" w:hAnsi="仿宋" w:eastAsia="仿宋" w:cs="仿宋"/>
          <w:b/>
          <w:bCs/>
          <w:spacing w:val="14"/>
          <w:sz w:val="28"/>
          <w:szCs w:val="28"/>
        </w:rPr>
      </w:pPr>
    </w:p>
    <w:p>
      <w:pPr>
        <w:spacing w:line="500" w:lineRule="exact"/>
        <w:rPr>
          <w:rFonts w:hint="eastAsia" w:ascii="仿宋" w:hAnsi="仿宋" w:eastAsia="仿宋" w:cs="仿宋"/>
          <w:b/>
          <w:bCs/>
          <w:spacing w:val="14"/>
          <w:sz w:val="28"/>
          <w:szCs w:val="28"/>
        </w:rPr>
        <w:sectPr>
          <w:pgSz w:w="11906" w:h="16838"/>
          <w:pgMar w:top="1440" w:right="1797" w:bottom="1440" w:left="1797" w:header="851" w:footer="992" w:gutter="0"/>
          <w:cols w:space="425" w:num="1"/>
          <w:docGrid w:linePitch="312" w:charSpace="0"/>
        </w:sectPr>
      </w:pPr>
    </w:p>
    <w:p>
      <w:pPr>
        <w:spacing w:line="500" w:lineRule="exact"/>
        <w:rPr>
          <w:rFonts w:hint="eastAsia" w:ascii="仿宋" w:hAnsi="仿宋" w:eastAsia="仿宋" w:cs="仿宋"/>
          <w:sz w:val="28"/>
          <w:szCs w:val="28"/>
        </w:rPr>
      </w:pPr>
      <w:r>
        <w:rPr>
          <w:rFonts w:hint="eastAsia" w:ascii="仿宋" w:hAnsi="仿宋" w:eastAsia="仿宋" w:cs="仿宋"/>
          <w:b/>
          <w:bCs/>
          <w:spacing w:val="14"/>
          <w:sz w:val="28"/>
          <w:szCs w:val="28"/>
        </w:rPr>
        <w:t>附件</w:t>
      </w:r>
      <w:r>
        <w:rPr>
          <w:rFonts w:hint="eastAsia" w:ascii="仿宋" w:hAnsi="仿宋" w:eastAsia="仿宋" w:cs="仿宋"/>
          <w:b/>
          <w:bCs/>
          <w:spacing w:val="14"/>
          <w:sz w:val="28"/>
          <w:szCs w:val="28"/>
          <w:lang w:val="en-US" w:eastAsia="zh-CN"/>
        </w:rPr>
        <w:t>9</w:t>
      </w:r>
      <w:r>
        <w:rPr>
          <w:rFonts w:hint="eastAsia" w:ascii="仿宋" w:hAnsi="仿宋" w:eastAsia="仿宋" w:cs="仿宋"/>
          <w:b/>
          <w:bCs/>
          <w:spacing w:val="14"/>
          <w:sz w:val="28"/>
          <w:szCs w:val="28"/>
        </w:rPr>
        <w:t>：</w:t>
      </w:r>
    </w:p>
    <w:p>
      <w:pPr>
        <w:snapToGrid w:val="0"/>
        <w:spacing w:before="50" w:after="50"/>
        <w:jc w:val="center"/>
        <w:rPr>
          <w:rFonts w:hint="eastAsia" w:ascii="仿宋" w:hAnsi="仿宋" w:eastAsia="仿宋" w:cs="仿宋"/>
          <w:b/>
          <w:sz w:val="28"/>
          <w:szCs w:val="28"/>
        </w:rPr>
      </w:pPr>
      <w:r>
        <w:rPr>
          <w:rFonts w:hint="eastAsia" w:ascii="仿宋" w:hAnsi="仿宋" w:eastAsia="仿宋" w:cs="仿宋"/>
          <w:b/>
          <w:sz w:val="28"/>
          <w:szCs w:val="28"/>
        </w:rPr>
        <w:t>投标项目报价明细表</w:t>
      </w:r>
    </w:p>
    <w:p>
      <w:pPr>
        <w:rPr>
          <w:rFonts w:hint="eastAsia" w:ascii="仿宋" w:hAnsi="仿宋" w:eastAsia="仿宋" w:cs="仿宋"/>
          <w:sz w:val="28"/>
          <w:szCs w:val="28"/>
        </w:rPr>
      </w:pPr>
      <w:r>
        <w:rPr>
          <w:rFonts w:hint="eastAsia" w:ascii="仿宋" w:hAnsi="仿宋" w:eastAsia="仿宋" w:cs="仿宋"/>
          <w:sz w:val="28"/>
          <w:szCs w:val="28"/>
        </w:rPr>
        <w:t xml:space="preserve">投标人全称（电子签章）：                       招标文件编号：    </w:t>
      </w:r>
    </w:p>
    <w:p>
      <w:pPr>
        <w:rPr>
          <w:rFonts w:hint="eastAsia" w:ascii="仿宋" w:hAnsi="仿宋" w:eastAsia="仿宋" w:cs="仿宋"/>
          <w:sz w:val="28"/>
          <w:szCs w:val="28"/>
        </w:rPr>
      </w:pPr>
      <w:r>
        <w:rPr>
          <w:rFonts w:hint="eastAsia" w:ascii="仿宋" w:hAnsi="仿宋" w:eastAsia="仿宋" w:cs="仿宋"/>
          <w:sz w:val="28"/>
          <w:szCs w:val="28"/>
        </w:rPr>
        <w:t xml:space="preserve">  </w:t>
      </w:r>
    </w:p>
    <w:tbl>
      <w:tblPr>
        <w:tblStyle w:val="30"/>
        <w:tblW w:w="10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3947"/>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68" w:type="dxa"/>
            <w:vAlign w:val="center"/>
          </w:tcPr>
          <w:p>
            <w:pPr>
              <w:rPr>
                <w:rFonts w:hint="eastAsia" w:ascii="仿宋" w:hAnsi="仿宋" w:eastAsia="仿宋" w:cs="仿宋"/>
                <w:sz w:val="28"/>
                <w:szCs w:val="28"/>
              </w:rPr>
            </w:pPr>
            <w:r>
              <w:rPr>
                <w:rFonts w:hint="eastAsia" w:ascii="仿宋" w:hAnsi="仿宋" w:eastAsia="仿宋" w:cs="仿宋"/>
                <w:sz w:val="28"/>
                <w:szCs w:val="28"/>
              </w:rPr>
              <w:t>序号</w:t>
            </w:r>
          </w:p>
        </w:tc>
        <w:tc>
          <w:tcPr>
            <w:tcW w:w="3947" w:type="dxa"/>
            <w:vAlign w:val="center"/>
          </w:tcPr>
          <w:p>
            <w:pPr>
              <w:rPr>
                <w:rFonts w:hint="eastAsia" w:ascii="仿宋" w:hAnsi="仿宋" w:eastAsia="仿宋" w:cs="仿宋"/>
                <w:sz w:val="28"/>
                <w:szCs w:val="28"/>
                <w:lang w:eastAsia="zh-CN"/>
              </w:rPr>
            </w:pPr>
            <w:r>
              <w:rPr>
                <w:rFonts w:hint="eastAsia" w:ascii="仿宋" w:hAnsi="仿宋" w:eastAsia="仿宋" w:cs="仿宋"/>
                <w:sz w:val="28"/>
                <w:szCs w:val="28"/>
                <w:lang w:eastAsia="zh-CN"/>
              </w:rPr>
              <w:t>类别</w:t>
            </w:r>
          </w:p>
        </w:tc>
        <w:tc>
          <w:tcPr>
            <w:tcW w:w="4884" w:type="dxa"/>
            <w:vAlign w:val="center"/>
          </w:tcPr>
          <w:p>
            <w:pPr>
              <w:spacing w:line="360" w:lineRule="auto"/>
              <w:jc w:val="both"/>
              <w:rPr>
                <w:rFonts w:hint="eastAsia" w:ascii="仿宋" w:hAnsi="仿宋" w:eastAsia="仿宋" w:cs="仿宋"/>
                <w:sz w:val="28"/>
                <w:szCs w:val="28"/>
              </w:rPr>
            </w:pPr>
            <w:r>
              <w:rPr>
                <w:rFonts w:hint="eastAsia" w:ascii="仿宋" w:hAnsi="仿宋" w:eastAsia="仿宋" w:cs="仿宋"/>
                <w:sz w:val="28"/>
                <w:szCs w:val="28"/>
              </w:rPr>
              <w:t>有效投标优惠比率（%）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8" w:type="dxa"/>
            <w:vAlign w:val="center"/>
          </w:tcPr>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3947" w:type="dxa"/>
            <w:vAlign w:val="center"/>
          </w:tcPr>
          <w:p>
            <w:pPr>
              <w:rPr>
                <w:rFonts w:hint="eastAsia" w:ascii="仿宋" w:hAnsi="仿宋" w:eastAsia="仿宋" w:cs="仿宋"/>
                <w:sz w:val="28"/>
                <w:szCs w:val="28"/>
                <w:lang w:eastAsia="zh-CN"/>
              </w:rPr>
            </w:pPr>
            <w:r>
              <w:rPr>
                <w:rFonts w:hint="eastAsia" w:ascii="仿宋" w:hAnsi="仿宋" w:eastAsia="仿宋" w:cs="仿宋"/>
                <w:sz w:val="28"/>
                <w:szCs w:val="28"/>
                <w:lang w:eastAsia="zh-CN"/>
              </w:rPr>
              <w:t>云服务器</w:t>
            </w:r>
          </w:p>
        </w:tc>
        <w:tc>
          <w:tcPr>
            <w:tcW w:w="4884" w:type="dxa"/>
            <w:vAlign w:val="center"/>
          </w:tcPr>
          <w:p>
            <w:pPr>
              <w:spacing w:line="3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8" w:type="dxa"/>
            <w:vAlign w:val="center"/>
          </w:tcPr>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3947" w:type="dxa"/>
            <w:vAlign w:val="center"/>
          </w:tcPr>
          <w:p>
            <w:pPr>
              <w:rPr>
                <w:rFonts w:hint="eastAsia" w:ascii="仿宋" w:hAnsi="仿宋" w:eastAsia="仿宋" w:cs="仿宋"/>
                <w:sz w:val="28"/>
                <w:szCs w:val="28"/>
                <w:lang w:eastAsia="zh-CN"/>
              </w:rPr>
            </w:pPr>
            <w:r>
              <w:rPr>
                <w:rFonts w:hint="eastAsia" w:ascii="仿宋" w:hAnsi="仿宋" w:eastAsia="仿宋" w:cs="仿宋"/>
                <w:sz w:val="28"/>
                <w:szCs w:val="28"/>
                <w:lang w:eastAsia="zh-CN"/>
              </w:rPr>
              <w:t>云数据库</w:t>
            </w:r>
          </w:p>
        </w:tc>
        <w:tc>
          <w:tcPr>
            <w:tcW w:w="4884" w:type="dxa"/>
            <w:vAlign w:val="center"/>
          </w:tcPr>
          <w:p>
            <w:pPr>
              <w:spacing w:line="3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8" w:type="dxa"/>
            <w:vAlign w:val="center"/>
          </w:tcPr>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3947" w:type="dxa"/>
            <w:vAlign w:val="center"/>
          </w:tcPr>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大数据计算存储服务</w:t>
            </w:r>
          </w:p>
        </w:tc>
        <w:tc>
          <w:tcPr>
            <w:tcW w:w="4884" w:type="dxa"/>
            <w:vAlign w:val="center"/>
          </w:tcPr>
          <w:p>
            <w:pPr>
              <w:spacing w:line="3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8" w:type="dxa"/>
            <w:vAlign w:val="center"/>
          </w:tcPr>
          <w:p>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3947" w:type="dxa"/>
            <w:vAlign w:val="center"/>
          </w:tcPr>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网络服务</w:t>
            </w:r>
          </w:p>
        </w:tc>
        <w:tc>
          <w:tcPr>
            <w:tcW w:w="4884" w:type="dxa"/>
            <w:vAlign w:val="center"/>
          </w:tcPr>
          <w:p>
            <w:pPr>
              <w:spacing w:line="300" w:lineRule="exact"/>
              <w:jc w:val="center"/>
              <w:rPr>
                <w:rFonts w:hint="eastAsia" w:ascii="仿宋" w:hAnsi="仿宋" w:eastAsia="仿宋" w:cs="仿宋"/>
                <w:sz w:val="28"/>
                <w:szCs w:val="28"/>
              </w:rPr>
            </w:pPr>
          </w:p>
        </w:tc>
      </w:tr>
    </w:tbl>
    <w:p>
      <w:pPr>
        <w:jc w:val="right"/>
        <w:rPr>
          <w:rFonts w:hint="eastAsia" w:ascii="仿宋" w:hAnsi="仿宋" w:eastAsia="仿宋" w:cs="仿宋"/>
          <w:sz w:val="28"/>
          <w:szCs w:val="28"/>
        </w:rPr>
      </w:pPr>
      <w:r>
        <w:rPr>
          <w:rFonts w:hint="eastAsia" w:ascii="仿宋" w:hAnsi="仿宋" w:eastAsia="仿宋" w:cs="仿宋"/>
          <w:sz w:val="28"/>
          <w:szCs w:val="28"/>
        </w:rPr>
        <w:t xml:space="preserve">                </w:t>
      </w:r>
    </w:p>
    <w:p>
      <w:pPr>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日期：    年  月   日</w:t>
      </w:r>
    </w:p>
    <w:p>
      <w:pPr>
        <w:rPr>
          <w:rFonts w:hint="eastAsia" w:ascii="仿宋" w:hAnsi="仿宋" w:eastAsia="仿宋" w:cs="仿宋"/>
          <w:sz w:val="28"/>
          <w:szCs w:val="28"/>
        </w:rPr>
      </w:pPr>
      <w:r>
        <w:rPr>
          <w:rFonts w:hint="eastAsia" w:ascii="仿宋" w:hAnsi="仿宋" w:eastAsia="仿宋" w:cs="仿宋"/>
          <w:sz w:val="28"/>
          <w:szCs w:val="28"/>
        </w:rPr>
        <w:t>注：1、本表所列项目应根据实际情况填写，并</w:t>
      </w:r>
      <w:r>
        <w:rPr>
          <w:rFonts w:hint="eastAsia" w:ascii="仿宋" w:hAnsi="仿宋" w:eastAsia="仿宋" w:cs="仿宋"/>
          <w:b/>
          <w:sz w:val="28"/>
          <w:szCs w:val="28"/>
        </w:rPr>
        <w:t>计入</w:t>
      </w:r>
      <w:r>
        <w:rPr>
          <w:rFonts w:hint="eastAsia" w:ascii="仿宋" w:hAnsi="仿宋" w:eastAsia="仿宋" w:cs="仿宋"/>
          <w:b/>
          <w:bCs/>
          <w:sz w:val="28"/>
          <w:szCs w:val="28"/>
        </w:rPr>
        <w:t>投标总价</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2、此表仅提供了表格形式，投标人应根据需要准备足够数量的表格来填写；</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 xml:space="preserve"> 3、</w:t>
      </w:r>
      <w:r>
        <w:rPr>
          <w:rFonts w:hint="eastAsia" w:ascii="仿宋" w:hAnsi="仿宋" w:eastAsia="仿宋" w:cs="仿宋"/>
          <w:b/>
          <w:sz w:val="28"/>
          <w:szCs w:val="28"/>
        </w:rPr>
        <w:t>报价明细表最终汇总金额应与开标一览表一致。</w:t>
      </w:r>
    </w:p>
    <w:p>
      <w:pPr>
        <w:spacing w:line="360" w:lineRule="auto"/>
        <w:rPr>
          <w:rFonts w:hint="eastAsia" w:ascii="仿宋" w:hAnsi="仿宋" w:eastAsia="仿宋" w:cs="仿宋"/>
          <w:b/>
          <w:bCs/>
          <w:spacing w:val="14"/>
          <w:sz w:val="28"/>
          <w:szCs w:val="28"/>
        </w:rPr>
        <w:sectPr>
          <w:pgSz w:w="16838" w:h="11906" w:orient="landscape"/>
          <w:pgMar w:top="1797" w:right="1440" w:bottom="1797" w:left="1440" w:header="851" w:footer="992" w:gutter="0"/>
          <w:cols w:space="425" w:num="1"/>
          <w:docGrid w:linePitch="312" w:charSpace="0"/>
        </w:sectPr>
      </w:pPr>
    </w:p>
    <w:p>
      <w:pPr>
        <w:rPr>
          <w:rFonts w:hint="eastAsia" w:ascii="仿宋" w:hAnsi="仿宋" w:eastAsia="仿宋" w:cs="仿宋"/>
          <w:b/>
          <w:color w:val="000000"/>
          <w:sz w:val="28"/>
          <w:szCs w:val="28"/>
        </w:rPr>
      </w:pPr>
      <w:r>
        <w:rPr>
          <w:rFonts w:hint="eastAsia" w:ascii="仿宋" w:hAnsi="仿宋" w:eastAsia="仿宋" w:cs="仿宋"/>
          <w:b/>
          <w:color w:val="000000"/>
          <w:sz w:val="28"/>
          <w:szCs w:val="28"/>
        </w:rPr>
        <w:t>附件1</w:t>
      </w:r>
      <w:r>
        <w:rPr>
          <w:rFonts w:hint="eastAsia" w:ascii="仿宋" w:hAnsi="仿宋" w:eastAsia="仿宋" w:cs="仿宋"/>
          <w:b/>
          <w:color w:val="000000"/>
          <w:sz w:val="28"/>
          <w:szCs w:val="28"/>
          <w:lang w:val="en-US" w:eastAsia="zh-CN"/>
        </w:rPr>
        <w:t>0</w:t>
      </w:r>
      <w:r>
        <w:rPr>
          <w:rFonts w:hint="eastAsia" w:ascii="仿宋" w:hAnsi="仿宋" w:eastAsia="仿宋" w:cs="仿宋"/>
          <w:b/>
          <w:color w:val="000000"/>
          <w:sz w:val="28"/>
          <w:szCs w:val="28"/>
        </w:rPr>
        <w:t>：</w:t>
      </w:r>
    </w:p>
    <w:p>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中小企业声明函(</w:t>
      </w:r>
      <w:r>
        <w:rPr>
          <w:rFonts w:hint="eastAsia" w:ascii="仿宋" w:hAnsi="仿宋" w:eastAsia="仿宋" w:cs="仿宋"/>
          <w:b/>
          <w:color w:val="000000"/>
          <w:sz w:val="28"/>
          <w:szCs w:val="28"/>
          <w:lang w:eastAsia="zh-CN"/>
        </w:rPr>
        <w:t>服务</w:t>
      </w:r>
      <w:r>
        <w:rPr>
          <w:rFonts w:hint="eastAsia" w:ascii="仿宋" w:hAnsi="仿宋" w:eastAsia="仿宋" w:cs="仿宋"/>
          <w:b/>
          <w:color w:val="000000"/>
          <w:sz w:val="28"/>
          <w:szCs w:val="28"/>
        </w:rPr>
        <w:t>)</w:t>
      </w:r>
    </w:p>
    <w:p>
      <w:pPr>
        <w:jc w:val="center"/>
        <w:rPr>
          <w:rFonts w:hint="eastAsia" w:ascii="仿宋" w:hAnsi="仿宋" w:eastAsia="仿宋" w:cs="仿宋"/>
          <w:sz w:val="28"/>
          <w:szCs w:val="28"/>
        </w:rPr>
      </w:pPr>
    </w:p>
    <w:p>
      <w:pPr>
        <w:spacing w:line="480" w:lineRule="exact"/>
        <w:ind w:firstLine="555"/>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本公司（联合体）郑重声明，根据《政府采购促进中小企业发展管理办法》（财库（2020)46号)的规定，本公司（联合体)参加</w:t>
      </w:r>
      <w:r>
        <w:rPr>
          <w:rFonts w:hint="eastAsia" w:ascii="仿宋" w:hAnsi="仿宋" w:eastAsia="仿宋" w:cs="仿宋"/>
          <w:sz w:val="28"/>
          <w:szCs w:val="28"/>
          <w:u w:val="single"/>
        </w:rPr>
        <w:t>(单位名称）</w:t>
      </w:r>
      <w:r>
        <w:rPr>
          <w:rFonts w:hint="eastAsia" w:ascii="仿宋" w:hAnsi="仿宋" w:eastAsia="仿宋" w:cs="仿宋"/>
          <w:sz w:val="28"/>
          <w:szCs w:val="28"/>
        </w:rPr>
        <w:t>的</w:t>
      </w:r>
      <w:r>
        <w:rPr>
          <w:rFonts w:hint="eastAsia" w:ascii="仿宋" w:hAnsi="仿宋" w:eastAsia="仿宋" w:cs="仿宋"/>
          <w:sz w:val="28"/>
          <w:szCs w:val="28"/>
          <w:u w:val="single"/>
        </w:rPr>
        <w:t>（项目名称）</w:t>
      </w:r>
      <w:r>
        <w:rPr>
          <w:rFonts w:hint="eastAsia" w:ascii="仿宋" w:hAnsi="仿宋" w:eastAsia="仿宋" w:cs="仿宋"/>
          <w:sz w:val="28"/>
          <w:szCs w:val="28"/>
        </w:rPr>
        <w:t>采购活动，提供的货物全部由符合政策要求的中小企业制造。相关企</w:t>
      </w:r>
      <w:r>
        <w:rPr>
          <w:rFonts w:hint="eastAsia" w:ascii="仿宋" w:hAnsi="仿宋" w:eastAsia="仿宋" w:cs="仿宋"/>
          <w:color w:val="000000" w:themeColor="text1"/>
          <w:sz w:val="28"/>
          <w:szCs w:val="28"/>
          <w14:textFill>
            <w14:solidFill>
              <w14:schemeClr w14:val="tx1"/>
            </w14:solidFill>
          </w14:textFill>
        </w:rPr>
        <w:t>业（含联合体中的中小企业、签订分包意向</w:t>
      </w:r>
    </w:p>
    <w:p>
      <w:pPr>
        <w:spacing w:line="480" w:lineRule="exact"/>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协议的中小企业）的具体情</w:t>
      </w:r>
      <w:r>
        <w:rPr>
          <w:rFonts w:hint="eastAsia" w:ascii="仿宋" w:hAnsi="仿宋" w:eastAsia="仿宋" w:cs="仿宋"/>
          <w:sz w:val="28"/>
          <w:szCs w:val="28"/>
        </w:rPr>
        <w:t>况如下：</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（标的名称）</w:t>
      </w:r>
      <w:r>
        <w:rPr>
          <w:rFonts w:hint="eastAsia" w:ascii="仿宋" w:hAnsi="仿宋" w:eastAsia="仿宋" w:cs="仿宋"/>
          <w:sz w:val="28"/>
          <w:szCs w:val="28"/>
        </w:rPr>
        <w:t>，属于</w:t>
      </w:r>
      <w:r>
        <w:rPr>
          <w:rFonts w:hint="eastAsia" w:ascii="仿宋" w:hAnsi="仿宋" w:eastAsia="仿宋" w:cs="仿宋"/>
          <w:sz w:val="28"/>
          <w:szCs w:val="28"/>
          <w:u w:val="single"/>
        </w:rPr>
        <w:t>（采购文件中明确的所属行业）</w:t>
      </w:r>
      <w:r>
        <w:rPr>
          <w:rFonts w:hint="eastAsia" w:ascii="仿宋" w:hAnsi="仿宋" w:eastAsia="仿宋" w:cs="仿宋"/>
          <w:sz w:val="28"/>
          <w:szCs w:val="28"/>
        </w:rPr>
        <w:t>行业；制造商为</w:t>
      </w:r>
      <w:r>
        <w:rPr>
          <w:rFonts w:hint="eastAsia" w:ascii="仿宋" w:hAnsi="仿宋" w:eastAsia="仿宋" w:cs="仿宋"/>
          <w:sz w:val="28"/>
          <w:szCs w:val="28"/>
          <w:u w:val="single"/>
        </w:rPr>
        <w:t>（企业名称)</w:t>
      </w:r>
      <w:r>
        <w:rPr>
          <w:rFonts w:hint="eastAsia" w:ascii="仿宋" w:hAnsi="仿宋" w:eastAsia="仿宋" w:cs="仿宋"/>
          <w:sz w:val="28"/>
          <w:szCs w:val="28"/>
        </w:rPr>
        <w:t>，从业人员</w:t>
      </w:r>
      <w:r>
        <w:rPr>
          <w:rFonts w:hint="eastAsia" w:ascii="仿宋" w:hAnsi="仿宋" w:eastAsia="仿宋" w:cs="仿宋"/>
          <w:sz w:val="28"/>
          <w:szCs w:val="28"/>
          <w:u w:val="single"/>
        </w:rPr>
        <w:t xml:space="preserve">        </w:t>
      </w:r>
      <w:r>
        <w:rPr>
          <w:rFonts w:hint="eastAsia" w:ascii="仿宋" w:hAnsi="仿宋" w:eastAsia="仿宋" w:cs="仿宋"/>
          <w:sz w:val="28"/>
          <w:szCs w:val="28"/>
        </w:rPr>
        <w:t>人，营业收入为</w:t>
      </w:r>
      <w:r>
        <w:rPr>
          <w:rFonts w:hint="eastAsia" w:ascii="仿宋" w:hAnsi="仿宋" w:eastAsia="仿宋" w:cs="仿宋"/>
          <w:sz w:val="28"/>
          <w:szCs w:val="28"/>
          <w:u w:val="single"/>
        </w:rPr>
        <w:t xml:space="preserve">       </w:t>
      </w:r>
      <w:r>
        <w:rPr>
          <w:rFonts w:hint="eastAsia" w:ascii="仿宋" w:hAnsi="仿宋" w:eastAsia="仿宋" w:cs="仿宋"/>
          <w:sz w:val="28"/>
          <w:szCs w:val="28"/>
        </w:rPr>
        <w:t>万元，资产总额为</w:t>
      </w:r>
      <w:r>
        <w:rPr>
          <w:rFonts w:hint="eastAsia" w:ascii="仿宋" w:hAnsi="仿宋" w:eastAsia="仿宋" w:cs="仿宋"/>
          <w:sz w:val="28"/>
          <w:szCs w:val="28"/>
          <w:u w:val="single"/>
        </w:rPr>
        <w:t xml:space="preserve">       </w:t>
      </w:r>
      <w:r>
        <w:rPr>
          <w:rFonts w:hint="eastAsia" w:ascii="仿宋" w:hAnsi="仿宋" w:eastAsia="仿宋" w:cs="仿宋"/>
          <w:sz w:val="28"/>
          <w:szCs w:val="28"/>
        </w:rPr>
        <w:t>万元，属于</w:t>
      </w:r>
      <w:r>
        <w:rPr>
          <w:rFonts w:hint="eastAsia" w:ascii="仿宋" w:hAnsi="仿宋" w:eastAsia="仿宋" w:cs="仿宋"/>
          <w:sz w:val="28"/>
          <w:szCs w:val="28"/>
          <w:u w:val="single"/>
        </w:rPr>
        <w:t>（中型企业、小型企业、微型企业）</w:t>
      </w:r>
      <w:r>
        <w:rPr>
          <w:rFonts w:hint="eastAsia" w:ascii="仿宋" w:hAnsi="仿宋" w:eastAsia="仿宋" w:cs="仿宋"/>
          <w:sz w:val="28"/>
          <w:szCs w:val="28"/>
        </w:rPr>
        <w:t>；</w:t>
      </w:r>
    </w:p>
    <w:p>
      <w:pPr>
        <w:spacing w:line="480" w:lineRule="exact"/>
        <w:ind w:firstLine="570"/>
        <w:jc w:val="center"/>
        <w:rPr>
          <w:rFonts w:hint="eastAsia" w:ascii="仿宋" w:hAnsi="仿宋" w:eastAsia="仿宋" w:cs="仿宋"/>
          <w:sz w:val="28"/>
          <w:szCs w:val="28"/>
          <w:u w:val="single"/>
        </w:rPr>
      </w:pPr>
      <w:r>
        <w:rPr>
          <w:rFonts w:hint="eastAsia" w:ascii="仿宋" w:hAnsi="仿宋" w:eastAsia="仿宋" w:cs="仿宋"/>
          <w:sz w:val="28"/>
          <w:szCs w:val="28"/>
        </w:rPr>
        <w:t>2.</w:t>
      </w:r>
      <w:r>
        <w:rPr>
          <w:rFonts w:hint="eastAsia" w:ascii="仿宋" w:hAnsi="仿宋" w:eastAsia="仿宋" w:cs="仿宋"/>
          <w:sz w:val="28"/>
          <w:szCs w:val="28"/>
          <w:u w:val="single"/>
        </w:rPr>
        <w:t xml:space="preserve"> （标的名称）</w:t>
      </w:r>
      <w:r>
        <w:rPr>
          <w:rFonts w:hint="eastAsia" w:ascii="仿宋" w:hAnsi="仿宋" w:eastAsia="仿宋" w:cs="仿宋"/>
          <w:sz w:val="28"/>
          <w:szCs w:val="28"/>
        </w:rPr>
        <w:t>，属于</w:t>
      </w:r>
      <w:r>
        <w:rPr>
          <w:rFonts w:hint="eastAsia" w:ascii="仿宋" w:hAnsi="仿宋" w:eastAsia="仿宋" w:cs="仿宋"/>
          <w:sz w:val="28"/>
          <w:szCs w:val="28"/>
          <w:u w:val="single"/>
        </w:rPr>
        <w:t>（采购文件中明确的所属行业）</w:t>
      </w:r>
      <w:r>
        <w:rPr>
          <w:rFonts w:hint="eastAsia" w:ascii="仿宋" w:hAnsi="仿宋" w:eastAsia="仿宋" w:cs="仿宋"/>
          <w:sz w:val="28"/>
          <w:szCs w:val="28"/>
        </w:rPr>
        <w:t>行业；制造商为</w:t>
      </w:r>
      <w:r>
        <w:rPr>
          <w:rFonts w:hint="eastAsia" w:ascii="仿宋" w:hAnsi="仿宋" w:eastAsia="仿宋" w:cs="仿宋"/>
          <w:sz w:val="28"/>
          <w:szCs w:val="28"/>
          <w:u w:val="single"/>
        </w:rPr>
        <w:t>（企业名称)</w:t>
      </w:r>
      <w:r>
        <w:rPr>
          <w:rFonts w:hint="eastAsia" w:ascii="仿宋" w:hAnsi="仿宋" w:eastAsia="仿宋" w:cs="仿宋"/>
          <w:sz w:val="28"/>
          <w:szCs w:val="28"/>
        </w:rPr>
        <w:t>，从业人员</w:t>
      </w:r>
      <w:r>
        <w:rPr>
          <w:rFonts w:hint="eastAsia" w:ascii="仿宋" w:hAnsi="仿宋" w:eastAsia="仿宋" w:cs="仿宋"/>
          <w:sz w:val="28"/>
          <w:szCs w:val="28"/>
          <w:u w:val="single"/>
        </w:rPr>
        <w:t xml:space="preserve">        </w:t>
      </w:r>
      <w:r>
        <w:rPr>
          <w:rFonts w:hint="eastAsia" w:ascii="仿宋" w:hAnsi="仿宋" w:eastAsia="仿宋" w:cs="仿宋"/>
          <w:sz w:val="28"/>
          <w:szCs w:val="28"/>
        </w:rPr>
        <w:t>人，营业收入为</w:t>
      </w:r>
      <w:r>
        <w:rPr>
          <w:rFonts w:hint="eastAsia" w:ascii="仿宋" w:hAnsi="仿宋" w:eastAsia="仿宋" w:cs="仿宋"/>
          <w:sz w:val="28"/>
          <w:szCs w:val="28"/>
          <w:u w:val="single"/>
        </w:rPr>
        <w:t xml:space="preserve">       </w:t>
      </w:r>
      <w:r>
        <w:rPr>
          <w:rFonts w:hint="eastAsia" w:ascii="仿宋" w:hAnsi="仿宋" w:eastAsia="仿宋" w:cs="仿宋"/>
          <w:sz w:val="28"/>
          <w:szCs w:val="28"/>
        </w:rPr>
        <w:t>万元，资产总额为</w:t>
      </w:r>
      <w:r>
        <w:rPr>
          <w:rFonts w:hint="eastAsia" w:ascii="仿宋" w:hAnsi="仿宋" w:eastAsia="仿宋" w:cs="仿宋"/>
          <w:sz w:val="28"/>
          <w:szCs w:val="28"/>
          <w:u w:val="single"/>
        </w:rPr>
        <w:t xml:space="preserve">       </w:t>
      </w:r>
      <w:r>
        <w:rPr>
          <w:rFonts w:hint="eastAsia" w:ascii="仿宋" w:hAnsi="仿宋" w:eastAsia="仿宋" w:cs="仿宋"/>
          <w:sz w:val="28"/>
          <w:szCs w:val="28"/>
        </w:rPr>
        <w:t>万元，属于</w:t>
      </w:r>
      <w:r>
        <w:rPr>
          <w:rFonts w:hint="eastAsia" w:ascii="仿宋" w:hAnsi="仿宋" w:eastAsia="仿宋" w:cs="仿宋"/>
          <w:sz w:val="28"/>
          <w:szCs w:val="28"/>
          <w:u w:val="single"/>
        </w:rPr>
        <w:t>（中型企业、小型企业、微型企</w:t>
      </w:r>
    </w:p>
    <w:p>
      <w:pPr>
        <w:spacing w:line="480" w:lineRule="exact"/>
        <w:rPr>
          <w:rFonts w:hint="eastAsia" w:ascii="仿宋" w:hAnsi="仿宋" w:eastAsia="仿宋" w:cs="仿宋"/>
          <w:sz w:val="28"/>
          <w:szCs w:val="28"/>
        </w:rPr>
      </w:pPr>
      <w:r>
        <w:rPr>
          <w:rFonts w:hint="eastAsia" w:ascii="仿宋" w:hAnsi="仿宋" w:eastAsia="仿宋" w:cs="仿宋"/>
          <w:sz w:val="28"/>
          <w:szCs w:val="28"/>
          <w:u w:val="single"/>
        </w:rPr>
        <w:t>业）</w:t>
      </w:r>
      <w:r>
        <w:rPr>
          <w:rFonts w:hint="eastAsia" w:ascii="仿宋" w:hAnsi="仿宋" w:eastAsia="仿宋" w:cs="仿宋"/>
          <w:sz w:val="28"/>
          <w:szCs w:val="28"/>
        </w:rPr>
        <w:t>；</w:t>
      </w:r>
    </w:p>
    <w:p>
      <w:pPr>
        <w:spacing w:line="480" w:lineRule="exact"/>
        <w:rPr>
          <w:rFonts w:hint="eastAsia" w:ascii="仿宋" w:hAnsi="仿宋" w:eastAsia="仿宋" w:cs="仿宋"/>
          <w:sz w:val="28"/>
          <w:szCs w:val="28"/>
        </w:rPr>
      </w:pPr>
      <w:r>
        <w:rPr>
          <w:rFonts w:hint="eastAsia" w:ascii="仿宋" w:hAnsi="仿宋" w:eastAsia="仿宋" w:cs="仿宋"/>
          <w:sz w:val="28"/>
          <w:szCs w:val="28"/>
        </w:rPr>
        <w:t xml:space="preserve">    ……</w:t>
      </w:r>
    </w:p>
    <w:p>
      <w:pPr>
        <w:spacing w:line="480" w:lineRule="exact"/>
        <w:ind w:firstLine="555"/>
        <w:jc w:val="center"/>
        <w:rPr>
          <w:rFonts w:hint="eastAsia" w:ascii="仿宋" w:hAnsi="仿宋" w:eastAsia="仿宋" w:cs="仿宋"/>
          <w:sz w:val="28"/>
          <w:szCs w:val="28"/>
        </w:rPr>
      </w:pPr>
      <w:r>
        <w:rPr>
          <w:rFonts w:hint="eastAsia" w:ascii="仿宋" w:hAnsi="仿宋" w:eastAsia="仿宋" w:cs="仿宋"/>
          <w:sz w:val="28"/>
          <w:szCs w:val="28"/>
        </w:rPr>
        <w:t>以上企业，不属于大企业的分支机构，不存在控股股东为大企业</w:t>
      </w:r>
    </w:p>
    <w:p>
      <w:pPr>
        <w:spacing w:line="480" w:lineRule="exact"/>
        <w:rPr>
          <w:rFonts w:hint="eastAsia" w:ascii="仿宋" w:hAnsi="仿宋" w:eastAsia="仿宋" w:cs="仿宋"/>
          <w:sz w:val="28"/>
          <w:szCs w:val="28"/>
        </w:rPr>
      </w:pPr>
      <w:r>
        <w:rPr>
          <w:rFonts w:hint="eastAsia" w:ascii="仿宋" w:hAnsi="仿宋" w:eastAsia="仿宋" w:cs="仿宋"/>
          <w:sz w:val="28"/>
          <w:szCs w:val="28"/>
        </w:rPr>
        <w:t>的情形，也不存在与大企业的负贵人为同一人的情形。</w:t>
      </w:r>
    </w:p>
    <w:p>
      <w:pPr>
        <w:spacing w:line="480" w:lineRule="exact"/>
        <w:ind w:firstLine="360"/>
        <w:rPr>
          <w:rFonts w:hint="eastAsia" w:ascii="仿宋" w:hAnsi="仿宋" w:eastAsia="仿宋" w:cs="仿宋"/>
          <w:sz w:val="28"/>
          <w:szCs w:val="28"/>
        </w:rPr>
      </w:pPr>
      <w:r>
        <w:rPr>
          <w:rFonts w:hint="eastAsia" w:ascii="仿宋" w:hAnsi="仿宋" w:eastAsia="仿宋" w:cs="仿宋"/>
          <w:sz w:val="28"/>
          <w:szCs w:val="28"/>
        </w:rPr>
        <w:t>本企业对上述声明内容的真实性负责，如有虚假，将依法承担相应责任。</w:t>
      </w:r>
    </w:p>
    <w:p>
      <w:pPr>
        <w:spacing w:line="480" w:lineRule="exact"/>
        <w:ind w:firstLine="360"/>
        <w:rPr>
          <w:rFonts w:hint="eastAsia" w:ascii="仿宋" w:hAnsi="仿宋" w:eastAsia="仿宋" w:cs="仿宋"/>
          <w:sz w:val="28"/>
          <w:szCs w:val="28"/>
        </w:rPr>
      </w:pPr>
    </w:p>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 xml:space="preserve">      企业名称（电子签章）：</w:t>
      </w:r>
    </w:p>
    <w:p>
      <w:pPr>
        <w:jc w:val="center"/>
        <w:rPr>
          <w:rFonts w:hint="eastAsia" w:ascii="仿宋" w:hAnsi="仿宋" w:eastAsia="仿宋" w:cs="仿宋"/>
          <w:b/>
          <w:sz w:val="28"/>
          <w:szCs w:val="28"/>
        </w:rPr>
      </w:pPr>
      <w:r>
        <w:rPr>
          <w:rFonts w:hint="eastAsia" w:ascii="仿宋" w:hAnsi="仿宋" w:eastAsia="仿宋" w:cs="仿宋"/>
          <w:sz w:val="28"/>
          <w:szCs w:val="28"/>
        </w:rPr>
        <w:t xml:space="preserve">               日期：</w:t>
      </w:r>
    </w:p>
    <w:p>
      <w:pPr>
        <w:jc w:val="center"/>
        <w:rPr>
          <w:rFonts w:hint="eastAsia" w:ascii="仿宋" w:hAnsi="仿宋" w:eastAsia="仿宋" w:cs="仿宋"/>
          <w:b/>
          <w:color w:val="000000"/>
          <w:sz w:val="28"/>
          <w:szCs w:val="28"/>
        </w:rPr>
      </w:pPr>
    </w:p>
    <w:p>
      <w:pPr>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注：1、中小企业划型标准详见</w:t>
      </w:r>
      <w:r>
        <w:rPr>
          <w:rFonts w:hint="eastAsia" w:ascii="仿宋" w:hAnsi="仿宋" w:eastAsia="仿宋" w:cs="仿宋"/>
          <w:b/>
          <w:sz w:val="28"/>
          <w:szCs w:val="28"/>
        </w:rPr>
        <w:t>《关于印发中小企业划型标准规定的通知》工信部联企业[2011]300号文件。</w:t>
      </w:r>
    </w:p>
    <w:p>
      <w:pPr>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2、本声明函必须填写完整，如有缺项漏项的，不予认可。</w:t>
      </w:r>
    </w:p>
    <w:p>
      <w:pPr>
        <w:jc w:val="center"/>
        <w:rPr>
          <w:rFonts w:hint="eastAsia" w:ascii="仿宋" w:hAnsi="仿宋" w:eastAsia="仿宋" w:cs="仿宋"/>
          <w:b/>
          <w:color w:val="000000"/>
          <w:sz w:val="28"/>
          <w:szCs w:val="28"/>
        </w:rPr>
      </w:pPr>
    </w:p>
    <w:p>
      <w:pPr>
        <w:jc w:val="center"/>
        <w:rPr>
          <w:rFonts w:hint="eastAsia" w:ascii="仿宋" w:hAnsi="仿宋" w:eastAsia="仿宋" w:cs="仿宋"/>
          <w:b/>
          <w:color w:val="000000"/>
          <w:sz w:val="28"/>
          <w:szCs w:val="28"/>
        </w:rPr>
      </w:pPr>
    </w:p>
    <w:p>
      <w:pPr>
        <w:jc w:val="center"/>
        <w:rPr>
          <w:rFonts w:hint="eastAsia" w:ascii="仿宋" w:hAnsi="仿宋" w:eastAsia="仿宋" w:cs="仿宋"/>
          <w:b/>
          <w:color w:val="000000"/>
          <w:sz w:val="28"/>
          <w:szCs w:val="28"/>
        </w:rPr>
      </w:pPr>
    </w:p>
    <w:p>
      <w:pPr>
        <w:snapToGrid w:val="0"/>
        <w:spacing w:before="50" w:after="50"/>
        <w:rPr>
          <w:rFonts w:hint="eastAsia" w:ascii="仿宋" w:hAnsi="仿宋" w:eastAsia="仿宋" w:cs="仿宋"/>
          <w:b/>
          <w:sz w:val="28"/>
          <w:szCs w:val="28"/>
        </w:rPr>
      </w:pPr>
      <w:bookmarkStart w:id="52" w:name="OLE_LINK14"/>
      <w:bookmarkStart w:id="53" w:name="OLE_LINK13"/>
      <w:r>
        <w:rPr>
          <w:rFonts w:hint="eastAsia" w:ascii="仿宋" w:hAnsi="仿宋" w:eastAsia="仿宋" w:cs="仿宋"/>
          <w:b/>
          <w:sz w:val="28"/>
          <w:szCs w:val="28"/>
        </w:rPr>
        <w:t>附件13：</w:t>
      </w:r>
    </w:p>
    <w:p>
      <w:pPr>
        <w:snapToGrid w:val="0"/>
        <w:spacing w:before="50" w:after="50"/>
        <w:jc w:val="center"/>
        <w:rPr>
          <w:rFonts w:hint="eastAsia" w:ascii="仿宋" w:hAnsi="仿宋" w:eastAsia="仿宋" w:cs="仿宋"/>
          <w:b/>
          <w:sz w:val="28"/>
          <w:szCs w:val="28"/>
        </w:rPr>
      </w:pPr>
    </w:p>
    <w:p>
      <w:pPr>
        <w:snapToGrid w:val="0"/>
        <w:spacing w:before="50" w:after="50"/>
        <w:jc w:val="center"/>
        <w:rPr>
          <w:rFonts w:hint="eastAsia" w:ascii="仿宋" w:hAnsi="仿宋" w:eastAsia="仿宋" w:cs="仿宋"/>
          <w:b/>
          <w:sz w:val="28"/>
          <w:szCs w:val="28"/>
        </w:rPr>
      </w:pPr>
      <w:r>
        <w:rPr>
          <w:rFonts w:hint="eastAsia" w:ascii="仿宋" w:hAnsi="仿宋" w:eastAsia="仿宋" w:cs="仿宋"/>
          <w:b/>
          <w:sz w:val="28"/>
          <w:szCs w:val="28"/>
        </w:rPr>
        <w:t>残疾人福利性单位声明函</w:t>
      </w:r>
    </w:p>
    <w:bookmarkEnd w:id="52"/>
    <w:bookmarkEnd w:id="53"/>
    <w:p>
      <w:pPr>
        <w:spacing w:line="588" w:lineRule="exact"/>
        <w:rPr>
          <w:rFonts w:hint="eastAsia" w:ascii="仿宋" w:hAnsi="仿宋" w:eastAsia="仿宋" w:cs="仿宋"/>
          <w:b/>
          <w:spacing w:val="6"/>
          <w:sz w:val="28"/>
          <w:szCs w:val="28"/>
        </w:rPr>
      </w:pP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本单位对上述声明的真实性负责。如有虚假，将依法承担相应责任。</w:t>
      </w:r>
    </w:p>
    <w:p>
      <w:pPr>
        <w:snapToGrid w:val="0"/>
        <w:spacing w:line="360" w:lineRule="auto"/>
        <w:ind w:firstLine="560" w:firstLineChars="200"/>
        <w:rPr>
          <w:rFonts w:hint="eastAsia" w:ascii="仿宋" w:hAnsi="仿宋" w:eastAsia="仿宋" w:cs="仿宋"/>
          <w:sz w:val="28"/>
          <w:szCs w:val="28"/>
        </w:rPr>
      </w:pPr>
    </w:p>
    <w:p>
      <w:pPr>
        <w:spacing w:line="588" w:lineRule="exact"/>
        <w:ind w:firstLine="584" w:firstLineChars="200"/>
        <w:rPr>
          <w:rFonts w:hint="eastAsia" w:ascii="仿宋" w:hAnsi="仿宋" w:eastAsia="仿宋" w:cs="仿宋"/>
          <w:spacing w:val="6"/>
          <w:sz w:val="28"/>
          <w:szCs w:val="28"/>
        </w:rPr>
      </w:pPr>
    </w:p>
    <w:p>
      <w:pPr>
        <w:snapToGrid w:val="0"/>
        <w:spacing w:line="360" w:lineRule="auto"/>
        <w:ind w:firstLine="584" w:firstLineChars="200"/>
        <w:jc w:val="right"/>
        <w:rPr>
          <w:rFonts w:hint="eastAsia" w:ascii="仿宋" w:hAnsi="仿宋" w:eastAsia="仿宋" w:cs="仿宋"/>
          <w:sz w:val="28"/>
          <w:szCs w:val="28"/>
        </w:rPr>
      </w:pPr>
      <w:r>
        <w:rPr>
          <w:rFonts w:hint="eastAsia" w:ascii="仿宋" w:hAnsi="仿宋" w:eastAsia="仿宋" w:cs="仿宋"/>
          <w:spacing w:val="6"/>
          <w:sz w:val="28"/>
          <w:szCs w:val="28"/>
        </w:rPr>
        <w:t xml:space="preserve">         </w:t>
      </w:r>
      <w:r>
        <w:rPr>
          <w:rFonts w:hint="eastAsia" w:ascii="仿宋" w:hAnsi="仿宋" w:eastAsia="仿宋" w:cs="仿宋"/>
          <w:sz w:val="28"/>
          <w:szCs w:val="28"/>
        </w:rPr>
        <w:t xml:space="preserve">      单位名称（电子签章）：</w:t>
      </w:r>
    </w:p>
    <w:p>
      <w:pPr>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 xml:space="preserve">       日  期：</w:t>
      </w:r>
    </w:p>
    <w:p>
      <w:pPr>
        <w:tabs>
          <w:tab w:val="left" w:pos="465"/>
        </w:tabs>
        <w:ind w:firstLine="2782" w:firstLineChars="990"/>
        <w:rPr>
          <w:rFonts w:hint="eastAsia" w:ascii="仿宋" w:hAnsi="仿宋" w:eastAsia="仿宋" w:cs="仿宋"/>
          <w:b/>
          <w:bCs/>
          <w:sz w:val="28"/>
          <w:szCs w:val="28"/>
        </w:rPr>
      </w:pPr>
    </w:p>
    <w:p>
      <w:pPr>
        <w:tabs>
          <w:tab w:val="left" w:pos="465"/>
        </w:tabs>
        <w:ind w:firstLine="2782" w:firstLineChars="990"/>
        <w:rPr>
          <w:rFonts w:hint="eastAsia" w:ascii="仿宋" w:hAnsi="仿宋" w:eastAsia="仿宋" w:cs="仿宋"/>
          <w:b/>
          <w:bCs/>
          <w:sz w:val="28"/>
          <w:szCs w:val="28"/>
        </w:rPr>
      </w:pPr>
    </w:p>
    <w:p>
      <w:pPr>
        <w:tabs>
          <w:tab w:val="left" w:pos="465"/>
        </w:tabs>
        <w:ind w:firstLine="2782" w:firstLineChars="990"/>
        <w:rPr>
          <w:rFonts w:hint="eastAsia" w:ascii="仿宋" w:hAnsi="仿宋" w:eastAsia="仿宋" w:cs="仿宋"/>
          <w:b/>
          <w:bCs/>
          <w:sz w:val="28"/>
          <w:szCs w:val="28"/>
        </w:rPr>
      </w:pPr>
    </w:p>
    <w:p>
      <w:pPr>
        <w:tabs>
          <w:tab w:val="left" w:pos="465"/>
        </w:tabs>
        <w:ind w:firstLine="2782" w:firstLineChars="990"/>
        <w:rPr>
          <w:rFonts w:hint="eastAsia" w:ascii="仿宋" w:hAnsi="仿宋" w:eastAsia="仿宋" w:cs="仿宋"/>
          <w:b/>
          <w:bCs/>
          <w:sz w:val="28"/>
          <w:szCs w:val="28"/>
        </w:rPr>
      </w:pPr>
    </w:p>
    <w:p>
      <w:pPr>
        <w:tabs>
          <w:tab w:val="left" w:pos="465"/>
        </w:tabs>
        <w:ind w:firstLine="2782" w:firstLineChars="990"/>
        <w:rPr>
          <w:rFonts w:hint="eastAsia" w:ascii="仿宋" w:hAnsi="仿宋" w:eastAsia="仿宋" w:cs="仿宋"/>
          <w:b/>
          <w:bCs/>
          <w:sz w:val="28"/>
          <w:szCs w:val="28"/>
        </w:rPr>
      </w:pPr>
    </w:p>
    <w:p>
      <w:pPr>
        <w:tabs>
          <w:tab w:val="left" w:pos="465"/>
        </w:tabs>
        <w:ind w:firstLine="2782" w:firstLineChars="990"/>
        <w:rPr>
          <w:rFonts w:hint="eastAsia" w:ascii="仿宋" w:hAnsi="仿宋" w:eastAsia="仿宋" w:cs="仿宋"/>
          <w:b/>
          <w:bCs/>
          <w:sz w:val="28"/>
          <w:szCs w:val="28"/>
        </w:rPr>
      </w:pPr>
    </w:p>
    <w:p>
      <w:pPr>
        <w:tabs>
          <w:tab w:val="left" w:pos="465"/>
        </w:tabs>
        <w:ind w:firstLine="2782" w:firstLineChars="990"/>
        <w:rPr>
          <w:rFonts w:hint="eastAsia" w:ascii="仿宋" w:hAnsi="仿宋" w:eastAsia="仿宋" w:cs="仿宋"/>
          <w:b/>
          <w:bCs/>
          <w:sz w:val="28"/>
          <w:szCs w:val="28"/>
        </w:rPr>
      </w:pPr>
    </w:p>
    <w:p>
      <w:pPr>
        <w:tabs>
          <w:tab w:val="left" w:pos="465"/>
        </w:tabs>
        <w:ind w:firstLine="2782" w:firstLineChars="990"/>
        <w:rPr>
          <w:rFonts w:hint="eastAsia" w:ascii="仿宋" w:hAnsi="仿宋" w:eastAsia="仿宋" w:cs="仿宋"/>
          <w:b/>
          <w:bCs/>
          <w:sz w:val="28"/>
          <w:szCs w:val="28"/>
        </w:rPr>
      </w:pPr>
    </w:p>
    <w:p>
      <w:pPr>
        <w:tabs>
          <w:tab w:val="left" w:pos="465"/>
        </w:tabs>
        <w:ind w:firstLine="2782" w:firstLineChars="990"/>
        <w:rPr>
          <w:rFonts w:hint="eastAsia" w:ascii="仿宋" w:hAnsi="仿宋" w:eastAsia="仿宋" w:cs="仿宋"/>
          <w:b/>
          <w:bCs/>
          <w:sz w:val="28"/>
          <w:szCs w:val="28"/>
        </w:rPr>
      </w:pPr>
    </w:p>
    <w:p>
      <w:pPr>
        <w:tabs>
          <w:tab w:val="left" w:pos="465"/>
        </w:tabs>
        <w:ind w:firstLine="2782" w:firstLineChars="990"/>
        <w:rPr>
          <w:rFonts w:hint="eastAsia" w:ascii="仿宋" w:hAnsi="仿宋" w:eastAsia="仿宋" w:cs="仿宋"/>
          <w:b/>
          <w:bCs/>
          <w:sz w:val="28"/>
          <w:szCs w:val="28"/>
        </w:rPr>
      </w:pPr>
    </w:p>
    <w:p>
      <w:pPr>
        <w:tabs>
          <w:tab w:val="left" w:pos="465"/>
        </w:tabs>
        <w:rPr>
          <w:rFonts w:hint="eastAsia" w:ascii="仿宋" w:hAnsi="仿宋" w:eastAsia="仿宋" w:cs="仿宋"/>
          <w:b/>
          <w:bCs/>
          <w:sz w:val="28"/>
          <w:szCs w:val="28"/>
        </w:rPr>
      </w:pPr>
    </w:p>
    <w:p>
      <w:pPr>
        <w:pStyle w:val="5"/>
        <w:spacing w:line="520" w:lineRule="exact"/>
        <w:jc w:val="center"/>
        <w:rPr>
          <w:rFonts w:hint="eastAsia" w:ascii="仿宋" w:hAnsi="仿宋" w:eastAsia="仿宋" w:cs="仿宋"/>
          <w:b/>
          <w:bCs w:val="0"/>
          <w:sz w:val="28"/>
          <w:szCs w:val="28"/>
        </w:rPr>
      </w:pPr>
      <w:bookmarkStart w:id="54" w:name="_Toc36454326"/>
      <w:r>
        <w:rPr>
          <w:rFonts w:hint="eastAsia" w:ascii="仿宋" w:hAnsi="仿宋" w:eastAsia="仿宋" w:cs="仿宋"/>
          <w:b/>
          <w:bCs w:val="0"/>
          <w:sz w:val="28"/>
          <w:szCs w:val="28"/>
        </w:rPr>
        <w:t>第五章  评标办法及标准</w:t>
      </w:r>
      <w:bookmarkEnd w:id="54"/>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1.评标依据</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1.1《中华人民共和国政府采购法》；</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1.2《政府采购货物和服务招标投标管理办法》（财政部87号令）、《中华人民共和国政府采购法实施条例》等；</w:t>
      </w:r>
    </w:p>
    <w:p>
      <w:pPr>
        <w:spacing w:line="440" w:lineRule="exact"/>
        <w:ind w:left="600"/>
        <w:rPr>
          <w:rFonts w:hint="eastAsia" w:ascii="仿宋" w:hAnsi="仿宋" w:eastAsia="仿宋" w:cs="仿宋"/>
          <w:sz w:val="28"/>
          <w:szCs w:val="28"/>
        </w:rPr>
      </w:pPr>
      <w:r>
        <w:rPr>
          <w:rFonts w:hint="eastAsia" w:ascii="仿宋" w:hAnsi="仿宋" w:eastAsia="仿宋" w:cs="仿宋"/>
          <w:sz w:val="28"/>
          <w:szCs w:val="28"/>
        </w:rPr>
        <w:t>1.3 本项目招标文件。</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2.评标原则</w:t>
      </w:r>
    </w:p>
    <w:p>
      <w:pPr>
        <w:spacing w:line="440" w:lineRule="exact"/>
        <w:rPr>
          <w:rFonts w:hint="eastAsia" w:ascii="仿宋" w:hAnsi="仿宋" w:eastAsia="仿宋" w:cs="仿宋"/>
          <w:sz w:val="28"/>
          <w:szCs w:val="28"/>
        </w:rPr>
      </w:pPr>
      <w:r>
        <w:rPr>
          <w:rFonts w:hint="eastAsia" w:ascii="仿宋" w:hAnsi="仿宋" w:eastAsia="仿宋" w:cs="仿宋"/>
          <w:sz w:val="28"/>
          <w:szCs w:val="28"/>
        </w:rPr>
        <w:t xml:space="preserve">    2.1公开、公平、公正、科学合理评标；</w:t>
      </w:r>
    </w:p>
    <w:p>
      <w:pPr>
        <w:spacing w:line="440" w:lineRule="exact"/>
        <w:ind w:firstLine="600"/>
        <w:rPr>
          <w:rFonts w:hint="eastAsia" w:ascii="仿宋" w:hAnsi="仿宋" w:eastAsia="仿宋" w:cs="仿宋"/>
          <w:sz w:val="28"/>
          <w:szCs w:val="28"/>
        </w:rPr>
      </w:pPr>
      <w:r>
        <w:rPr>
          <w:rFonts w:hint="eastAsia" w:ascii="仿宋" w:hAnsi="仿宋" w:eastAsia="仿宋" w:cs="仿宋"/>
          <w:sz w:val="28"/>
          <w:szCs w:val="28"/>
        </w:rPr>
        <w:t>2.2评标由评标委员会负责，评标委员会由采购人代表和有关技术、经济等方面的专家组成，成员人数为五人或者五人以上的单数。其中，技术、经济等方面的专家不少于成员总数的三分之二。评标委员会由集中采购机构依法组建，有关人员对所聘任的评标委员会成员名单必须严格保密，与投标有利害关系的人员不得进入评标委员会；</w:t>
      </w:r>
    </w:p>
    <w:p>
      <w:pPr>
        <w:spacing w:line="440" w:lineRule="exact"/>
        <w:ind w:firstLine="600"/>
        <w:rPr>
          <w:rFonts w:hint="eastAsia" w:ascii="仿宋" w:hAnsi="仿宋" w:eastAsia="仿宋" w:cs="仿宋"/>
          <w:sz w:val="28"/>
          <w:szCs w:val="28"/>
        </w:rPr>
      </w:pPr>
      <w:r>
        <w:rPr>
          <w:rFonts w:hint="eastAsia" w:ascii="仿宋" w:hAnsi="仿宋" w:eastAsia="仿宋" w:cs="仿宋"/>
          <w:sz w:val="28"/>
          <w:szCs w:val="28"/>
        </w:rPr>
        <w:t>2.3参加评标的人员应严格遵守国家有关保密的法律、法规和规定，并接受有关部门的监督；</w:t>
      </w:r>
    </w:p>
    <w:p>
      <w:pPr>
        <w:spacing w:line="440" w:lineRule="exact"/>
        <w:ind w:firstLine="600"/>
        <w:rPr>
          <w:rFonts w:hint="eastAsia" w:ascii="仿宋" w:hAnsi="仿宋" w:eastAsia="仿宋" w:cs="仿宋"/>
          <w:sz w:val="28"/>
          <w:szCs w:val="28"/>
        </w:rPr>
      </w:pPr>
      <w:r>
        <w:rPr>
          <w:rFonts w:hint="eastAsia" w:ascii="仿宋" w:hAnsi="仿宋" w:eastAsia="仿宋" w:cs="仿宋"/>
          <w:sz w:val="28"/>
          <w:szCs w:val="28"/>
        </w:rPr>
        <w:t>2.4根据法律法规规定，参加评标的有关人员应对整个评标、定标过程保密，不得泄露；</w:t>
      </w:r>
    </w:p>
    <w:p>
      <w:pPr>
        <w:spacing w:line="440" w:lineRule="exact"/>
        <w:ind w:left="600"/>
        <w:rPr>
          <w:rFonts w:hint="eastAsia" w:ascii="仿宋" w:hAnsi="仿宋" w:eastAsia="仿宋" w:cs="仿宋"/>
          <w:sz w:val="28"/>
          <w:szCs w:val="28"/>
        </w:rPr>
      </w:pPr>
      <w:r>
        <w:rPr>
          <w:rFonts w:hint="eastAsia" w:ascii="仿宋" w:hAnsi="仿宋" w:eastAsia="仿宋" w:cs="仿宋"/>
          <w:sz w:val="28"/>
          <w:szCs w:val="28"/>
        </w:rPr>
        <w:t>2.5评标委员会成员（以下简称评委）应按规定的程序评标；</w:t>
      </w:r>
    </w:p>
    <w:p>
      <w:pPr>
        <w:spacing w:line="440" w:lineRule="exact"/>
        <w:ind w:firstLine="570"/>
        <w:rPr>
          <w:rFonts w:hint="eastAsia" w:ascii="仿宋" w:hAnsi="仿宋" w:eastAsia="仿宋" w:cs="仿宋"/>
          <w:sz w:val="28"/>
          <w:szCs w:val="28"/>
        </w:rPr>
      </w:pPr>
      <w:r>
        <w:rPr>
          <w:rFonts w:hint="eastAsia" w:ascii="仿宋" w:hAnsi="仿宋" w:eastAsia="仿宋" w:cs="仿宋"/>
          <w:sz w:val="28"/>
          <w:szCs w:val="28"/>
        </w:rPr>
        <w:t>2.6评委在开始评标前，应首先检查每份投标文件的内容是否完整，是否实质上响应招标文件的要求。对于实质上未响应招标文件规定的投标文件，集中采购机构将予以拒绝。对于报价特别异常的，由评委依法认定。</w:t>
      </w:r>
    </w:p>
    <w:p>
      <w:pPr>
        <w:spacing w:line="440" w:lineRule="exact"/>
        <w:rPr>
          <w:rFonts w:hint="eastAsia" w:ascii="仿宋" w:hAnsi="仿宋" w:eastAsia="仿宋" w:cs="仿宋"/>
          <w:sz w:val="28"/>
          <w:szCs w:val="28"/>
        </w:rPr>
      </w:pPr>
      <w:r>
        <w:rPr>
          <w:rFonts w:hint="eastAsia" w:ascii="仿宋" w:hAnsi="仿宋" w:eastAsia="仿宋" w:cs="仿宋"/>
          <w:sz w:val="28"/>
          <w:szCs w:val="28"/>
        </w:rPr>
        <w:t xml:space="preserve">    2.7评标委员会将对确定为实质上响应招标文件要求的投标文件进行比较评审。</w:t>
      </w:r>
    </w:p>
    <w:p>
      <w:pPr>
        <w:spacing w:line="440" w:lineRule="exact"/>
        <w:rPr>
          <w:rFonts w:hint="eastAsia" w:ascii="仿宋" w:hAnsi="仿宋" w:eastAsia="仿宋" w:cs="仿宋"/>
          <w:sz w:val="28"/>
          <w:szCs w:val="28"/>
        </w:rPr>
      </w:pPr>
      <w:r>
        <w:rPr>
          <w:rFonts w:hint="eastAsia" w:ascii="仿宋" w:hAnsi="仿宋" w:eastAsia="仿宋" w:cs="仿宋"/>
          <w:sz w:val="28"/>
          <w:szCs w:val="28"/>
        </w:rPr>
        <w:t xml:space="preserve">    2.8投标人对评委施加影响的任何行为，都将被取消中标资格。</w:t>
      </w:r>
    </w:p>
    <w:p>
      <w:pPr>
        <w:pStyle w:val="18"/>
        <w:numPr>
          <w:ilvl w:val="0"/>
          <w:numId w:val="4"/>
        </w:numPr>
        <w:spacing w:line="440" w:lineRule="exact"/>
        <w:ind w:firstLine="0" w:firstLineChars="0"/>
        <w:rPr>
          <w:rFonts w:hint="eastAsia" w:ascii="仿宋" w:hAnsi="仿宋" w:eastAsia="仿宋" w:cs="仿宋"/>
          <w:b/>
          <w:bCs/>
          <w:sz w:val="28"/>
          <w:szCs w:val="28"/>
        </w:rPr>
      </w:pPr>
      <w:r>
        <w:rPr>
          <w:rFonts w:hint="eastAsia" w:ascii="仿宋" w:hAnsi="仿宋" w:eastAsia="仿宋" w:cs="仿宋"/>
          <w:b/>
          <w:bCs/>
          <w:sz w:val="28"/>
          <w:szCs w:val="28"/>
        </w:rPr>
        <w:t>评标方法：综合评分法</w:t>
      </w:r>
    </w:p>
    <w:p>
      <w:pPr>
        <w:pStyle w:val="18"/>
        <w:spacing w:line="44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本项目采用综合评分法。评标总分值由价格分、商务技术分（商务得分+技术得分）组成，总分值100分。在本项目中价格（投标报价）分为</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0分</w:t>
      </w:r>
      <w:r>
        <w:rPr>
          <w:rFonts w:hint="eastAsia" w:ascii="仿宋" w:hAnsi="仿宋" w:eastAsia="仿宋" w:cs="仿宋"/>
          <w:bCs/>
          <w:sz w:val="28"/>
          <w:szCs w:val="28"/>
        </w:rPr>
        <w:t>；商务技术分为</w:t>
      </w:r>
      <w:r>
        <w:rPr>
          <w:rFonts w:hint="eastAsia" w:ascii="仿宋" w:hAnsi="仿宋" w:eastAsia="仿宋" w:cs="仿宋"/>
          <w:b/>
          <w:bCs/>
          <w:sz w:val="28"/>
          <w:szCs w:val="28"/>
          <w:lang w:val="en-US" w:eastAsia="zh-CN"/>
        </w:rPr>
        <w:t>8</w:t>
      </w:r>
      <w:r>
        <w:rPr>
          <w:rFonts w:hint="eastAsia" w:ascii="仿宋" w:hAnsi="仿宋" w:eastAsia="仿宋" w:cs="仿宋"/>
          <w:b/>
          <w:bCs/>
          <w:sz w:val="28"/>
          <w:szCs w:val="28"/>
        </w:rPr>
        <w:t>0分</w:t>
      </w:r>
      <w:r>
        <w:rPr>
          <w:rFonts w:hint="eastAsia" w:ascii="仿宋" w:hAnsi="仿宋" w:eastAsia="仿宋" w:cs="仿宋"/>
          <w:bCs/>
          <w:sz w:val="28"/>
          <w:szCs w:val="28"/>
        </w:rPr>
        <w:t>。评标委员会将根据投标文件满足招标文件实质性要求前提下，按照投标报价、</w:t>
      </w:r>
      <w:r>
        <w:rPr>
          <w:rFonts w:hint="eastAsia" w:ascii="仿宋" w:hAnsi="仿宋" w:eastAsia="仿宋" w:cs="仿宋"/>
          <w:bCs/>
          <w:spacing w:val="14"/>
          <w:sz w:val="28"/>
          <w:szCs w:val="28"/>
        </w:rPr>
        <w:t>投标文件质量</w:t>
      </w:r>
      <w:r>
        <w:rPr>
          <w:rFonts w:hint="eastAsia" w:ascii="仿宋" w:hAnsi="仿宋" w:eastAsia="仿宋" w:cs="仿宋"/>
          <w:bCs/>
          <w:sz w:val="28"/>
          <w:szCs w:val="28"/>
        </w:rPr>
        <w:t>、企业荣誉与业绩、企业信誉、企业质量环保管理等认证证书、投标货物技术性能、投标项目实施方案、售后服务承诺、政策分等进行综合评估,</w:t>
      </w:r>
      <w:r>
        <w:rPr>
          <w:rFonts w:hint="eastAsia" w:ascii="仿宋" w:hAnsi="仿宋" w:eastAsia="仿宋" w:cs="仿宋"/>
          <w:b/>
          <w:bCs/>
          <w:sz w:val="28"/>
          <w:szCs w:val="28"/>
        </w:rPr>
        <w:t>在对各评委分值汇总时，以算术平均值为各投标人得分,</w:t>
      </w:r>
      <w:r>
        <w:rPr>
          <w:rFonts w:hint="eastAsia" w:ascii="仿宋" w:hAnsi="仿宋" w:eastAsia="仿宋" w:cs="仿宋"/>
          <w:bCs/>
          <w:sz w:val="28"/>
          <w:szCs w:val="28"/>
        </w:rPr>
        <w:t>以评标最终得分最高的投标人为第一中标候选供应商。</w:t>
      </w:r>
    </w:p>
    <w:p>
      <w:pPr>
        <w:spacing w:line="440" w:lineRule="exact"/>
        <w:jc w:val="left"/>
        <w:rPr>
          <w:rFonts w:hint="eastAsia" w:ascii="仿宋" w:hAnsi="仿宋" w:eastAsia="仿宋" w:cs="仿宋"/>
          <w:b/>
          <w:bCs/>
          <w:spacing w:val="14"/>
          <w:sz w:val="28"/>
          <w:szCs w:val="28"/>
        </w:rPr>
      </w:pPr>
      <w:r>
        <w:rPr>
          <w:rFonts w:hint="eastAsia" w:ascii="仿宋" w:hAnsi="仿宋" w:eastAsia="仿宋" w:cs="仿宋"/>
          <w:b/>
          <w:bCs/>
          <w:spacing w:val="14"/>
          <w:sz w:val="28"/>
          <w:szCs w:val="28"/>
        </w:rPr>
        <w:t>3.1价格分：</w:t>
      </w:r>
      <w:r>
        <w:rPr>
          <w:rFonts w:hint="eastAsia" w:ascii="仿宋" w:hAnsi="仿宋" w:eastAsia="仿宋" w:cs="仿宋"/>
          <w:b/>
          <w:bCs/>
          <w:spacing w:val="14"/>
          <w:sz w:val="28"/>
          <w:szCs w:val="28"/>
          <w:lang w:val="en-US" w:eastAsia="zh-CN"/>
        </w:rPr>
        <w:t>2</w:t>
      </w:r>
      <w:r>
        <w:rPr>
          <w:rFonts w:hint="eastAsia" w:ascii="仿宋" w:hAnsi="仿宋" w:eastAsia="仿宋" w:cs="仿宋"/>
          <w:b/>
          <w:bCs/>
          <w:spacing w:val="14"/>
          <w:sz w:val="28"/>
          <w:szCs w:val="28"/>
        </w:rPr>
        <w:t>0分</w:t>
      </w:r>
    </w:p>
    <w:p>
      <w:pPr>
        <w:spacing w:line="440" w:lineRule="exact"/>
        <w:ind w:firstLine="616" w:firstLineChars="200"/>
        <w:jc w:val="left"/>
        <w:rPr>
          <w:rFonts w:hint="eastAsia" w:ascii="仿宋" w:hAnsi="仿宋" w:eastAsia="仿宋" w:cs="仿宋"/>
          <w:spacing w:val="14"/>
          <w:sz w:val="28"/>
          <w:szCs w:val="28"/>
        </w:rPr>
      </w:pPr>
      <w:r>
        <w:rPr>
          <w:rFonts w:hint="eastAsia" w:ascii="仿宋" w:hAnsi="仿宋" w:eastAsia="仿宋" w:cs="仿宋"/>
          <w:spacing w:val="14"/>
          <w:sz w:val="28"/>
          <w:szCs w:val="28"/>
        </w:rPr>
        <w:t>3.1.1以总体有效投标优惠比率（%）最高的投标报价为评标基准价，其价格分为20分，总体有效投标优惠比率（%）按照下列公式计算：</w:t>
      </w:r>
    </w:p>
    <w:p>
      <w:pPr>
        <w:spacing w:line="440" w:lineRule="exact"/>
        <w:ind w:firstLine="618" w:firstLineChars="200"/>
        <w:jc w:val="left"/>
        <w:rPr>
          <w:rFonts w:hint="eastAsia" w:ascii="仿宋" w:hAnsi="仿宋" w:eastAsia="仿宋" w:cs="仿宋"/>
          <w:b/>
          <w:bCs/>
          <w:spacing w:val="14"/>
          <w:sz w:val="28"/>
          <w:szCs w:val="28"/>
        </w:rPr>
      </w:pPr>
      <w:r>
        <w:rPr>
          <w:rFonts w:hint="eastAsia" w:ascii="仿宋" w:hAnsi="仿宋" w:eastAsia="仿宋" w:cs="仿宋"/>
          <w:b/>
          <w:bCs/>
          <w:spacing w:val="14"/>
          <w:sz w:val="28"/>
          <w:szCs w:val="28"/>
        </w:rPr>
        <w:t>总体有效投标优惠比率（%）=云服务器有效投标优惠比率（%）*0.6+云数据库有效投标优惠比率（%）*0.25+大数据计算存储服务*0.13+网络服务*0.02</w:t>
      </w:r>
    </w:p>
    <w:p>
      <w:pPr>
        <w:spacing w:line="440" w:lineRule="exact"/>
        <w:ind w:firstLine="618" w:firstLineChars="200"/>
        <w:jc w:val="left"/>
        <w:rPr>
          <w:rFonts w:hint="eastAsia" w:ascii="仿宋" w:hAnsi="仿宋" w:eastAsia="仿宋" w:cs="仿宋"/>
          <w:b/>
          <w:bCs/>
          <w:spacing w:val="14"/>
          <w:sz w:val="28"/>
          <w:szCs w:val="28"/>
        </w:rPr>
      </w:pPr>
      <w:r>
        <w:rPr>
          <w:rFonts w:hint="eastAsia" w:ascii="仿宋" w:hAnsi="仿宋" w:eastAsia="仿宋" w:cs="仿宋"/>
          <w:b/>
          <w:bCs/>
          <w:spacing w:val="14"/>
          <w:sz w:val="28"/>
          <w:szCs w:val="28"/>
        </w:rPr>
        <w:t>投标报价得分=总体投标优惠比率（%）/评标基准价优惠比率（%）×20</w:t>
      </w:r>
    </w:p>
    <w:p>
      <w:pPr>
        <w:spacing w:line="440" w:lineRule="exact"/>
        <w:ind w:firstLine="616" w:firstLineChars="200"/>
        <w:jc w:val="left"/>
        <w:rPr>
          <w:rFonts w:hint="eastAsia" w:ascii="仿宋" w:hAnsi="仿宋" w:eastAsia="仿宋" w:cs="仿宋"/>
          <w:spacing w:val="14"/>
          <w:sz w:val="28"/>
          <w:szCs w:val="28"/>
        </w:rPr>
      </w:pPr>
      <w:r>
        <w:rPr>
          <w:rFonts w:hint="eastAsia" w:ascii="仿宋" w:hAnsi="仿宋" w:eastAsia="仿宋" w:cs="仿宋"/>
          <w:spacing w:val="14"/>
          <w:sz w:val="28"/>
          <w:szCs w:val="28"/>
        </w:rPr>
        <w:t>注：优惠比率（%）=每类（包含云服务器、云数据库、大数据计算存储服务、网络服务四类）云资源报价相对于最高限价的统一下降百分比。</w:t>
      </w:r>
    </w:p>
    <w:p>
      <w:pPr>
        <w:spacing w:line="440" w:lineRule="exact"/>
        <w:ind w:firstLine="616" w:firstLineChars="200"/>
        <w:rPr>
          <w:rFonts w:hint="eastAsia" w:ascii="仿宋" w:hAnsi="仿宋" w:eastAsia="仿宋" w:cs="仿宋"/>
          <w:spacing w:val="14"/>
          <w:sz w:val="28"/>
          <w:szCs w:val="28"/>
        </w:rPr>
      </w:pPr>
      <w:r>
        <w:rPr>
          <w:rFonts w:hint="eastAsia" w:ascii="仿宋" w:hAnsi="仿宋" w:eastAsia="仿宋" w:cs="仿宋"/>
          <w:spacing w:val="14"/>
          <w:sz w:val="28"/>
          <w:szCs w:val="28"/>
        </w:rPr>
        <w:t>3.1.2评标委员会在评审时发现供应商的响应报价明细有一项高于最高限价的将作为无效响应处理；</w:t>
      </w:r>
    </w:p>
    <w:p>
      <w:pPr>
        <w:spacing w:line="44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3.1.</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评标委员会在评审时发现投标人的报价明显高于其市场报价的，应当要求投标人书面说明并提供相关证明材料。投标人不能当场合理说明原因并提供证明材料的，评标委员会应将该投标人的投标文件作无效处理，并在评审报告中说明。</w:t>
      </w:r>
    </w:p>
    <w:p>
      <w:pPr>
        <w:spacing w:line="440" w:lineRule="exact"/>
        <w:ind w:firstLine="562" w:firstLineChars="200"/>
        <w:rPr>
          <w:rFonts w:hint="eastAsia" w:ascii="仿宋" w:hAnsi="仿宋" w:eastAsia="仿宋" w:cs="仿宋"/>
          <w:b/>
          <w:snapToGrid w:val="0"/>
          <w:sz w:val="28"/>
          <w:szCs w:val="28"/>
        </w:rPr>
      </w:pPr>
      <w:r>
        <w:rPr>
          <w:rFonts w:hint="eastAsia" w:ascii="仿宋" w:hAnsi="仿宋" w:eastAsia="仿宋" w:cs="仿宋"/>
          <w:b/>
          <w:snapToGrid w:val="0"/>
          <w:sz w:val="28"/>
          <w:szCs w:val="28"/>
        </w:rPr>
        <w:t>二分之一以上的评委认为供应商报价明显高于市场平均价的将作为无效投标处理；</w:t>
      </w:r>
    </w:p>
    <w:p>
      <w:pPr>
        <w:spacing w:line="4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3.1.</w:t>
      </w: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8"/>
        <w:spacing w:line="440" w:lineRule="exact"/>
        <w:ind w:firstLine="0" w:firstLineChars="0"/>
        <w:rPr>
          <w:rFonts w:hint="eastAsia" w:ascii="仿宋" w:hAnsi="仿宋" w:eastAsia="仿宋" w:cs="仿宋"/>
          <w:b/>
          <w:bCs/>
          <w:sz w:val="28"/>
          <w:szCs w:val="28"/>
        </w:rPr>
      </w:pPr>
      <w:r>
        <w:rPr>
          <w:rFonts w:hint="eastAsia" w:ascii="仿宋" w:hAnsi="仿宋" w:eastAsia="仿宋" w:cs="仿宋"/>
          <w:b/>
          <w:bCs/>
          <w:sz w:val="28"/>
          <w:szCs w:val="28"/>
        </w:rPr>
        <w:t>3.2 商务技术分：</w:t>
      </w:r>
      <w:r>
        <w:rPr>
          <w:rFonts w:hint="eastAsia" w:ascii="仿宋" w:hAnsi="仿宋" w:eastAsia="仿宋" w:cs="仿宋"/>
          <w:b/>
          <w:bCs/>
          <w:sz w:val="28"/>
          <w:szCs w:val="28"/>
          <w:lang w:val="en-US" w:eastAsia="zh-CN"/>
        </w:rPr>
        <w:t>8</w:t>
      </w:r>
      <w:r>
        <w:rPr>
          <w:rFonts w:hint="eastAsia" w:ascii="仿宋" w:hAnsi="仿宋" w:eastAsia="仿宋" w:cs="仿宋"/>
          <w:b/>
          <w:bCs/>
          <w:sz w:val="28"/>
          <w:szCs w:val="28"/>
        </w:rPr>
        <w:t>0分</w:t>
      </w:r>
    </w:p>
    <w:tbl>
      <w:tblPr>
        <w:tblStyle w:val="31"/>
        <w:tblW w:w="9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003"/>
        <w:gridCol w:w="1088"/>
        <w:gridCol w:w="6223"/>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65" w:type="dxa"/>
            <w:vAlign w:val="center"/>
          </w:tcPr>
          <w:p>
            <w:pPr>
              <w:pStyle w:val="18"/>
              <w:spacing w:line="440" w:lineRule="exact"/>
              <w:ind w:firstLine="0" w:firstLineChars="0"/>
              <w:rPr>
                <w:rFonts w:hint="eastAsia" w:ascii="仿宋" w:hAnsi="仿宋" w:eastAsia="仿宋" w:cs="仿宋"/>
                <w:bCs/>
                <w:kern w:val="0"/>
                <w:sz w:val="28"/>
                <w:szCs w:val="28"/>
              </w:rPr>
            </w:pPr>
            <w:r>
              <w:rPr>
                <w:rFonts w:hint="eastAsia" w:ascii="仿宋" w:hAnsi="仿宋" w:eastAsia="仿宋" w:cs="仿宋"/>
                <w:bCs/>
                <w:kern w:val="0"/>
                <w:sz w:val="28"/>
                <w:szCs w:val="28"/>
              </w:rPr>
              <w:t>序号</w:t>
            </w:r>
          </w:p>
        </w:tc>
        <w:tc>
          <w:tcPr>
            <w:tcW w:w="1003" w:type="dxa"/>
            <w:vAlign w:val="center"/>
          </w:tcPr>
          <w:p>
            <w:pPr>
              <w:pStyle w:val="18"/>
              <w:spacing w:line="440" w:lineRule="exact"/>
              <w:ind w:firstLine="0" w:firstLineChars="0"/>
              <w:rPr>
                <w:rFonts w:hint="eastAsia" w:ascii="仿宋" w:hAnsi="仿宋" w:eastAsia="仿宋" w:cs="仿宋"/>
                <w:bCs/>
                <w:kern w:val="0"/>
                <w:sz w:val="28"/>
                <w:szCs w:val="28"/>
              </w:rPr>
            </w:pPr>
            <w:r>
              <w:rPr>
                <w:rFonts w:hint="eastAsia" w:ascii="仿宋" w:hAnsi="仿宋" w:eastAsia="仿宋" w:cs="仿宋"/>
                <w:bCs/>
                <w:kern w:val="0"/>
                <w:sz w:val="28"/>
                <w:szCs w:val="28"/>
              </w:rPr>
              <w:t>评分</w:t>
            </w:r>
          </w:p>
          <w:p>
            <w:pPr>
              <w:pStyle w:val="18"/>
              <w:spacing w:line="440" w:lineRule="exact"/>
              <w:ind w:firstLine="0" w:firstLineChars="0"/>
              <w:rPr>
                <w:rFonts w:hint="eastAsia" w:ascii="仿宋" w:hAnsi="仿宋" w:eastAsia="仿宋" w:cs="仿宋"/>
                <w:bCs/>
                <w:kern w:val="0"/>
                <w:sz w:val="28"/>
                <w:szCs w:val="28"/>
              </w:rPr>
            </w:pPr>
            <w:r>
              <w:rPr>
                <w:rFonts w:hint="eastAsia" w:ascii="仿宋" w:hAnsi="仿宋" w:eastAsia="仿宋" w:cs="仿宋"/>
                <w:bCs/>
                <w:kern w:val="0"/>
                <w:sz w:val="28"/>
                <w:szCs w:val="28"/>
              </w:rPr>
              <w:t>因素</w:t>
            </w:r>
          </w:p>
        </w:tc>
        <w:tc>
          <w:tcPr>
            <w:tcW w:w="1088" w:type="dxa"/>
            <w:vAlign w:val="center"/>
          </w:tcPr>
          <w:p>
            <w:pPr>
              <w:pStyle w:val="18"/>
              <w:spacing w:line="440" w:lineRule="exact"/>
              <w:ind w:firstLine="0" w:firstLineChars="0"/>
              <w:rPr>
                <w:rFonts w:hint="eastAsia" w:ascii="仿宋" w:hAnsi="仿宋" w:eastAsia="仿宋" w:cs="仿宋"/>
                <w:bCs/>
                <w:kern w:val="0"/>
                <w:sz w:val="28"/>
                <w:szCs w:val="28"/>
              </w:rPr>
            </w:pPr>
            <w:r>
              <w:rPr>
                <w:rFonts w:hint="eastAsia" w:ascii="仿宋" w:hAnsi="仿宋" w:eastAsia="仿宋" w:cs="仿宋"/>
                <w:bCs/>
                <w:kern w:val="0"/>
                <w:sz w:val="28"/>
                <w:szCs w:val="28"/>
              </w:rPr>
              <w:t>评分项</w:t>
            </w:r>
          </w:p>
        </w:tc>
        <w:tc>
          <w:tcPr>
            <w:tcW w:w="6223" w:type="dxa"/>
            <w:vAlign w:val="center"/>
          </w:tcPr>
          <w:p>
            <w:pPr>
              <w:pStyle w:val="18"/>
              <w:spacing w:line="400" w:lineRule="exact"/>
              <w:ind w:firstLine="0" w:firstLineChars="0"/>
              <w:rPr>
                <w:rFonts w:hint="eastAsia" w:ascii="仿宋" w:hAnsi="仿宋" w:eastAsia="仿宋" w:cs="仿宋"/>
                <w:bCs/>
                <w:kern w:val="0"/>
                <w:sz w:val="28"/>
                <w:szCs w:val="28"/>
              </w:rPr>
            </w:pPr>
            <w:r>
              <w:rPr>
                <w:rFonts w:hint="eastAsia" w:ascii="仿宋" w:hAnsi="仿宋" w:eastAsia="仿宋" w:cs="仿宋"/>
                <w:bCs/>
                <w:kern w:val="0"/>
                <w:sz w:val="28"/>
                <w:szCs w:val="28"/>
              </w:rPr>
              <w:t>评分细则</w:t>
            </w:r>
          </w:p>
        </w:tc>
        <w:tc>
          <w:tcPr>
            <w:tcW w:w="847" w:type="dxa"/>
            <w:vAlign w:val="center"/>
          </w:tcPr>
          <w:p>
            <w:pPr>
              <w:pStyle w:val="18"/>
              <w:spacing w:line="400" w:lineRule="exact"/>
              <w:ind w:firstLine="0" w:firstLineChars="0"/>
              <w:rPr>
                <w:rFonts w:hint="eastAsia" w:ascii="仿宋" w:hAnsi="仿宋" w:eastAsia="仿宋" w:cs="仿宋"/>
                <w:bCs/>
                <w:kern w:val="0"/>
                <w:sz w:val="28"/>
                <w:szCs w:val="28"/>
              </w:rPr>
            </w:pPr>
            <w:r>
              <w:rPr>
                <w:rFonts w:hint="eastAsia" w:ascii="仿宋" w:hAnsi="仿宋" w:eastAsia="仿宋" w:cs="仿宋"/>
                <w:bCs/>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65" w:type="dxa"/>
            <w:vAlign w:val="center"/>
          </w:tcPr>
          <w:p>
            <w:pPr>
              <w:pStyle w:val="18"/>
              <w:spacing w:line="440" w:lineRule="exact"/>
              <w:ind w:firstLine="0" w:firstLineChars="0"/>
              <w:rPr>
                <w:rFonts w:hint="eastAsia" w:ascii="仿宋" w:hAnsi="仿宋" w:eastAsia="仿宋" w:cs="仿宋"/>
                <w:bCs/>
                <w:kern w:val="0"/>
                <w:sz w:val="28"/>
                <w:szCs w:val="28"/>
              </w:rPr>
            </w:pPr>
            <w:r>
              <w:rPr>
                <w:rFonts w:hint="eastAsia" w:ascii="仿宋" w:hAnsi="仿宋" w:eastAsia="仿宋" w:cs="仿宋"/>
                <w:bCs/>
                <w:kern w:val="0"/>
                <w:sz w:val="28"/>
                <w:szCs w:val="28"/>
              </w:rPr>
              <w:t>1</w:t>
            </w:r>
          </w:p>
        </w:tc>
        <w:tc>
          <w:tcPr>
            <w:tcW w:w="1003" w:type="dxa"/>
            <w:vAlign w:val="center"/>
          </w:tcPr>
          <w:p>
            <w:pPr>
              <w:pStyle w:val="18"/>
              <w:spacing w:line="440" w:lineRule="exact"/>
              <w:ind w:firstLine="0" w:firstLineChars="0"/>
              <w:rPr>
                <w:rFonts w:hint="eastAsia" w:ascii="仿宋" w:hAnsi="仿宋" w:eastAsia="仿宋" w:cs="仿宋"/>
                <w:spacing w:val="14"/>
                <w:kern w:val="0"/>
                <w:sz w:val="28"/>
                <w:szCs w:val="28"/>
              </w:rPr>
            </w:pPr>
            <w:r>
              <w:rPr>
                <w:rFonts w:hint="eastAsia" w:ascii="仿宋" w:hAnsi="仿宋" w:eastAsia="仿宋" w:cs="仿宋"/>
                <w:spacing w:val="14"/>
                <w:kern w:val="0"/>
                <w:sz w:val="28"/>
                <w:szCs w:val="28"/>
              </w:rPr>
              <w:t>主观</w:t>
            </w:r>
          </w:p>
        </w:tc>
        <w:tc>
          <w:tcPr>
            <w:tcW w:w="1088" w:type="dxa"/>
            <w:vAlign w:val="center"/>
          </w:tcPr>
          <w:p>
            <w:pPr>
              <w:pStyle w:val="18"/>
              <w:spacing w:line="440" w:lineRule="exact"/>
              <w:ind w:firstLine="0" w:firstLineChars="0"/>
              <w:rPr>
                <w:rFonts w:hint="eastAsia" w:ascii="仿宋" w:hAnsi="仿宋" w:eastAsia="仿宋" w:cs="仿宋"/>
                <w:bCs/>
                <w:sz w:val="28"/>
                <w:szCs w:val="28"/>
              </w:rPr>
            </w:pPr>
            <w:r>
              <w:rPr>
                <w:rFonts w:hint="eastAsia" w:ascii="仿宋" w:hAnsi="仿宋" w:eastAsia="仿宋" w:cs="仿宋"/>
                <w:bCs/>
                <w:sz w:val="28"/>
                <w:szCs w:val="28"/>
              </w:rPr>
              <w:t>投标文</w:t>
            </w:r>
          </w:p>
          <w:p>
            <w:pPr>
              <w:pStyle w:val="18"/>
              <w:spacing w:line="440" w:lineRule="exact"/>
              <w:ind w:firstLine="0" w:firstLineChars="0"/>
              <w:rPr>
                <w:rFonts w:hint="eastAsia" w:ascii="仿宋" w:hAnsi="仿宋" w:eastAsia="仿宋" w:cs="仿宋"/>
                <w:bCs/>
                <w:kern w:val="0"/>
                <w:sz w:val="28"/>
                <w:szCs w:val="28"/>
              </w:rPr>
            </w:pPr>
            <w:r>
              <w:rPr>
                <w:rFonts w:hint="eastAsia" w:ascii="仿宋" w:hAnsi="仿宋" w:eastAsia="仿宋" w:cs="仿宋"/>
                <w:bCs/>
                <w:sz w:val="28"/>
                <w:szCs w:val="28"/>
              </w:rPr>
              <w:t>件质量</w:t>
            </w:r>
          </w:p>
        </w:tc>
        <w:tc>
          <w:tcPr>
            <w:tcW w:w="6223" w:type="dxa"/>
            <w:vAlign w:val="center"/>
          </w:tcPr>
          <w:p>
            <w:pPr>
              <w:pStyle w:val="18"/>
              <w:spacing w:line="400" w:lineRule="exact"/>
              <w:ind w:firstLine="0" w:firstLineChars="0"/>
              <w:rPr>
                <w:rFonts w:hint="eastAsia" w:ascii="仿宋" w:hAnsi="仿宋" w:eastAsia="仿宋" w:cs="仿宋"/>
                <w:bCs/>
                <w:kern w:val="0"/>
                <w:sz w:val="28"/>
                <w:szCs w:val="28"/>
              </w:rPr>
            </w:pPr>
            <w:r>
              <w:rPr>
                <w:rFonts w:hint="eastAsia" w:ascii="仿宋" w:hAnsi="仿宋" w:eastAsia="仿宋" w:cs="仿宋"/>
                <w:spacing w:val="14"/>
                <w:sz w:val="28"/>
                <w:szCs w:val="28"/>
              </w:rPr>
              <w:t>投标文件内容按招标文件要求编制完整的得0-</w:t>
            </w:r>
            <w:r>
              <w:rPr>
                <w:rFonts w:hint="eastAsia" w:ascii="仿宋" w:hAnsi="仿宋" w:eastAsia="仿宋" w:cs="仿宋"/>
                <w:spacing w:val="14"/>
                <w:sz w:val="28"/>
                <w:szCs w:val="28"/>
                <w:lang w:val="en-US" w:eastAsia="zh-CN"/>
              </w:rPr>
              <w:t>0.5</w:t>
            </w:r>
            <w:r>
              <w:rPr>
                <w:rFonts w:hint="eastAsia" w:ascii="仿宋" w:hAnsi="仿宋" w:eastAsia="仿宋" w:cs="仿宋"/>
                <w:spacing w:val="14"/>
                <w:sz w:val="28"/>
                <w:szCs w:val="28"/>
              </w:rPr>
              <w:t>分；</w:t>
            </w:r>
            <w:r>
              <w:rPr>
                <w:rFonts w:hint="eastAsia" w:ascii="仿宋" w:hAnsi="仿宋" w:eastAsia="仿宋" w:cs="仿宋"/>
                <w:sz w:val="28"/>
                <w:szCs w:val="28"/>
              </w:rPr>
              <w:t>投标文件按照电子交易客户端关联点的要求进行关联的情况，0-</w:t>
            </w:r>
            <w:r>
              <w:rPr>
                <w:rFonts w:hint="eastAsia" w:ascii="仿宋" w:hAnsi="仿宋" w:eastAsia="仿宋" w:cs="仿宋"/>
                <w:sz w:val="28"/>
                <w:szCs w:val="28"/>
                <w:lang w:val="en-US" w:eastAsia="zh-CN"/>
              </w:rPr>
              <w:t>0.5</w:t>
            </w:r>
            <w:r>
              <w:rPr>
                <w:rFonts w:hint="eastAsia" w:ascii="仿宋" w:hAnsi="仿宋" w:eastAsia="仿宋" w:cs="仿宋"/>
                <w:sz w:val="28"/>
                <w:szCs w:val="28"/>
              </w:rPr>
              <w:t>分；</w:t>
            </w:r>
          </w:p>
        </w:tc>
        <w:tc>
          <w:tcPr>
            <w:tcW w:w="847" w:type="dxa"/>
            <w:vAlign w:val="center"/>
          </w:tcPr>
          <w:p>
            <w:pPr>
              <w:pStyle w:val="18"/>
              <w:spacing w:line="440" w:lineRule="exact"/>
              <w:ind w:firstLine="0" w:firstLineChars="0"/>
              <w:rPr>
                <w:rFonts w:hint="eastAsia" w:ascii="仿宋" w:hAnsi="仿宋" w:eastAsia="仿宋" w:cs="仿宋"/>
                <w:bCs/>
                <w:kern w:val="0"/>
                <w:sz w:val="28"/>
                <w:szCs w:val="28"/>
              </w:rPr>
            </w:pPr>
            <w:r>
              <w:rPr>
                <w:rFonts w:hint="eastAsia" w:ascii="仿宋" w:hAnsi="仿宋" w:eastAsia="仿宋" w:cs="仿宋"/>
                <w:bCs/>
                <w:kern w:val="0"/>
                <w:sz w:val="28"/>
                <w:szCs w:val="28"/>
                <w:lang w:val="en-US" w:eastAsia="zh-CN"/>
              </w:rPr>
              <w:t>1</w:t>
            </w:r>
            <w:r>
              <w:rPr>
                <w:rFonts w:hint="eastAsia" w:ascii="仿宋" w:hAnsi="仿宋" w:eastAsia="仿宋" w:cs="仿宋"/>
                <w:bCs/>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vAlign w:val="center"/>
          </w:tcPr>
          <w:p>
            <w:pPr>
              <w:pStyle w:val="18"/>
              <w:spacing w:line="440" w:lineRule="exact"/>
              <w:ind w:firstLine="0" w:firstLineChars="0"/>
              <w:rPr>
                <w:rFonts w:hint="eastAsia" w:ascii="仿宋" w:hAnsi="仿宋" w:eastAsia="仿宋" w:cs="仿宋"/>
                <w:bCs/>
                <w:kern w:val="0"/>
                <w:sz w:val="28"/>
                <w:szCs w:val="28"/>
              </w:rPr>
            </w:pPr>
            <w:r>
              <w:rPr>
                <w:rFonts w:hint="eastAsia" w:ascii="仿宋" w:hAnsi="仿宋" w:eastAsia="仿宋" w:cs="仿宋"/>
                <w:bCs/>
                <w:kern w:val="0"/>
                <w:sz w:val="28"/>
                <w:szCs w:val="28"/>
              </w:rPr>
              <w:t>2</w:t>
            </w:r>
          </w:p>
        </w:tc>
        <w:tc>
          <w:tcPr>
            <w:tcW w:w="1003" w:type="dxa"/>
            <w:vAlign w:val="center"/>
          </w:tcPr>
          <w:p>
            <w:pPr>
              <w:pStyle w:val="18"/>
              <w:spacing w:line="440" w:lineRule="exact"/>
              <w:ind w:firstLine="0" w:firstLineChars="0"/>
              <w:rPr>
                <w:rFonts w:hint="eastAsia" w:ascii="仿宋" w:hAnsi="仿宋" w:eastAsia="仿宋" w:cs="仿宋"/>
                <w:bCs/>
                <w:kern w:val="0"/>
                <w:sz w:val="28"/>
                <w:szCs w:val="28"/>
              </w:rPr>
            </w:pPr>
            <w:r>
              <w:rPr>
                <w:rFonts w:hint="eastAsia" w:ascii="仿宋" w:hAnsi="仿宋" w:eastAsia="仿宋" w:cs="仿宋"/>
                <w:bCs/>
                <w:kern w:val="0"/>
                <w:sz w:val="28"/>
                <w:szCs w:val="28"/>
              </w:rPr>
              <w:t>客观</w:t>
            </w:r>
          </w:p>
        </w:tc>
        <w:tc>
          <w:tcPr>
            <w:tcW w:w="1088" w:type="dxa"/>
            <w:vAlign w:val="center"/>
          </w:tcPr>
          <w:p>
            <w:pPr>
              <w:pStyle w:val="18"/>
              <w:spacing w:line="440" w:lineRule="exact"/>
              <w:ind w:firstLine="0" w:firstLineChars="0"/>
              <w:rPr>
                <w:rFonts w:hint="eastAsia" w:ascii="仿宋" w:hAnsi="仿宋" w:eastAsia="仿宋" w:cs="仿宋"/>
                <w:spacing w:val="14"/>
                <w:kern w:val="0"/>
                <w:sz w:val="28"/>
                <w:szCs w:val="28"/>
              </w:rPr>
            </w:pPr>
            <w:r>
              <w:rPr>
                <w:rFonts w:hint="eastAsia" w:ascii="仿宋" w:hAnsi="仿宋" w:eastAsia="仿宋" w:cs="仿宋"/>
                <w:spacing w:val="14"/>
                <w:kern w:val="0"/>
                <w:sz w:val="28"/>
                <w:szCs w:val="28"/>
              </w:rPr>
              <w:t>企业业绩</w:t>
            </w:r>
          </w:p>
        </w:tc>
        <w:tc>
          <w:tcPr>
            <w:tcW w:w="6223" w:type="dxa"/>
            <w:vAlign w:val="center"/>
          </w:tcPr>
          <w:p>
            <w:pPr>
              <w:spacing w:line="400" w:lineRule="exact"/>
              <w:rPr>
                <w:rFonts w:hint="eastAsia" w:ascii="仿宋" w:hAnsi="仿宋" w:eastAsia="仿宋" w:cs="仿宋"/>
                <w:kern w:val="0"/>
                <w:sz w:val="28"/>
                <w:szCs w:val="28"/>
              </w:rPr>
            </w:pPr>
            <w:r>
              <w:rPr>
                <w:rFonts w:hint="eastAsia" w:ascii="仿宋" w:hAnsi="仿宋" w:eastAsia="仿宋" w:cs="仿宋"/>
                <w:kern w:val="0"/>
                <w:sz w:val="28"/>
                <w:szCs w:val="28"/>
              </w:rPr>
              <w:t>企业业绩:0-3分</w:t>
            </w:r>
          </w:p>
          <w:p>
            <w:pPr>
              <w:spacing w:line="400" w:lineRule="exact"/>
              <w:ind w:firstLine="280" w:firstLineChars="100"/>
              <w:rPr>
                <w:rFonts w:hint="eastAsia" w:ascii="仿宋" w:hAnsi="仿宋" w:eastAsia="仿宋" w:cs="仿宋"/>
                <w:b/>
                <w:kern w:val="0"/>
                <w:sz w:val="28"/>
                <w:szCs w:val="28"/>
                <w:u w:val="single"/>
              </w:rPr>
            </w:pPr>
            <w:r>
              <w:rPr>
                <w:rFonts w:hint="eastAsia" w:ascii="仿宋" w:hAnsi="仿宋" w:eastAsia="仿宋" w:cs="仿宋"/>
                <w:kern w:val="0"/>
                <w:sz w:val="28"/>
                <w:szCs w:val="28"/>
                <w:lang w:val="en-US" w:eastAsia="zh-CN" w:bidi="ar-SA"/>
              </w:rPr>
              <w:t>评委根据投标人2019年1月1日至今的类似政务云平台建设或者政务云资源服务相关的成功案例（数</w:t>
            </w:r>
            <w:r>
              <w:rPr>
                <w:rFonts w:hint="eastAsia" w:ascii="仿宋" w:hAnsi="仿宋" w:eastAsia="仿宋" w:cs="仿宋"/>
                <w:kern w:val="0"/>
                <w:sz w:val="28"/>
                <w:szCs w:val="28"/>
              </w:rPr>
              <w:t>量）进行评定</w:t>
            </w:r>
            <w:r>
              <w:rPr>
                <w:rFonts w:hint="eastAsia" w:ascii="仿宋" w:hAnsi="仿宋" w:eastAsia="仿宋" w:cs="仿宋"/>
                <w:b/>
                <w:kern w:val="0"/>
                <w:sz w:val="28"/>
                <w:szCs w:val="28"/>
              </w:rPr>
              <w:t>（</w:t>
            </w:r>
            <w:r>
              <w:rPr>
                <w:rFonts w:hint="eastAsia" w:ascii="仿宋" w:hAnsi="仿宋" w:eastAsia="仿宋" w:cs="仿宋"/>
                <w:b/>
                <w:kern w:val="0"/>
                <w:sz w:val="28"/>
                <w:szCs w:val="28"/>
                <w:u w:val="single"/>
              </w:rPr>
              <w:t>须同时提供合同复印件并加盖投标人公章）。</w:t>
            </w:r>
          </w:p>
          <w:p>
            <w:pPr>
              <w:pStyle w:val="18"/>
              <w:spacing w:line="400" w:lineRule="exact"/>
              <w:ind w:firstLine="280" w:firstLineChars="100"/>
              <w:rPr>
                <w:rFonts w:hint="eastAsia" w:ascii="仿宋" w:hAnsi="仿宋" w:eastAsia="仿宋" w:cs="仿宋"/>
                <w:bCs/>
                <w:kern w:val="0"/>
                <w:sz w:val="28"/>
                <w:szCs w:val="28"/>
              </w:rPr>
            </w:pPr>
            <w:r>
              <w:rPr>
                <w:rFonts w:hint="eastAsia" w:ascii="仿宋" w:hAnsi="仿宋" w:eastAsia="仿宋" w:cs="仿宋"/>
                <w:kern w:val="0"/>
                <w:sz w:val="28"/>
                <w:szCs w:val="28"/>
              </w:rPr>
              <w:t>投标人每提供1个合同的得</w:t>
            </w:r>
            <w:r>
              <w:rPr>
                <w:rFonts w:hint="eastAsia" w:ascii="仿宋" w:hAnsi="仿宋" w:eastAsia="仿宋" w:cs="仿宋"/>
                <w:kern w:val="0"/>
                <w:sz w:val="28"/>
                <w:szCs w:val="28"/>
                <w:lang w:val="en-US" w:eastAsia="zh-CN"/>
              </w:rPr>
              <w:t>0.5</w:t>
            </w:r>
            <w:r>
              <w:rPr>
                <w:rFonts w:hint="eastAsia" w:ascii="仿宋" w:hAnsi="仿宋" w:eastAsia="仿宋" w:cs="仿宋"/>
                <w:kern w:val="0"/>
                <w:sz w:val="28"/>
                <w:szCs w:val="28"/>
              </w:rPr>
              <w:t>分，最高得</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分，未提供采购项目合同复印件的不得分。</w:t>
            </w:r>
          </w:p>
        </w:tc>
        <w:tc>
          <w:tcPr>
            <w:tcW w:w="847" w:type="dxa"/>
            <w:vAlign w:val="center"/>
          </w:tcPr>
          <w:p>
            <w:pPr>
              <w:pStyle w:val="18"/>
              <w:spacing w:line="440" w:lineRule="exact"/>
              <w:ind w:firstLine="0" w:firstLineChars="0"/>
              <w:rPr>
                <w:rFonts w:hint="eastAsia" w:ascii="仿宋" w:hAnsi="仿宋" w:eastAsia="仿宋" w:cs="仿宋"/>
                <w:bCs/>
                <w:kern w:val="0"/>
                <w:sz w:val="28"/>
                <w:szCs w:val="28"/>
              </w:rPr>
            </w:pPr>
            <w:r>
              <w:rPr>
                <w:rFonts w:hint="eastAsia" w:ascii="仿宋" w:hAnsi="仿宋" w:eastAsia="仿宋" w:cs="仿宋"/>
                <w:bCs/>
                <w:kern w:val="0"/>
                <w:sz w:val="28"/>
                <w:szCs w:val="28"/>
                <w:lang w:val="en-US" w:eastAsia="zh-CN"/>
              </w:rPr>
              <w:t>1</w:t>
            </w:r>
            <w:r>
              <w:rPr>
                <w:rFonts w:hint="eastAsia" w:ascii="仿宋" w:hAnsi="仿宋" w:eastAsia="仿宋" w:cs="仿宋"/>
                <w:bCs/>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restart"/>
            <w:vAlign w:val="center"/>
          </w:tcPr>
          <w:p>
            <w:pPr>
              <w:pStyle w:val="18"/>
              <w:spacing w:line="440" w:lineRule="exact"/>
              <w:ind w:firstLine="0" w:firstLineChars="0"/>
              <w:rPr>
                <w:rFonts w:hint="eastAsia" w:ascii="仿宋" w:hAnsi="仿宋" w:eastAsia="仿宋" w:cs="仿宋"/>
                <w:bCs/>
                <w:kern w:val="0"/>
                <w:sz w:val="28"/>
                <w:szCs w:val="28"/>
              </w:rPr>
            </w:pPr>
          </w:p>
          <w:p>
            <w:pPr>
              <w:pStyle w:val="18"/>
              <w:spacing w:line="440" w:lineRule="exact"/>
              <w:ind w:firstLine="0" w:firstLineChars="0"/>
              <w:rPr>
                <w:rFonts w:hint="eastAsia" w:ascii="仿宋" w:hAnsi="仿宋" w:eastAsia="仿宋" w:cs="仿宋"/>
                <w:bCs/>
                <w:kern w:val="0"/>
                <w:sz w:val="28"/>
                <w:szCs w:val="28"/>
              </w:rPr>
            </w:pPr>
            <w:r>
              <w:rPr>
                <w:rFonts w:hint="eastAsia" w:ascii="仿宋" w:hAnsi="仿宋" w:eastAsia="仿宋" w:cs="仿宋"/>
                <w:bCs/>
                <w:kern w:val="0"/>
                <w:sz w:val="28"/>
                <w:szCs w:val="28"/>
              </w:rPr>
              <w:t>3</w:t>
            </w:r>
          </w:p>
        </w:tc>
        <w:tc>
          <w:tcPr>
            <w:tcW w:w="1003" w:type="dxa"/>
            <w:vMerge w:val="restart"/>
            <w:vAlign w:val="center"/>
          </w:tcPr>
          <w:p>
            <w:pPr>
              <w:pStyle w:val="18"/>
              <w:spacing w:line="440" w:lineRule="exact"/>
              <w:ind w:firstLine="0" w:firstLineChars="0"/>
              <w:rPr>
                <w:rFonts w:hint="eastAsia" w:ascii="仿宋" w:hAnsi="仿宋" w:eastAsia="仿宋" w:cs="仿宋"/>
                <w:bCs/>
                <w:kern w:val="0"/>
                <w:sz w:val="28"/>
                <w:szCs w:val="28"/>
              </w:rPr>
            </w:pPr>
          </w:p>
          <w:p>
            <w:pPr>
              <w:pStyle w:val="18"/>
              <w:spacing w:line="440" w:lineRule="exact"/>
              <w:ind w:firstLine="0" w:firstLineChars="0"/>
              <w:rPr>
                <w:rFonts w:hint="eastAsia" w:ascii="仿宋" w:hAnsi="仿宋" w:eastAsia="仿宋" w:cs="仿宋"/>
                <w:bCs/>
                <w:kern w:val="0"/>
                <w:sz w:val="28"/>
                <w:szCs w:val="28"/>
              </w:rPr>
            </w:pPr>
            <w:r>
              <w:rPr>
                <w:rFonts w:hint="eastAsia" w:ascii="仿宋" w:hAnsi="仿宋" w:eastAsia="仿宋" w:cs="仿宋"/>
                <w:bCs/>
                <w:kern w:val="0"/>
                <w:sz w:val="28"/>
                <w:szCs w:val="28"/>
              </w:rPr>
              <w:t>客观</w:t>
            </w:r>
          </w:p>
        </w:tc>
        <w:tc>
          <w:tcPr>
            <w:tcW w:w="1088" w:type="dxa"/>
            <w:vMerge w:val="restart"/>
            <w:vAlign w:val="center"/>
          </w:tcPr>
          <w:p>
            <w:pPr>
              <w:pStyle w:val="18"/>
              <w:spacing w:line="440" w:lineRule="exact"/>
              <w:ind w:firstLine="0" w:firstLineChars="0"/>
              <w:rPr>
                <w:rFonts w:hint="eastAsia" w:ascii="仿宋" w:hAnsi="仿宋" w:eastAsia="仿宋" w:cs="仿宋"/>
                <w:bCs/>
                <w:kern w:val="0"/>
                <w:sz w:val="28"/>
                <w:szCs w:val="28"/>
              </w:rPr>
            </w:pPr>
          </w:p>
          <w:p>
            <w:pPr>
              <w:pStyle w:val="18"/>
              <w:spacing w:line="440" w:lineRule="exact"/>
              <w:ind w:firstLine="0" w:firstLineChars="0"/>
              <w:rPr>
                <w:rFonts w:hint="eastAsia" w:ascii="仿宋" w:hAnsi="仿宋" w:eastAsia="仿宋" w:cs="仿宋"/>
                <w:bCs/>
                <w:kern w:val="0"/>
                <w:sz w:val="28"/>
                <w:szCs w:val="28"/>
              </w:rPr>
            </w:pPr>
            <w:r>
              <w:rPr>
                <w:rFonts w:hint="eastAsia" w:ascii="仿宋" w:hAnsi="仿宋" w:eastAsia="仿宋" w:cs="仿宋"/>
                <w:bCs/>
                <w:kern w:val="0"/>
                <w:sz w:val="28"/>
                <w:szCs w:val="28"/>
              </w:rPr>
              <w:t>企业</w:t>
            </w:r>
          </w:p>
          <w:p>
            <w:pPr>
              <w:pStyle w:val="18"/>
              <w:spacing w:line="440" w:lineRule="exact"/>
              <w:ind w:firstLine="0" w:firstLineChars="0"/>
              <w:rPr>
                <w:rFonts w:hint="eastAsia" w:ascii="仿宋" w:hAnsi="仿宋" w:eastAsia="仿宋" w:cs="仿宋"/>
                <w:bCs/>
                <w:kern w:val="0"/>
                <w:sz w:val="28"/>
                <w:szCs w:val="28"/>
              </w:rPr>
            </w:pPr>
            <w:r>
              <w:rPr>
                <w:rFonts w:hint="eastAsia" w:ascii="仿宋" w:hAnsi="仿宋" w:eastAsia="仿宋" w:cs="仿宋"/>
                <w:bCs/>
                <w:kern w:val="0"/>
                <w:sz w:val="28"/>
                <w:szCs w:val="28"/>
              </w:rPr>
              <w:t>证书</w:t>
            </w:r>
          </w:p>
        </w:tc>
        <w:tc>
          <w:tcPr>
            <w:tcW w:w="6223" w:type="dxa"/>
            <w:vAlign w:val="center"/>
          </w:tcPr>
          <w:p>
            <w:pPr>
              <w:spacing w:line="400" w:lineRule="exact"/>
              <w:rPr>
                <w:rFonts w:hint="eastAsia" w:ascii="仿宋" w:hAnsi="仿宋" w:eastAsia="仿宋" w:cs="仿宋"/>
                <w:bCs/>
                <w:kern w:val="0"/>
                <w:sz w:val="28"/>
                <w:szCs w:val="28"/>
              </w:rPr>
            </w:pPr>
            <w:r>
              <w:rPr>
                <w:rFonts w:hint="eastAsia" w:ascii="仿宋" w:hAnsi="仿宋" w:eastAsia="仿宋" w:cs="仿宋"/>
                <w:kern w:val="0"/>
                <w:sz w:val="28"/>
                <w:szCs w:val="28"/>
              </w:rPr>
              <w:t>3.1投标人具备有效质量体系认证证书的得1分；</w:t>
            </w:r>
          </w:p>
        </w:tc>
        <w:tc>
          <w:tcPr>
            <w:tcW w:w="847" w:type="dxa"/>
            <w:vMerge w:val="restart"/>
            <w:vAlign w:val="center"/>
          </w:tcPr>
          <w:p>
            <w:pPr>
              <w:pStyle w:val="18"/>
              <w:spacing w:line="440" w:lineRule="exact"/>
              <w:ind w:firstLine="0" w:firstLineChars="0"/>
              <w:rPr>
                <w:rFonts w:hint="eastAsia" w:ascii="仿宋" w:hAnsi="仿宋" w:eastAsia="仿宋" w:cs="仿宋"/>
                <w:bCs/>
                <w:kern w:val="0"/>
                <w:sz w:val="28"/>
                <w:szCs w:val="28"/>
              </w:rPr>
            </w:pPr>
          </w:p>
          <w:p>
            <w:pPr>
              <w:pStyle w:val="18"/>
              <w:spacing w:line="440" w:lineRule="exact"/>
              <w:ind w:firstLine="0" w:firstLineChars="0"/>
              <w:rPr>
                <w:rFonts w:hint="eastAsia" w:ascii="仿宋" w:hAnsi="仿宋" w:eastAsia="仿宋" w:cs="仿宋"/>
                <w:bCs/>
                <w:kern w:val="0"/>
                <w:sz w:val="28"/>
                <w:szCs w:val="28"/>
              </w:rPr>
            </w:pPr>
            <w:r>
              <w:rPr>
                <w:rFonts w:hint="eastAsia" w:ascii="仿宋" w:hAnsi="仿宋" w:eastAsia="仿宋" w:cs="仿宋"/>
                <w:bCs/>
                <w:kern w:val="0"/>
                <w:sz w:val="28"/>
                <w:szCs w:val="28"/>
                <w:lang w:val="en-US" w:eastAsia="zh-CN"/>
              </w:rPr>
              <w:t>4</w:t>
            </w:r>
            <w:r>
              <w:rPr>
                <w:rFonts w:hint="eastAsia" w:ascii="仿宋" w:hAnsi="仿宋" w:eastAsia="仿宋" w:cs="仿宋"/>
                <w:bCs/>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65" w:type="dxa"/>
            <w:vMerge w:val="continue"/>
            <w:vAlign w:val="center"/>
          </w:tcPr>
          <w:p>
            <w:pPr>
              <w:pStyle w:val="18"/>
              <w:spacing w:line="440" w:lineRule="exact"/>
              <w:ind w:firstLine="0" w:firstLineChars="0"/>
              <w:rPr>
                <w:rFonts w:hint="eastAsia" w:ascii="仿宋" w:hAnsi="仿宋" w:eastAsia="仿宋" w:cs="仿宋"/>
                <w:bCs/>
                <w:kern w:val="0"/>
                <w:sz w:val="28"/>
                <w:szCs w:val="28"/>
              </w:rPr>
            </w:pPr>
          </w:p>
        </w:tc>
        <w:tc>
          <w:tcPr>
            <w:tcW w:w="1003" w:type="dxa"/>
            <w:vMerge w:val="continue"/>
            <w:vAlign w:val="center"/>
          </w:tcPr>
          <w:p>
            <w:pPr>
              <w:pStyle w:val="18"/>
              <w:spacing w:line="440" w:lineRule="exact"/>
              <w:ind w:firstLine="0" w:firstLineChars="0"/>
              <w:rPr>
                <w:rFonts w:hint="eastAsia" w:ascii="仿宋" w:hAnsi="仿宋" w:eastAsia="仿宋" w:cs="仿宋"/>
                <w:bCs/>
                <w:kern w:val="0"/>
                <w:sz w:val="28"/>
                <w:szCs w:val="28"/>
              </w:rPr>
            </w:pPr>
          </w:p>
        </w:tc>
        <w:tc>
          <w:tcPr>
            <w:tcW w:w="1088" w:type="dxa"/>
            <w:vMerge w:val="continue"/>
            <w:vAlign w:val="center"/>
          </w:tcPr>
          <w:p>
            <w:pPr>
              <w:pStyle w:val="18"/>
              <w:spacing w:line="440" w:lineRule="exact"/>
              <w:ind w:firstLine="0" w:firstLineChars="0"/>
              <w:rPr>
                <w:rFonts w:hint="eastAsia" w:ascii="仿宋" w:hAnsi="仿宋" w:eastAsia="仿宋" w:cs="仿宋"/>
                <w:bCs/>
                <w:kern w:val="0"/>
                <w:sz w:val="28"/>
                <w:szCs w:val="28"/>
              </w:rPr>
            </w:pPr>
          </w:p>
        </w:tc>
        <w:tc>
          <w:tcPr>
            <w:tcW w:w="6223" w:type="dxa"/>
            <w:vAlign w:val="center"/>
          </w:tcPr>
          <w:p>
            <w:pPr>
              <w:spacing w:line="400" w:lineRule="exact"/>
              <w:rPr>
                <w:rFonts w:hint="eastAsia" w:ascii="仿宋" w:hAnsi="仿宋" w:eastAsia="仿宋" w:cs="仿宋"/>
                <w:kern w:val="0"/>
                <w:sz w:val="28"/>
                <w:szCs w:val="28"/>
              </w:rPr>
            </w:pPr>
            <w:r>
              <w:rPr>
                <w:rFonts w:hint="eastAsia" w:ascii="仿宋" w:hAnsi="仿宋" w:eastAsia="仿宋" w:cs="仿宋"/>
                <w:kern w:val="0"/>
                <w:sz w:val="28"/>
                <w:szCs w:val="28"/>
              </w:rPr>
              <w:t>3.2投标人具备有效环境管理体系认证证书的得1分；</w:t>
            </w:r>
          </w:p>
        </w:tc>
        <w:tc>
          <w:tcPr>
            <w:tcW w:w="847" w:type="dxa"/>
            <w:vMerge w:val="continue"/>
            <w:vAlign w:val="center"/>
          </w:tcPr>
          <w:p>
            <w:pPr>
              <w:pStyle w:val="18"/>
              <w:spacing w:line="440" w:lineRule="exact"/>
              <w:ind w:firstLine="0" w:firstLineChars="0"/>
              <w:rPr>
                <w:rFonts w:hint="eastAsia" w:ascii="仿宋" w:hAnsi="仿宋" w:eastAsia="仿宋" w:cs="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765" w:type="dxa"/>
            <w:vMerge w:val="continue"/>
            <w:vAlign w:val="center"/>
          </w:tcPr>
          <w:p>
            <w:pPr>
              <w:pStyle w:val="18"/>
              <w:spacing w:line="440" w:lineRule="exact"/>
              <w:ind w:firstLine="0" w:firstLineChars="0"/>
              <w:rPr>
                <w:rFonts w:hint="eastAsia" w:ascii="仿宋" w:hAnsi="仿宋" w:eastAsia="仿宋" w:cs="仿宋"/>
                <w:bCs/>
                <w:kern w:val="0"/>
                <w:sz w:val="28"/>
                <w:szCs w:val="28"/>
              </w:rPr>
            </w:pPr>
          </w:p>
        </w:tc>
        <w:tc>
          <w:tcPr>
            <w:tcW w:w="1003" w:type="dxa"/>
            <w:vMerge w:val="continue"/>
            <w:vAlign w:val="center"/>
          </w:tcPr>
          <w:p>
            <w:pPr>
              <w:pStyle w:val="18"/>
              <w:spacing w:line="440" w:lineRule="exact"/>
              <w:ind w:firstLine="0" w:firstLineChars="0"/>
              <w:rPr>
                <w:rFonts w:hint="eastAsia" w:ascii="仿宋" w:hAnsi="仿宋" w:eastAsia="仿宋" w:cs="仿宋"/>
                <w:bCs/>
                <w:kern w:val="0"/>
                <w:sz w:val="28"/>
                <w:szCs w:val="28"/>
              </w:rPr>
            </w:pPr>
          </w:p>
        </w:tc>
        <w:tc>
          <w:tcPr>
            <w:tcW w:w="1088" w:type="dxa"/>
            <w:vMerge w:val="continue"/>
            <w:vAlign w:val="center"/>
          </w:tcPr>
          <w:p>
            <w:pPr>
              <w:pStyle w:val="18"/>
              <w:spacing w:line="440" w:lineRule="exact"/>
              <w:ind w:firstLine="0" w:firstLineChars="0"/>
              <w:rPr>
                <w:rFonts w:hint="eastAsia" w:ascii="仿宋" w:hAnsi="仿宋" w:eastAsia="仿宋" w:cs="仿宋"/>
                <w:bCs/>
                <w:kern w:val="0"/>
                <w:sz w:val="28"/>
                <w:szCs w:val="28"/>
              </w:rPr>
            </w:pPr>
          </w:p>
        </w:tc>
        <w:tc>
          <w:tcPr>
            <w:tcW w:w="6223" w:type="dxa"/>
            <w:vAlign w:val="center"/>
          </w:tcPr>
          <w:p>
            <w:pPr>
              <w:spacing w:line="400" w:lineRule="exact"/>
              <w:rPr>
                <w:rFonts w:hint="eastAsia" w:ascii="仿宋" w:hAnsi="仿宋" w:eastAsia="仿宋" w:cs="仿宋"/>
                <w:kern w:val="0"/>
                <w:sz w:val="28"/>
                <w:szCs w:val="28"/>
                <w:lang w:eastAsia="zh-CN"/>
              </w:rPr>
            </w:pPr>
            <w:r>
              <w:rPr>
                <w:rFonts w:hint="eastAsia" w:ascii="仿宋" w:hAnsi="仿宋" w:eastAsia="仿宋" w:cs="仿宋"/>
                <w:sz w:val="28"/>
                <w:szCs w:val="28"/>
              </w:rPr>
              <w:t>3.3投标人具备有效职业健康安全管理体系认证证书的得1分</w:t>
            </w:r>
            <w:r>
              <w:rPr>
                <w:rFonts w:hint="eastAsia" w:ascii="仿宋" w:hAnsi="仿宋" w:eastAsia="仿宋" w:cs="仿宋"/>
                <w:sz w:val="28"/>
                <w:szCs w:val="28"/>
                <w:lang w:eastAsia="zh-CN"/>
              </w:rPr>
              <w:t>；</w:t>
            </w:r>
          </w:p>
        </w:tc>
        <w:tc>
          <w:tcPr>
            <w:tcW w:w="847" w:type="dxa"/>
            <w:vMerge w:val="continue"/>
            <w:vAlign w:val="center"/>
          </w:tcPr>
          <w:p>
            <w:pPr>
              <w:pStyle w:val="18"/>
              <w:spacing w:line="440" w:lineRule="exact"/>
              <w:ind w:firstLine="0" w:firstLineChars="0"/>
              <w:rPr>
                <w:rFonts w:hint="eastAsia" w:ascii="仿宋" w:hAnsi="仿宋" w:eastAsia="仿宋" w:cs="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765" w:type="dxa"/>
            <w:vMerge w:val="continue"/>
            <w:vAlign w:val="center"/>
          </w:tcPr>
          <w:p>
            <w:pPr>
              <w:pStyle w:val="18"/>
              <w:spacing w:line="440" w:lineRule="exact"/>
              <w:ind w:firstLine="0" w:firstLineChars="0"/>
              <w:rPr>
                <w:rFonts w:hint="eastAsia" w:ascii="仿宋" w:hAnsi="仿宋" w:eastAsia="仿宋" w:cs="仿宋"/>
                <w:bCs/>
                <w:kern w:val="0"/>
                <w:sz w:val="28"/>
                <w:szCs w:val="28"/>
              </w:rPr>
            </w:pPr>
          </w:p>
        </w:tc>
        <w:tc>
          <w:tcPr>
            <w:tcW w:w="1003" w:type="dxa"/>
            <w:vMerge w:val="continue"/>
            <w:vAlign w:val="center"/>
          </w:tcPr>
          <w:p>
            <w:pPr>
              <w:pStyle w:val="18"/>
              <w:spacing w:line="440" w:lineRule="exact"/>
              <w:ind w:firstLine="0" w:firstLineChars="0"/>
              <w:rPr>
                <w:rFonts w:hint="eastAsia" w:ascii="仿宋" w:hAnsi="仿宋" w:eastAsia="仿宋" w:cs="仿宋"/>
                <w:bCs/>
                <w:kern w:val="0"/>
                <w:sz w:val="28"/>
                <w:szCs w:val="28"/>
              </w:rPr>
            </w:pPr>
          </w:p>
        </w:tc>
        <w:tc>
          <w:tcPr>
            <w:tcW w:w="1088" w:type="dxa"/>
            <w:vMerge w:val="continue"/>
            <w:vAlign w:val="center"/>
          </w:tcPr>
          <w:p>
            <w:pPr>
              <w:pStyle w:val="18"/>
              <w:spacing w:line="440" w:lineRule="exact"/>
              <w:ind w:firstLine="0" w:firstLineChars="0"/>
              <w:rPr>
                <w:rFonts w:hint="eastAsia" w:ascii="仿宋" w:hAnsi="仿宋" w:eastAsia="仿宋" w:cs="仿宋"/>
                <w:bCs/>
                <w:kern w:val="0"/>
                <w:sz w:val="28"/>
                <w:szCs w:val="28"/>
              </w:rPr>
            </w:pPr>
          </w:p>
        </w:tc>
        <w:tc>
          <w:tcPr>
            <w:tcW w:w="6223" w:type="dxa"/>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4</w:t>
            </w:r>
            <w:r>
              <w:rPr>
                <w:rFonts w:hint="eastAsia" w:ascii="仿宋" w:hAnsi="仿宋" w:eastAsia="仿宋" w:cs="仿宋"/>
                <w:sz w:val="28"/>
                <w:szCs w:val="28"/>
              </w:rPr>
              <w:t>投标人具备有效信息安全管理体系认证证书的得1分。</w:t>
            </w:r>
          </w:p>
        </w:tc>
        <w:tc>
          <w:tcPr>
            <w:tcW w:w="847" w:type="dxa"/>
            <w:vMerge w:val="continue"/>
            <w:vAlign w:val="center"/>
          </w:tcPr>
          <w:p>
            <w:pPr>
              <w:pStyle w:val="18"/>
              <w:spacing w:line="440" w:lineRule="exact"/>
              <w:ind w:firstLine="0" w:firstLineChars="0"/>
              <w:rPr>
                <w:rFonts w:hint="eastAsia" w:ascii="仿宋" w:hAnsi="仿宋" w:eastAsia="仿宋" w:cs="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65" w:type="dxa"/>
            <w:vMerge w:val="continue"/>
            <w:tcBorders>
              <w:bottom w:val="single" w:color="auto" w:sz="4" w:space="0"/>
            </w:tcBorders>
            <w:vAlign w:val="center"/>
          </w:tcPr>
          <w:p>
            <w:pPr>
              <w:pStyle w:val="18"/>
              <w:spacing w:line="440" w:lineRule="exact"/>
              <w:ind w:firstLine="0" w:firstLineChars="0"/>
              <w:rPr>
                <w:rFonts w:hint="eastAsia" w:ascii="仿宋" w:hAnsi="仿宋" w:eastAsia="仿宋" w:cs="仿宋"/>
                <w:bCs/>
                <w:kern w:val="0"/>
                <w:sz w:val="28"/>
                <w:szCs w:val="28"/>
              </w:rPr>
            </w:pPr>
          </w:p>
        </w:tc>
        <w:tc>
          <w:tcPr>
            <w:tcW w:w="1003" w:type="dxa"/>
            <w:vMerge w:val="continue"/>
            <w:tcBorders>
              <w:bottom w:val="single" w:color="auto" w:sz="4" w:space="0"/>
            </w:tcBorders>
            <w:vAlign w:val="center"/>
          </w:tcPr>
          <w:p>
            <w:pPr>
              <w:pStyle w:val="18"/>
              <w:spacing w:line="440" w:lineRule="exact"/>
              <w:ind w:firstLine="0" w:firstLineChars="0"/>
              <w:rPr>
                <w:rFonts w:hint="eastAsia" w:ascii="仿宋" w:hAnsi="仿宋" w:eastAsia="仿宋" w:cs="仿宋"/>
                <w:bCs/>
                <w:kern w:val="0"/>
                <w:sz w:val="28"/>
                <w:szCs w:val="28"/>
              </w:rPr>
            </w:pPr>
          </w:p>
        </w:tc>
        <w:tc>
          <w:tcPr>
            <w:tcW w:w="1088" w:type="dxa"/>
            <w:vMerge w:val="continue"/>
            <w:tcBorders>
              <w:bottom w:val="single" w:color="auto" w:sz="4" w:space="0"/>
            </w:tcBorders>
            <w:vAlign w:val="center"/>
          </w:tcPr>
          <w:p>
            <w:pPr>
              <w:pStyle w:val="18"/>
              <w:spacing w:line="440" w:lineRule="exact"/>
              <w:ind w:firstLine="0" w:firstLineChars="0"/>
              <w:rPr>
                <w:rFonts w:hint="eastAsia" w:ascii="仿宋" w:hAnsi="仿宋" w:eastAsia="仿宋" w:cs="仿宋"/>
                <w:bCs/>
                <w:kern w:val="0"/>
                <w:sz w:val="28"/>
                <w:szCs w:val="28"/>
              </w:rPr>
            </w:pPr>
          </w:p>
        </w:tc>
        <w:tc>
          <w:tcPr>
            <w:tcW w:w="6223" w:type="dxa"/>
            <w:tcBorders>
              <w:bottom w:val="single" w:color="auto" w:sz="4" w:space="0"/>
            </w:tcBorders>
            <w:vAlign w:val="center"/>
          </w:tcPr>
          <w:p>
            <w:pPr>
              <w:pStyle w:val="18"/>
              <w:spacing w:line="400" w:lineRule="exact"/>
              <w:ind w:firstLine="0" w:firstLineChars="0"/>
              <w:rPr>
                <w:rFonts w:hint="eastAsia" w:ascii="仿宋" w:hAnsi="仿宋" w:eastAsia="仿宋" w:cs="仿宋"/>
                <w:kern w:val="0"/>
                <w:sz w:val="28"/>
                <w:szCs w:val="28"/>
              </w:rPr>
            </w:pPr>
            <w:r>
              <w:rPr>
                <w:rFonts w:hint="eastAsia" w:ascii="仿宋" w:hAnsi="仿宋" w:eastAsia="仿宋" w:cs="仿宋"/>
                <w:b/>
                <w:spacing w:val="14"/>
                <w:kern w:val="0"/>
                <w:sz w:val="28"/>
                <w:szCs w:val="28"/>
                <w:u w:val="single"/>
              </w:rPr>
              <w:t>提供证书复印件并加盖投标人公章</w:t>
            </w:r>
            <w:r>
              <w:rPr>
                <w:rFonts w:hint="eastAsia" w:ascii="仿宋" w:hAnsi="仿宋" w:eastAsia="仿宋" w:cs="仿宋"/>
                <w:b/>
                <w:kern w:val="0"/>
                <w:sz w:val="28"/>
                <w:szCs w:val="28"/>
                <w:u w:val="single"/>
              </w:rPr>
              <w:t>，以上证书未提供不得分</w:t>
            </w:r>
            <w:r>
              <w:rPr>
                <w:rFonts w:hint="eastAsia" w:ascii="仿宋" w:hAnsi="仿宋" w:eastAsia="仿宋" w:cs="仿宋"/>
                <w:b/>
                <w:spacing w:val="14"/>
                <w:kern w:val="0"/>
                <w:sz w:val="28"/>
                <w:szCs w:val="28"/>
                <w:u w:val="single"/>
              </w:rPr>
              <w:t>。</w:t>
            </w:r>
          </w:p>
        </w:tc>
        <w:tc>
          <w:tcPr>
            <w:tcW w:w="847" w:type="dxa"/>
            <w:vMerge w:val="continue"/>
            <w:tcBorders>
              <w:bottom w:val="single" w:color="auto" w:sz="4" w:space="0"/>
            </w:tcBorders>
            <w:vAlign w:val="center"/>
          </w:tcPr>
          <w:p>
            <w:pPr>
              <w:pStyle w:val="18"/>
              <w:spacing w:line="440" w:lineRule="exact"/>
              <w:ind w:firstLine="0" w:firstLineChars="0"/>
              <w:rPr>
                <w:rFonts w:hint="eastAsia" w:ascii="仿宋" w:hAnsi="仿宋" w:eastAsia="仿宋" w:cs="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65" w:type="dxa"/>
            <w:tcBorders>
              <w:bottom w:val="single" w:color="auto" w:sz="4" w:space="0"/>
            </w:tcBorders>
            <w:vAlign w:val="center"/>
          </w:tcPr>
          <w:p>
            <w:pPr>
              <w:pStyle w:val="18"/>
              <w:spacing w:line="440" w:lineRule="exact"/>
              <w:ind w:firstLine="0" w:firstLineChars="0"/>
              <w:rPr>
                <w:rFonts w:hint="eastAsia" w:ascii="仿宋" w:hAnsi="仿宋" w:eastAsia="仿宋" w:cs="仿宋"/>
                <w:bCs/>
                <w:kern w:val="0"/>
                <w:sz w:val="28"/>
                <w:szCs w:val="28"/>
                <w:lang w:val="en" w:eastAsia="zh-CN"/>
              </w:rPr>
            </w:pPr>
            <w:r>
              <w:rPr>
                <w:rFonts w:hint="eastAsia" w:ascii="仿宋" w:hAnsi="仿宋" w:eastAsia="仿宋" w:cs="仿宋"/>
                <w:bCs/>
                <w:kern w:val="0"/>
                <w:sz w:val="28"/>
                <w:szCs w:val="28"/>
                <w:lang w:val="en"/>
              </w:rPr>
              <w:t>4</w:t>
            </w:r>
          </w:p>
        </w:tc>
        <w:tc>
          <w:tcPr>
            <w:tcW w:w="1003" w:type="dxa"/>
            <w:tcBorders>
              <w:bottom w:val="single" w:color="auto" w:sz="4" w:space="0"/>
            </w:tcBorders>
            <w:vAlign w:val="center"/>
          </w:tcPr>
          <w:p>
            <w:pPr>
              <w:pStyle w:val="18"/>
              <w:spacing w:line="440" w:lineRule="exact"/>
              <w:ind w:firstLine="0" w:firstLineChars="0"/>
              <w:rPr>
                <w:rFonts w:hint="eastAsia" w:ascii="仿宋" w:hAnsi="仿宋" w:eastAsia="仿宋" w:cs="仿宋"/>
                <w:bCs/>
                <w:kern w:val="0"/>
                <w:sz w:val="28"/>
                <w:szCs w:val="28"/>
                <w:lang w:val="en-US" w:eastAsia="zh-CN"/>
              </w:rPr>
            </w:pPr>
            <w:r>
              <w:rPr>
                <w:rFonts w:hint="eastAsia" w:ascii="仿宋" w:hAnsi="仿宋" w:eastAsia="仿宋" w:cs="仿宋"/>
                <w:bCs/>
                <w:kern w:val="0"/>
                <w:sz w:val="28"/>
                <w:szCs w:val="28"/>
              </w:rPr>
              <w:t>客观</w:t>
            </w:r>
          </w:p>
        </w:tc>
        <w:tc>
          <w:tcPr>
            <w:tcW w:w="1088" w:type="dxa"/>
            <w:tcBorders>
              <w:bottom w:val="single" w:color="auto" w:sz="4" w:space="0"/>
            </w:tcBorders>
            <w:vAlign w:val="center"/>
          </w:tcPr>
          <w:p>
            <w:pPr>
              <w:pStyle w:val="18"/>
              <w:spacing w:line="440" w:lineRule="exact"/>
              <w:ind w:firstLine="0" w:firstLineChars="0"/>
              <w:rPr>
                <w:rFonts w:hint="eastAsia" w:ascii="仿宋" w:hAnsi="仿宋" w:eastAsia="仿宋" w:cs="仿宋"/>
                <w:bCs/>
                <w:kern w:val="0"/>
                <w:sz w:val="28"/>
                <w:szCs w:val="28"/>
              </w:rPr>
            </w:pPr>
            <w:r>
              <w:rPr>
                <w:rFonts w:hint="eastAsia" w:ascii="仿宋" w:hAnsi="仿宋" w:eastAsia="仿宋" w:cs="仿宋"/>
                <w:bCs/>
                <w:kern w:val="0"/>
                <w:sz w:val="28"/>
                <w:szCs w:val="28"/>
              </w:rPr>
              <w:t>企业</w:t>
            </w:r>
          </w:p>
          <w:p>
            <w:pPr>
              <w:pStyle w:val="18"/>
              <w:spacing w:line="440" w:lineRule="exact"/>
              <w:ind w:firstLine="0" w:firstLineChars="0"/>
              <w:rPr>
                <w:rFonts w:hint="eastAsia" w:ascii="仿宋" w:hAnsi="仿宋" w:eastAsia="仿宋" w:cs="仿宋"/>
                <w:bCs/>
                <w:kern w:val="0"/>
                <w:sz w:val="28"/>
                <w:szCs w:val="28"/>
                <w:lang w:val="en-US" w:eastAsia="zh-CN"/>
              </w:rPr>
            </w:pPr>
            <w:r>
              <w:rPr>
                <w:rFonts w:hint="eastAsia" w:ascii="仿宋" w:hAnsi="仿宋" w:eastAsia="仿宋" w:cs="仿宋"/>
                <w:bCs/>
                <w:kern w:val="0"/>
                <w:sz w:val="28"/>
                <w:szCs w:val="28"/>
              </w:rPr>
              <w:t>荣誉</w:t>
            </w:r>
          </w:p>
        </w:tc>
        <w:tc>
          <w:tcPr>
            <w:tcW w:w="6223" w:type="dxa"/>
            <w:tcBorders>
              <w:bottom w:val="single" w:color="auto" w:sz="4" w:space="0"/>
            </w:tcBorders>
            <w:vAlign w:val="center"/>
          </w:tcPr>
          <w:p>
            <w:pPr>
              <w:pStyle w:val="18"/>
              <w:spacing w:line="440" w:lineRule="exact"/>
              <w:ind w:firstLine="0" w:firstLineChars="0"/>
              <w:rPr>
                <w:rFonts w:hint="eastAsia" w:ascii="仿宋" w:hAnsi="仿宋" w:eastAsia="仿宋" w:cs="仿宋"/>
                <w:bCs/>
                <w:kern w:val="0"/>
                <w:sz w:val="28"/>
                <w:szCs w:val="28"/>
              </w:rPr>
            </w:pPr>
            <w:r>
              <w:rPr>
                <w:rFonts w:hint="eastAsia" w:ascii="仿宋" w:hAnsi="仿宋" w:eastAsia="仿宋" w:cs="仿宋"/>
                <w:bCs/>
                <w:kern w:val="0"/>
                <w:sz w:val="28"/>
                <w:szCs w:val="28"/>
              </w:rPr>
              <w:t>根据投标人提供的2019年1月1日至今有效的政府行政职能部门或行业主管部门授予的投标企业荣誉证书（复印件并加盖投标人公章）进行评分：</w:t>
            </w:r>
          </w:p>
          <w:p>
            <w:pPr>
              <w:pStyle w:val="18"/>
              <w:spacing w:line="440" w:lineRule="exact"/>
              <w:ind w:firstLine="0" w:firstLineChars="0"/>
              <w:rPr>
                <w:rFonts w:hint="eastAsia" w:ascii="仿宋" w:hAnsi="仿宋" w:eastAsia="仿宋" w:cs="仿宋"/>
                <w:bCs/>
                <w:kern w:val="0"/>
                <w:sz w:val="28"/>
                <w:szCs w:val="28"/>
              </w:rPr>
            </w:pPr>
            <w:r>
              <w:rPr>
                <w:rFonts w:hint="eastAsia" w:ascii="仿宋" w:hAnsi="仿宋" w:eastAsia="仿宋" w:cs="仿宋"/>
                <w:bCs/>
                <w:kern w:val="0"/>
                <w:sz w:val="28"/>
                <w:szCs w:val="28"/>
              </w:rPr>
              <w:t>国家级，包含国务院所属的部、委、办、局授予的荣誉得3分；</w:t>
            </w:r>
          </w:p>
          <w:p>
            <w:pPr>
              <w:pStyle w:val="18"/>
              <w:spacing w:line="440" w:lineRule="exact"/>
              <w:ind w:firstLine="0" w:firstLineChars="0"/>
              <w:rPr>
                <w:rFonts w:hint="eastAsia" w:ascii="仿宋" w:hAnsi="仿宋" w:eastAsia="仿宋" w:cs="仿宋"/>
                <w:bCs/>
                <w:kern w:val="0"/>
                <w:sz w:val="28"/>
                <w:szCs w:val="28"/>
              </w:rPr>
            </w:pPr>
            <w:r>
              <w:rPr>
                <w:rFonts w:hint="eastAsia" w:ascii="仿宋" w:hAnsi="仿宋" w:eastAsia="仿宋" w:cs="仿宋"/>
                <w:bCs/>
                <w:kern w:val="0"/>
                <w:sz w:val="28"/>
                <w:szCs w:val="28"/>
              </w:rPr>
              <w:t>省级，包含省政府所属的部、委、办、局（厅）授予的荣誉得2分；</w:t>
            </w:r>
          </w:p>
          <w:p>
            <w:pPr>
              <w:pStyle w:val="18"/>
              <w:spacing w:line="440" w:lineRule="exact"/>
              <w:ind w:firstLine="0" w:firstLineChars="0"/>
              <w:rPr>
                <w:rFonts w:hint="eastAsia" w:ascii="仿宋" w:hAnsi="仿宋" w:eastAsia="仿宋" w:cs="仿宋"/>
                <w:bCs/>
                <w:kern w:val="0"/>
                <w:sz w:val="28"/>
                <w:szCs w:val="28"/>
              </w:rPr>
            </w:pPr>
            <w:r>
              <w:rPr>
                <w:rFonts w:hint="eastAsia" w:ascii="仿宋" w:hAnsi="仿宋" w:eastAsia="仿宋" w:cs="仿宋"/>
                <w:bCs/>
                <w:kern w:val="0"/>
                <w:sz w:val="28"/>
                <w:szCs w:val="28"/>
              </w:rPr>
              <w:t>市级，包含市政府所属的部、委、办、局授予的荣誉得1分。</w:t>
            </w:r>
          </w:p>
          <w:p>
            <w:pPr>
              <w:pStyle w:val="18"/>
              <w:spacing w:line="440" w:lineRule="exact"/>
              <w:ind w:firstLine="0" w:firstLineChars="0"/>
              <w:rPr>
                <w:rFonts w:hint="eastAsia" w:ascii="仿宋" w:hAnsi="仿宋" w:eastAsia="仿宋" w:cs="仿宋"/>
                <w:bCs/>
                <w:kern w:val="0"/>
                <w:sz w:val="28"/>
                <w:szCs w:val="28"/>
              </w:rPr>
            </w:pPr>
            <w:r>
              <w:rPr>
                <w:rFonts w:hint="eastAsia" w:ascii="仿宋" w:hAnsi="仿宋" w:eastAsia="仿宋" w:cs="仿宋"/>
                <w:bCs/>
                <w:kern w:val="0"/>
                <w:sz w:val="28"/>
                <w:szCs w:val="28"/>
              </w:rPr>
              <w:t>本评分项不重复计分，未提供不得分。</w:t>
            </w:r>
          </w:p>
          <w:p>
            <w:pPr>
              <w:pStyle w:val="18"/>
              <w:spacing w:line="440" w:lineRule="exact"/>
              <w:ind w:firstLine="0" w:firstLineChars="0"/>
              <w:rPr>
                <w:rFonts w:hint="eastAsia" w:ascii="仿宋" w:hAnsi="仿宋" w:eastAsia="仿宋" w:cs="仿宋"/>
                <w:bCs/>
                <w:kern w:val="0"/>
                <w:sz w:val="28"/>
                <w:szCs w:val="28"/>
                <w:lang w:val="en-US" w:eastAsia="zh-CN"/>
              </w:rPr>
            </w:pPr>
            <w:r>
              <w:rPr>
                <w:rFonts w:hint="eastAsia" w:ascii="仿宋" w:hAnsi="仿宋" w:eastAsia="仿宋" w:cs="仿宋"/>
                <w:bCs/>
                <w:kern w:val="0"/>
                <w:sz w:val="28"/>
                <w:szCs w:val="28"/>
              </w:rPr>
              <w:t>注：须提供荣誉证书复印件并加盖投标人公章。</w:t>
            </w:r>
          </w:p>
        </w:tc>
        <w:tc>
          <w:tcPr>
            <w:tcW w:w="847" w:type="dxa"/>
            <w:tcBorders>
              <w:bottom w:val="single" w:color="auto" w:sz="4" w:space="0"/>
            </w:tcBorders>
            <w:vAlign w:val="center"/>
          </w:tcPr>
          <w:p>
            <w:pPr>
              <w:pStyle w:val="18"/>
              <w:spacing w:line="440" w:lineRule="exact"/>
              <w:ind w:firstLine="0" w:firstLineChars="0"/>
              <w:rPr>
                <w:rFonts w:hint="eastAsia" w:ascii="仿宋" w:hAnsi="仿宋" w:eastAsia="仿宋" w:cs="仿宋"/>
                <w:bCs/>
                <w:kern w:val="0"/>
                <w:sz w:val="28"/>
                <w:szCs w:val="28"/>
                <w:lang w:val="en-US" w:eastAsia="zh-CN"/>
              </w:rPr>
            </w:pPr>
            <w:r>
              <w:rPr>
                <w:rFonts w:hint="eastAsia" w:ascii="仿宋" w:hAnsi="仿宋" w:eastAsia="仿宋" w:cs="仿宋"/>
                <w:bCs/>
                <w:kern w:val="0"/>
                <w:sz w:val="28"/>
                <w:szCs w:val="2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65" w:type="dxa"/>
            <w:vMerge w:val="restart"/>
            <w:vAlign w:val="center"/>
          </w:tcPr>
          <w:p>
            <w:pPr>
              <w:pStyle w:val="18"/>
              <w:spacing w:line="440" w:lineRule="exact"/>
              <w:ind w:firstLine="0" w:firstLineChars="0"/>
              <w:rPr>
                <w:rFonts w:hint="eastAsia" w:ascii="仿宋" w:hAnsi="仿宋" w:eastAsia="仿宋" w:cs="仿宋"/>
                <w:bCs/>
                <w:kern w:val="0"/>
                <w:sz w:val="28"/>
                <w:szCs w:val="28"/>
                <w:lang w:eastAsia="zh-CN"/>
              </w:rPr>
            </w:pPr>
            <w:r>
              <w:rPr>
                <w:rFonts w:hint="eastAsia" w:ascii="仿宋" w:hAnsi="仿宋" w:eastAsia="仿宋" w:cs="仿宋"/>
                <w:bCs/>
                <w:kern w:val="0"/>
                <w:sz w:val="28"/>
                <w:szCs w:val="28"/>
                <w:lang w:val="en-US" w:eastAsia="zh-CN"/>
              </w:rPr>
              <w:t>5</w:t>
            </w:r>
          </w:p>
        </w:tc>
        <w:tc>
          <w:tcPr>
            <w:tcW w:w="1003" w:type="dxa"/>
            <w:vMerge w:val="restart"/>
            <w:vAlign w:val="center"/>
          </w:tcPr>
          <w:p>
            <w:pPr>
              <w:pStyle w:val="18"/>
              <w:spacing w:line="440" w:lineRule="exact"/>
              <w:ind w:firstLine="0" w:firstLineChars="0"/>
              <w:rPr>
                <w:rFonts w:hint="eastAsia" w:ascii="仿宋" w:hAnsi="仿宋" w:eastAsia="仿宋" w:cs="仿宋"/>
                <w:bCs/>
                <w:kern w:val="0"/>
                <w:sz w:val="28"/>
                <w:szCs w:val="28"/>
              </w:rPr>
            </w:pPr>
            <w:r>
              <w:rPr>
                <w:rFonts w:hint="eastAsia" w:ascii="仿宋" w:hAnsi="仿宋" w:eastAsia="仿宋" w:cs="仿宋"/>
                <w:bCs/>
                <w:kern w:val="0"/>
                <w:sz w:val="28"/>
                <w:szCs w:val="28"/>
              </w:rPr>
              <w:t>主观</w:t>
            </w:r>
          </w:p>
        </w:tc>
        <w:tc>
          <w:tcPr>
            <w:tcW w:w="1088" w:type="dxa"/>
            <w:vMerge w:val="restart"/>
            <w:vAlign w:val="center"/>
          </w:tcPr>
          <w:p>
            <w:pPr>
              <w:jc w:val="both"/>
              <w:rPr>
                <w:rFonts w:hint="eastAsia" w:ascii="仿宋" w:hAnsi="仿宋" w:eastAsia="仿宋" w:cs="仿宋"/>
                <w:bCs/>
                <w:kern w:val="0"/>
                <w:sz w:val="28"/>
                <w:szCs w:val="28"/>
              </w:rPr>
            </w:pPr>
            <w:r>
              <w:rPr>
                <w:rFonts w:hint="eastAsia" w:ascii="仿宋" w:hAnsi="仿宋" w:eastAsia="仿宋" w:cs="仿宋"/>
                <w:bCs/>
                <w:kern w:val="0"/>
                <w:sz w:val="28"/>
                <w:szCs w:val="28"/>
                <w:lang w:val="en-US" w:eastAsia="zh-CN" w:bidi="ar-SA"/>
              </w:rPr>
              <w:t>人员配备</w:t>
            </w:r>
          </w:p>
        </w:tc>
        <w:tc>
          <w:tcPr>
            <w:tcW w:w="6223" w:type="dxa"/>
            <w:vAlign w:val="center"/>
          </w:tcPr>
          <w:p>
            <w:pPr>
              <w:jc w:val="both"/>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5.1投标人成员在本项目应配备1名项目负责人。项目负责人具有PMP证书且具有本科及以上学历证书的得1分。须提供在职近2个月的社保证明和上述证书复印件并加盖公章。</w:t>
            </w:r>
          </w:p>
        </w:tc>
        <w:tc>
          <w:tcPr>
            <w:tcW w:w="847" w:type="dxa"/>
            <w:vMerge w:val="restart"/>
            <w:vAlign w:val="center"/>
          </w:tcPr>
          <w:p>
            <w:pPr>
              <w:pStyle w:val="18"/>
              <w:spacing w:line="440" w:lineRule="exact"/>
              <w:ind w:firstLine="0" w:firstLineChars="0"/>
              <w:rPr>
                <w:rFonts w:hint="eastAsia" w:ascii="仿宋" w:hAnsi="仿宋" w:eastAsia="仿宋" w:cs="仿宋"/>
                <w:bCs/>
                <w:kern w:val="0"/>
                <w:sz w:val="28"/>
                <w:szCs w:val="28"/>
              </w:rPr>
            </w:pPr>
            <w:r>
              <w:rPr>
                <w:rFonts w:hint="eastAsia" w:ascii="仿宋" w:hAnsi="仿宋" w:eastAsia="仿宋" w:cs="仿宋"/>
                <w:bCs/>
                <w:kern w:val="0"/>
                <w:sz w:val="28"/>
                <w:szCs w:val="28"/>
                <w:lang w:val="en-US" w:eastAsia="zh-CN"/>
              </w:rPr>
              <w:t>2</w:t>
            </w:r>
            <w:r>
              <w:rPr>
                <w:rFonts w:hint="eastAsia" w:ascii="仿宋" w:hAnsi="仿宋" w:eastAsia="仿宋" w:cs="仿宋"/>
                <w:bCs/>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65" w:type="dxa"/>
            <w:vMerge w:val="continue"/>
            <w:vAlign w:val="center"/>
          </w:tcPr>
          <w:p>
            <w:pPr>
              <w:pStyle w:val="18"/>
              <w:spacing w:line="440" w:lineRule="exact"/>
              <w:ind w:firstLine="0" w:firstLineChars="0"/>
              <w:rPr>
                <w:rFonts w:hint="eastAsia" w:ascii="仿宋" w:hAnsi="仿宋" w:eastAsia="仿宋" w:cs="仿宋"/>
                <w:bCs/>
                <w:kern w:val="0"/>
                <w:sz w:val="28"/>
                <w:szCs w:val="28"/>
              </w:rPr>
            </w:pPr>
          </w:p>
        </w:tc>
        <w:tc>
          <w:tcPr>
            <w:tcW w:w="1003" w:type="dxa"/>
            <w:vMerge w:val="continue"/>
            <w:vAlign w:val="center"/>
          </w:tcPr>
          <w:p>
            <w:pPr>
              <w:pStyle w:val="18"/>
              <w:spacing w:line="440" w:lineRule="exact"/>
              <w:ind w:firstLine="0" w:firstLineChars="0"/>
              <w:rPr>
                <w:rFonts w:hint="eastAsia" w:ascii="仿宋" w:hAnsi="仿宋" w:eastAsia="仿宋" w:cs="仿宋"/>
                <w:bCs/>
                <w:kern w:val="0"/>
                <w:sz w:val="28"/>
                <w:szCs w:val="28"/>
              </w:rPr>
            </w:pPr>
          </w:p>
        </w:tc>
        <w:tc>
          <w:tcPr>
            <w:tcW w:w="1088" w:type="dxa"/>
            <w:vMerge w:val="continue"/>
            <w:vAlign w:val="center"/>
          </w:tcPr>
          <w:p>
            <w:pPr>
              <w:pStyle w:val="18"/>
              <w:spacing w:line="440" w:lineRule="exact"/>
              <w:ind w:firstLine="0" w:firstLineChars="0"/>
              <w:rPr>
                <w:rFonts w:hint="eastAsia" w:ascii="仿宋" w:hAnsi="仿宋" w:eastAsia="仿宋" w:cs="仿宋"/>
                <w:bCs/>
                <w:kern w:val="0"/>
                <w:sz w:val="28"/>
                <w:szCs w:val="28"/>
              </w:rPr>
            </w:pPr>
          </w:p>
        </w:tc>
        <w:tc>
          <w:tcPr>
            <w:tcW w:w="6223" w:type="dxa"/>
            <w:vAlign w:val="center"/>
          </w:tcPr>
          <w:p>
            <w:pPr>
              <w:jc w:val="both"/>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5.2投标人成员在本项目应配备不少于7人（含项目负责人）的项目实施团队。团队成员须具备全面综合的系统设计、实施、维护和安全建设能力，除项目负责人外，项目实施团队须具有中级资格证书的得1分。须提供相关人员的有效证书复印件和近2个月的社保缴纳证明，并加盖公章，否则不得分。（若其中1人同时具有多个证书，只计算其中1项）</w:t>
            </w:r>
          </w:p>
        </w:tc>
        <w:tc>
          <w:tcPr>
            <w:tcW w:w="847" w:type="dxa"/>
            <w:vMerge w:val="continue"/>
            <w:vAlign w:val="center"/>
          </w:tcPr>
          <w:p>
            <w:pPr>
              <w:pStyle w:val="18"/>
              <w:spacing w:line="440" w:lineRule="exact"/>
              <w:ind w:firstLine="0" w:firstLineChars="0"/>
              <w:rPr>
                <w:rFonts w:hint="eastAsia" w:ascii="仿宋" w:hAnsi="仿宋" w:eastAsia="仿宋" w:cs="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65" w:type="dxa"/>
            <w:vMerge w:val="restart"/>
            <w:vAlign w:val="center"/>
          </w:tcPr>
          <w:p>
            <w:pPr>
              <w:pStyle w:val="18"/>
              <w:spacing w:line="440" w:lineRule="exact"/>
              <w:ind w:firstLine="0" w:firstLineChars="0"/>
              <w:rPr>
                <w:rFonts w:hint="eastAsia" w:ascii="仿宋" w:hAnsi="仿宋" w:eastAsia="仿宋" w:cs="仿宋"/>
                <w:bCs/>
                <w:kern w:val="0"/>
                <w:sz w:val="28"/>
                <w:szCs w:val="28"/>
                <w:lang w:eastAsia="zh-CN"/>
              </w:rPr>
            </w:pPr>
            <w:r>
              <w:rPr>
                <w:rFonts w:hint="eastAsia" w:ascii="仿宋" w:hAnsi="仿宋" w:eastAsia="仿宋" w:cs="仿宋"/>
                <w:bCs/>
                <w:kern w:val="0"/>
                <w:sz w:val="28"/>
                <w:szCs w:val="28"/>
                <w:lang w:val="en-US" w:eastAsia="zh-CN"/>
              </w:rPr>
              <w:t>6</w:t>
            </w:r>
          </w:p>
        </w:tc>
        <w:tc>
          <w:tcPr>
            <w:tcW w:w="1003" w:type="dxa"/>
            <w:vMerge w:val="restart"/>
            <w:vAlign w:val="center"/>
          </w:tcPr>
          <w:p>
            <w:pPr>
              <w:jc w:val="both"/>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主观</w:t>
            </w:r>
          </w:p>
        </w:tc>
        <w:tc>
          <w:tcPr>
            <w:tcW w:w="1088" w:type="dxa"/>
            <w:vMerge w:val="restart"/>
            <w:vAlign w:val="center"/>
          </w:tcPr>
          <w:p>
            <w:pPr>
              <w:jc w:val="both"/>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平台的成熟度、运行能力和安全</w:t>
            </w:r>
          </w:p>
        </w:tc>
        <w:tc>
          <w:tcPr>
            <w:tcW w:w="6223" w:type="dxa"/>
            <w:vAlign w:val="center"/>
          </w:tcPr>
          <w:p>
            <w:pPr>
              <w:jc w:val="both"/>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6.1 根据所提供的云平台产品知名度、成熟度横向比较，综合评比最优得4－5分，良好得2－3分，一般得0－1分。</w:t>
            </w:r>
          </w:p>
        </w:tc>
        <w:tc>
          <w:tcPr>
            <w:tcW w:w="847" w:type="dxa"/>
            <w:vMerge w:val="restart"/>
            <w:vAlign w:val="center"/>
          </w:tcPr>
          <w:p>
            <w:pPr>
              <w:pStyle w:val="18"/>
              <w:spacing w:line="440" w:lineRule="exact"/>
              <w:ind w:firstLine="0" w:firstLineChars="0"/>
              <w:rPr>
                <w:rFonts w:hint="eastAsia" w:ascii="仿宋" w:hAnsi="仿宋" w:eastAsia="仿宋" w:cs="仿宋"/>
                <w:bCs/>
                <w:kern w:val="0"/>
                <w:sz w:val="28"/>
                <w:szCs w:val="28"/>
              </w:rPr>
            </w:pPr>
            <w:r>
              <w:rPr>
                <w:rFonts w:hint="eastAsia" w:ascii="仿宋" w:hAnsi="仿宋" w:eastAsia="仿宋" w:cs="仿宋"/>
                <w:bCs/>
                <w:kern w:val="0"/>
                <w:sz w:val="28"/>
                <w:szCs w:val="28"/>
                <w:lang w:val="en-US" w:eastAsia="zh-CN"/>
              </w:rPr>
              <w:t>15</w:t>
            </w:r>
            <w:r>
              <w:rPr>
                <w:rFonts w:hint="eastAsia" w:ascii="仿宋" w:hAnsi="仿宋" w:eastAsia="仿宋" w:cs="仿宋"/>
                <w:bCs/>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vMerge w:val="continue"/>
            <w:vAlign w:val="center"/>
          </w:tcPr>
          <w:p>
            <w:pPr>
              <w:pStyle w:val="18"/>
              <w:spacing w:line="440" w:lineRule="exact"/>
              <w:ind w:firstLine="0" w:firstLineChars="0"/>
              <w:rPr>
                <w:rFonts w:hint="eastAsia" w:ascii="仿宋" w:hAnsi="仿宋" w:eastAsia="仿宋" w:cs="仿宋"/>
                <w:bCs/>
                <w:kern w:val="0"/>
                <w:sz w:val="28"/>
                <w:szCs w:val="28"/>
              </w:rPr>
            </w:pPr>
          </w:p>
        </w:tc>
        <w:tc>
          <w:tcPr>
            <w:tcW w:w="1003" w:type="dxa"/>
            <w:vMerge w:val="continue"/>
            <w:vAlign w:val="top"/>
          </w:tcPr>
          <w:p>
            <w:pPr>
              <w:jc w:val="both"/>
              <w:rPr>
                <w:rFonts w:hint="eastAsia" w:ascii="仿宋" w:hAnsi="仿宋" w:eastAsia="仿宋" w:cs="仿宋"/>
                <w:bCs/>
                <w:kern w:val="0"/>
                <w:sz w:val="28"/>
                <w:szCs w:val="28"/>
                <w:lang w:val="en-US" w:eastAsia="zh-CN" w:bidi="ar-SA"/>
              </w:rPr>
            </w:pPr>
          </w:p>
        </w:tc>
        <w:tc>
          <w:tcPr>
            <w:tcW w:w="1088" w:type="dxa"/>
            <w:vMerge w:val="continue"/>
            <w:vAlign w:val="center"/>
          </w:tcPr>
          <w:p>
            <w:pPr>
              <w:jc w:val="both"/>
              <w:rPr>
                <w:rFonts w:hint="eastAsia" w:ascii="仿宋" w:hAnsi="仿宋" w:eastAsia="仿宋" w:cs="仿宋"/>
                <w:bCs/>
                <w:kern w:val="0"/>
                <w:sz w:val="28"/>
                <w:szCs w:val="28"/>
                <w:lang w:val="en-US" w:eastAsia="zh-CN" w:bidi="ar-SA"/>
              </w:rPr>
            </w:pPr>
          </w:p>
        </w:tc>
        <w:tc>
          <w:tcPr>
            <w:tcW w:w="6223" w:type="dxa"/>
            <w:vAlign w:val="center"/>
          </w:tcPr>
          <w:p>
            <w:pPr>
              <w:jc w:val="both"/>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6.2 所提供的云平台其架构具备政务专有云能力，采用大规模分布式架构，单个集群支持5000及以上台物理服务器规模，满足得3分，其它的酌情扣分（需提供相关证明文件，不提供不得分）。</w:t>
            </w:r>
          </w:p>
        </w:tc>
        <w:tc>
          <w:tcPr>
            <w:tcW w:w="847" w:type="dxa"/>
            <w:vMerge w:val="continue"/>
            <w:vAlign w:val="center"/>
          </w:tcPr>
          <w:p>
            <w:pPr>
              <w:pStyle w:val="18"/>
              <w:spacing w:line="440" w:lineRule="exact"/>
              <w:ind w:firstLine="0" w:firstLineChars="0"/>
              <w:rPr>
                <w:rFonts w:hint="eastAsia" w:ascii="仿宋" w:hAnsi="仿宋" w:eastAsia="仿宋" w:cs="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65" w:type="dxa"/>
            <w:vMerge w:val="continue"/>
            <w:vAlign w:val="center"/>
          </w:tcPr>
          <w:p>
            <w:pPr>
              <w:pStyle w:val="18"/>
              <w:spacing w:line="440" w:lineRule="exact"/>
              <w:ind w:firstLine="0" w:firstLineChars="0"/>
              <w:rPr>
                <w:rFonts w:hint="eastAsia" w:ascii="仿宋" w:hAnsi="仿宋" w:eastAsia="仿宋" w:cs="仿宋"/>
                <w:bCs/>
                <w:kern w:val="0"/>
                <w:sz w:val="28"/>
                <w:szCs w:val="28"/>
              </w:rPr>
            </w:pPr>
          </w:p>
        </w:tc>
        <w:tc>
          <w:tcPr>
            <w:tcW w:w="1003" w:type="dxa"/>
            <w:vMerge w:val="continue"/>
            <w:vAlign w:val="top"/>
          </w:tcPr>
          <w:p>
            <w:pPr>
              <w:jc w:val="both"/>
              <w:rPr>
                <w:rFonts w:hint="eastAsia" w:ascii="仿宋" w:hAnsi="仿宋" w:eastAsia="仿宋" w:cs="仿宋"/>
                <w:bCs/>
                <w:kern w:val="0"/>
                <w:sz w:val="28"/>
                <w:szCs w:val="28"/>
                <w:lang w:val="en-US" w:eastAsia="zh-CN" w:bidi="ar-SA"/>
              </w:rPr>
            </w:pPr>
          </w:p>
        </w:tc>
        <w:tc>
          <w:tcPr>
            <w:tcW w:w="1088" w:type="dxa"/>
            <w:vMerge w:val="continue"/>
            <w:vAlign w:val="center"/>
          </w:tcPr>
          <w:p>
            <w:pPr>
              <w:jc w:val="both"/>
              <w:rPr>
                <w:rFonts w:hint="eastAsia" w:ascii="仿宋" w:hAnsi="仿宋" w:eastAsia="仿宋" w:cs="仿宋"/>
                <w:bCs/>
                <w:kern w:val="0"/>
                <w:sz w:val="28"/>
                <w:szCs w:val="28"/>
                <w:lang w:val="en-US" w:eastAsia="zh-CN" w:bidi="ar-SA"/>
              </w:rPr>
            </w:pPr>
          </w:p>
        </w:tc>
        <w:tc>
          <w:tcPr>
            <w:tcW w:w="6223" w:type="dxa"/>
            <w:vAlign w:val="center"/>
          </w:tcPr>
          <w:p>
            <w:pPr>
              <w:jc w:val="both"/>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6.3 提供多云管理的功能：在同平台下，应能够实现同时查看不同云平台的资源使用等情况（含区县），满足的得3分，其它的酌情扣分。</w:t>
            </w:r>
          </w:p>
        </w:tc>
        <w:tc>
          <w:tcPr>
            <w:tcW w:w="847" w:type="dxa"/>
            <w:vMerge w:val="continue"/>
            <w:vAlign w:val="center"/>
          </w:tcPr>
          <w:p>
            <w:pPr>
              <w:pStyle w:val="18"/>
              <w:spacing w:line="440" w:lineRule="exact"/>
              <w:ind w:firstLine="0" w:firstLineChars="0"/>
              <w:rPr>
                <w:rFonts w:hint="eastAsia" w:ascii="仿宋" w:hAnsi="仿宋" w:eastAsia="仿宋" w:cs="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5" w:type="dxa"/>
            <w:vMerge w:val="continue"/>
            <w:vAlign w:val="center"/>
          </w:tcPr>
          <w:p>
            <w:pPr>
              <w:pStyle w:val="18"/>
              <w:spacing w:line="440" w:lineRule="exact"/>
              <w:ind w:firstLine="0" w:firstLineChars="0"/>
              <w:rPr>
                <w:rFonts w:hint="eastAsia" w:ascii="仿宋" w:hAnsi="仿宋" w:eastAsia="仿宋" w:cs="仿宋"/>
                <w:bCs/>
                <w:kern w:val="0"/>
                <w:sz w:val="28"/>
                <w:szCs w:val="28"/>
              </w:rPr>
            </w:pPr>
          </w:p>
        </w:tc>
        <w:tc>
          <w:tcPr>
            <w:tcW w:w="1003" w:type="dxa"/>
            <w:vMerge w:val="continue"/>
            <w:vAlign w:val="top"/>
          </w:tcPr>
          <w:p>
            <w:pPr>
              <w:jc w:val="both"/>
              <w:rPr>
                <w:rFonts w:hint="eastAsia" w:ascii="仿宋" w:hAnsi="仿宋" w:eastAsia="仿宋" w:cs="仿宋"/>
                <w:bCs/>
                <w:kern w:val="0"/>
                <w:sz w:val="28"/>
                <w:szCs w:val="28"/>
                <w:lang w:val="en-US" w:eastAsia="zh-CN" w:bidi="ar-SA"/>
              </w:rPr>
            </w:pPr>
          </w:p>
        </w:tc>
        <w:tc>
          <w:tcPr>
            <w:tcW w:w="1088" w:type="dxa"/>
            <w:vMerge w:val="continue"/>
            <w:vAlign w:val="center"/>
          </w:tcPr>
          <w:p>
            <w:pPr>
              <w:jc w:val="both"/>
              <w:rPr>
                <w:rFonts w:hint="eastAsia" w:ascii="仿宋" w:hAnsi="仿宋" w:eastAsia="仿宋" w:cs="仿宋"/>
                <w:bCs/>
                <w:kern w:val="0"/>
                <w:sz w:val="28"/>
                <w:szCs w:val="28"/>
                <w:lang w:val="en-US" w:eastAsia="zh-CN" w:bidi="ar-SA"/>
              </w:rPr>
            </w:pPr>
          </w:p>
        </w:tc>
        <w:tc>
          <w:tcPr>
            <w:tcW w:w="6223" w:type="dxa"/>
            <w:vAlign w:val="center"/>
          </w:tcPr>
          <w:p>
            <w:pPr>
              <w:jc w:val="both"/>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6.</w:t>
            </w:r>
            <w:r>
              <w:rPr>
                <w:rFonts w:hint="eastAsia" w:ascii="仿宋" w:hAnsi="仿宋" w:eastAsia="仿宋" w:cs="仿宋"/>
                <w:bCs/>
                <w:kern w:val="0"/>
                <w:sz w:val="28"/>
                <w:szCs w:val="28"/>
                <w:lang w:val="en" w:eastAsia="zh-CN" w:bidi="ar-SA"/>
              </w:rPr>
              <w:t>4</w:t>
            </w:r>
            <w:r>
              <w:rPr>
                <w:rFonts w:hint="eastAsia" w:ascii="仿宋" w:hAnsi="仿宋" w:eastAsia="仿宋" w:cs="仿宋"/>
                <w:bCs/>
                <w:kern w:val="0"/>
                <w:sz w:val="28"/>
                <w:szCs w:val="28"/>
                <w:lang w:val="en-US" w:eastAsia="zh-CN" w:bidi="ar-SA"/>
              </w:rPr>
              <w:t>云内安全防护设计方案技术合理；系统功能描述清楚、完善，符合相关安全标准。优秀得4分，良好得2－3分，一般得0－1分。</w:t>
            </w:r>
          </w:p>
        </w:tc>
        <w:tc>
          <w:tcPr>
            <w:tcW w:w="847" w:type="dxa"/>
            <w:vMerge w:val="continue"/>
            <w:vAlign w:val="center"/>
          </w:tcPr>
          <w:p>
            <w:pPr>
              <w:pStyle w:val="18"/>
              <w:spacing w:line="440" w:lineRule="exact"/>
              <w:ind w:firstLine="0" w:firstLineChars="0"/>
              <w:rPr>
                <w:rFonts w:hint="eastAsia" w:ascii="仿宋" w:hAnsi="仿宋" w:eastAsia="仿宋" w:cs="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65" w:type="dxa"/>
            <w:vAlign w:val="center"/>
          </w:tcPr>
          <w:p>
            <w:pPr>
              <w:pStyle w:val="18"/>
              <w:spacing w:line="440" w:lineRule="exact"/>
              <w:ind w:firstLine="0" w:firstLineChars="0"/>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7</w:t>
            </w:r>
          </w:p>
        </w:tc>
        <w:tc>
          <w:tcPr>
            <w:tcW w:w="1003" w:type="dxa"/>
            <w:vAlign w:val="center"/>
          </w:tcPr>
          <w:p>
            <w:pPr>
              <w:jc w:val="center"/>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主观</w:t>
            </w:r>
          </w:p>
        </w:tc>
        <w:tc>
          <w:tcPr>
            <w:tcW w:w="1088" w:type="dxa"/>
            <w:vAlign w:val="center"/>
          </w:tcPr>
          <w:p>
            <w:pPr>
              <w:jc w:val="center"/>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系统演示</w:t>
            </w:r>
          </w:p>
        </w:tc>
        <w:tc>
          <w:tcPr>
            <w:tcW w:w="6223" w:type="dxa"/>
            <w:vAlign w:val="center"/>
          </w:tcPr>
          <w:p>
            <w:pPr>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为充分体现投标人的服务支持能力，确保后续各单位在申请、审批政务云服务方面能够得到良好的平台支撑，保证投标人云资源管理平台与省IRS平台对接，实现云资源申请、审批、开通、计费和日常使用率监测规范化运转，投标人需演示以下内容：</w:t>
            </w:r>
          </w:p>
          <w:p>
            <w:pPr>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7.1、演示登录省IRS平台，在IRS平台上进行云资源申请，并在IRS平台进行审批，审批通过后工单流转至投标人云资源管理平台可查看到相关工单信息，实现云资源自动开通，开通结果回传省IRS平台。（按照功能演示完整度评分，优秀得3分、一般得1分、不满足或者未演示得0分。）</w:t>
            </w:r>
          </w:p>
          <w:p>
            <w:pPr>
              <w:pStyle w:val="2"/>
              <w:ind w:firstLine="210"/>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7.2演示登录投标人“云资源管理平台”，可以查看到所有云资源产品的规格和单价，并支持对单价进行调整；可按照账单时间、申请部门、关联业务系统名称、云资源产品等维度进行云资源账单查询，查询结果支持导出。（按照功能演示完整度评分，优秀得3分、一般得1分、不满足或者未演示得0分。）</w:t>
            </w:r>
          </w:p>
          <w:p>
            <w:pPr>
              <w:pStyle w:val="2"/>
              <w:ind w:firstLine="210"/>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7.3、演示投标人“云资源管理平台”，可以查看市本级及各区县云资源的使用情况，如CPU，内存、磁盘总量等指标，可查看云资源的告警统计信息及详情信息。（按照功能演示完整度评分，优秀得3分、一般得1分、不满足或者未演示得0分。）。</w:t>
            </w:r>
          </w:p>
          <w:p>
            <w:pPr>
              <w:pStyle w:val="2"/>
              <w:ind w:firstLine="280" w:firstLineChars="100"/>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注：本系统演示环节不超过10分钟，需要使用真实系统演示。图片、PPT演示等均不得分。</w:t>
            </w:r>
          </w:p>
        </w:tc>
        <w:tc>
          <w:tcPr>
            <w:tcW w:w="847" w:type="dxa"/>
            <w:vAlign w:val="center"/>
          </w:tcPr>
          <w:p>
            <w:pPr>
              <w:jc w:val="center"/>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65" w:type="dxa"/>
            <w:vMerge w:val="restart"/>
            <w:vAlign w:val="center"/>
          </w:tcPr>
          <w:p>
            <w:pPr>
              <w:pStyle w:val="18"/>
              <w:spacing w:line="440" w:lineRule="exact"/>
              <w:ind w:firstLine="0" w:firstLineChars="0"/>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8</w:t>
            </w:r>
          </w:p>
        </w:tc>
        <w:tc>
          <w:tcPr>
            <w:tcW w:w="1003" w:type="dxa"/>
            <w:vMerge w:val="restart"/>
            <w:vAlign w:val="center"/>
          </w:tcPr>
          <w:p>
            <w:pPr>
              <w:jc w:val="center"/>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主观</w:t>
            </w:r>
          </w:p>
        </w:tc>
        <w:tc>
          <w:tcPr>
            <w:tcW w:w="1088" w:type="dxa"/>
            <w:vMerge w:val="restart"/>
            <w:vAlign w:val="center"/>
          </w:tcPr>
          <w:p>
            <w:pPr>
              <w:jc w:val="center"/>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项目实施</w:t>
            </w:r>
          </w:p>
          <w:p>
            <w:pPr>
              <w:jc w:val="center"/>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方案</w:t>
            </w:r>
          </w:p>
        </w:tc>
        <w:tc>
          <w:tcPr>
            <w:tcW w:w="6223" w:type="dxa"/>
            <w:vAlign w:val="center"/>
          </w:tcPr>
          <w:p>
            <w:pPr>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8.1系统设计与技术方案（共10分）</w:t>
            </w:r>
          </w:p>
          <w:p>
            <w:pPr>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综合判断投标文件：系统总体设计思路及技术架构合理、先进；系统功能结构及描述清楚、完善；云资源服务管理和展现技术方案；实现与政务云（一期）合一的总体设计；与现有政务外网、互联网融合的整体设计（需提供拓扑图）；云安全的防护能力；应用系统部署规范和迁移方案的制定，包括协助制定迁移方案，部署迁移过程协调管理，风险评估与监控，保证应用迁移风险最小化等；（优秀得8-10分，良好得5-7分，一般得1-4分，差的得0分</w:t>
            </w:r>
          </w:p>
        </w:tc>
        <w:tc>
          <w:tcPr>
            <w:tcW w:w="847" w:type="dxa"/>
            <w:vMerge w:val="restart"/>
            <w:vAlign w:val="center"/>
          </w:tcPr>
          <w:p>
            <w:pPr>
              <w:jc w:val="center"/>
              <w:rPr>
                <w:rFonts w:hint="default" w:eastAsia="宋体"/>
                <w:lang w:val="en-US" w:eastAsia="zh-CN"/>
              </w:rPr>
            </w:pPr>
            <w:r>
              <w:rPr>
                <w:rFonts w:hint="eastAsia" w:ascii="仿宋" w:hAnsi="仿宋" w:eastAsia="仿宋" w:cs="仿宋"/>
                <w:bCs/>
                <w:kern w:val="0"/>
                <w:sz w:val="28"/>
                <w:szCs w:val="28"/>
                <w:lang w:val="en-US" w:eastAsia="zh-CN" w:bidi="ar-SA"/>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65" w:type="dxa"/>
            <w:vMerge w:val="continue"/>
            <w:vAlign w:val="center"/>
          </w:tcPr>
          <w:p>
            <w:pPr>
              <w:pStyle w:val="18"/>
              <w:spacing w:line="440" w:lineRule="exact"/>
              <w:ind w:firstLine="0" w:firstLineChars="0"/>
              <w:rPr>
                <w:rFonts w:hint="eastAsia" w:ascii="仿宋" w:hAnsi="仿宋" w:eastAsia="仿宋" w:cs="仿宋"/>
                <w:bCs/>
                <w:kern w:val="0"/>
                <w:sz w:val="28"/>
                <w:szCs w:val="28"/>
                <w:lang w:val="en-US" w:eastAsia="zh-CN" w:bidi="ar-SA"/>
              </w:rPr>
            </w:pPr>
          </w:p>
        </w:tc>
        <w:tc>
          <w:tcPr>
            <w:tcW w:w="1003" w:type="dxa"/>
            <w:vMerge w:val="continue"/>
            <w:vAlign w:val="center"/>
          </w:tcPr>
          <w:p>
            <w:pPr>
              <w:jc w:val="center"/>
              <w:rPr>
                <w:rFonts w:hint="eastAsia" w:ascii="仿宋" w:hAnsi="仿宋" w:eastAsia="仿宋" w:cs="仿宋"/>
                <w:bCs/>
                <w:kern w:val="0"/>
                <w:sz w:val="28"/>
                <w:szCs w:val="28"/>
                <w:lang w:val="en-US" w:eastAsia="zh-CN" w:bidi="ar-SA"/>
              </w:rPr>
            </w:pPr>
          </w:p>
        </w:tc>
        <w:tc>
          <w:tcPr>
            <w:tcW w:w="1088" w:type="dxa"/>
            <w:vMerge w:val="continue"/>
            <w:vAlign w:val="center"/>
          </w:tcPr>
          <w:p>
            <w:pPr>
              <w:jc w:val="center"/>
              <w:rPr>
                <w:rFonts w:hint="eastAsia" w:ascii="仿宋" w:hAnsi="仿宋" w:eastAsia="仿宋" w:cs="仿宋"/>
                <w:bCs/>
                <w:kern w:val="0"/>
                <w:sz w:val="28"/>
                <w:szCs w:val="28"/>
                <w:lang w:val="en-US" w:eastAsia="zh-CN" w:bidi="ar-SA"/>
              </w:rPr>
            </w:pPr>
          </w:p>
        </w:tc>
        <w:tc>
          <w:tcPr>
            <w:tcW w:w="6223" w:type="dxa"/>
            <w:vAlign w:val="center"/>
          </w:tcPr>
          <w:p>
            <w:pPr>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8.2项目服务方案（共10分）</w:t>
            </w:r>
          </w:p>
          <w:p>
            <w:pPr>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1、综合比较投标人针对本项目建设背景、需求的理解，理解准确到位的得4－5分；基本合理、完善的得2－3分；不合理、不完善的得0－1分。</w:t>
            </w:r>
          </w:p>
          <w:p>
            <w:pPr>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2、项目服务方案整体设计内容科学、合理、可靠、有针对性的得 4－5分；基本科学、合理、可靠的得2－3分；不科学、不合理的得 0－1分。</w:t>
            </w:r>
          </w:p>
        </w:tc>
        <w:tc>
          <w:tcPr>
            <w:tcW w:w="84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65" w:type="dxa"/>
            <w:vMerge w:val="continue"/>
            <w:vAlign w:val="center"/>
          </w:tcPr>
          <w:p>
            <w:pPr>
              <w:pStyle w:val="18"/>
              <w:spacing w:line="440" w:lineRule="exact"/>
              <w:ind w:firstLine="0" w:firstLineChars="0"/>
              <w:rPr>
                <w:rFonts w:hint="eastAsia" w:ascii="仿宋" w:hAnsi="仿宋" w:eastAsia="仿宋" w:cs="仿宋"/>
                <w:bCs/>
                <w:kern w:val="0"/>
                <w:sz w:val="28"/>
                <w:szCs w:val="28"/>
                <w:lang w:val="en-US" w:eastAsia="zh-CN" w:bidi="ar-SA"/>
              </w:rPr>
            </w:pPr>
          </w:p>
        </w:tc>
        <w:tc>
          <w:tcPr>
            <w:tcW w:w="1003" w:type="dxa"/>
            <w:vMerge w:val="continue"/>
            <w:vAlign w:val="center"/>
          </w:tcPr>
          <w:p>
            <w:pPr>
              <w:jc w:val="center"/>
              <w:rPr>
                <w:rFonts w:hint="eastAsia" w:ascii="仿宋" w:hAnsi="仿宋" w:eastAsia="仿宋" w:cs="仿宋"/>
                <w:bCs/>
                <w:kern w:val="0"/>
                <w:sz w:val="28"/>
                <w:szCs w:val="28"/>
                <w:lang w:val="en-US" w:eastAsia="zh-CN" w:bidi="ar-SA"/>
              </w:rPr>
            </w:pPr>
          </w:p>
        </w:tc>
        <w:tc>
          <w:tcPr>
            <w:tcW w:w="1088" w:type="dxa"/>
            <w:vMerge w:val="continue"/>
            <w:vAlign w:val="center"/>
          </w:tcPr>
          <w:p>
            <w:pPr>
              <w:jc w:val="center"/>
              <w:rPr>
                <w:rFonts w:hint="eastAsia" w:ascii="仿宋" w:hAnsi="仿宋" w:eastAsia="仿宋" w:cs="仿宋"/>
                <w:bCs/>
                <w:kern w:val="0"/>
                <w:sz w:val="28"/>
                <w:szCs w:val="28"/>
                <w:lang w:val="en-US" w:eastAsia="zh-CN" w:bidi="ar-SA"/>
              </w:rPr>
            </w:pPr>
          </w:p>
        </w:tc>
        <w:tc>
          <w:tcPr>
            <w:tcW w:w="6223" w:type="dxa"/>
            <w:vAlign w:val="center"/>
          </w:tcPr>
          <w:p>
            <w:pPr>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8.3硬件部署方案（共5分）</w:t>
            </w:r>
          </w:p>
          <w:p>
            <w:pPr>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项目实施方案中包括严密的、具有逻辑性、成熟的实施方法，对项目实施各环节的任务和过程交付成果定义清晰打分。综合评比最优得4－5分，良好得2－3分，一般得0－1分。</w:t>
            </w:r>
          </w:p>
        </w:tc>
        <w:tc>
          <w:tcPr>
            <w:tcW w:w="84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65" w:type="dxa"/>
            <w:vMerge w:val="restart"/>
            <w:vAlign w:val="center"/>
          </w:tcPr>
          <w:p>
            <w:pPr>
              <w:rPr>
                <w:rFonts w:hint="default"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9</w:t>
            </w:r>
          </w:p>
        </w:tc>
        <w:tc>
          <w:tcPr>
            <w:tcW w:w="1003" w:type="dxa"/>
            <w:vMerge w:val="restart"/>
            <w:vAlign w:val="center"/>
          </w:tcPr>
          <w:p>
            <w:pPr>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主观</w:t>
            </w:r>
          </w:p>
        </w:tc>
        <w:tc>
          <w:tcPr>
            <w:tcW w:w="1088" w:type="dxa"/>
            <w:vMerge w:val="restart"/>
            <w:vAlign w:val="center"/>
          </w:tcPr>
          <w:p>
            <w:pPr>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云内硬件、软件产品</w:t>
            </w:r>
          </w:p>
        </w:tc>
        <w:tc>
          <w:tcPr>
            <w:tcW w:w="6223" w:type="dxa"/>
            <w:vAlign w:val="center"/>
          </w:tcPr>
          <w:p>
            <w:pPr>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9.1 投标人所提供的用于本项目的硬件产品应满足服务能力要求。重点评估自主可控知识产权、产品功能、产品可用性与可靠性指标及配置数量。综合评比最优得4－5分，良好得2－3分，一般得0－1分。</w:t>
            </w:r>
          </w:p>
        </w:tc>
        <w:tc>
          <w:tcPr>
            <w:tcW w:w="847" w:type="dxa"/>
            <w:vMerge w:val="restart"/>
            <w:vAlign w:val="center"/>
          </w:tcPr>
          <w:p>
            <w:pPr>
              <w:jc w:val="center"/>
            </w:pPr>
            <w:r>
              <w:rPr>
                <w:rFonts w:hint="eastAsia" w:ascii="仿宋" w:hAnsi="仿宋" w:eastAsia="仿宋" w:cs="仿宋"/>
                <w:bCs/>
                <w:kern w:val="0"/>
                <w:sz w:val="28"/>
                <w:szCs w:val="28"/>
                <w:lang w:val="en" w:eastAsia="zh-CN" w:bidi="ar-SA"/>
              </w:rPr>
              <w:t>10</w:t>
            </w:r>
            <w:r>
              <w:rPr>
                <w:rFonts w:hint="eastAsia" w:ascii="仿宋" w:hAnsi="仿宋" w:eastAsia="仿宋" w:cs="仿宋"/>
                <w:bCs/>
                <w:kern w:val="0"/>
                <w:sz w:val="28"/>
                <w:szCs w:val="28"/>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65" w:type="dxa"/>
            <w:vMerge w:val="continue"/>
            <w:vAlign w:val="center"/>
          </w:tcPr>
          <w:p>
            <w:pPr>
              <w:pStyle w:val="18"/>
              <w:spacing w:line="440" w:lineRule="exact"/>
              <w:ind w:firstLine="0" w:firstLineChars="0"/>
              <w:rPr>
                <w:rFonts w:hint="eastAsia" w:ascii="仿宋" w:hAnsi="仿宋" w:eastAsia="仿宋" w:cs="仿宋"/>
                <w:bCs/>
                <w:kern w:val="0"/>
                <w:sz w:val="28"/>
                <w:szCs w:val="28"/>
                <w:lang w:val="en-US" w:eastAsia="zh-CN" w:bidi="ar-SA"/>
              </w:rPr>
            </w:pPr>
          </w:p>
        </w:tc>
        <w:tc>
          <w:tcPr>
            <w:tcW w:w="1003" w:type="dxa"/>
            <w:vMerge w:val="continue"/>
            <w:vAlign w:val="center"/>
          </w:tcPr>
          <w:p>
            <w:pPr>
              <w:jc w:val="center"/>
              <w:rPr>
                <w:rFonts w:hint="eastAsia" w:ascii="仿宋" w:hAnsi="仿宋" w:eastAsia="仿宋" w:cs="仿宋"/>
                <w:bCs/>
                <w:kern w:val="0"/>
                <w:sz w:val="28"/>
                <w:szCs w:val="28"/>
                <w:lang w:val="en-US" w:eastAsia="zh-CN" w:bidi="ar-SA"/>
              </w:rPr>
            </w:pPr>
          </w:p>
        </w:tc>
        <w:tc>
          <w:tcPr>
            <w:tcW w:w="1088" w:type="dxa"/>
            <w:vMerge w:val="continue"/>
            <w:vAlign w:val="center"/>
          </w:tcPr>
          <w:p>
            <w:pPr>
              <w:jc w:val="center"/>
              <w:rPr>
                <w:rFonts w:hint="eastAsia" w:ascii="仿宋" w:hAnsi="仿宋" w:eastAsia="仿宋" w:cs="仿宋"/>
                <w:bCs/>
                <w:kern w:val="0"/>
                <w:sz w:val="28"/>
                <w:szCs w:val="28"/>
                <w:lang w:val="en-US" w:eastAsia="zh-CN" w:bidi="ar-SA"/>
              </w:rPr>
            </w:pPr>
          </w:p>
        </w:tc>
        <w:tc>
          <w:tcPr>
            <w:tcW w:w="6223" w:type="dxa"/>
            <w:vAlign w:val="center"/>
          </w:tcPr>
          <w:p>
            <w:pPr>
              <w:rPr>
                <w:rFonts w:hint="eastAsia" w:ascii="仿宋" w:hAnsi="仿宋" w:eastAsia="仿宋" w:cs="仿宋"/>
                <w:bCs/>
                <w:kern w:val="0"/>
                <w:sz w:val="28"/>
                <w:szCs w:val="28"/>
                <w:lang w:val="en" w:eastAsia="zh-CN" w:bidi="ar-SA"/>
              </w:rPr>
            </w:pPr>
            <w:r>
              <w:rPr>
                <w:rFonts w:hint="eastAsia" w:ascii="仿宋" w:hAnsi="仿宋" w:eastAsia="仿宋" w:cs="仿宋"/>
                <w:bCs/>
                <w:kern w:val="0"/>
                <w:sz w:val="28"/>
                <w:szCs w:val="28"/>
                <w:lang w:val="en-US" w:eastAsia="zh-CN" w:bidi="ar-SA"/>
              </w:rPr>
              <w:t>9.2 投标人所提供的用于本项目的软件产品应满足服务能力要求，重点评估自主可控知识产权、产品功能、产品可用性与可靠性指标。综合评比最优得4－5分，良好得2－3分，一般得0－1分。</w:t>
            </w:r>
          </w:p>
        </w:tc>
        <w:tc>
          <w:tcPr>
            <w:tcW w:w="84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65" w:type="dxa"/>
            <w:vAlign w:val="center"/>
          </w:tcPr>
          <w:p>
            <w:pPr>
              <w:rPr>
                <w:rFonts w:hint="default"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10</w:t>
            </w:r>
          </w:p>
        </w:tc>
        <w:tc>
          <w:tcPr>
            <w:tcW w:w="1003" w:type="dxa"/>
            <w:vAlign w:val="center"/>
          </w:tcPr>
          <w:p>
            <w:pPr>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主观</w:t>
            </w:r>
          </w:p>
        </w:tc>
        <w:tc>
          <w:tcPr>
            <w:tcW w:w="1088" w:type="dxa"/>
            <w:vAlign w:val="center"/>
          </w:tcPr>
          <w:p>
            <w:pPr>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机房</w:t>
            </w:r>
          </w:p>
          <w:p>
            <w:pPr>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环境</w:t>
            </w:r>
          </w:p>
        </w:tc>
        <w:tc>
          <w:tcPr>
            <w:tcW w:w="6223" w:type="dxa"/>
            <w:vAlign w:val="center"/>
          </w:tcPr>
          <w:p>
            <w:pPr>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IDC机房应具备良好的硬件条件，包括机房空间、空调、电源、监控、消防、安全及日常办公空间；IDC机房与市民服务中心直线距离是否≤10公里（请在地图上标注二点直线距离）。综合评比最优得4－5分，良好得2－3分，一般得0－1分。</w:t>
            </w:r>
          </w:p>
        </w:tc>
        <w:tc>
          <w:tcPr>
            <w:tcW w:w="847" w:type="dxa"/>
            <w:vAlign w:val="center"/>
          </w:tcPr>
          <w:p>
            <w:pPr>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 w:eastAsia="zh-CN" w:bidi="ar-SA"/>
              </w:rPr>
              <w:t>5</w:t>
            </w:r>
            <w:r>
              <w:rPr>
                <w:rFonts w:hint="eastAsia" w:ascii="仿宋" w:hAnsi="仿宋" w:eastAsia="仿宋" w:cs="仿宋"/>
                <w:bCs/>
                <w:kern w:val="0"/>
                <w:sz w:val="28"/>
                <w:szCs w:val="28"/>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65" w:type="dxa"/>
            <w:vMerge w:val="restart"/>
            <w:vAlign w:val="center"/>
          </w:tcPr>
          <w:p>
            <w:pPr>
              <w:rPr>
                <w:rFonts w:hint="default"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11</w:t>
            </w:r>
          </w:p>
        </w:tc>
        <w:tc>
          <w:tcPr>
            <w:tcW w:w="1003" w:type="dxa"/>
            <w:vMerge w:val="restart"/>
            <w:vAlign w:val="center"/>
          </w:tcPr>
          <w:p>
            <w:pPr>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主观</w:t>
            </w:r>
          </w:p>
        </w:tc>
        <w:tc>
          <w:tcPr>
            <w:tcW w:w="1088" w:type="dxa"/>
            <w:vMerge w:val="restart"/>
            <w:vAlign w:val="center"/>
          </w:tcPr>
          <w:p>
            <w:pPr>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售后服务承诺</w:t>
            </w:r>
          </w:p>
        </w:tc>
        <w:tc>
          <w:tcPr>
            <w:tcW w:w="6223" w:type="dxa"/>
            <w:vAlign w:val="center"/>
          </w:tcPr>
          <w:p>
            <w:pPr>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11.1售后服务方案全面周到得2分，售后服务不全面得1分，除招标文件规定内容外无其他售后服务承诺的，该项不得分。</w:t>
            </w:r>
          </w:p>
        </w:tc>
        <w:tc>
          <w:tcPr>
            <w:tcW w:w="847" w:type="dxa"/>
            <w:vMerge w:val="restart"/>
            <w:vAlign w:val="center"/>
          </w:tcPr>
          <w:p>
            <w:pPr>
              <w:rPr>
                <w:rFonts w:hint="eastAsia" w:ascii="仿宋" w:hAnsi="仿宋" w:eastAsia="仿宋" w:cs="仿宋"/>
                <w:bCs/>
                <w:kern w:val="0"/>
                <w:sz w:val="28"/>
                <w:szCs w:val="28"/>
                <w:lang w:val="en" w:eastAsia="zh-CN" w:bidi="ar-SA"/>
              </w:rPr>
            </w:pPr>
            <w:r>
              <w:rPr>
                <w:rFonts w:hint="default" w:ascii="仿宋" w:hAnsi="仿宋" w:eastAsia="仿宋" w:cs="仿宋"/>
                <w:bCs/>
                <w:kern w:val="0"/>
                <w:sz w:val="28"/>
                <w:szCs w:val="28"/>
                <w:lang w:val="en" w:eastAsia="zh-CN" w:bidi="ar-SA"/>
              </w:rPr>
              <w:t>5</w:t>
            </w:r>
            <w:r>
              <w:rPr>
                <w:rFonts w:hint="eastAsia" w:ascii="仿宋" w:hAnsi="仿宋" w:eastAsia="仿宋" w:cs="仿宋"/>
                <w:bCs/>
                <w:kern w:val="0"/>
                <w:sz w:val="28"/>
                <w:szCs w:val="28"/>
                <w:lang w:val="en"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65" w:type="dxa"/>
            <w:vMerge w:val="continue"/>
            <w:vAlign w:val="center"/>
          </w:tcPr>
          <w:p>
            <w:pPr>
              <w:rPr>
                <w:rFonts w:hint="eastAsia" w:ascii="仿宋" w:hAnsi="仿宋" w:eastAsia="仿宋" w:cs="仿宋"/>
                <w:bCs/>
                <w:kern w:val="0"/>
                <w:sz w:val="28"/>
                <w:szCs w:val="28"/>
                <w:lang w:val="en-US" w:eastAsia="zh-CN" w:bidi="ar-SA"/>
              </w:rPr>
            </w:pPr>
          </w:p>
        </w:tc>
        <w:tc>
          <w:tcPr>
            <w:tcW w:w="1003" w:type="dxa"/>
            <w:vMerge w:val="continue"/>
            <w:vAlign w:val="center"/>
          </w:tcPr>
          <w:p>
            <w:pPr>
              <w:rPr>
                <w:rFonts w:hint="eastAsia" w:ascii="仿宋" w:hAnsi="仿宋" w:eastAsia="仿宋" w:cs="仿宋"/>
                <w:bCs/>
                <w:kern w:val="0"/>
                <w:sz w:val="28"/>
                <w:szCs w:val="28"/>
                <w:lang w:val="en-US" w:eastAsia="zh-CN" w:bidi="ar-SA"/>
              </w:rPr>
            </w:pPr>
          </w:p>
        </w:tc>
        <w:tc>
          <w:tcPr>
            <w:tcW w:w="1088" w:type="dxa"/>
            <w:vMerge w:val="continue"/>
            <w:vAlign w:val="center"/>
          </w:tcPr>
          <w:p>
            <w:pPr>
              <w:rPr>
                <w:rFonts w:hint="eastAsia" w:ascii="仿宋" w:hAnsi="仿宋" w:eastAsia="仿宋" w:cs="仿宋"/>
                <w:bCs/>
                <w:kern w:val="0"/>
                <w:sz w:val="28"/>
                <w:szCs w:val="28"/>
                <w:lang w:val="en-US" w:eastAsia="zh-CN" w:bidi="ar-SA"/>
              </w:rPr>
            </w:pPr>
          </w:p>
        </w:tc>
        <w:tc>
          <w:tcPr>
            <w:tcW w:w="6223" w:type="dxa"/>
            <w:vAlign w:val="center"/>
          </w:tcPr>
          <w:p>
            <w:pPr>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11.2培训计划：培训计划较详细、全面、可行，能够对项目的使用对象提供全面的培训的得1分；培训计划及措施较粗略，可行性较差的不得分。</w:t>
            </w:r>
          </w:p>
        </w:tc>
        <w:tc>
          <w:tcPr>
            <w:tcW w:w="847" w:type="dxa"/>
            <w:vMerge w:val="continue"/>
            <w:vAlign w:val="center"/>
          </w:tcPr>
          <w:p>
            <w:pPr>
              <w:rPr>
                <w:rFonts w:hint="eastAsia" w:ascii="仿宋" w:hAnsi="仿宋" w:eastAsia="仿宋" w:cs="仿宋"/>
                <w:bCs/>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65" w:type="dxa"/>
            <w:vMerge w:val="continue"/>
            <w:vAlign w:val="center"/>
          </w:tcPr>
          <w:p>
            <w:pPr>
              <w:rPr>
                <w:rFonts w:hint="eastAsia" w:ascii="仿宋" w:hAnsi="仿宋" w:eastAsia="仿宋" w:cs="仿宋"/>
                <w:bCs/>
                <w:kern w:val="0"/>
                <w:sz w:val="28"/>
                <w:szCs w:val="28"/>
                <w:lang w:val="en-US" w:eastAsia="zh-CN" w:bidi="ar-SA"/>
              </w:rPr>
            </w:pPr>
          </w:p>
        </w:tc>
        <w:tc>
          <w:tcPr>
            <w:tcW w:w="1003" w:type="dxa"/>
            <w:vAlign w:val="center"/>
          </w:tcPr>
          <w:p>
            <w:pPr>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客观</w:t>
            </w:r>
          </w:p>
        </w:tc>
        <w:tc>
          <w:tcPr>
            <w:tcW w:w="1088" w:type="dxa"/>
            <w:vMerge w:val="continue"/>
            <w:vAlign w:val="center"/>
          </w:tcPr>
          <w:p>
            <w:pPr>
              <w:rPr>
                <w:rFonts w:hint="eastAsia" w:ascii="仿宋" w:hAnsi="仿宋" w:eastAsia="仿宋" w:cs="仿宋"/>
                <w:bCs/>
                <w:kern w:val="0"/>
                <w:sz w:val="28"/>
                <w:szCs w:val="28"/>
                <w:lang w:val="en-US" w:eastAsia="zh-CN" w:bidi="ar-SA"/>
              </w:rPr>
            </w:pPr>
          </w:p>
        </w:tc>
        <w:tc>
          <w:tcPr>
            <w:tcW w:w="6223" w:type="dxa"/>
            <w:vAlign w:val="center"/>
          </w:tcPr>
          <w:p>
            <w:pPr>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11.3投标人在项目所在地拥有常驻技术支持服务机构的得2分；投标人承诺中标后15天之内在项目所在地设立技术支持服务机构并常驻至项目结束得1分；无承诺的不得分。</w:t>
            </w:r>
          </w:p>
          <w:p>
            <w:pPr>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（须提供详细的网点营业执照、地址、联系人、联系方式或承诺书等）未提供的不得分。</w:t>
            </w:r>
          </w:p>
        </w:tc>
        <w:tc>
          <w:tcPr>
            <w:tcW w:w="847" w:type="dxa"/>
            <w:vMerge w:val="continue"/>
            <w:vAlign w:val="center"/>
          </w:tcPr>
          <w:p>
            <w:pPr>
              <w:rPr>
                <w:rFonts w:hint="eastAsia" w:ascii="仿宋" w:hAnsi="仿宋" w:eastAsia="仿宋" w:cs="仿宋"/>
                <w:bCs/>
                <w:kern w:val="0"/>
                <w:sz w:val="28"/>
                <w:szCs w:val="28"/>
                <w:lang w:val="en-US" w:eastAsia="zh-CN" w:bidi="ar-SA"/>
              </w:rPr>
            </w:pPr>
          </w:p>
        </w:tc>
      </w:tr>
    </w:tbl>
    <w:p>
      <w:pPr>
        <w:pStyle w:val="2"/>
        <w:ind w:firstLine="0" w:firstLineChars="0"/>
        <w:rPr>
          <w:rFonts w:hint="eastAsia" w:ascii="仿宋" w:hAnsi="仿宋" w:eastAsia="仿宋" w:cs="仿宋"/>
          <w:sz w:val="28"/>
          <w:szCs w:val="28"/>
        </w:rPr>
      </w:pPr>
    </w:p>
    <w:p>
      <w:pPr>
        <w:spacing w:line="440" w:lineRule="exact"/>
        <w:ind w:firstLine="550" w:firstLineChars="196"/>
        <w:rPr>
          <w:rFonts w:hint="eastAsia" w:ascii="仿宋" w:hAnsi="仿宋" w:eastAsia="仿宋" w:cs="仿宋"/>
          <w:b/>
          <w:bCs/>
          <w:sz w:val="28"/>
          <w:szCs w:val="28"/>
        </w:rPr>
      </w:pPr>
      <w:r>
        <w:rPr>
          <w:rFonts w:hint="eastAsia" w:ascii="仿宋" w:hAnsi="仿宋" w:eastAsia="仿宋" w:cs="仿宋"/>
          <w:b/>
          <w:bCs/>
          <w:sz w:val="28"/>
          <w:szCs w:val="28"/>
        </w:rPr>
        <w:t>价格部分、商务技术部分各项得分保留小数点后二位小数，第三位四舍五入。</w:t>
      </w:r>
    </w:p>
    <w:p>
      <w:pPr>
        <w:spacing w:line="440" w:lineRule="exact"/>
        <w:rPr>
          <w:rFonts w:hint="eastAsia" w:ascii="仿宋" w:hAnsi="仿宋" w:eastAsia="仿宋" w:cs="仿宋"/>
          <w:b/>
          <w:bCs/>
          <w:spacing w:val="14"/>
          <w:sz w:val="28"/>
          <w:szCs w:val="28"/>
        </w:rPr>
      </w:pPr>
      <w:r>
        <w:rPr>
          <w:rFonts w:hint="eastAsia" w:ascii="仿宋" w:hAnsi="仿宋" w:eastAsia="仿宋" w:cs="仿宋"/>
          <w:b/>
          <w:bCs/>
          <w:spacing w:val="14"/>
          <w:sz w:val="28"/>
          <w:szCs w:val="28"/>
        </w:rPr>
        <w:t>5.评标程序与方法</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5.1对通过资格性检查的投标人进行</w:t>
      </w:r>
      <w:r>
        <w:rPr>
          <w:rFonts w:hint="eastAsia" w:ascii="仿宋" w:hAnsi="仿宋" w:eastAsia="仿宋" w:cs="仿宋"/>
          <w:bCs/>
          <w:sz w:val="28"/>
          <w:szCs w:val="28"/>
        </w:rPr>
        <w:t>符合性</w:t>
      </w:r>
      <w:r>
        <w:rPr>
          <w:rFonts w:hint="eastAsia" w:ascii="仿宋" w:hAnsi="仿宋" w:eastAsia="仿宋" w:cs="仿宋"/>
          <w:sz w:val="28"/>
          <w:szCs w:val="28"/>
        </w:rPr>
        <w:t>检查。依据招标文件的规定，从投标文件的有效性、完整性和对招标文件的响应程度进行审查，以确定是否对招标文件的实质性要求做出响应。</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5.2澄清有关问题。对投标文件中含义不明确、同类问题表述不一致或者有明显文字和计算错误的内容，评标委员会可要求投标人做出必要的澄清、说明。投标人的说明或者澄清应当采用数据电文形式，加盖单位电子签章，并不得超出投标文件的范围或者改变投标文件的实质性内容。</w:t>
      </w:r>
    </w:p>
    <w:p>
      <w:pPr>
        <w:spacing w:line="440" w:lineRule="exact"/>
        <w:ind w:firstLine="560" w:firstLineChars="200"/>
        <w:rPr>
          <w:rFonts w:hint="default" w:ascii="仿宋" w:hAnsi="仿宋" w:eastAsia="仿宋" w:cs="仿宋"/>
          <w:spacing w:val="-4"/>
          <w:sz w:val="28"/>
          <w:szCs w:val="28"/>
          <w:lang w:val="en-US" w:eastAsia="zh-CN"/>
        </w:rPr>
      </w:pPr>
      <w:r>
        <w:rPr>
          <w:rFonts w:hint="eastAsia" w:ascii="仿宋" w:hAnsi="仿宋" w:eastAsia="仿宋" w:cs="仿宋"/>
          <w:sz w:val="28"/>
          <w:szCs w:val="28"/>
        </w:rPr>
        <w:t>5.3</w:t>
      </w:r>
      <w:r>
        <w:rPr>
          <w:rFonts w:hint="eastAsia" w:ascii="仿宋" w:hAnsi="仿宋" w:eastAsia="仿宋" w:cs="仿宋"/>
          <w:spacing w:val="-4"/>
          <w:sz w:val="28"/>
          <w:szCs w:val="28"/>
        </w:rPr>
        <w:t>比较与评价。评标委员会按上述规定的评标内容和标准，对资格性检查和符合性检查合格的投标文件进行综合比较与独立评分。</w:t>
      </w:r>
      <w:r>
        <w:rPr>
          <w:rFonts w:hint="eastAsia" w:ascii="仿宋" w:hAnsi="仿宋" w:eastAsia="仿宋" w:cs="仿宋"/>
          <w:spacing w:val="-4"/>
          <w:sz w:val="28"/>
          <w:szCs w:val="28"/>
          <w:lang w:eastAsia="zh-CN"/>
        </w:rPr>
        <w:t>评委个人主观打分偏离所有评审小组成员主观打分平均值</w:t>
      </w:r>
      <w:r>
        <w:rPr>
          <w:rFonts w:hint="eastAsia" w:ascii="仿宋" w:hAnsi="仿宋" w:eastAsia="仿宋" w:cs="仿宋"/>
          <w:spacing w:val="-4"/>
          <w:sz w:val="28"/>
          <w:szCs w:val="28"/>
          <w:lang w:val="en-US" w:eastAsia="zh-CN"/>
        </w:rPr>
        <w:t>30%（含）以上的，由评审委员会启动评分畸高、畸低行为认定程序，限制专家自由裁量权。</w:t>
      </w:r>
    </w:p>
    <w:p>
      <w:pPr>
        <w:spacing w:line="440" w:lineRule="exact"/>
        <w:ind w:firstLine="600"/>
        <w:rPr>
          <w:rFonts w:hint="eastAsia" w:ascii="仿宋" w:hAnsi="仿宋" w:eastAsia="仿宋" w:cs="仿宋"/>
          <w:sz w:val="28"/>
          <w:szCs w:val="28"/>
        </w:rPr>
      </w:pPr>
      <w:r>
        <w:rPr>
          <w:rFonts w:hint="eastAsia" w:ascii="仿宋" w:hAnsi="仿宋" w:eastAsia="仿宋" w:cs="仿宋"/>
          <w:sz w:val="28"/>
          <w:szCs w:val="28"/>
        </w:rPr>
        <w:t>5.4推荐中标候选供应商名单。按各评委评出的最终得分由高到低顺序排列，推荐1名中标候选供应商（如最终得分相同的，按投标报价由低到高顺序排列;最终得分且投标报价相同的，按技术指标优劣顺序排列）。</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6.监督管理</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本项目在湖州市财政局监督下进行。</w:t>
      </w:r>
    </w:p>
    <w:p>
      <w:pPr>
        <w:spacing w:line="500" w:lineRule="exact"/>
        <w:ind w:firstLine="560" w:firstLineChars="200"/>
        <w:rPr>
          <w:rFonts w:hint="eastAsia" w:ascii="仿宋" w:hAnsi="仿宋" w:eastAsia="仿宋" w:cs="仿宋"/>
          <w:sz w:val="28"/>
          <w:szCs w:val="28"/>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Verdana">
    <w:altName w:val="DejaVu Sans"/>
    <w:panose1 w:val="020B0604030504040204"/>
    <w:charset w:val="00"/>
    <w:family w:val="swiss"/>
    <w:pitch w:val="default"/>
    <w:sig w:usb0="00000000" w:usb1="00000000" w:usb2="0000001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Theme="minorEastAsia" w:hAnsiTheme="minorEastAsia" w:eastAsiaTheme="minorEastAsia"/>
      </w:rPr>
    </w:pPr>
    <w:r>
      <w:rPr>
        <w:rFonts w:hint="eastAsia" w:asciiTheme="minorEastAsia" w:hAnsiTheme="minorEastAsia" w:eastAsiaTheme="minorEastAsia"/>
      </w:rPr>
      <w:t>第</w:t>
    </w:r>
    <w:sdt>
      <w:sdtPr>
        <w:rPr>
          <w:rFonts w:asciiTheme="minorEastAsia" w:hAnsiTheme="minorEastAsia" w:eastAsiaTheme="minorEastAsia"/>
        </w:rPr>
        <w:id w:val="1"/>
      </w:sdtPr>
      <w:sdtEndPr>
        <w:rPr>
          <w:rFonts w:asciiTheme="minorEastAsia" w:hAnsiTheme="minorEastAsia" w:eastAsiaTheme="minorEastAsia"/>
        </w:rPr>
      </w:sdtEndPr>
      <w:sdtContent>
        <w:sdt>
          <w:sdtPr>
            <w:rPr>
              <w:rFonts w:asciiTheme="minorEastAsia" w:hAnsiTheme="minorEastAsia" w:eastAsiaTheme="minorEastAsia"/>
            </w:rPr>
            <w:id w:val="1846590257"/>
          </w:sdtPr>
          <w:sdtEndPr>
            <w:rPr>
              <w:rFonts w:asciiTheme="minorEastAsia" w:hAnsiTheme="minorEastAsia" w:eastAsiaTheme="minorEastAsia"/>
            </w:rPr>
          </w:sdtEndPr>
          <w:sdtContent>
            <w:r>
              <w:rPr>
                <w:rFonts w:asciiTheme="minorEastAsia" w:hAnsiTheme="minorEastAsia" w:eastAsiaTheme="minorEastAsia"/>
                <w:bCs/>
              </w:rPr>
              <w:fldChar w:fldCharType="begin"/>
            </w:r>
            <w:r>
              <w:rPr>
                <w:rFonts w:asciiTheme="minorEastAsia" w:hAnsiTheme="minorEastAsia" w:eastAsiaTheme="minorEastAsia"/>
                <w:bCs/>
              </w:rPr>
              <w:instrText xml:space="preserve">PAGE</w:instrText>
            </w:r>
            <w:r>
              <w:rPr>
                <w:rFonts w:asciiTheme="minorEastAsia" w:hAnsiTheme="minorEastAsia" w:eastAsiaTheme="minorEastAsia"/>
                <w:bCs/>
              </w:rPr>
              <w:fldChar w:fldCharType="separate"/>
            </w:r>
            <w:r>
              <w:rPr>
                <w:rFonts w:asciiTheme="minorEastAsia" w:hAnsiTheme="minorEastAsia" w:eastAsiaTheme="minorEastAsia"/>
                <w:bCs/>
              </w:rPr>
              <w:t>20</w:t>
            </w:r>
            <w:r>
              <w:rPr>
                <w:rFonts w:asciiTheme="minorEastAsia" w:hAnsiTheme="minorEastAsia" w:eastAsiaTheme="minorEastAsia"/>
                <w:bCs/>
              </w:rPr>
              <w:fldChar w:fldCharType="end"/>
            </w:r>
            <w:r>
              <w:rPr>
                <w:rFonts w:hint="eastAsia" w:asciiTheme="minorEastAsia" w:hAnsiTheme="minorEastAsia" w:eastAsiaTheme="minorEastAsia"/>
                <w:bCs/>
              </w:rPr>
              <w:t>页，共</w:t>
            </w:r>
            <w:r>
              <w:rPr>
                <w:rFonts w:asciiTheme="minorEastAsia" w:hAnsiTheme="minorEastAsia" w:eastAsiaTheme="minorEastAsia"/>
                <w:bCs/>
              </w:rPr>
              <w:fldChar w:fldCharType="begin"/>
            </w:r>
            <w:r>
              <w:rPr>
                <w:rFonts w:asciiTheme="minorEastAsia" w:hAnsiTheme="minorEastAsia" w:eastAsiaTheme="minorEastAsia"/>
                <w:bCs/>
              </w:rPr>
              <w:instrText xml:space="preserve">NUMPAGES</w:instrText>
            </w:r>
            <w:r>
              <w:rPr>
                <w:rFonts w:asciiTheme="minorEastAsia" w:hAnsiTheme="minorEastAsia" w:eastAsiaTheme="minorEastAsia"/>
                <w:bCs/>
              </w:rPr>
              <w:fldChar w:fldCharType="separate"/>
            </w:r>
            <w:r>
              <w:rPr>
                <w:rFonts w:asciiTheme="minorEastAsia" w:hAnsiTheme="minorEastAsia" w:eastAsiaTheme="minorEastAsia"/>
                <w:bCs/>
              </w:rPr>
              <w:t>55</w:t>
            </w:r>
            <w:r>
              <w:rPr>
                <w:rFonts w:asciiTheme="minorEastAsia" w:hAnsiTheme="minorEastAsia" w:eastAsiaTheme="minorEastAsia"/>
                <w:bCs/>
              </w:rPr>
              <w:fldChar w:fldCharType="end"/>
            </w:r>
            <w:r>
              <w:rPr>
                <w:rFonts w:hint="eastAsia" w:asciiTheme="minorEastAsia" w:hAnsiTheme="minorEastAsia" w:eastAsiaTheme="minorEastAsia"/>
                <w:bCs/>
              </w:rPr>
              <w:t>页</w:t>
            </w:r>
          </w:sdtContent>
        </w:sdt>
      </w:sdtContent>
    </w:sdt>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4"/>
      </w:rPr>
    </w:pPr>
    <w:r>
      <w:rPr>
        <w:rStyle w:val="34"/>
      </w:rPr>
      <w:fldChar w:fldCharType="begin"/>
    </w:r>
    <w:r>
      <w:rPr>
        <w:rStyle w:val="34"/>
      </w:rPr>
      <w:instrText xml:space="preserve">PAGE  </w:instrText>
    </w:r>
    <w:r>
      <w:rPr>
        <w:rStyle w:val="34"/>
      </w:rPr>
      <w:fldChar w:fldCharType="end"/>
    </w:r>
  </w:p>
  <w:p>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8568783"/>
    </w:sdtPr>
    <w:sdtContent>
      <w:sdt>
        <w:sdtPr>
          <w:id w:val="98381352"/>
        </w:sdtPr>
        <w:sdtContent>
          <w:p>
            <w:pPr>
              <w:pStyle w:val="20"/>
              <w:jc w:val="center"/>
            </w:pPr>
            <w:r>
              <w:rPr>
                <w:rFonts w:hint="eastAsia"/>
              </w:rPr>
              <w:t>第</w:t>
            </w:r>
            <w:r>
              <w:rPr>
                <w:lang w:val="zh-CN"/>
              </w:rPr>
              <w:t xml:space="preserve"> </w:t>
            </w:r>
            <w:r>
              <w:rPr>
                <w:bCs/>
              </w:rPr>
              <w:fldChar w:fldCharType="begin"/>
            </w:r>
            <w:r>
              <w:rPr>
                <w:bCs/>
              </w:rPr>
              <w:instrText xml:space="preserve">PAGE</w:instrText>
            </w:r>
            <w:r>
              <w:rPr>
                <w:bCs/>
              </w:rPr>
              <w:fldChar w:fldCharType="separate"/>
            </w:r>
            <w:r>
              <w:rPr>
                <w:bCs/>
              </w:rPr>
              <w:t>26</w:t>
            </w:r>
            <w:r>
              <w:rPr>
                <w:bCs/>
              </w:rPr>
              <w:fldChar w:fldCharType="end"/>
            </w:r>
            <w:r>
              <w:rPr>
                <w:lang w:val="zh-CN"/>
              </w:rPr>
              <w:t xml:space="preserve"> </w:t>
            </w:r>
            <w:r>
              <w:rPr>
                <w:rFonts w:hint="eastAsia"/>
                <w:lang w:val="zh-CN"/>
              </w:rPr>
              <w:t>页，共</w:t>
            </w:r>
            <w:r>
              <w:rPr>
                <w:lang w:val="zh-CN"/>
              </w:rPr>
              <w:t xml:space="preserve"> </w:t>
            </w:r>
            <w:r>
              <w:rPr>
                <w:bCs/>
              </w:rPr>
              <w:fldChar w:fldCharType="begin"/>
            </w:r>
            <w:r>
              <w:rPr>
                <w:bCs/>
              </w:rPr>
              <w:instrText xml:space="preserve">NUMPAGES</w:instrText>
            </w:r>
            <w:r>
              <w:rPr>
                <w:bCs/>
              </w:rPr>
              <w:fldChar w:fldCharType="separate"/>
            </w:r>
            <w:r>
              <w:rPr>
                <w:bCs/>
              </w:rPr>
              <w:t>55</w:t>
            </w:r>
            <w:r>
              <w:rPr>
                <w:bCs/>
              </w:rPr>
              <w:fldChar w:fldCharType="end"/>
            </w:r>
            <w:r>
              <w:rPr>
                <w:rFonts w:hint="eastAsia"/>
                <w:bCs/>
              </w:rPr>
              <w:t xml:space="preserve"> 页</w:t>
            </w:r>
          </w:p>
        </w:sdtContent>
      </w:sdt>
    </w:sdtContent>
  </w:sdt>
  <w:p>
    <w:pPr>
      <w:pStyle w:val="2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right" w:y="1"/>
      <w:rPr>
        <w:rStyle w:val="34"/>
      </w:rPr>
    </w:pPr>
    <w:r>
      <w:fldChar w:fldCharType="begin"/>
    </w:r>
    <w:r>
      <w:rPr>
        <w:rStyle w:val="34"/>
      </w:rPr>
      <w:instrText xml:space="preserve">PAGE  </w:instrText>
    </w:r>
    <w:r>
      <w:fldChar w:fldCharType="end"/>
    </w:r>
  </w:p>
  <w:p>
    <w:pPr>
      <w:pStyle w:val="2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1EFF24"/>
    <w:multiLevelType w:val="singleLevel"/>
    <w:tmpl w:val="FF1EFF24"/>
    <w:lvl w:ilvl="0" w:tentative="0">
      <w:start w:val="3"/>
      <w:numFmt w:val="decimal"/>
      <w:lvlText w:val="%1."/>
      <w:lvlJc w:val="left"/>
      <w:pPr>
        <w:tabs>
          <w:tab w:val="left" w:pos="312"/>
        </w:tabs>
      </w:pPr>
    </w:lvl>
  </w:abstractNum>
  <w:abstractNum w:abstractNumId="1">
    <w:nsid w:val="46218001"/>
    <w:multiLevelType w:val="singleLevel"/>
    <w:tmpl w:val="46218001"/>
    <w:lvl w:ilvl="0" w:tentative="0">
      <w:start w:val="1"/>
      <w:numFmt w:val="bullet"/>
      <w:lvlText w:val=""/>
      <w:lvlJc w:val="left"/>
      <w:pPr>
        <w:ind w:left="420" w:hanging="420"/>
      </w:pPr>
      <w:rPr>
        <w:rFonts w:hint="default" w:ascii="Wingdings" w:hAnsi="Wingdings"/>
      </w:rPr>
    </w:lvl>
  </w:abstractNum>
  <w:abstractNum w:abstractNumId="2">
    <w:nsid w:val="4E6F397B"/>
    <w:multiLevelType w:val="multilevel"/>
    <w:tmpl w:val="4E6F397B"/>
    <w:lvl w:ilvl="0" w:tentative="0">
      <w:start w:val="1"/>
      <w:numFmt w:val="decimal"/>
      <w:lvlText w:val="%1)"/>
      <w:lvlJc w:val="left"/>
      <w:pPr>
        <w:ind w:left="667" w:hanging="420"/>
      </w:pPr>
    </w:lvl>
    <w:lvl w:ilvl="1" w:tentative="0">
      <w:start w:val="1"/>
      <w:numFmt w:val="lowerLetter"/>
      <w:lvlText w:val="%2)"/>
      <w:lvlJc w:val="left"/>
      <w:pPr>
        <w:ind w:left="1087" w:hanging="420"/>
      </w:pPr>
    </w:lvl>
    <w:lvl w:ilvl="2" w:tentative="0">
      <w:start w:val="1"/>
      <w:numFmt w:val="lowerRoman"/>
      <w:lvlText w:val="%3."/>
      <w:lvlJc w:val="right"/>
      <w:pPr>
        <w:ind w:left="1507" w:hanging="420"/>
      </w:pPr>
    </w:lvl>
    <w:lvl w:ilvl="3" w:tentative="0">
      <w:start w:val="1"/>
      <w:numFmt w:val="decimal"/>
      <w:lvlText w:val="%4."/>
      <w:lvlJc w:val="left"/>
      <w:pPr>
        <w:ind w:left="1927" w:hanging="420"/>
      </w:pPr>
    </w:lvl>
    <w:lvl w:ilvl="4" w:tentative="0">
      <w:start w:val="1"/>
      <w:numFmt w:val="lowerLetter"/>
      <w:lvlText w:val="%5)"/>
      <w:lvlJc w:val="left"/>
      <w:pPr>
        <w:ind w:left="2347" w:hanging="420"/>
      </w:pPr>
    </w:lvl>
    <w:lvl w:ilvl="5" w:tentative="0">
      <w:start w:val="1"/>
      <w:numFmt w:val="lowerRoman"/>
      <w:lvlText w:val="%6."/>
      <w:lvlJc w:val="right"/>
      <w:pPr>
        <w:ind w:left="2767" w:hanging="420"/>
      </w:pPr>
    </w:lvl>
    <w:lvl w:ilvl="6" w:tentative="0">
      <w:start w:val="1"/>
      <w:numFmt w:val="decimal"/>
      <w:lvlText w:val="%7."/>
      <w:lvlJc w:val="left"/>
      <w:pPr>
        <w:ind w:left="3187" w:hanging="420"/>
      </w:pPr>
    </w:lvl>
    <w:lvl w:ilvl="7" w:tentative="0">
      <w:start w:val="1"/>
      <w:numFmt w:val="lowerLetter"/>
      <w:lvlText w:val="%8)"/>
      <w:lvlJc w:val="left"/>
      <w:pPr>
        <w:ind w:left="3607" w:hanging="420"/>
      </w:pPr>
    </w:lvl>
    <w:lvl w:ilvl="8" w:tentative="0">
      <w:start w:val="1"/>
      <w:numFmt w:val="lowerRoman"/>
      <w:lvlText w:val="%9."/>
      <w:lvlJc w:val="right"/>
      <w:pPr>
        <w:ind w:left="4027" w:hanging="420"/>
      </w:pPr>
    </w:lvl>
  </w:abstractNum>
  <w:abstractNum w:abstractNumId="3">
    <w:nsid w:val="4EB36067"/>
    <w:multiLevelType w:val="multilevel"/>
    <w:tmpl w:val="4EB36067"/>
    <w:lvl w:ilvl="0" w:tentative="0">
      <w:start w:val="1"/>
      <w:numFmt w:val="chineseCountingThousand"/>
      <w:suff w:val="space"/>
      <w:lvlText w:val="第%1章"/>
      <w:lvlJc w:val="left"/>
      <w:pPr>
        <w:ind w:left="0" w:firstLine="0"/>
      </w:pPr>
      <w:rPr>
        <w:rFonts w:hint="eastAsia"/>
        <w:b/>
        <w:i w:val="0"/>
        <w:spacing w:val="0"/>
      </w:rPr>
    </w:lvl>
    <w:lvl w:ilvl="1" w:tentative="0">
      <w:start w:val="1"/>
      <w:numFmt w:val="decimal"/>
      <w:isLgl/>
      <w:suff w:val="space"/>
      <w:lvlText w:val="%1.%2"/>
      <w:lvlJc w:val="left"/>
      <w:pPr>
        <w:ind w:left="0" w:firstLine="0"/>
      </w:pPr>
      <w:rPr>
        <w:rFonts w:hint="eastAsia"/>
      </w:rPr>
    </w:lvl>
    <w:lvl w:ilvl="2" w:tentative="0">
      <w:start w:val="1"/>
      <w:numFmt w:val="decimal"/>
      <w:pStyle w:val="7"/>
      <w:isLgl/>
      <w:suff w:val="space"/>
      <w:lvlText w:val="%1.%2.%3"/>
      <w:lvlJc w:val="left"/>
      <w:pPr>
        <w:ind w:left="851"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1134"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hideSpellingErrors/>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lOGIwZDUyOGViZjVjN2QyMmRmZGYwMjQ3ZGY1MzAifQ=="/>
  </w:docVars>
  <w:rsids>
    <w:rsidRoot w:val="00172A27"/>
    <w:rsid w:val="00000A61"/>
    <w:rsid w:val="00000E8C"/>
    <w:rsid w:val="00001CC3"/>
    <w:rsid w:val="00004C58"/>
    <w:rsid w:val="0000575F"/>
    <w:rsid w:val="00005A44"/>
    <w:rsid w:val="0001075D"/>
    <w:rsid w:val="00010E1D"/>
    <w:rsid w:val="0001135A"/>
    <w:rsid w:val="00011AEC"/>
    <w:rsid w:val="00011DA5"/>
    <w:rsid w:val="0001231C"/>
    <w:rsid w:val="00012CED"/>
    <w:rsid w:val="0001407D"/>
    <w:rsid w:val="000146AD"/>
    <w:rsid w:val="00015A55"/>
    <w:rsid w:val="00016254"/>
    <w:rsid w:val="00017723"/>
    <w:rsid w:val="00020A06"/>
    <w:rsid w:val="00020B09"/>
    <w:rsid w:val="00020D9D"/>
    <w:rsid w:val="00020F3E"/>
    <w:rsid w:val="000220A9"/>
    <w:rsid w:val="0002425C"/>
    <w:rsid w:val="00024367"/>
    <w:rsid w:val="00024CA1"/>
    <w:rsid w:val="000261C4"/>
    <w:rsid w:val="00027010"/>
    <w:rsid w:val="00027862"/>
    <w:rsid w:val="00027FAC"/>
    <w:rsid w:val="0003010F"/>
    <w:rsid w:val="00030DFB"/>
    <w:rsid w:val="0003218E"/>
    <w:rsid w:val="00032BFF"/>
    <w:rsid w:val="00035CE2"/>
    <w:rsid w:val="00036DE4"/>
    <w:rsid w:val="00037CBC"/>
    <w:rsid w:val="0004066C"/>
    <w:rsid w:val="000425DC"/>
    <w:rsid w:val="00044E45"/>
    <w:rsid w:val="00047912"/>
    <w:rsid w:val="00050307"/>
    <w:rsid w:val="000504C0"/>
    <w:rsid w:val="00052B32"/>
    <w:rsid w:val="00052FD3"/>
    <w:rsid w:val="000533BA"/>
    <w:rsid w:val="00055444"/>
    <w:rsid w:val="000559EA"/>
    <w:rsid w:val="00055C24"/>
    <w:rsid w:val="000567CE"/>
    <w:rsid w:val="0005685E"/>
    <w:rsid w:val="00056B75"/>
    <w:rsid w:val="00057086"/>
    <w:rsid w:val="00057464"/>
    <w:rsid w:val="00057786"/>
    <w:rsid w:val="0006093C"/>
    <w:rsid w:val="00061E81"/>
    <w:rsid w:val="000646B2"/>
    <w:rsid w:val="000647A2"/>
    <w:rsid w:val="00065CA6"/>
    <w:rsid w:val="00065DBE"/>
    <w:rsid w:val="00066E83"/>
    <w:rsid w:val="0006757E"/>
    <w:rsid w:val="00071054"/>
    <w:rsid w:val="00072DDE"/>
    <w:rsid w:val="000730CE"/>
    <w:rsid w:val="00073376"/>
    <w:rsid w:val="000733B9"/>
    <w:rsid w:val="000741C2"/>
    <w:rsid w:val="0007448A"/>
    <w:rsid w:val="0007674E"/>
    <w:rsid w:val="00081F8F"/>
    <w:rsid w:val="00083345"/>
    <w:rsid w:val="0008336D"/>
    <w:rsid w:val="0008347D"/>
    <w:rsid w:val="000840B6"/>
    <w:rsid w:val="00084999"/>
    <w:rsid w:val="000850BE"/>
    <w:rsid w:val="00085867"/>
    <w:rsid w:val="00085B17"/>
    <w:rsid w:val="00087844"/>
    <w:rsid w:val="00090252"/>
    <w:rsid w:val="0009060D"/>
    <w:rsid w:val="000907FD"/>
    <w:rsid w:val="000910E2"/>
    <w:rsid w:val="000941D2"/>
    <w:rsid w:val="0009438C"/>
    <w:rsid w:val="0009565F"/>
    <w:rsid w:val="00096654"/>
    <w:rsid w:val="0009759E"/>
    <w:rsid w:val="000A10B3"/>
    <w:rsid w:val="000A174A"/>
    <w:rsid w:val="000A28BD"/>
    <w:rsid w:val="000A2D29"/>
    <w:rsid w:val="000A3A34"/>
    <w:rsid w:val="000A3E7F"/>
    <w:rsid w:val="000A5249"/>
    <w:rsid w:val="000A6426"/>
    <w:rsid w:val="000B1A2F"/>
    <w:rsid w:val="000B27AA"/>
    <w:rsid w:val="000B2AF4"/>
    <w:rsid w:val="000B4459"/>
    <w:rsid w:val="000B4B44"/>
    <w:rsid w:val="000B5858"/>
    <w:rsid w:val="000B593B"/>
    <w:rsid w:val="000B7966"/>
    <w:rsid w:val="000C13AA"/>
    <w:rsid w:val="000C150C"/>
    <w:rsid w:val="000C203F"/>
    <w:rsid w:val="000C3C20"/>
    <w:rsid w:val="000C4C55"/>
    <w:rsid w:val="000C5310"/>
    <w:rsid w:val="000C5D02"/>
    <w:rsid w:val="000C6CAC"/>
    <w:rsid w:val="000D0B69"/>
    <w:rsid w:val="000D3084"/>
    <w:rsid w:val="000D3258"/>
    <w:rsid w:val="000D3B78"/>
    <w:rsid w:val="000D454E"/>
    <w:rsid w:val="000D59B9"/>
    <w:rsid w:val="000D6A2E"/>
    <w:rsid w:val="000E193D"/>
    <w:rsid w:val="000E20AD"/>
    <w:rsid w:val="000E2BE1"/>
    <w:rsid w:val="000E2F05"/>
    <w:rsid w:val="000E42CC"/>
    <w:rsid w:val="000E6EDA"/>
    <w:rsid w:val="000E71D7"/>
    <w:rsid w:val="000F16EA"/>
    <w:rsid w:val="000F2757"/>
    <w:rsid w:val="000F30D3"/>
    <w:rsid w:val="000F343C"/>
    <w:rsid w:val="000F3F4F"/>
    <w:rsid w:val="000F4129"/>
    <w:rsid w:val="000F4DFF"/>
    <w:rsid w:val="000F6CB2"/>
    <w:rsid w:val="001020B4"/>
    <w:rsid w:val="00103DE9"/>
    <w:rsid w:val="0010491A"/>
    <w:rsid w:val="00106A43"/>
    <w:rsid w:val="00106A99"/>
    <w:rsid w:val="00107093"/>
    <w:rsid w:val="00112371"/>
    <w:rsid w:val="00112EB9"/>
    <w:rsid w:val="00112EF3"/>
    <w:rsid w:val="00114348"/>
    <w:rsid w:val="001165F5"/>
    <w:rsid w:val="00116964"/>
    <w:rsid w:val="00117546"/>
    <w:rsid w:val="0012001C"/>
    <w:rsid w:val="0012089D"/>
    <w:rsid w:val="00120F80"/>
    <w:rsid w:val="001229F6"/>
    <w:rsid w:val="00123F3B"/>
    <w:rsid w:val="0012496A"/>
    <w:rsid w:val="00124D0F"/>
    <w:rsid w:val="0012626E"/>
    <w:rsid w:val="0012698E"/>
    <w:rsid w:val="001269A4"/>
    <w:rsid w:val="001270B5"/>
    <w:rsid w:val="00127312"/>
    <w:rsid w:val="001276E2"/>
    <w:rsid w:val="00127CB9"/>
    <w:rsid w:val="00127D76"/>
    <w:rsid w:val="001302DB"/>
    <w:rsid w:val="00131470"/>
    <w:rsid w:val="00132F78"/>
    <w:rsid w:val="00132FC5"/>
    <w:rsid w:val="001331F7"/>
    <w:rsid w:val="00133B3F"/>
    <w:rsid w:val="001346BD"/>
    <w:rsid w:val="00136677"/>
    <w:rsid w:val="0013744B"/>
    <w:rsid w:val="001401D3"/>
    <w:rsid w:val="00142A4C"/>
    <w:rsid w:val="00143B5B"/>
    <w:rsid w:val="00144046"/>
    <w:rsid w:val="001441D9"/>
    <w:rsid w:val="00144E75"/>
    <w:rsid w:val="00147CBC"/>
    <w:rsid w:val="0015150E"/>
    <w:rsid w:val="0015258E"/>
    <w:rsid w:val="00153209"/>
    <w:rsid w:val="0015397B"/>
    <w:rsid w:val="00153D3D"/>
    <w:rsid w:val="0015467E"/>
    <w:rsid w:val="00157357"/>
    <w:rsid w:val="00157C71"/>
    <w:rsid w:val="00161C99"/>
    <w:rsid w:val="00162A2F"/>
    <w:rsid w:val="00162E7E"/>
    <w:rsid w:val="00163C1D"/>
    <w:rsid w:val="00166905"/>
    <w:rsid w:val="001673CB"/>
    <w:rsid w:val="001713A8"/>
    <w:rsid w:val="001719E6"/>
    <w:rsid w:val="0017290F"/>
    <w:rsid w:val="00172A27"/>
    <w:rsid w:val="0017439E"/>
    <w:rsid w:val="001753BE"/>
    <w:rsid w:val="00180761"/>
    <w:rsid w:val="001812F9"/>
    <w:rsid w:val="00184B13"/>
    <w:rsid w:val="00186799"/>
    <w:rsid w:val="001870EA"/>
    <w:rsid w:val="0018782E"/>
    <w:rsid w:val="001929B7"/>
    <w:rsid w:val="00192F52"/>
    <w:rsid w:val="0019405C"/>
    <w:rsid w:val="00194422"/>
    <w:rsid w:val="00194E3B"/>
    <w:rsid w:val="00196507"/>
    <w:rsid w:val="0019657E"/>
    <w:rsid w:val="001965C1"/>
    <w:rsid w:val="001977B5"/>
    <w:rsid w:val="001A03C5"/>
    <w:rsid w:val="001A1145"/>
    <w:rsid w:val="001A2F42"/>
    <w:rsid w:val="001A36EC"/>
    <w:rsid w:val="001A4411"/>
    <w:rsid w:val="001A681B"/>
    <w:rsid w:val="001A6F6D"/>
    <w:rsid w:val="001A754B"/>
    <w:rsid w:val="001A7D06"/>
    <w:rsid w:val="001B15CF"/>
    <w:rsid w:val="001B205B"/>
    <w:rsid w:val="001B2B83"/>
    <w:rsid w:val="001B3ADE"/>
    <w:rsid w:val="001B4019"/>
    <w:rsid w:val="001B4D1C"/>
    <w:rsid w:val="001B51B8"/>
    <w:rsid w:val="001B64D9"/>
    <w:rsid w:val="001B7209"/>
    <w:rsid w:val="001B7783"/>
    <w:rsid w:val="001C06CA"/>
    <w:rsid w:val="001C0C44"/>
    <w:rsid w:val="001C347A"/>
    <w:rsid w:val="001C4A8F"/>
    <w:rsid w:val="001C4FFB"/>
    <w:rsid w:val="001C5D75"/>
    <w:rsid w:val="001C6E8B"/>
    <w:rsid w:val="001D07FD"/>
    <w:rsid w:val="001D095E"/>
    <w:rsid w:val="001D1C12"/>
    <w:rsid w:val="001D1D47"/>
    <w:rsid w:val="001D3BA7"/>
    <w:rsid w:val="001D41A7"/>
    <w:rsid w:val="001D5291"/>
    <w:rsid w:val="001D6A24"/>
    <w:rsid w:val="001D6A78"/>
    <w:rsid w:val="001D6CBC"/>
    <w:rsid w:val="001D748B"/>
    <w:rsid w:val="001D7EB2"/>
    <w:rsid w:val="001E1124"/>
    <w:rsid w:val="001E1FE1"/>
    <w:rsid w:val="001E3272"/>
    <w:rsid w:val="001E3E19"/>
    <w:rsid w:val="001E4340"/>
    <w:rsid w:val="001E5DED"/>
    <w:rsid w:val="001E7B2C"/>
    <w:rsid w:val="001F2002"/>
    <w:rsid w:val="001F47FF"/>
    <w:rsid w:val="001F4AC5"/>
    <w:rsid w:val="001F4CB3"/>
    <w:rsid w:val="001F52B2"/>
    <w:rsid w:val="001F63CB"/>
    <w:rsid w:val="001F6662"/>
    <w:rsid w:val="001F73C4"/>
    <w:rsid w:val="002006CE"/>
    <w:rsid w:val="002037A2"/>
    <w:rsid w:val="00203BB8"/>
    <w:rsid w:val="002046AC"/>
    <w:rsid w:val="00206677"/>
    <w:rsid w:val="002069B6"/>
    <w:rsid w:val="00206F73"/>
    <w:rsid w:val="0020731E"/>
    <w:rsid w:val="0020739C"/>
    <w:rsid w:val="0020767E"/>
    <w:rsid w:val="002079FB"/>
    <w:rsid w:val="002107D5"/>
    <w:rsid w:val="00211320"/>
    <w:rsid w:val="002117FF"/>
    <w:rsid w:val="00212A8E"/>
    <w:rsid w:val="00214C4D"/>
    <w:rsid w:val="00216870"/>
    <w:rsid w:val="002206B7"/>
    <w:rsid w:val="0022179C"/>
    <w:rsid w:val="00223114"/>
    <w:rsid w:val="00226CF6"/>
    <w:rsid w:val="00227546"/>
    <w:rsid w:val="00233E1C"/>
    <w:rsid w:val="00233F78"/>
    <w:rsid w:val="00234CE4"/>
    <w:rsid w:val="0023642F"/>
    <w:rsid w:val="00236F01"/>
    <w:rsid w:val="00240CC1"/>
    <w:rsid w:val="00242127"/>
    <w:rsid w:val="00243A08"/>
    <w:rsid w:val="002459E6"/>
    <w:rsid w:val="00245BA7"/>
    <w:rsid w:val="00246AC8"/>
    <w:rsid w:val="00246D47"/>
    <w:rsid w:val="00251444"/>
    <w:rsid w:val="002519C5"/>
    <w:rsid w:val="00252279"/>
    <w:rsid w:val="002522DC"/>
    <w:rsid w:val="00253FDD"/>
    <w:rsid w:val="00254AA2"/>
    <w:rsid w:val="002553CF"/>
    <w:rsid w:val="00255DC8"/>
    <w:rsid w:val="0026068E"/>
    <w:rsid w:val="00261BC1"/>
    <w:rsid w:val="00262506"/>
    <w:rsid w:val="00262827"/>
    <w:rsid w:val="002650DB"/>
    <w:rsid w:val="00265D73"/>
    <w:rsid w:val="002665E7"/>
    <w:rsid w:val="00270E6D"/>
    <w:rsid w:val="00271460"/>
    <w:rsid w:val="00271C10"/>
    <w:rsid w:val="002724E4"/>
    <w:rsid w:val="00273905"/>
    <w:rsid w:val="00273A46"/>
    <w:rsid w:val="00273B25"/>
    <w:rsid w:val="00275273"/>
    <w:rsid w:val="00276C48"/>
    <w:rsid w:val="002770A0"/>
    <w:rsid w:val="00281272"/>
    <w:rsid w:val="00282BFB"/>
    <w:rsid w:val="00283E8A"/>
    <w:rsid w:val="00285638"/>
    <w:rsid w:val="00286859"/>
    <w:rsid w:val="00287C79"/>
    <w:rsid w:val="00290489"/>
    <w:rsid w:val="002911E5"/>
    <w:rsid w:val="002913D9"/>
    <w:rsid w:val="002919BD"/>
    <w:rsid w:val="002931AC"/>
    <w:rsid w:val="002A0AAD"/>
    <w:rsid w:val="002A10A1"/>
    <w:rsid w:val="002A2AAB"/>
    <w:rsid w:val="002A3396"/>
    <w:rsid w:val="002A37AB"/>
    <w:rsid w:val="002A3B53"/>
    <w:rsid w:val="002A3C3C"/>
    <w:rsid w:val="002A3E4F"/>
    <w:rsid w:val="002A4440"/>
    <w:rsid w:val="002A5994"/>
    <w:rsid w:val="002A62C2"/>
    <w:rsid w:val="002A7314"/>
    <w:rsid w:val="002A77F9"/>
    <w:rsid w:val="002A7A01"/>
    <w:rsid w:val="002A7C0E"/>
    <w:rsid w:val="002A7C25"/>
    <w:rsid w:val="002B00E6"/>
    <w:rsid w:val="002B3373"/>
    <w:rsid w:val="002B34F9"/>
    <w:rsid w:val="002B4198"/>
    <w:rsid w:val="002B46B2"/>
    <w:rsid w:val="002B49FF"/>
    <w:rsid w:val="002B685C"/>
    <w:rsid w:val="002B6C21"/>
    <w:rsid w:val="002B7244"/>
    <w:rsid w:val="002B7BFE"/>
    <w:rsid w:val="002B7F46"/>
    <w:rsid w:val="002C1315"/>
    <w:rsid w:val="002C2A0D"/>
    <w:rsid w:val="002C46A1"/>
    <w:rsid w:val="002C644C"/>
    <w:rsid w:val="002C77E5"/>
    <w:rsid w:val="002C7992"/>
    <w:rsid w:val="002D01F9"/>
    <w:rsid w:val="002D0BAA"/>
    <w:rsid w:val="002D2A33"/>
    <w:rsid w:val="002D39F0"/>
    <w:rsid w:val="002D3C57"/>
    <w:rsid w:val="002D3EC4"/>
    <w:rsid w:val="002D43F5"/>
    <w:rsid w:val="002D57FD"/>
    <w:rsid w:val="002D630A"/>
    <w:rsid w:val="002D6599"/>
    <w:rsid w:val="002E0535"/>
    <w:rsid w:val="002E0719"/>
    <w:rsid w:val="002E2747"/>
    <w:rsid w:val="002F0D70"/>
    <w:rsid w:val="002F129C"/>
    <w:rsid w:val="002F1621"/>
    <w:rsid w:val="002F1E3C"/>
    <w:rsid w:val="002F2CF6"/>
    <w:rsid w:val="002F4161"/>
    <w:rsid w:val="002F4B1A"/>
    <w:rsid w:val="002F583C"/>
    <w:rsid w:val="002F76E9"/>
    <w:rsid w:val="003007FA"/>
    <w:rsid w:val="0030167C"/>
    <w:rsid w:val="00302294"/>
    <w:rsid w:val="00302483"/>
    <w:rsid w:val="00302609"/>
    <w:rsid w:val="00303091"/>
    <w:rsid w:val="00303C7E"/>
    <w:rsid w:val="0030545C"/>
    <w:rsid w:val="00306366"/>
    <w:rsid w:val="00306A54"/>
    <w:rsid w:val="00310FDC"/>
    <w:rsid w:val="003118D1"/>
    <w:rsid w:val="003121BA"/>
    <w:rsid w:val="00313767"/>
    <w:rsid w:val="003143B9"/>
    <w:rsid w:val="00315E96"/>
    <w:rsid w:val="00316638"/>
    <w:rsid w:val="003168D9"/>
    <w:rsid w:val="00317B3D"/>
    <w:rsid w:val="00320FC8"/>
    <w:rsid w:val="00321260"/>
    <w:rsid w:val="00322E62"/>
    <w:rsid w:val="00323664"/>
    <w:rsid w:val="00324756"/>
    <w:rsid w:val="00324BA5"/>
    <w:rsid w:val="00325578"/>
    <w:rsid w:val="00326796"/>
    <w:rsid w:val="00326BEF"/>
    <w:rsid w:val="0032718B"/>
    <w:rsid w:val="00330255"/>
    <w:rsid w:val="00330966"/>
    <w:rsid w:val="00332D7F"/>
    <w:rsid w:val="00334125"/>
    <w:rsid w:val="00337B3E"/>
    <w:rsid w:val="00337E98"/>
    <w:rsid w:val="00340F0C"/>
    <w:rsid w:val="00341BD9"/>
    <w:rsid w:val="0034297D"/>
    <w:rsid w:val="00342BAD"/>
    <w:rsid w:val="0034405F"/>
    <w:rsid w:val="003440B8"/>
    <w:rsid w:val="00345451"/>
    <w:rsid w:val="00345572"/>
    <w:rsid w:val="00346005"/>
    <w:rsid w:val="003466BD"/>
    <w:rsid w:val="00346A37"/>
    <w:rsid w:val="00347779"/>
    <w:rsid w:val="00354BF8"/>
    <w:rsid w:val="00355592"/>
    <w:rsid w:val="0035677A"/>
    <w:rsid w:val="0035697D"/>
    <w:rsid w:val="00356CAB"/>
    <w:rsid w:val="00356CCC"/>
    <w:rsid w:val="00356F16"/>
    <w:rsid w:val="00361172"/>
    <w:rsid w:val="00361894"/>
    <w:rsid w:val="00363A36"/>
    <w:rsid w:val="003643EA"/>
    <w:rsid w:val="00364940"/>
    <w:rsid w:val="00364A01"/>
    <w:rsid w:val="00364CF4"/>
    <w:rsid w:val="00372082"/>
    <w:rsid w:val="003728C7"/>
    <w:rsid w:val="003733D8"/>
    <w:rsid w:val="00373F8E"/>
    <w:rsid w:val="003748AB"/>
    <w:rsid w:val="00380AFE"/>
    <w:rsid w:val="003838B8"/>
    <w:rsid w:val="003840EA"/>
    <w:rsid w:val="00385750"/>
    <w:rsid w:val="00390AB0"/>
    <w:rsid w:val="00390F1F"/>
    <w:rsid w:val="00391128"/>
    <w:rsid w:val="003926DC"/>
    <w:rsid w:val="00392B7F"/>
    <w:rsid w:val="003936E5"/>
    <w:rsid w:val="003949A5"/>
    <w:rsid w:val="003955BF"/>
    <w:rsid w:val="00395F02"/>
    <w:rsid w:val="00396374"/>
    <w:rsid w:val="00396855"/>
    <w:rsid w:val="00396E1D"/>
    <w:rsid w:val="00396F8B"/>
    <w:rsid w:val="00397E0F"/>
    <w:rsid w:val="003A160A"/>
    <w:rsid w:val="003A334B"/>
    <w:rsid w:val="003A3EFB"/>
    <w:rsid w:val="003A43C5"/>
    <w:rsid w:val="003A6AC8"/>
    <w:rsid w:val="003A6D34"/>
    <w:rsid w:val="003A7512"/>
    <w:rsid w:val="003B2383"/>
    <w:rsid w:val="003B2570"/>
    <w:rsid w:val="003B2972"/>
    <w:rsid w:val="003B2D91"/>
    <w:rsid w:val="003B4034"/>
    <w:rsid w:val="003B4E90"/>
    <w:rsid w:val="003B63B4"/>
    <w:rsid w:val="003B7539"/>
    <w:rsid w:val="003C045C"/>
    <w:rsid w:val="003C0898"/>
    <w:rsid w:val="003C0B88"/>
    <w:rsid w:val="003C165E"/>
    <w:rsid w:val="003C20F8"/>
    <w:rsid w:val="003C21F2"/>
    <w:rsid w:val="003C3332"/>
    <w:rsid w:val="003C3E5F"/>
    <w:rsid w:val="003C3F5E"/>
    <w:rsid w:val="003C46A0"/>
    <w:rsid w:val="003C6399"/>
    <w:rsid w:val="003C6974"/>
    <w:rsid w:val="003C7C37"/>
    <w:rsid w:val="003D0302"/>
    <w:rsid w:val="003D102E"/>
    <w:rsid w:val="003D296E"/>
    <w:rsid w:val="003D2F80"/>
    <w:rsid w:val="003D3C34"/>
    <w:rsid w:val="003D3E27"/>
    <w:rsid w:val="003D496B"/>
    <w:rsid w:val="003D703A"/>
    <w:rsid w:val="003E11CD"/>
    <w:rsid w:val="003E380F"/>
    <w:rsid w:val="003E4555"/>
    <w:rsid w:val="003E6F3F"/>
    <w:rsid w:val="003F1572"/>
    <w:rsid w:val="003F321F"/>
    <w:rsid w:val="003F33EC"/>
    <w:rsid w:val="003F38B8"/>
    <w:rsid w:val="003F395F"/>
    <w:rsid w:val="003F3998"/>
    <w:rsid w:val="003F4EAD"/>
    <w:rsid w:val="004004C2"/>
    <w:rsid w:val="00400666"/>
    <w:rsid w:val="004012AB"/>
    <w:rsid w:val="004014F3"/>
    <w:rsid w:val="00401AB9"/>
    <w:rsid w:val="00401F21"/>
    <w:rsid w:val="004026C6"/>
    <w:rsid w:val="00403B52"/>
    <w:rsid w:val="004046D2"/>
    <w:rsid w:val="0041076A"/>
    <w:rsid w:val="00410C54"/>
    <w:rsid w:val="00412EAC"/>
    <w:rsid w:val="0041451D"/>
    <w:rsid w:val="00415CB1"/>
    <w:rsid w:val="0041780A"/>
    <w:rsid w:val="00420D24"/>
    <w:rsid w:val="004215AB"/>
    <w:rsid w:val="004218D8"/>
    <w:rsid w:val="004245B9"/>
    <w:rsid w:val="004273DD"/>
    <w:rsid w:val="004274E6"/>
    <w:rsid w:val="00427C56"/>
    <w:rsid w:val="0043053D"/>
    <w:rsid w:val="0043128D"/>
    <w:rsid w:val="00432078"/>
    <w:rsid w:val="00432228"/>
    <w:rsid w:val="0043387A"/>
    <w:rsid w:val="00433ED8"/>
    <w:rsid w:val="00434056"/>
    <w:rsid w:val="00436529"/>
    <w:rsid w:val="00440061"/>
    <w:rsid w:val="00440A97"/>
    <w:rsid w:val="00441F71"/>
    <w:rsid w:val="00442937"/>
    <w:rsid w:val="00442BA0"/>
    <w:rsid w:val="00443171"/>
    <w:rsid w:val="0044360C"/>
    <w:rsid w:val="00443E66"/>
    <w:rsid w:val="004446A6"/>
    <w:rsid w:val="00444F6C"/>
    <w:rsid w:val="0045225B"/>
    <w:rsid w:val="004525D1"/>
    <w:rsid w:val="00452D91"/>
    <w:rsid w:val="00452DB2"/>
    <w:rsid w:val="004559A0"/>
    <w:rsid w:val="00460101"/>
    <w:rsid w:val="00460BF1"/>
    <w:rsid w:val="00462455"/>
    <w:rsid w:val="00462637"/>
    <w:rsid w:val="0046321D"/>
    <w:rsid w:val="00463236"/>
    <w:rsid w:val="00463CE1"/>
    <w:rsid w:val="00466F8E"/>
    <w:rsid w:val="0047177E"/>
    <w:rsid w:val="00473D99"/>
    <w:rsid w:val="0047448F"/>
    <w:rsid w:val="00474893"/>
    <w:rsid w:val="00475645"/>
    <w:rsid w:val="004760A3"/>
    <w:rsid w:val="00480AA8"/>
    <w:rsid w:val="0048283C"/>
    <w:rsid w:val="00484B0F"/>
    <w:rsid w:val="00484D66"/>
    <w:rsid w:val="00484DCE"/>
    <w:rsid w:val="00485B6F"/>
    <w:rsid w:val="0048682A"/>
    <w:rsid w:val="00486B7F"/>
    <w:rsid w:val="00490797"/>
    <w:rsid w:val="0049184C"/>
    <w:rsid w:val="00492CF7"/>
    <w:rsid w:val="00492E80"/>
    <w:rsid w:val="004944F4"/>
    <w:rsid w:val="00495EAD"/>
    <w:rsid w:val="00496066"/>
    <w:rsid w:val="00497FF6"/>
    <w:rsid w:val="004A07E0"/>
    <w:rsid w:val="004A2BE2"/>
    <w:rsid w:val="004A432E"/>
    <w:rsid w:val="004A5502"/>
    <w:rsid w:val="004A5DCF"/>
    <w:rsid w:val="004A602E"/>
    <w:rsid w:val="004A62A5"/>
    <w:rsid w:val="004A6D8E"/>
    <w:rsid w:val="004B1991"/>
    <w:rsid w:val="004B221F"/>
    <w:rsid w:val="004B4ED4"/>
    <w:rsid w:val="004B5486"/>
    <w:rsid w:val="004B5A94"/>
    <w:rsid w:val="004B675F"/>
    <w:rsid w:val="004B70B4"/>
    <w:rsid w:val="004B7B30"/>
    <w:rsid w:val="004B7C55"/>
    <w:rsid w:val="004C117B"/>
    <w:rsid w:val="004C2338"/>
    <w:rsid w:val="004C25BD"/>
    <w:rsid w:val="004C2851"/>
    <w:rsid w:val="004C2A99"/>
    <w:rsid w:val="004C5083"/>
    <w:rsid w:val="004C62AB"/>
    <w:rsid w:val="004C7B99"/>
    <w:rsid w:val="004C7C5B"/>
    <w:rsid w:val="004C7FE1"/>
    <w:rsid w:val="004D2337"/>
    <w:rsid w:val="004D3573"/>
    <w:rsid w:val="004D4763"/>
    <w:rsid w:val="004D4881"/>
    <w:rsid w:val="004D4947"/>
    <w:rsid w:val="004D4F4E"/>
    <w:rsid w:val="004D5EB2"/>
    <w:rsid w:val="004D75B9"/>
    <w:rsid w:val="004D7A1B"/>
    <w:rsid w:val="004E005A"/>
    <w:rsid w:val="004E0A1A"/>
    <w:rsid w:val="004E0B13"/>
    <w:rsid w:val="004E31E8"/>
    <w:rsid w:val="004E3500"/>
    <w:rsid w:val="004E425E"/>
    <w:rsid w:val="004E454E"/>
    <w:rsid w:val="004E5030"/>
    <w:rsid w:val="004E5038"/>
    <w:rsid w:val="004E5B45"/>
    <w:rsid w:val="004E7C21"/>
    <w:rsid w:val="004F1756"/>
    <w:rsid w:val="004F197A"/>
    <w:rsid w:val="004F3B69"/>
    <w:rsid w:val="004F3ED9"/>
    <w:rsid w:val="004F46F1"/>
    <w:rsid w:val="004F494C"/>
    <w:rsid w:val="004F59D1"/>
    <w:rsid w:val="004F5EFD"/>
    <w:rsid w:val="00500418"/>
    <w:rsid w:val="00501119"/>
    <w:rsid w:val="00503720"/>
    <w:rsid w:val="005037C2"/>
    <w:rsid w:val="0050431B"/>
    <w:rsid w:val="0050576D"/>
    <w:rsid w:val="005077D2"/>
    <w:rsid w:val="00512631"/>
    <w:rsid w:val="00512E2A"/>
    <w:rsid w:val="00514F3C"/>
    <w:rsid w:val="005155A5"/>
    <w:rsid w:val="00516E97"/>
    <w:rsid w:val="0052036D"/>
    <w:rsid w:val="00520833"/>
    <w:rsid w:val="00520852"/>
    <w:rsid w:val="00521A78"/>
    <w:rsid w:val="0052249F"/>
    <w:rsid w:val="005231F3"/>
    <w:rsid w:val="00530F2E"/>
    <w:rsid w:val="0053189D"/>
    <w:rsid w:val="00531FA2"/>
    <w:rsid w:val="00532E23"/>
    <w:rsid w:val="00534C86"/>
    <w:rsid w:val="005354C5"/>
    <w:rsid w:val="005354F4"/>
    <w:rsid w:val="005375ED"/>
    <w:rsid w:val="00541184"/>
    <w:rsid w:val="005417F6"/>
    <w:rsid w:val="00542430"/>
    <w:rsid w:val="00542876"/>
    <w:rsid w:val="00543CC6"/>
    <w:rsid w:val="005443C5"/>
    <w:rsid w:val="0054530F"/>
    <w:rsid w:val="00545E4C"/>
    <w:rsid w:val="00546714"/>
    <w:rsid w:val="00546F59"/>
    <w:rsid w:val="00547568"/>
    <w:rsid w:val="00547CF3"/>
    <w:rsid w:val="005507E6"/>
    <w:rsid w:val="00551A96"/>
    <w:rsid w:val="00551FF2"/>
    <w:rsid w:val="0055388E"/>
    <w:rsid w:val="005573AF"/>
    <w:rsid w:val="00561212"/>
    <w:rsid w:val="005623E4"/>
    <w:rsid w:val="00567B36"/>
    <w:rsid w:val="005704B8"/>
    <w:rsid w:val="005717F9"/>
    <w:rsid w:val="005726E7"/>
    <w:rsid w:val="00574BC3"/>
    <w:rsid w:val="00575874"/>
    <w:rsid w:val="00575AE5"/>
    <w:rsid w:val="00576282"/>
    <w:rsid w:val="0057785A"/>
    <w:rsid w:val="00577FDC"/>
    <w:rsid w:val="00580EB5"/>
    <w:rsid w:val="0058119F"/>
    <w:rsid w:val="005825B6"/>
    <w:rsid w:val="00583B4F"/>
    <w:rsid w:val="00585B2B"/>
    <w:rsid w:val="005878A5"/>
    <w:rsid w:val="005902FC"/>
    <w:rsid w:val="005918B1"/>
    <w:rsid w:val="005922C1"/>
    <w:rsid w:val="00592576"/>
    <w:rsid w:val="005927E2"/>
    <w:rsid w:val="00593369"/>
    <w:rsid w:val="0059380E"/>
    <w:rsid w:val="00596452"/>
    <w:rsid w:val="0059657C"/>
    <w:rsid w:val="005978D8"/>
    <w:rsid w:val="005A233C"/>
    <w:rsid w:val="005A295C"/>
    <w:rsid w:val="005A2DCB"/>
    <w:rsid w:val="005A3284"/>
    <w:rsid w:val="005A38B6"/>
    <w:rsid w:val="005A43FD"/>
    <w:rsid w:val="005A50E6"/>
    <w:rsid w:val="005A55FB"/>
    <w:rsid w:val="005A5A88"/>
    <w:rsid w:val="005A6F4A"/>
    <w:rsid w:val="005B2620"/>
    <w:rsid w:val="005B2EAB"/>
    <w:rsid w:val="005B5126"/>
    <w:rsid w:val="005B5CD5"/>
    <w:rsid w:val="005C0777"/>
    <w:rsid w:val="005C20E5"/>
    <w:rsid w:val="005C235E"/>
    <w:rsid w:val="005C26FD"/>
    <w:rsid w:val="005C4C69"/>
    <w:rsid w:val="005C4D52"/>
    <w:rsid w:val="005C58D2"/>
    <w:rsid w:val="005C65DB"/>
    <w:rsid w:val="005C689A"/>
    <w:rsid w:val="005D04F0"/>
    <w:rsid w:val="005D2CE2"/>
    <w:rsid w:val="005D2DB4"/>
    <w:rsid w:val="005D442D"/>
    <w:rsid w:val="005D4837"/>
    <w:rsid w:val="005E267A"/>
    <w:rsid w:val="005E3509"/>
    <w:rsid w:val="005E4C54"/>
    <w:rsid w:val="005E5B74"/>
    <w:rsid w:val="005E5D24"/>
    <w:rsid w:val="005E7EEA"/>
    <w:rsid w:val="005F11C5"/>
    <w:rsid w:val="005F134A"/>
    <w:rsid w:val="005F2267"/>
    <w:rsid w:val="005F369C"/>
    <w:rsid w:val="005F46AA"/>
    <w:rsid w:val="005F5ADA"/>
    <w:rsid w:val="00601550"/>
    <w:rsid w:val="006020EE"/>
    <w:rsid w:val="0060296E"/>
    <w:rsid w:val="00604159"/>
    <w:rsid w:val="00604598"/>
    <w:rsid w:val="006067B4"/>
    <w:rsid w:val="00606A1B"/>
    <w:rsid w:val="006117A0"/>
    <w:rsid w:val="00612BD5"/>
    <w:rsid w:val="0061530D"/>
    <w:rsid w:val="006160C5"/>
    <w:rsid w:val="00616BFB"/>
    <w:rsid w:val="006170FB"/>
    <w:rsid w:val="00620569"/>
    <w:rsid w:val="006211E7"/>
    <w:rsid w:val="006228E8"/>
    <w:rsid w:val="00624B91"/>
    <w:rsid w:val="00624FAF"/>
    <w:rsid w:val="00626DBE"/>
    <w:rsid w:val="00630A6F"/>
    <w:rsid w:val="00632382"/>
    <w:rsid w:val="00633A50"/>
    <w:rsid w:val="00633B07"/>
    <w:rsid w:val="006349CB"/>
    <w:rsid w:val="006368BA"/>
    <w:rsid w:val="00637489"/>
    <w:rsid w:val="00637810"/>
    <w:rsid w:val="00640E46"/>
    <w:rsid w:val="006410EF"/>
    <w:rsid w:val="0064156C"/>
    <w:rsid w:val="006422AE"/>
    <w:rsid w:val="0064233E"/>
    <w:rsid w:val="0064470C"/>
    <w:rsid w:val="00645265"/>
    <w:rsid w:val="006516BB"/>
    <w:rsid w:val="0065191D"/>
    <w:rsid w:val="00651990"/>
    <w:rsid w:val="0065276F"/>
    <w:rsid w:val="006552A9"/>
    <w:rsid w:val="00655CE9"/>
    <w:rsid w:val="00657034"/>
    <w:rsid w:val="00657230"/>
    <w:rsid w:val="006574D6"/>
    <w:rsid w:val="00660CF0"/>
    <w:rsid w:val="00660F53"/>
    <w:rsid w:val="0066160B"/>
    <w:rsid w:val="00661975"/>
    <w:rsid w:val="00662CF1"/>
    <w:rsid w:val="006634F9"/>
    <w:rsid w:val="006635EC"/>
    <w:rsid w:val="006639A6"/>
    <w:rsid w:val="006647D8"/>
    <w:rsid w:val="00665078"/>
    <w:rsid w:val="00665224"/>
    <w:rsid w:val="00665E81"/>
    <w:rsid w:val="00666FC4"/>
    <w:rsid w:val="006673C5"/>
    <w:rsid w:val="00667A25"/>
    <w:rsid w:val="006704AF"/>
    <w:rsid w:val="006705D1"/>
    <w:rsid w:val="006710FB"/>
    <w:rsid w:val="00671538"/>
    <w:rsid w:val="00671D33"/>
    <w:rsid w:val="00672CA0"/>
    <w:rsid w:val="00674ED7"/>
    <w:rsid w:val="00676487"/>
    <w:rsid w:val="00676552"/>
    <w:rsid w:val="006771CD"/>
    <w:rsid w:val="006800D0"/>
    <w:rsid w:val="00682B8F"/>
    <w:rsid w:val="00682F0F"/>
    <w:rsid w:val="00683857"/>
    <w:rsid w:val="00685294"/>
    <w:rsid w:val="006852C5"/>
    <w:rsid w:val="006870B3"/>
    <w:rsid w:val="00687496"/>
    <w:rsid w:val="0068792F"/>
    <w:rsid w:val="00691640"/>
    <w:rsid w:val="0069239C"/>
    <w:rsid w:val="0069254E"/>
    <w:rsid w:val="006930E3"/>
    <w:rsid w:val="00694BB8"/>
    <w:rsid w:val="00694E04"/>
    <w:rsid w:val="00694F0C"/>
    <w:rsid w:val="00696F27"/>
    <w:rsid w:val="00697700"/>
    <w:rsid w:val="00697DEE"/>
    <w:rsid w:val="00697F50"/>
    <w:rsid w:val="006A2A19"/>
    <w:rsid w:val="006A3CC4"/>
    <w:rsid w:val="006A4ED9"/>
    <w:rsid w:val="006A66A7"/>
    <w:rsid w:val="006A7009"/>
    <w:rsid w:val="006A7418"/>
    <w:rsid w:val="006A7C90"/>
    <w:rsid w:val="006B08CA"/>
    <w:rsid w:val="006B1F7E"/>
    <w:rsid w:val="006B2E69"/>
    <w:rsid w:val="006B6B2C"/>
    <w:rsid w:val="006C0CAA"/>
    <w:rsid w:val="006C2552"/>
    <w:rsid w:val="006C27F3"/>
    <w:rsid w:val="006C2D83"/>
    <w:rsid w:val="006C31BA"/>
    <w:rsid w:val="006C3F0C"/>
    <w:rsid w:val="006C473F"/>
    <w:rsid w:val="006C7A1F"/>
    <w:rsid w:val="006D083B"/>
    <w:rsid w:val="006D0A2F"/>
    <w:rsid w:val="006D0D39"/>
    <w:rsid w:val="006D0EBA"/>
    <w:rsid w:val="006D1186"/>
    <w:rsid w:val="006D226C"/>
    <w:rsid w:val="006D242A"/>
    <w:rsid w:val="006D29D2"/>
    <w:rsid w:val="006D4CA9"/>
    <w:rsid w:val="006D5326"/>
    <w:rsid w:val="006D6E83"/>
    <w:rsid w:val="006D77D6"/>
    <w:rsid w:val="006D794F"/>
    <w:rsid w:val="006E0232"/>
    <w:rsid w:val="006E21FB"/>
    <w:rsid w:val="006E3ED4"/>
    <w:rsid w:val="006E5560"/>
    <w:rsid w:val="006E628B"/>
    <w:rsid w:val="006E66CC"/>
    <w:rsid w:val="006E725C"/>
    <w:rsid w:val="006F12DE"/>
    <w:rsid w:val="006F131A"/>
    <w:rsid w:val="006F34EC"/>
    <w:rsid w:val="006F48DA"/>
    <w:rsid w:val="006F4DF3"/>
    <w:rsid w:val="006F59A1"/>
    <w:rsid w:val="006F68C8"/>
    <w:rsid w:val="006F6EB5"/>
    <w:rsid w:val="006F7DA5"/>
    <w:rsid w:val="007009C5"/>
    <w:rsid w:val="0070119A"/>
    <w:rsid w:val="00702F63"/>
    <w:rsid w:val="00703CAE"/>
    <w:rsid w:val="00705511"/>
    <w:rsid w:val="00706228"/>
    <w:rsid w:val="00706259"/>
    <w:rsid w:val="00706A8E"/>
    <w:rsid w:val="0070784B"/>
    <w:rsid w:val="00710ACE"/>
    <w:rsid w:val="00710B99"/>
    <w:rsid w:val="00712BE0"/>
    <w:rsid w:val="007149B3"/>
    <w:rsid w:val="00714F6A"/>
    <w:rsid w:val="00715036"/>
    <w:rsid w:val="007153C9"/>
    <w:rsid w:val="00715880"/>
    <w:rsid w:val="00715C4A"/>
    <w:rsid w:val="0071669E"/>
    <w:rsid w:val="00720096"/>
    <w:rsid w:val="00720401"/>
    <w:rsid w:val="007204B8"/>
    <w:rsid w:val="0072082C"/>
    <w:rsid w:val="0072162E"/>
    <w:rsid w:val="007230DE"/>
    <w:rsid w:val="00723F69"/>
    <w:rsid w:val="0072617F"/>
    <w:rsid w:val="00726B9B"/>
    <w:rsid w:val="007271D7"/>
    <w:rsid w:val="007314B0"/>
    <w:rsid w:val="0073158B"/>
    <w:rsid w:val="0073220B"/>
    <w:rsid w:val="00733934"/>
    <w:rsid w:val="0073724F"/>
    <w:rsid w:val="00740AA6"/>
    <w:rsid w:val="0074189D"/>
    <w:rsid w:val="00742480"/>
    <w:rsid w:val="007430D7"/>
    <w:rsid w:val="00743DD4"/>
    <w:rsid w:val="007447DE"/>
    <w:rsid w:val="00744D63"/>
    <w:rsid w:val="00745981"/>
    <w:rsid w:val="007460AF"/>
    <w:rsid w:val="00747184"/>
    <w:rsid w:val="007472C3"/>
    <w:rsid w:val="0074781A"/>
    <w:rsid w:val="007479DE"/>
    <w:rsid w:val="00750CDD"/>
    <w:rsid w:val="00751A3A"/>
    <w:rsid w:val="007540E2"/>
    <w:rsid w:val="007541AC"/>
    <w:rsid w:val="007543C7"/>
    <w:rsid w:val="0075489B"/>
    <w:rsid w:val="00754E6C"/>
    <w:rsid w:val="007615C1"/>
    <w:rsid w:val="0076257D"/>
    <w:rsid w:val="00762A70"/>
    <w:rsid w:val="007645FA"/>
    <w:rsid w:val="00765194"/>
    <w:rsid w:val="00765827"/>
    <w:rsid w:val="00766AE9"/>
    <w:rsid w:val="00770A3B"/>
    <w:rsid w:val="00771D9B"/>
    <w:rsid w:val="00772137"/>
    <w:rsid w:val="007722EC"/>
    <w:rsid w:val="00773B75"/>
    <w:rsid w:val="0077661B"/>
    <w:rsid w:val="0077687B"/>
    <w:rsid w:val="00777AD8"/>
    <w:rsid w:val="00780B40"/>
    <w:rsid w:val="00781D7B"/>
    <w:rsid w:val="00782D69"/>
    <w:rsid w:val="00784518"/>
    <w:rsid w:val="00784B34"/>
    <w:rsid w:val="00786959"/>
    <w:rsid w:val="00787B3B"/>
    <w:rsid w:val="00791268"/>
    <w:rsid w:val="00792991"/>
    <w:rsid w:val="00792F25"/>
    <w:rsid w:val="007958CF"/>
    <w:rsid w:val="00796A40"/>
    <w:rsid w:val="00796DF2"/>
    <w:rsid w:val="00796F30"/>
    <w:rsid w:val="00797BAC"/>
    <w:rsid w:val="007A1FB1"/>
    <w:rsid w:val="007A71A1"/>
    <w:rsid w:val="007A7B71"/>
    <w:rsid w:val="007A7E1C"/>
    <w:rsid w:val="007B0774"/>
    <w:rsid w:val="007B07E2"/>
    <w:rsid w:val="007B0EF0"/>
    <w:rsid w:val="007B11B9"/>
    <w:rsid w:val="007B210A"/>
    <w:rsid w:val="007B2124"/>
    <w:rsid w:val="007B2CB4"/>
    <w:rsid w:val="007B36D5"/>
    <w:rsid w:val="007B3DA6"/>
    <w:rsid w:val="007B528F"/>
    <w:rsid w:val="007C0BE5"/>
    <w:rsid w:val="007C13B2"/>
    <w:rsid w:val="007C1BC0"/>
    <w:rsid w:val="007C3856"/>
    <w:rsid w:val="007C3C41"/>
    <w:rsid w:val="007C4130"/>
    <w:rsid w:val="007C46A9"/>
    <w:rsid w:val="007C5D5D"/>
    <w:rsid w:val="007C616F"/>
    <w:rsid w:val="007C6A68"/>
    <w:rsid w:val="007C6C89"/>
    <w:rsid w:val="007C6FE5"/>
    <w:rsid w:val="007C76F0"/>
    <w:rsid w:val="007D0398"/>
    <w:rsid w:val="007D1DE2"/>
    <w:rsid w:val="007D2E1E"/>
    <w:rsid w:val="007D3CB5"/>
    <w:rsid w:val="007E122A"/>
    <w:rsid w:val="007E267B"/>
    <w:rsid w:val="007E2BF4"/>
    <w:rsid w:val="007E3422"/>
    <w:rsid w:val="007E39A4"/>
    <w:rsid w:val="007E4404"/>
    <w:rsid w:val="007E5BD6"/>
    <w:rsid w:val="007F000E"/>
    <w:rsid w:val="007F0D35"/>
    <w:rsid w:val="007F1102"/>
    <w:rsid w:val="007F2AC3"/>
    <w:rsid w:val="007F2D0D"/>
    <w:rsid w:val="007F33CE"/>
    <w:rsid w:val="007F3DD5"/>
    <w:rsid w:val="007F4617"/>
    <w:rsid w:val="007F6BCA"/>
    <w:rsid w:val="007F751F"/>
    <w:rsid w:val="007F7F1B"/>
    <w:rsid w:val="008007DC"/>
    <w:rsid w:val="00800CCE"/>
    <w:rsid w:val="00801D66"/>
    <w:rsid w:val="00802EEA"/>
    <w:rsid w:val="00803726"/>
    <w:rsid w:val="008063DC"/>
    <w:rsid w:val="00807422"/>
    <w:rsid w:val="00807EFF"/>
    <w:rsid w:val="00811F70"/>
    <w:rsid w:val="0081246A"/>
    <w:rsid w:val="00812A9F"/>
    <w:rsid w:val="00812FB7"/>
    <w:rsid w:val="00814704"/>
    <w:rsid w:val="00815E68"/>
    <w:rsid w:val="00816083"/>
    <w:rsid w:val="00816E1F"/>
    <w:rsid w:val="00817445"/>
    <w:rsid w:val="00817BCE"/>
    <w:rsid w:val="008203F2"/>
    <w:rsid w:val="00820434"/>
    <w:rsid w:val="00820CEE"/>
    <w:rsid w:val="00821976"/>
    <w:rsid w:val="00821C1D"/>
    <w:rsid w:val="008230BF"/>
    <w:rsid w:val="0082336C"/>
    <w:rsid w:val="008241A5"/>
    <w:rsid w:val="0082460A"/>
    <w:rsid w:val="008266D5"/>
    <w:rsid w:val="00826ACC"/>
    <w:rsid w:val="00827904"/>
    <w:rsid w:val="00830401"/>
    <w:rsid w:val="00834681"/>
    <w:rsid w:val="00834977"/>
    <w:rsid w:val="00834D17"/>
    <w:rsid w:val="00835998"/>
    <w:rsid w:val="00837371"/>
    <w:rsid w:val="00837F57"/>
    <w:rsid w:val="008400BE"/>
    <w:rsid w:val="008407D9"/>
    <w:rsid w:val="008408C0"/>
    <w:rsid w:val="00841609"/>
    <w:rsid w:val="00841F36"/>
    <w:rsid w:val="008424A8"/>
    <w:rsid w:val="00842E97"/>
    <w:rsid w:val="008445D3"/>
    <w:rsid w:val="00844845"/>
    <w:rsid w:val="00844BF6"/>
    <w:rsid w:val="00844DC6"/>
    <w:rsid w:val="008457E7"/>
    <w:rsid w:val="00846B3B"/>
    <w:rsid w:val="008470DC"/>
    <w:rsid w:val="008477B5"/>
    <w:rsid w:val="00852B86"/>
    <w:rsid w:val="00853578"/>
    <w:rsid w:val="008544DA"/>
    <w:rsid w:val="008549B4"/>
    <w:rsid w:val="00855498"/>
    <w:rsid w:val="00856176"/>
    <w:rsid w:val="00856673"/>
    <w:rsid w:val="008567BC"/>
    <w:rsid w:val="00860AB9"/>
    <w:rsid w:val="0086356B"/>
    <w:rsid w:val="00864841"/>
    <w:rsid w:val="00864876"/>
    <w:rsid w:val="00864DE0"/>
    <w:rsid w:val="008658DC"/>
    <w:rsid w:val="00865C5E"/>
    <w:rsid w:val="008673A1"/>
    <w:rsid w:val="0087049A"/>
    <w:rsid w:val="00870F25"/>
    <w:rsid w:val="00871FEA"/>
    <w:rsid w:val="00872618"/>
    <w:rsid w:val="008727DF"/>
    <w:rsid w:val="00872B03"/>
    <w:rsid w:val="00875455"/>
    <w:rsid w:val="008756BB"/>
    <w:rsid w:val="00875ADA"/>
    <w:rsid w:val="00875EDB"/>
    <w:rsid w:val="0087641E"/>
    <w:rsid w:val="0087727E"/>
    <w:rsid w:val="00877702"/>
    <w:rsid w:val="008777D4"/>
    <w:rsid w:val="00877B56"/>
    <w:rsid w:val="00877C99"/>
    <w:rsid w:val="00877DDD"/>
    <w:rsid w:val="00877FCD"/>
    <w:rsid w:val="008805EF"/>
    <w:rsid w:val="00880643"/>
    <w:rsid w:val="00880856"/>
    <w:rsid w:val="00881A66"/>
    <w:rsid w:val="0088259B"/>
    <w:rsid w:val="0088349F"/>
    <w:rsid w:val="008835C1"/>
    <w:rsid w:val="00883619"/>
    <w:rsid w:val="00885FE6"/>
    <w:rsid w:val="00886CC1"/>
    <w:rsid w:val="0088789D"/>
    <w:rsid w:val="00890B08"/>
    <w:rsid w:val="00890CFA"/>
    <w:rsid w:val="00891454"/>
    <w:rsid w:val="00892636"/>
    <w:rsid w:val="0089357D"/>
    <w:rsid w:val="00893B1E"/>
    <w:rsid w:val="008950C2"/>
    <w:rsid w:val="00896273"/>
    <w:rsid w:val="00896ADD"/>
    <w:rsid w:val="008970DE"/>
    <w:rsid w:val="008979BB"/>
    <w:rsid w:val="008A0EC2"/>
    <w:rsid w:val="008A1D09"/>
    <w:rsid w:val="008A3444"/>
    <w:rsid w:val="008A4274"/>
    <w:rsid w:val="008A5689"/>
    <w:rsid w:val="008A60A4"/>
    <w:rsid w:val="008A61F6"/>
    <w:rsid w:val="008A6E13"/>
    <w:rsid w:val="008B2120"/>
    <w:rsid w:val="008B2681"/>
    <w:rsid w:val="008B38F8"/>
    <w:rsid w:val="008B44AF"/>
    <w:rsid w:val="008B4EAB"/>
    <w:rsid w:val="008B60A2"/>
    <w:rsid w:val="008B6FCA"/>
    <w:rsid w:val="008C02AB"/>
    <w:rsid w:val="008C02C0"/>
    <w:rsid w:val="008C1B43"/>
    <w:rsid w:val="008C1F00"/>
    <w:rsid w:val="008C43E1"/>
    <w:rsid w:val="008C4503"/>
    <w:rsid w:val="008C5B62"/>
    <w:rsid w:val="008C7FA4"/>
    <w:rsid w:val="008D124B"/>
    <w:rsid w:val="008D14B5"/>
    <w:rsid w:val="008D20DC"/>
    <w:rsid w:val="008D34A9"/>
    <w:rsid w:val="008D4CDA"/>
    <w:rsid w:val="008D4F40"/>
    <w:rsid w:val="008D57FD"/>
    <w:rsid w:val="008D6357"/>
    <w:rsid w:val="008D6B04"/>
    <w:rsid w:val="008D6CDB"/>
    <w:rsid w:val="008E0F50"/>
    <w:rsid w:val="008E125D"/>
    <w:rsid w:val="008E1BDC"/>
    <w:rsid w:val="008E2590"/>
    <w:rsid w:val="008E2BF0"/>
    <w:rsid w:val="008E6055"/>
    <w:rsid w:val="008F0F31"/>
    <w:rsid w:val="008F1C25"/>
    <w:rsid w:val="008F1C6B"/>
    <w:rsid w:val="008F26B4"/>
    <w:rsid w:val="008F2AFA"/>
    <w:rsid w:val="008F64A7"/>
    <w:rsid w:val="008F7144"/>
    <w:rsid w:val="008F771A"/>
    <w:rsid w:val="008F7EC6"/>
    <w:rsid w:val="00900067"/>
    <w:rsid w:val="0090124E"/>
    <w:rsid w:val="00901E27"/>
    <w:rsid w:val="00901EBB"/>
    <w:rsid w:val="00903826"/>
    <w:rsid w:val="00904ADF"/>
    <w:rsid w:val="00906A57"/>
    <w:rsid w:val="00906ACF"/>
    <w:rsid w:val="00911561"/>
    <w:rsid w:val="00911ED2"/>
    <w:rsid w:val="00911FD6"/>
    <w:rsid w:val="0091243E"/>
    <w:rsid w:val="009135E0"/>
    <w:rsid w:val="00913B6F"/>
    <w:rsid w:val="00913BD4"/>
    <w:rsid w:val="0091755F"/>
    <w:rsid w:val="00917743"/>
    <w:rsid w:val="00917AF9"/>
    <w:rsid w:val="009244E1"/>
    <w:rsid w:val="00926344"/>
    <w:rsid w:val="009268D7"/>
    <w:rsid w:val="00926A73"/>
    <w:rsid w:val="00926C40"/>
    <w:rsid w:val="00927D54"/>
    <w:rsid w:val="00930144"/>
    <w:rsid w:val="00930CCA"/>
    <w:rsid w:val="00933145"/>
    <w:rsid w:val="00934049"/>
    <w:rsid w:val="00934876"/>
    <w:rsid w:val="0093525D"/>
    <w:rsid w:val="00935687"/>
    <w:rsid w:val="00935CB6"/>
    <w:rsid w:val="0093611E"/>
    <w:rsid w:val="00936B36"/>
    <w:rsid w:val="00936BE0"/>
    <w:rsid w:val="009378F9"/>
    <w:rsid w:val="00941DE6"/>
    <w:rsid w:val="00943F25"/>
    <w:rsid w:val="00944011"/>
    <w:rsid w:val="009451EB"/>
    <w:rsid w:val="009468A0"/>
    <w:rsid w:val="009477B8"/>
    <w:rsid w:val="00950F36"/>
    <w:rsid w:val="00951753"/>
    <w:rsid w:val="0095198C"/>
    <w:rsid w:val="00951EF1"/>
    <w:rsid w:val="00952739"/>
    <w:rsid w:val="009564A6"/>
    <w:rsid w:val="00956681"/>
    <w:rsid w:val="00957829"/>
    <w:rsid w:val="00957C8D"/>
    <w:rsid w:val="00957E7C"/>
    <w:rsid w:val="0096058C"/>
    <w:rsid w:val="009606E9"/>
    <w:rsid w:val="00961085"/>
    <w:rsid w:val="00961241"/>
    <w:rsid w:val="009639D4"/>
    <w:rsid w:val="00964FF9"/>
    <w:rsid w:val="00965001"/>
    <w:rsid w:val="00966428"/>
    <w:rsid w:val="0096773A"/>
    <w:rsid w:val="00970141"/>
    <w:rsid w:val="00970A2D"/>
    <w:rsid w:val="00970DD1"/>
    <w:rsid w:val="00971E55"/>
    <w:rsid w:val="00974922"/>
    <w:rsid w:val="009776D2"/>
    <w:rsid w:val="009776ED"/>
    <w:rsid w:val="00977728"/>
    <w:rsid w:val="00980577"/>
    <w:rsid w:val="00980E75"/>
    <w:rsid w:val="00983CEA"/>
    <w:rsid w:val="00985D28"/>
    <w:rsid w:val="00986758"/>
    <w:rsid w:val="00986CA7"/>
    <w:rsid w:val="00991857"/>
    <w:rsid w:val="00991D10"/>
    <w:rsid w:val="00996438"/>
    <w:rsid w:val="00997746"/>
    <w:rsid w:val="00997C21"/>
    <w:rsid w:val="009A0A43"/>
    <w:rsid w:val="009A1B23"/>
    <w:rsid w:val="009A2294"/>
    <w:rsid w:val="009A35C0"/>
    <w:rsid w:val="009A6301"/>
    <w:rsid w:val="009A6357"/>
    <w:rsid w:val="009A6485"/>
    <w:rsid w:val="009B06F5"/>
    <w:rsid w:val="009B172A"/>
    <w:rsid w:val="009B2936"/>
    <w:rsid w:val="009B337C"/>
    <w:rsid w:val="009B33C1"/>
    <w:rsid w:val="009B3F70"/>
    <w:rsid w:val="009B46AD"/>
    <w:rsid w:val="009C034B"/>
    <w:rsid w:val="009C20F2"/>
    <w:rsid w:val="009C24D3"/>
    <w:rsid w:val="009C3163"/>
    <w:rsid w:val="009C34B2"/>
    <w:rsid w:val="009C475A"/>
    <w:rsid w:val="009C5DEC"/>
    <w:rsid w:val="009C6B61"/>
    <w:rsid w:val="009D004B"/>
    <w:rsid w:val="009D02D9"/>
    <w:rsid w:val="009D2124"/>
    <w:rsid w:val="009D2E34"/>
    <w:rsid w:val="009D2F2F"/>
    <w:rsid w:val="009D38DE"/>
    <w:rsid w:val="009D3F69"/>
    <w:rsid w:val="009D4BE6"/>
    <w:rsid w:val="009D5EF1"/>
    <w:rsid w:val="009D69D1"/>
    <w:rsid w:val="009D6B8C"/>
    <w:rsid w:val="009D7EE7"/>
    <w:rsid w:val="009E0345"/>
    <w:rsid w:val="009E147E"/>
    <w:rsid w:val="009E2D52"/>
    <w:rsid w:val="009E34C1"/>
    <w:rsid w:val="009E3613"/>
    <w:rsid w:val="009E58B9"/>
    <w:rsid w:val="009E6637"/>
    <w:rsid w:val="009E6E4F"/>
    <w:rsid w:val="009E70D9"/>
    <w:rsid w:val="009E7CBF"/>
    <w:rsid w:val="009F1551"/>
    <w:rsid w:val="009F1755"/>
    <w:rsid w:val="009F367A"/>
    <w:rsid w:val="009F36E5"/>
    <w:rsid w:val="009F39DA"/>
    <w:rsid w:val="009F5D65"/>
    <w:rsid w:val="00A021DF"/>
    <w:rsid w:val="00A03308"/>
    <w:rsid w:val="00A054A4"/>
    <w:rsid w:val="00A10735"/>
    <w:rsid w:val="00A10C7D"/>
    <w:rsid w:val="00A1226A"/>
    <w:rsid w:val="00A12E63"/>
    <w:rsid w:val="00A14453"/>
    <w:rsid w:val="00A154A2"/>
    <w:rsid w:val="00A16EB7"/>
    <w:rsid w:val="00A21508"/>
    <w:rsid w:val="00A215B1"/>
    <w:rsid w:val="00A221BB"/>
    <w:rsid w:val="00A224DD"/>
    <w:rsid w:val="00A23A0A"/>
    <w:rsid w:val="00A263D4"/>
    <w:rsid w:val="00A270A8"/>
    <w:rsid w:val="00A27B5C"/>
    <w:rsid w:val="00A31975"/>
    <w:rsid w:val="00A32083"/>
    <w:rsid w:val="00A322B4"/>
    <w:rsid w:val="00A3238B"/>
    <w:rsid w:val="00A32D3A"/>
    <w:rsid w:val="00A3428D"/>
    <w:rsid w:val="00A34DB2"/>
    <w:rsid w:val="00A34E50"/>
    <w:rsid w:val="00A36127"/>
    <w:rsid w:val="00A3616B"/>
    <w:rsid w:val="00A36201"/>
    <w:rsid w:val="00A37AC5"/>
    <w:rsid w:val="00A4051B"/>
    <w:rsid w:val="00A406DA"/>
    <w:rsid w:val="00A40920"/>
    <w:rsid w:val="00A426E9"/>
    <w:rsid w:val="00A42BF4"/>
    <w:rsid w:val="00A4394A"/>
    <w:rsid w:val="00A45D4E"/>
    <w:rsid w:val="00A4694E"/>
    <w:rsid w:val="00A51940"/>
    <w:rsid w:val="00A51E76"/>
    <w:rsid w:val="00A541CE"/>
    <w:rsid w:val="00A57BD0"/>
    <w:rsid w:val="00A6155D"/>
    <w:rsid w:val="00A64423"/>
    <w:rsid w:val="00A65098"/>
    <w:rsid w:val="00A6559F"/>
    <w:rsid w:val="00A663BE"/>
    <w:rsid w:val="00A67D00"/>
    <w:rsid w:val="00A70F2F"/>
    <w:rsid w:val="00A716C3"/>
    <w:rsid w:val="00A719FA"/>
    <w:rsid w:val="00A7209B"/>
    <w:rsid w:val="00A74136"/>
    <w:rsid w:val="00A744FA"/>
    <w:rsid w:val="00A773C5"/>
    <w:rsid w:val="00A7775B"/>
    <w:rsid w:val="00A8078C"/>
    <w:rsid w:val="00A82B1A"/>
    <w:rsid w:val="00A82DF3"/>
    <w:rsid w:val="00A848B8"/>
    <w:rsid w:val="00A84AD0"/>
    <w:rsid w:val="00A8507C"/>
    <w:rsid w:val="00A86262"/>
    <w:rsid w:val="00A87AAF"/>
    <w:rsid w:val="00A913E5"/>
    <w:rsid w:val="00A91C6F"/>
    <w:rsid w:val="00A93C0B"/>
    <w:rsid w:val="00A95666"/>
    <w:rsid w:val="00A96638"/>
    <w:rsid w:val="00A97007"/>
    <w:rsid w:val="00A973CE"/>
    <w:rsid w:val="00A97608"/>
    <w:rsid w:val="00A97B43"/>
    <w:rsid w:val="00A97E9C"/>
    <w:rsid w:val="00AA0624"/>
    <w:rsid w:val="00AA0891"/>
    <w:rsid w:val="00AA1D7E"/>
    <w:rsid w:val="00AA26CC"/>
    <w:rsid w:val="00AA27EC"/>
    <w:rsid w:val="00AA328D"/>
    <w:rsid w:val="00AA3CD2"/>
    <w:rsid w:val="00AA5BB3"/>
    <w:rsid w:val="00AA79B4"/>
    <w:rsid w:val="00AA7A9D"/>
    <w:rsid w:val="00AA7C55"/>
    <w:rsid w:val="00AB065D"/>
    <w:rsid w:val="00AB1060"/>
    <w:rsid w:val="00AB2079"/>
    <w:rsid w:val="00AB300B"/>
    <w:rsid w:val="00AB3604"/>
    <w:rsid w:val="00AB52E7"/>
    <w:rsid w:val="00AB6187"/>
    <w:rsid w:val="00AB7ABA"/>
    <w:rsid w:val="00AC0910"/>
    <w:rsid w:val="00AC0F19"/>
    <w:rsid w:val="00AC1683"/>
    <w:rsid w:val="00AC18EA"/>
    <w:rsid w:val="00AC1E5B"/>
    <w:rsid w:val="00AC3BA0"/>
    <w:rsid w:val="00AC3C6B"/>
    <w:rsid w:val="00AC3CBA"/>
    <w:rsid w:val="00AC5CA4"/>
    <w:rsid w:val="00AC5E3E"/>
    <w:rsid w:val="00AC6520"/>
    <w:rsid w:val="00AC7487"/>
    <w:rsid w:val="00AD0436"/>
    <w:rsid w:val="00AD0A67"/>
    <w:rsid w:val="00AD0DEC"/>
    <w:rsid w:val="00AD1763"/>
    <w:rsid w:val="00AD27B4"/>
    <w:rsid w:val="00AD2F22"/>
    <w:rsid w:val="00AD42DC"/>
    <w:rsid w:val="00AD67DB"/>
    <w:rsid w:val="00AD6B4C"/>
    <w:rsid w:val="00AD74F6"/>
    <w:rsid w:val="00AE089F"/>
    <w:rsid w:val="00AE098E"/>
    <w:rsid w:val="00AE1752"/>
    <w:rsid w:val="00AE1DB6"/>
    <w:rsid w:val="00AE2A3C"/>
    <w:rsid w:val="00AE4483"/>
    <w:rsid w:val="00AE5F73"/>
    <w:rsid w:val="00AE6813"/>
    <w:rsid w:val="00AE6BDA"/>
    <w:rsid w:val="00AE72E8"/>
    <w:rsid w:val="00AE7886"/>
    <w:rsid w:val="00AF1D5B"/>
    <w:rsid w:val="00AF2B57"/>
    <w:rsid w:val="00AF346D"/>
    <w:rsid w:val="00AF3EB3"/>
    <w:rsid w:val="00AF47AB"/>
    <w:rsid w:val="00AF47D2"/>
    <w:rsid w:val="00AF69E0"/>
    <w:rsid w:val="00AF7119"/>
    <w:rsid w:val="00AF7536"/>
    <w:rsid w:val="00AF7A66"/>
    <w:rsid w:val="00B00076"/>
    <w:rsid w:val="00B0106E"/>
    <w:rsid w:val="00B01618"/>
    <w:rsid w:val="00B01A9E"/>
    <w:rsid w:val="00B01EA1"/>
    <w:rsid w:val="00B02067"/>
    <w:rsid w:val="00B020E7"/>
    <w:rsid w:val="00B0257E"/>
    <w:rsid w:val="00B029D9"/>
    <w:rsid w:val="00B041D8"/>
    <w:rsid w:val="00B04B91"/>
    <w:rsid w:val="00B059E7"/>
    <w:rsid w:val="00B07269"/>
    <w:rsid w:val="00B07EA6"/>
    <w:rsid w:val="00B10606"/>
    <w:rsid w:val="00B13309"/>
    <w:rsid w:val="00B136FB"/>
    <w:rsid w:val="00B13F22"/>
    <w:rsid w:val="00B16172"/>
    <w:rsid w:val="00B20A3A"/>
    <w:rsid w:val="00B20C20"/>
    <w:rsid w:val="00B20FD0"/>
    <w:rsid w:val="00B228ED"/>
    <w:rsid w:val="00B247E3"/>
    <w:rsid w:val="00B249FA"/>
    <w:rsid w:val="00B31118"/>
    <w:rsid w:val="00B321D8"/>
    <w:rsid w:val="00B33648"/>
    <w:rsid w:val="00B33831"/>
    <w:rsid w:val="00B34458"/>
    <w:rsid w:val="00B35003"/>
    <w:rsid w:val="00B3563D"/>
    <w:rsid w:val="00B419EC"/>
    <w:rsid w:val="00B41E4C"/>
    <w:rsid w:val="00B42BEC"/>
    <w:rsid w:val="00B42C8C"/>
    <w:rsid w:val="00B43AB7"/>
    <w:rsid w:val="00B4532F"/>
    <w:rsid w:val="00B45DA2"/>
    <w:rsid w:val="00B4736F"/>
    <w:rsid w:val="00B501DA"/>
    <w:rsid w:val="00B51B82"/>
    <w:rsid w:val="00B52039"/>
    <w:rsid w:val="00B529D8"/>
    <w:rsid w:val="00B52C51"/>
    <w:rsid w:val="00B5347C"/>
    <w:rsid w:val="00B55237"/>
    <w:rsid w:val="00B57CFC"/>
    <w:rsid w:val="00B60593"/>
    <w:rsid w:val="00B619B7"/>
    <w:rsid w:val="00B61A43"/>
    <w:rsid w:val="00B64DF7"/>
    <w:rsid w:val="00B678C9"/>
    <w:rsid w:val="00B71498"/>
    <w:rsid w:val="00B71DE3"/>
    <w:rsid w:val="00B724E3"/>
    <w:rsid w:val="00B7251F"/>
    <w:rsid w:val="00B72AF7"/>
    <w:rsid w:val="00B745CA"/>
    <w:rsid w:val="00B75513"/>
    <w:rsid w:val="00B7597A"/>
    <w:rsid w:val="00B759E9"/>
    <w:rsid w:val="00B761BC"/>
    <w:rsid w:val="00B77B51"/>
    <w:rsid w:val="00B80780"/>
    <w:rsid w:val="00B8208D"/>
    <w:rsid w:val="00B84029"/>
    <w:rsid w:val="00B8472D"/>
    <w:rsid w:val="00B84BFF"/>
    <w:rsid w:val="00B85208"/>
    <w:rsid w:val="00B903A2"/>
    <w:rsid w:val="00B92416"/>
    <w:rsid w:val="00B927E3"/>
    <w:rsid w:val="00B94947"/>
    <w:rsid w:val="00B94FA9"/>
    <w:rsid w:val="00B95448"/>
    <w:rsid w:val="00B9671E"/>
    <w:rsid w:val="00B97988"/>
    <w:rsid w:val="00B97B5A"/>
    <w:rsid w:val="00BA0535"/>
    <w:rsid w:val="00BA2364"/>
    <w:rsid w:val="00BA46D9"/>
    <w:rsid w:val="00BA5FA2"/>
    <w:rsid w:val="00BB057B"/>
    <w:rsid w:val="00BB20E8"/>
    <w:rsid w:val="00BB317C"/>
    <w:rsid w:val="00BB4FB5"/>
    <w:rsid w:val="00BB555F"/>
    <w:rsid w:val="00BB5810"/>
    <w:rsid w:val="00BB5F70"/>
    <w:rsid w:val="00BC087C"/>
    <w:rsid w:val="00BC156F"/>
    <w:rsid w:val="00BC2A53"/>
    <w:rsid w:val="00BC3716"/>
    <w:rsid w:val="00BC42BE"/>
    <w:rsid w:val="00BC5F03"/>
    <w:rsid w:val="00BC617D"/>
    <w:rsid w:val="00BD128D"/>
    <w:rsid w:val="00BD2859"/>
    <w:rsid w:val="00BD3F81"/>
    <w:rsid w:val="00BD3FB9"/>
    <w:rsid w:val="00BD602D"/>
    <w:rsid w:val="00BD6711"/>
    <w:rsid w:val="00BD7229"/>
    <w:rsid w:val="00BD7EA9"/>
    <w:rsid w:val="00BE008F"/>
    <w:rsid w:val="00BE03EE"/>
    <w:rsid w:val="00BE0B8E"/>
    <w:rsid w:val="00BE437E"/>
    <w:rsid w:val="00BE4533"/>
    <w:rsid w:val="00BE4CB9"/>
    <w:rsid w:val="00BE4D2A"/>
    <w:rsid w:val="00BE6434"/>
    <w:rsid w:val="00BF027C"/>
    <w:rsid w:val="00BF0CC2"/>
    <w:rsid w:val="00BF2DD1"/>
    <w:rsid w:val="00BF5790"/>
    <w:rsid w:val="00BF7A13"/>
    <w:rsid w:val="00BF7CF6"/>
    <w:rsid w:val="00BF7DBE"/>
    <w:rsid w:val="00C0058E"/>
    <w:rsid w:val="00C00BB7"/>
    <w:rsid w:val="00C00CFB"/>
    <w:rsid w:val="00C02136"/>
    <w:rsid w:val="00C03BD6"/>
    <w:rsid w:val="00C06AFD"/>
    <w:rsid w:val="00C06FA9"/>
    <w:rsid w:val="00C0786A"/>
    <w:rsid w:val="00C07904"/>
    <w:rsid w:val="00C07E00"/>
    <w:rsid w:val="00C10979"/>
    <w:rsid w:val="00C10D22"/>
    <w:rsid w:val="00C10DBE"/>
    <w:rsid w:val="00C10EB2"/>
    <w:rsid w:val="00C1160E"/>
    <w:rsid w:val="00C12AEF"/>
    <w:rsid w:val="00C131B9"/>
    <w:rsid w:val="00C13401"/>
    <w:rsid w:val="00C142F8"/>
    <w:rsid w:val="00C15022"/>
    <w:rsid w:val="00C1692D"/>
    <w:rsid w:val="00C17376"/>
    <w:rsid w:val="00C20BE5"/>
    <w:rsid w:val="00C213C1"/>
    <w:rsid w:val="00C2204E"/>
    <w:rsid w:val="00C22ED9"/>
    <w:rsid w:val="00C2321A"/>
    <w:rsid w:val="00C24BBB"/>
    <w:rsid w:val="00C24F1F"/>
    <w:rsid w:val="00C25F41"/>
    <w:rsid w:val="00C263FD"/>
    <w:rsid w:val="00C267B7"/>
    <w:rsid w:val="00C3007A"/>
    <w:rsid w:val="00C300A8"/>
    <w:rsid w:val="00C31BB0"/>
    <w:rsid w:val="00C3372A"/>
    <w:rsid w:val="00C3673A"/>
    <w:rsid w:val="00C37378"/>
    <w:rsid w:val="00C401BB"/>
    <w:rsid w:val="00C40214"/>
    <w:rsid w:val="00C40EAA"/>
    <w:rsid w:val="00C40EB2"/>
    <w:rsid w:val="00C40F72"/>
    <w:rsid w:val="00C414C2"/>
    <w:rsid w:val="00C417D2"/>
    <w:rsid w:val="00C41E1C"/>
    <w:rsid w:val="00C42591"/>
    <w:rsid w:val="00C43D86"/>
    <w:rsid w:val="00C44A6C"/>
    <w:rsid w:val="00C45EB6"/>
    <w:rsid w:val="00C47AA1"/>
    <w:rsid w:val="00C5092A"/>
    <w:rsid w:val="00C51685"/>
    <w:rsid w:val="00C51E68"/>
    <w:rsid w:val="00C52B57"/>
    <w:rsid w:val="00C5560A"/>
    <w:rsid w:val="00C5563C"/>
    <w:rsid w:val="00C557EE"/>
    <w:rsid w:val="00C55C89"/>
    <w:rsid w:val="00C562B3"/>
    <w:rsid w:val="00C57B86"/>
    <w:rsid w:val="00C61F25"/>
    <w:rsid w:val="00C62F34"/>
    <w:rsid w:val="00C65804"/>
    <w:rsid w:val="00C66CB9"/>
    <w:rsid w:val="00C66DA4"/>
    <w:rsid w:val="00C67680"/>
    <w:rsid w:val="00C70BEC"/>
    <w:rsid w:val="00C714FC"/>
    <w:rsid w:val="00C7660A"/>
    <w:rsid w:val="00C76701"/>
    <w:rsid w:val="00C76855"/>
    <w:rsid w:val="00C774EB"/>
    <w:rsid w:val="00C81448"/>
    <w:rsid w:val="00C8186B"/>
    <w:rsid w:val="00C8532A"/>
    <w:rsid w:val="00C85B31"/>
    <w:rsid w:val="00C869B1"/>
    <w:rsid w:val="00C936C4"/>
    <w:rsid w:val="00C93D1B"/>
    <w:rsid w:val="00C949CF"/>
    <w:rsid w:val="00C97018"/>
    <w:rsid w:val="00C97AB3"/>
    <w:rsid w:val="00C97ADC"/>
    <w:rsid w:val="00CA00A5"/>
    <w:rsid w:val="00CA019F"/>
    <w:rsid w:val="00CA1EA6"/>
    <w:rsid w:val="00CA2D7D"/>
    <w:rsid w:val="00CA37A2"/>
    <w:rsid w:val="00CA45B1"/>
    <w:rsid w:val="00CA68D9"/>
    <w:rsid w:val="00CA6A05"/>
    <w:rsid w:val="00CA7C63"/>
    <w:rsid w:val="00CB0819"/>
    <w:rsid w:val="00CB0CBF"/>
    <w:rsid w:val="00CB0D45"/>
    <w:rsid w:val="00CB15C0"/>
    <w:rsid w:val="00CB1F76"/>
    <w:rsid w:val="00CB50C9"/>
    <w:rsid w:val="00CB5186"/>
    <w:rsid w:val="00CB552C"/>
    <w:rsid w:val="00CB5EB1"/>
    <w:rsid w:val="00CB64AF"/>
    <w:rsid w:val="00CC1408"/>
    <w:rsid w:val="00CC2E54"/>
    <w:rsid w:val="00CC4636"/>
    <w:rsid w:val="00CC47CE"/>
    <w:rsid w:val="00CC628E"/>
    <w:rsid w:val="00CC6FCF"/>
    <w:rsid w:val="00CD04FF"/>
    <w:rsid w:val="00CD068C"/>
    <w:rsid w:val="00CD1B4C"/>
    <w:rsid w:val="00CD1BAA"/>
    <w:rsid w:val="00CD3D7E"/>
    <w:rsid w:val="00CD3F51"/>
    <w:rsid w:val="00CD45CA"/>
    <w:rsid w:val="00CD7123"/>
    <w:rsid w:val="00CD776D"/>
    <w:rsid w:val="00CE04E0"/>
    <w:rsid w:val="00CE06A9"/>
    <w:rsid w:val="00CE0E97"/>
    <w:rsid w:val="00CE175C"/>
    <w:rsid w:val="00CE2D6A"/>
    <w:rsid w:val="00CE32A6"/>
    <w:rsid w:val="00CE571D"/>
    <w:rsid w:val="00CE6735"/>
    <w:rsid w:val="00CE6E3D"/>
    <w:rsid w:val="00CF04C4"/>
    <w:rsid w:val="00CF0A01"/>
    <w:rsid w:val="00CF10F6"/>
    <w:rsid w:val="00CF2167"/>
    <w:rsid w:val="00CF2621"/>
    <w:rsid w:val="00CF2BAF"/>
    <w:rsid w:val="00CF373D"/>
    <w:rsid w:val="00CF4002"/>
    <w:rsid w:val="00CF5437"/>
    <w:rsid w:val="00CF5F95"/>
    <w:rsid w:val="00CF68B1"/>
    <w:rsid w:val="00D002CA"/>
    <w:rsid w:val="00D00425"/>
    <w:rsid w:val="00D00B72"/>
    <w:rsid w:val="00D00D89"/>
    <w:rsid w:val="00D01839"/>
    <w:rsid w:val="00D019A8"/>
    <w:rsid w:val="00D02EC7"/>
    <w:rsid w:val="00D07021"/>
    <w:rsid w:val="00D072CB"/>
    <w:rsid w:val="00D107D7"/>
    <w:rsid w:val="00D11337"/>
    <w:rsid w:val="00D11558"/>
    <w:rsid w:val="00D11B63"/>
    <w:rsid w:val="00D129BC"/>
    <w:rsid w:val="00D1353C"/>
    <w:rsid w:val="00D162B5"/>
    <w:rsid w:val="00D1714E"/>
    <w:rsid w:val="00D174C6"/>
    <w:rsid w:val="00D23015"/>
    <w:rsid w:val="00D24AB8"/>
    <w:rsid w:val="00D26719"/>
    <w:rsid w:val="00D27701"/>
    <w:rsid w:val="00D27804"/>
    <w:rsid w:val="00D3069D"/>
    <w:rsid w:val="00D30A5C"/>
    <w:rsid w:val="00D3188E"/>
    <w:rsid w:val="00D31DC8"/>
    <w:rsid w:val="00D31EDC"/>
    <w:rsid w:val="00D32300"/>
    <w:rsid w:val="00D3291D"/>
    <w:rsid w:val="00D33EF2"/>
    <w:rsid w:val="00D35BCB"/>
    <w:rsid w:val="00D36054"/>
    <w:rsid w:val="00D40D2C"/>
    <w:rsid w:val="00D42DED"/>
    <w:rsid w:val="00D435A5"/>
    <w:rsid w:val="00D441A6"/>
    <w:rsid w:val="00D44425"/>
    <w:rsid w:val="00D44C0F"/>
    <w:rsid w:val="00D44DA1"/>
    <w:rsid w:val="00D4618D"/>
    <w:rsid w:val="00D46399"/>
    <w:rsid w:val="00D471FF"/>
    <w:rsid w:val="00D4733B"/>
    <w:rsid w:val="00D476DC"/>
    <w:rsid w:val="00D502AA"/>
    <w:rsid w:val="00D50C37"/>
    <w:rsid w:val="00D51737"/>
    <w:rsid w:val="00D53F9F"/>
    <w:rsid w:val="00D54087"/>
    <w:rsid w:val="00D5410F"/>
    <w:rsid w:val="00D5655E"/>
    <w:rsid w:val="00D6008E"/>
    <w:rsid w:val="00D60B5F"/>
    <w:rsid w:val="00D62155"/>
    <w:rsid w:val="00D63A43"/>
    <w:rsid w:val="00D66681"/>
    <w:rsid w:val="00D723AB"/>
    <w:rsid w:val="00D76186"/>
    <w:rsid w:val="00D76A0A"/>
    <w:rsid w:val="00D77001"/>
    <w:rsid w:val="00D77510"/>
    <w:rsid w:val="00D7798F"/>
    <w:rsid w:val="00D77CB3"/>
    <w:rsid w:val="00D82077"/>
    <w:rsid w:val="00D82209"/>
    <w:rsid w:val="00D82C98"/>
    <w:rsid w:val="00D82FC3"/>
    <w:rsid w:val="00D84B8F"/>
    <w:rsid w:val="00D8554B"/>
    <w:rsid w:val="00D87011"/>
    <w:rsid w:val="00D9076A"/>
    <w:rsid w:val="00D9270C"/>
    <w:rsid w:val="00D942D3"/>
    <w:rsid w:val="00D9433D"/>
    <w:rsid w:val="00D948D0"/>
    <w:rsid w:val="00D94AF2"/>
    <w:rsid w:val="00D94E1D"/>
    <w:rsid w:val="00D97730"/>
    <w:rsid w:val="00D978E1"/>
    <w:rsid w:val="00D97DE3"/>
    <w:rsid w:val="00DA0D9A"/>
    <w:rsid w:val="00DA1C5F"/>
    <w:rsid w:val="00DA22F1"/>
    <w:rsid w:val="00DA37BE"/>
    <w:rsid w:val="00DA3E2B"/>
    <w:rsid w:val="00DA46F5"/>
    <w:rsid w:val="00DA4FD3"/>
    <w:rsid w:val="00DA54CB"/>
    <w:rsid w:val="00DA695E"/>
    <w:rsid w:val="00DA7555"/>
    <w:rsid w:val="00DA79BE"/>
    <w:rsid w:val="00DB0773"/>
    <w:rsid w:val="00DB226B"/>
    <w:rsid w:val="00DB2A06"/>
    <w:rsid w:val="00DB2A6D"/>
    <w:rsid w:val="00DB40A2"/>
    <w:rsid w:val="00DB49E0"/>
    <w:rsid w:val="00DB4D4D"/>
    <w:rsid w:val="00DB6113"/>
    <w:rsid w:val="00DB61A2"/>
    <w:rsid w:val="00DB74E7"/>
    <w:rsid w:val="00DB775B"/>
    <w:rsid w:val="00DB7DB0"/>
    <w:rsid w:val="00DC4F01"/>
    <w:rsid w:val="00DC62D4"/>
    <w:rsid w:val="00DC6CFB"/>
    <w:rsid w:val="00DC6EAA"/>
    <w:rsid w:val="00DD1198"/>
    <w:rsid w:val="00DD24D6"/>
    <w:rsid w:val="00DD29B9"/>
    <w:rsid w:val="00DD5031"/>
    <w:rsid w:val="00DD6367"/>
    <w:rsid w:val="00DD63CD"/>
    <w:rsid w:val="00DE09A5"/>
    <w:rsid w:val="00DE0F7F"/>
    <w:rsid w:val="00DE339B"/>
    <w:rsid w:val="00DE3C15"/>
    <w:rsid w:val="00DE53EE"/>
    <w:rsid w:val="00DE6A3C"/>
    <w:rsid w:val="00DF0639"/>
    <w:rsid w:val="00DF3237"/>
    <w:rsid w:val="00DF3CCE"/>
    <w:rsid w:val="00DF3FDB"/>
    <w:rsid w:val="00DF5555"/>
    <w:rsid w:val="00DF6083"/>
    <w:rsid w:val="00DF6A9B"/>
    <w:rsid w:val="00DF78DF"/>
    <w:rsid w:val="00DF7E44"/>
    <w:rsid w:val="00E002AD"/>
    <w:rsid w:val="00E013BD"/>
    <w:rsid w:val="00E01FFB"/>
    <w:rsid w:val="00E038A7"/>
    <w:rsid w:val="00E06B0A"/>
    <w:rsid w:val="00E07ED7"/>
    <w:rsid w:val="00E07FEC"/>
    <w:rsid w:val="00E114B5"/>
    <w:rsid w:val="00E115AF"/>
    <w:rsid w:val="00E11859"/>
    <w:rsid w:val="00E118E4"/>
    <w:rsid w:val="00E11AB2"/>
    <w:rsid w:val="00E13E60"/>
    <w:rsid w:val="00E14B17"/>
    <w:rsid w:val="00E2005F"/>
    <w:rsid w:val="00E2048E"/>
    <w:rsid w:val="00E22132"/>
    <w:rsid w:val="00E24339"/>
    <w:rsid w:val="00E24669"/>
    <w:rsid w:val="00E24B52"/>
    <w:rsid w:val="00E255CA"/>
    <w:rsid w:val="00E26BFF"/>
    <w:rsid w:val="00E27832"/>
    <w:rsid w:val="00E309FE"/>
    <w:rsid w:val="00E3123D"/>
    <w:rsid w:val="00E34DE1"/>
    <w:rsid w:val="00E363D8"/>
    <w:rsid w:val="00E36B8C"/>
    <w:rsid w:val="00E370A9"/>
    <w:rsid w:val="00E37355"/>
    <w:rsid w:val="00E4039C"/>
    <w:rsid w:val="00E414CA"/>
    <w:rsid w:val="00E42021"/>
    <w:rsid w:val="00E433CE"/>
    <w:rsid w:val="00E43564"/>
    <w:rsid w:val="00E43BBB"/>
    <w:rsid w:val="00E43C6A"/>
    <w:rsid w:val="00E44040"/>
    <w:rsid w:val="00E44260"/>
    <w:rsid w:val="00E45C1C"/>
    <w:rsid w:val="00E4617D"/>
    <w:rsid w:val="00E461FB"/>
    <w:rsid w:val="00E51138"/>
    <w:rsid w:val="00E5121E"/>
    <w:rsid w:val="00E5180A"/>
    <w:rsid w:val="00E51F97"/>
    <w:rsid w:val="00E52ADB"/>
    <w:rsid w:val="00E540F8"/>
    <w:rsid w:val="00E554A7"/>
    <w:rsid w:val="00E55B08"/>
    <w:rsid w:val="00E56280"/>
    <w:rsid w:val="00E56C89"/>
    <w:rsid w:val="00E56D66"/>
    <w:rsid w:val="00E60162"/>
    <w:rsid w:val="00E61880"/>
    <w:rsid w:val="00E62AFE"/>
    <w:rsid w:val="00E6397B"/>
    <w:rsid w:val="00E66F98"/>
    <w:rsid w:val="00E70533"/>
    <w:rsid w:val="00E70A26"/>
    <w:rsid w:val="00E70A34"/>
    <w:rsid w:val="00E71888"/>
    <w:rsid w:val="00E71A80"/>
    <w:rsid w:val="00E740C7"/>
    <w:rsid w:val="00E74AA4"/>
    <w:rsid w:val="00E74EE5"/>
    <w:rsid w:val="00E754AC"/>
    <w:rsid w:val="00E75C83"/>
    <w:rsid w:val="00E762BE"/>
    <w:rsid w:val="00E76379"/>
    <w:rsid w:val="00E76AE8"/>
    <w:rsid w:val="00E76FC1"/>
    <w:rsid w:val="00E7770E"/>
    <w:rsid w:val="00E800FF"/>
    <w:rsid w:val="00E80ABB"/>
    <w:rsid w:val="00E81ADF"/>
    <w:rsid w:val="00E8227F"/>
    <w:rsid w:val="00E82528"/>
    <w:rsid w:val="00E83924"/>
    <w:rsid w:val="00E84044"/>
    <w:rsid w:val="00E853F6"/>
    <w:rsid w:val="00E854DF"/>
    <w:rsid w:val="00E85A8D"/>
    <w:rsid w:val="00E86403"/>
    <w:rsid w:val="00E86518"/>
    <w:rsid w:val="00E903CC"/>
    <w:rsid w:val="00E90E6A"/>
    <w:rsid w:val="00E92E44"/>
    <w:rsid w:val="00E92EB5"/>
    <w:rsid w:val="00E940B0"/>
    <w:rsid w:val="00E96D39"/>
    <w:rsid w:val="00E97C9F"/>
    <w:rsid w:val="00EA0662"/>
    <w:rsid w:val="00EA22EF"/>
    <w:rsid w:val="00EA2DEB"/>
    <w:rsid w:val="00EA3E9F"/>
    <w:rsid w:val="00EA3FD8"/>
    <w:rsid w:val="00EA4CCF"/>
    <w:rsid w:val="00EA749C"/>
    <w:rsid w:val="00EB0966"/>
    <w:rsid w:val="00EB3754"/>
    <w:rsid w:val="00EB3E4A"/>
    <w:rsid w:val="00EB4FCA"/>
    <w:rsid w:val="00EB55B7"/>
    <w:rsid w:val="00EB59D3"/>
    <w:rsid w:val="00EB5FE9"/>
    <w:rsid w:val="00EB631F"/>
    <w:rsid w:val="00EB6CC9"/>
    <w:rsid w:val="00EB7B3A"/>
    <w:rsid w:val="00EC11EF"/>
    <w:rsid w:val="00EC2950"/>
    <w:rsid w:val="00EC2D62"/>
    <w:rsid w:val="00EC4036"/>
    <w:rsid w:val="00EC427F"/>
    <w:rsid w:val="00EC430C"/>
    <w:rsid w:val="00EC524B"/>
    <w:rsid w:val="00ED04C6"/>
    <w:rsid w:val="00ED12B5"/>
    <w:rsid w:val="00ED15F5"/>
    <w:rsid w:val="00ED1D2B"/>
    <w:rsid w:val="00ED2C73"/>
    <w:rsid w:val="00ED2CE5"/>
    <w:rsid w:val="00ED3C60"/>
    <w:rsid w:val="00ED3FAC"/>
    <w:rsid w:val="00ED53DF"/>
    <w:rsid w:val="00ED6BAC"/>
    <w:rsid w:val="00EE2537"/>
    <w:rsid w:val="00EE42AE"/>
    <w:rsid w:val="00EE4479"/>
    <w:rsid w:val="00EE4E87"/>
    <w:rsid w:val="00EE52BF"/>
    <w:rsid w:val="00EE6878"/>
    <w:rsid w:val="00EE7E58"/>
    <w:rsid w:val="00EF1719"/>
    <w:rsid w:val="00EF2109"/>
    <w:rsid w:val="00EF24D4"/>
    <w:rsid w:val="00EF3298"/>
    <w:rsid w:val="00EF511D"/>
    <w:rsid w:val="00EF5435"/>
    <w:rsid w:val="00EF7421"/>
    <w:rsid w:val="00EF752B"/>
    <w:rsid w:val="00F007CE"/>
    <w:rsid w:val="00F00A3B"/>
    <w:rsid w:val="00F00CE3"/>
    <w:rsid w:val="00F01E3B"/>
    <w:rsid w:val="00F05DD8"/>
    <w:rsid w:val="00F10342"/>
    <w:rsid w:val="00F10541"/>
    <w:rsid w:val="00F10E72"/>
    <w:rsid w:val="00F1553C"/>
    <w:rsid w:val="00F1568C"/>
    <w:rsid w:val="00F16877"/>
    <w:rsid w:val="00F16F13"/>
    <w:rsid w:val="00F17A3F"/>
    <w:rsid w:val="00F2089B"/>
    <w:rsid w:val="00F20A35"/>
    <w:rsid w:val="00F20ACC"/>
    <w:rsid w:val="00F21398"/>
    <w:rsid w:val="00F21CE2"/>
    <w:rsid w:val="00F220B3"/>
    <w:rsid w:val="00F22E8C"/>
    <w:rsid w:val="00F2565F"/>
    <w:rsid w:val="00F2718C"/>
    <w:rsid w:val="00F27CAD"/>
    <w:rsid w:val="00F27CE2"/>
    <w:rsid w:val="00F30950"/>
    <w:rsid w:val="00F309D1"/>
    <w:rsid w:val="00F3128F"/>
    <w:rsid w:val="00F312ED"/>
    <w:rsid w:val="00F32B6C"/>
    <w:rsid w:val="00F34506"/>
    <w:rsid w:val="00F3460B"/>
    <w:rsid w:val="00F34B80"/>
    <w:rsid w:val="00F354D6"/>
    <w:rsid w:val="00F35A22"/>
    <w:rsid w:val="00F3708A"/>
    <w:rsid w:val="00F37926"/>
    <w:rsid w:val="00F4041D"/>
    <w:rsid w:val="00F40FF1"/>
    <w:rsid w:val="00F41F0F"/>
    <w:rsid w:val="00F423FA"/>
    <w:rsid w:val="00F4253A"/>
    <w:rsid w:val="00F45D37"/>
    <w:rsid w:val="00F4650D"/>
    <w:rsid w:val="00F502DA"/>
    <w:rsid w:val="00F50ED3"/>
    <w:rsid w:val="00F511E7"/>
    <w:rsid w:val="00F51F3C"/>
    <w:rsid w:val="00F52389"/>
    <w:rsid w:val="00F5260D"/>
    <w:rsid w:val="00F5302B"/>
    <w:rsid w:val="00F53397"/>
    <w:rsid w:val="00F53F53"/>
    <w:rsid w:val="00F55047"/>
    <w:rsid w:val="00F553D3"/>
    <w:rsid w:val="00F5580E"/>
    <w:rsid w:val="00F56845"/>
    <w:rsid w:val="00F6036F"/>
    <w:rsid w:val="00F60AF4"/>
    <w:rsid w:val="00F61094"/>
    <w:rsid w:val="00F618F8"/>
    <w:rsid w:val="00F61EB1"/>
    <w:rsid w:val="00F61FFC"/>
    <w:rsid w:val="00F6202A"/>
    <w:rsid w:val="00F62C76"/>
    <w:rsid w:val="00F64918"/>
    <w:rsid w:val="00F652CC"/>
    <w:rsid w:val="00F65360"/>
    <w:rsid w:val="00F65C8D"/>
    <w:rsid w:val="00F6641E"/>
    <w:rsid w:val="00F6708A"/>
    <w:rsid w:val="00F677C6"/>
    <w:rsid w:val="00F67B77"/>
    <w:rsid w:val="00F73686"/>
    <w:rsid w:val="00F74C97"/>
    <w:rsid w:val="00F75890"/>
    <w:rsid w:val="00F7760A"/>
    <w:rsid w:val="00F776F7"/>
    <w:rsid w:val="00F77848"/>
    <w:rsid w:val="00F80B4D"/>
    <w:rsid w:val="00F813F4"/>
    <w:rsid w:val="00F81441"/>
    <w:rsid w:val="00F82E4B"/>
    <w:rsid w:val="00F83C39"/>
    <w:rsid w:val="00F83F9D"/>
    <w:rsid w:val="00F842E3"/>
    <w:rsid w:val="00F8449B"/>
    <w:rsid w:val="00F84C93"/>
    <w:rsid w:val="00F87967"/>
    <w:rsid w:val="00F87B8B"/>
    <w:rsid w:val="00F91B18"/>
    <w:rsid w:val="00F9204F"/>
    <w:rsid w:val="00F922A2"/>
    <w:rsid w:val="00F9237D"/>
    <w:rsid w:val="00F92A8D"/>
    <w:rsid w:val="00F93390"/>
    <w:rsid w:val="00F94647"/>
    <w:rsid w:val="00F96467"/>
    <w:rsid w:val="00F967D2"/>
    <w:rsid w:val="00F9695E"/>
    <w:rsid w:val="00FA1780"/>
    <w:rsid w:val="00FA39DF"/>
    <w:rsid w:val="00FA4773"/>
    <w:rsid w:val="00FA4E6E"/>
    <w:rsid w:val="00FA5436"/>
    <w:rsid w:val="00FA58E4"/>
    <w:rsid w:val="00FA61EC"/>
    <w:rsid w:val="00FA6396"/>
    <w:rsid w:val="00FA654D"/>
    <w:rsid w:val="00FA6ACF"/>
    <w:rsid w:val="00FA72F4"/>
    <w:rsid w:val="00FA7464"/>
    <w:rsid w:val="00FB007B"/>
    <w:rsid w:val="00FB089E"/>
    <w:rsid w:val="00FB19DE"/>
    <w:rsid w:val="00FB2554"/>
    <w:rsid w:val="00FB653B"/>
    <w:rsid w:val="00FB6E2F"/>
    <w:rsid w:val="00FB70F3"/>
    <w:rsid w:val="00FC02B8"/>
    <w:rsid w:val="00FC19D6"/>
    <w:rsid w:val="00FC2208"/>
    <w:rsid w:val="00FC2538"/>
    <w:rsid w:val="00FC3791"/>
    <w:rsid w:val="00FC5082"/>
    <w:rsid w:val="00FC5156"/>
    <w:rsid w:val="00FC5604"/>
    <w:rsid w:val="00FC584B"/>
    <w:rsid w:val="00FC74E7"/>
    <w:rsid w:val="00FC7FF9"/>
    <w:rsid w:val="00FD0B03"/>
    <w:rsid w:val="00FD0FCD"/>
    <w:rsid w:val="00FD1BFE"/>
    <w:rsid w:val="00FD2187"/>
    <w:rsid w:val="00FD2749"/>
    <w:rsid w:val="00FD2A3F"/>
    <w:rsid w:val="00FD2AA5"/>
    <w:rsid w:val="00FD5C09"/>
    <w:rsid w:val="00FD6772"/>
    <w:rsid w:val="00FE0460"/>
    <w:rsid w:val="00FE0634"/>
    <w:rsid w:val="00FE0789"/>
    <w:rsid w:val="00FE1741"/>
    <w:rsid w:val="00FE251E"/>
    <w:rsid w:val="00FE2831"/>
    <w:rsid w:val="00FE3640"/>
    <w:rsid w:val="00FE46D3"/>
    <w:rsid w:val="00FE60FE"/>
    <w:rsid w:val="00FE6142"/>
    <w:rsid w:val="00FE6958"/>
    <w:rsid w:val="00FF0C25"/>
    <w:rsid w:val="00FF14A3"/>
    <w:rsid w:val="00FF21E4"/>
    <w:rsid w:val="00FF354F"/>
    <w:rsid w:val="00FF5025"/>
    <w:rsid w:val="00FF5C9D"/>
    <w:rsid w:val="00FF6EFE"/>
    <w:rsid w:val="00FF6F3B"/>
    <w:rsid w:val="01066359"/>
    <w:rsid w:val="01133700"/>
    <w:rsid w:val="019165A7"/>
    <w:rsid w:val="02E3763A"/>
    <w:rsid w:val="03CDAA36"/>
    <w:rsid w:val="03EA7FC2"/>
    <w:rsid w:val="059A08B5"/>
    <w:rsid w:val="06EA1EAA"/>
    <w:rsid w:val="06F92A94"/>
    <w:rsid w:val="07125F5D"/>
    <w:rsid w:val="07156016"/>
    <w:rsid w:val="079E421C"/>
    <w:rsid w:val="07A40243"/>
    <w:rsid w:val="08A52894"/>
    <w:rsid w:val="08F877B2"/>
    <w:rsid w:val="0B6D4F8E"/>
    <w:rsid w:val="0BB068C4"/>
    <w:rsid w:val="0BD16649"/>
    <w:rsid w:val="0BD77A1C"/>
    <w:rsid w:val="0D0B7C15"/>
    <w:rsid w:val="0D2759EA"/>
    <w:rsid w:val="0D4613A0"/>
    <w:rsid w:val="0D5142FA"/>
    <w:rsid w:val="0E667B0F"/>
    <w:rsid w:val="0EAB7C77"/>
    <w:rsid w:val="0EBF602F"/>
    <w:rsid w:val="0F02049B"/>
    <w:rsid w:val="0F223DF5"/>
    <w:rsid w:val="10A4667A"/>
    <w:rsid w:val="10CD6114"/>
    <w:rsid w:val="11E53FD3"/>
    <w:rsid w:val="12E2141C"/>
    <w:rsid w:val="12E461C9"/>
    <w:rsid w:val="13A52C7B"/>
    <w:rsid w:val="14A541E2"/>
    <w:rsid w:val="14E96317"/>
    <w:rsid w:val="16233FB9"/>
    <w:rsid w:val="1652230F"/>
    <w:rsid w:val="1679D03C"/>
    <w:rsid w:val="16C90F79"/>
    <w:rsid w:val="16F760E1"/>
    <w:rsid w:val="17FB4426"/>
    <w:rsid w:val="17FF73FA"/>
    <w:rsid w:val="1834380F"/>
    <w:rsid w:val="183F5D7D"/>
    <w:rsid w:val="188626E1"/>
    <w:rsid w:val="188D062F"/>
    <w:rsid w:val="189D32E6"/>
    <w:rsid w:val="18B15020"/>
    <w:rsid w:val="18EE3BF9"/>
    <w:rsid w:val="195FA7C6"/>
    <w:rsid w:val="197D4306"/>
    <w:rsid w:val="198464B8"/>
    <w:rsid w:val="19AD1818"/>
    <w:rsid w:val="1AD21A71"/>
    <w:rsid w:val="1AFF064A"/>
    <w:rsid w:val="1B464139"/>
    <w:rsid w:val="1B5C6CA2"/>
    <w:rsid w:val="1B815792"/>
    <w:rsid w:val="1BCC3392"/>
    <w:rsid w:val="1C02000E"/>
    <w:rsid w:val="1C1527EF"/>
    <w:rsid w:val="1C376DEB"/>
    <w:rsid w:val="1C3C5DA9"/>
    <w:rsid w:val="1C3FD069"/>
    <w:rsid w:val="1CBF7B25"/>
    <w:rsid w:val="1CDA63F0"/>
    <w:rsid w:val="1D814759"/>
    <w:rsid w:val="1D8D1A27"/>
    <w:rsid w:val="1DEFC6D6"/>
    <w:rsid w:val="1E694820"/>
    <w:rsid w:val="1F2F1703"/>
    <w:rsid w:val="1F6F0FAD"/>
    <w:rsid w:val="1FB5F711"/>
    <w:rsid w:val="215521EE"/>
    <w:rsid w:val="2159105B"/>
    <w:rsid w:val="216B0A11"/>
    <w:rsid w:val="218867EF"/>
    <w:rsid w:val="225C5E14"/>
    <w:rsid w:val="22CF052E"/>
    <w:rsid w:val="233A3E53"/>
    <w:rsid w:val="234C0B21"/>
    <w:rsid w:val="23A7139E"/>
    <w:rsid w:val="23B87D44"/>
    <w:rsid w:val="23C40697"/>
    <w:rsid w:val="23E304C1"/>
    <w:rsid w:val="24734990"/>
    <w:rsid w:val="24CD7912"/>
    <w:rsid w:val="260D4DDB"/>
    <w:rsid w:val="26164E0A"/>
    <w:rsid w:val="26B175B2"/>
    <w:rsid w:val="26F53BCE"/>
    <w:rsid w:val="26F7CB0C"/>
    <w:rsid w:val="26FCED7C"/>
    <w:rsid w:val="277D0479"/>
    <w:rsid w:val="281610E5"/>
    <w:rsid w:val="286232E1"/>
    <w:rsid w:val="286958CC"/>
    <w:rsid w:val="28BA3037"/>
    <w:rsid w:val="2948054F"/>
    <w:rsid w:val="29564F26"/>
    <w:rsid w:val="295F5542"/>
    <w:rsid w:val="2961687A"/>
    <w:rsid w:val="29756490"/>
    <w:rsid w:val="2A507B46"/>
    <w:rsid w:val="2A577527"/>
    <w:rsid w:val="2A8D2F66"/>
    <w:rsid w:val="2B55434F"/>
    <w:rsid w:val="2BF13513"/>
    <w:rsid w:val="2C1D56D6"/>
    <w:rsid w:val="2CB741EC"/>
    <w:rsid w:val="2DAF5570"/>
    <w:rsid w:val="2DCC15CF"/>
    <w:rsid w:val="2DEE2F51"/>
    <w:rsid w:val="2F0E362D"/>
    <w:rsid w:val="2F31401A"/>
    <w:rsid w:val="2F7E59EF"/>
    <w:rsid w:val="2FA55F7F"/>
    <w:rsid w:val="2FB2285C"/>
    <w:rsid w:val="2FC43EC1"/>
    <w:rsid w:val="2FFEB2E6"/>
    <w:rsid w:val="31466222"/>
    <w:rsid w:val="31901DDD"/>
    <w:rsid w:val="324A0271"/>
    <w:rsid w:val="327F1430"/>
    <w:rsid w:val="32864DB1"/>
    <w:rsid w:val="32FB6057"/>
    <w:rsid w:val="33886EBD"/>
    <w:rsid w:val="3565470A"/>
    <w:rsid w:val="35D2187E"/>
    <w:rsid w:val="36062EA2"/>
    <w:rsid w:val="36B4742B"/>
    <w:rsid w:val="36F75539"/>
    <w:rsid w:val="36FB9139"/>
    <w:rsid w:val="37BC6661"/>
    <w:rsid w:val="37F66A4F"/>
    <w:rsid w:val="37FB2775"/>
    <w:rsid w:val="380F4517"/>
    <w:rsid w:val="38536197"/>
    <w:rsid w:val="390309AD"/>
    <w:rsid w:val="39ED990C"/>
    <w:rsid w:val="3B6FA8CC"/>
    <w:rsid w:val="3BB14E11"/>
    <w:rsid w:val="3C3D1317"/>
    <w:rsid w:val="3C656DC6"/>
    <w:rsid w:val="3CD0586A"/>
    <w:rsid w:val="3D0E7D29"/>
    <w:rsid w:val="3D179B8B"/>
    <w:rsid w:val="3D3E437F"/>
    <w:rsid w:val="3D3F1996"/>
    <w:rsid w:val="3D8B2795"/>
    <w:rsid w:val="3DD5126B"/>
    <w:rsid w:val="3E7A0B33"/>
    <w:rsid w:val="3E9E0570"/>
    <w:rsid w:val="3EE6528E"/>
    <w:rsid w:val="3EFB9FC1"/>
    <w:rsid w:val="3EFCD703"/>
    <w:rsid w:val="3F28071B"/>
    <w:rsid w:val="3F5D1D06"/>
    <w:rsid w:val="3F8EE13E"/>
    <w:rsid w:val="3FBCC615"/>
    <w:rsid w:val="3FDFC31D"/>
    <w:rsid w:val="3FFFF28C"/>
    <w:rsid w:val="40045CCB"/>
    <w:rsid w:val="40317F03"/>
    <w:rsid w:val="405F39EA"/>
    <w:rsid w:val="413542E7"/>
    <w:rsid w:val="41366F80"/>
    <w:rsid w:val="41D879EF"/>
    <w:rsid w:val="42460039"/>
    <w:rsid w:val="424F326E"/>
    <w:rsid w:val="428F456B"/>
    <w:rsid w:val="459C6F06"/>
    <w:rsid w:val="45A07ADC"/>
    <w:rsid w:val="468E48B0"/>
    <w:rsid w:val="46C876BF"/>
    <w:rsid w:val="46D93D23"/>
    <w:rsid w:val="470A78E3"/>
    <w:rsid w:val="47DDE2D5"/>
    <w:rsid w:val="48D107CF"/>
    <w:rsid w:val="48F14395"/>
    <w:rsid w:val="496656D8"/>
    <w:rsid w:val="4A46377C"/>
    <w:rsid w:val="4A985531"/>
    <w:rsid w:val="4B507199"/>
    <w:rsid w:val="4B543A80"/>
    <w:rsid w:val="4B5A6D19"/>
    <w:rsid w:val="4B9E3483"/>
    <w:rsid w:val="4BE41488"/>
    <w:rsid w:val="4C1E3D32"/>
    <w:rsid w:val="4C49601A"/>
    <w:rsid w:val="4C585AB4"/>
    <w:rsid w:val="4C6C4B57"/>
    <w:rsid w:val="4D613184"/>
    <w:rsid w:val="4DDED1F7"/>
    <w:rsid w:val="4E2F43C1"/>
    <w:rsid w:val="4EDD6510"/>
    <w:rsid w:val="4EF20DA9"/>
    <w:rsid w:val="4F56661D"/>
    <w:rsid w:val="4F7F0BF9"/>
    <w:rsid w:val="4F7F3F92"/>
    <w:rsid w:val="4FB7135A"/>
    <w:rsid w:val="4FB73198"/>
    <w:rsid w:val="4FFE7132"/>
    <w:rsid w:val="501554AB"/>
    <w:rsid w:val="50425A08"/>
    <w:rsid w:val="50516DE7"/>
    <w:rsid w:val="50C3437D"/>
    <w:rsid w:val="514316E9"/>
    <w:rsid w:val="515B351A"/>
    <w:rsid w:val="516253C4"/>
    <w:rsid w:val="519B5C7E"/>
    <w:rsid w:val="52CF1070"/>
    <w:rsid w:val="52E40C56"/>
    <w:rsid w:val="533C31C2"/>
    <w:rsid w:val="5357DA30"/>
    <w:rsid w:val="54471BD3"/>
    <w:rsid w:val="5572776B"/>
    <w:rsid w:val="55A52E77"/>
    <w:rsid w:val="572EB7CC"/>
    <w:rsid w:val="573A3AB9"/>
    <w:rsid w:val="574E2FD2"/>
    <w:rsid w:val="5752403E"/>
    <w:rsid w:val="577D9CD7"/>
    <w:rsid w:val="57BABE06"/>
    <w:rsid w:val="57BF6AEA"/>
    <w:rsid w:val="57FB8EB6"/>
    <w:rsid w:val="58255E64"/>
    <w:rsid w:val="583E418F"/>
    <w:rsid w:val="58CF0608"/>
    <w:rsid w:val="5A4A3313"/>
    <w:rsid w:val="5A6E0410"/>
    <w:rsid w:val="5A6E3C3C"/>
    <w:rsid w:val="5AFD4E02"/>
    <w:rsid w:val="5B5D738C"/>
    <w:rsid w:val="5BBA678C"/>
    <w:rsid w:val="5BBFB391"/>
    <w:rsid w:val="5BE262AB"/>
    <w:rsid w:val="5BFBF413"/>
    <w:rsid w:val="5BFD15A6"/>
    <w:rsid w:val="5C580EB9"/>
    <w:rsid w:val="5C9B255D"/>
    <w:rsid w:val="5CC77DB7"/>
    <w:rsid w:val="5D7E836A"/>
    <w:rsid w:val="5DBE3A88"/>
    <w:rsid w:val="5DFCEED7"/>
    <w:rsid w:val="5E134195"/>
    <w:rsid w:val="5E57056A"/>
    <w:rsid w:val="5F4D1084"/>
    <w:rsid w:val="5F574931"/>
    <w:rsid w:val="5F653392"/>
    <w:rsid w:val="5F9F0E1C"/>
    <w:rsid w:val="5FA70236"/>
    <w:rsid w:val="5FC51D93"/>
    <w:rsid w:val="5FDEE6FC"/>
    <w:rsid w:val="5FEBF471"/>
    <w:rsid w:val="5FFDC3F8"/>
    <w:rsid w:val="6017063D"/>
    <w:rsid w:val="6068003C"/>
    <w:rsid w:val="60AF5C2B"/>
    <w:rsid w:val="60E55FC6"/>
    <w:rsid w:val="612453EE"/>
    <w:rsid w:val="613A000F"/>
    <w:rsid w:val="615024CA"/>
    <w:rsid w:val="61563DF9"/>
    <w:rsid w:val="61867B96"/>
    <w:rsid w:val="61BD3992"/>
    <w:rsid w:val="61C22899"/>
    <w:rsid w:val="61DD4B79"/>
    <w:rsid w:val="627111A7"/>
    <w:rsid w:val="627A79CB"/>
    <w:rsid w:val="62B801B0"/>
    <w:rsid w:val="63261E26"/>
    <w:rsid w:val="635748C3"/>
    <w:rsid w:val="63D14A88"/>
    <w:rsid w:val="63D34862"/>
    <w:rsid w:val="63EE8392"/>
    <w:rsid w:val="63F110B9"/>
    <w:rsid w:val="64A26573"/>
    <w:rsid w:val="65B640BD"/>
    <w:rsid w:val="65CB5B13"/>
    <w:rsid w:val="65F986C6"/>
    <w:rsid w:val="665BFF06"/>
    <w:rsid w:val="67FA92D6"/>
    <w:rsid w:val="67FFB8BD"/>
    <w:rsid w:val="681E4F9A"/>
    <w:rsid w:val="68416194"/>
    <w:rsid w:val="687541B2"/>
    <w:rsid w:val="68D8699F"/>
    <w:rsid w:val="69446BC9"/>
    <w:rsid w:val="69F707E9"/>
    <w:rsid w:val="6A156404"/>
    <w:rsid w:val="6A1915B2"/>
    <w:rsid w:val="6A910C4D"/>
    <w:rsid w:val="6AF02D0E"/>
    <w:rsid w:val="6B7FEFCA"/>
    <w:rsid w:val="6B9760D8"/>
    <w:rsid w:val="6BD7CF89"/>
    <w:rsid w:val="6BDF9CA4"/>
    <w:rsid w:val="6BE20784"/>
    <w:rsid w:val="6BFB4EC8"/>
    <w:rsid w:val="6C1508DF"/>
    <w:rsid w:val="6C23442F"/>
    <w:rsid w:val="6C527581"/>
    <w:rsid w:val="6C76B483"/>
    <w:rsid w:val="6C7B109E"/>
    <w:rsid w:val="6C9375A4"/>
    <w:rsid w:val="6CAD18ED"/>
    <w:rsid w:val="6CD2D8AC"/>
    <w:rsid w:val="6D478248"/>
    <w:rsid w:val="6D6B15AD"/>
    <w:rsid w:val="6DF37D4F"/>
    <w:rsid w:val="6DF744B2"/>
    <w:rsid w:val="6DFF8EEF"/>
    <w:rsid w:val="6E4118B0"/>
    <w:rsid w:val="6ED635EB"/>
    <w:rsid w:val="6EF16D72"/>
    <w:rsid w:val="6EF7634F"/>
    <w:rsid w:val="6EFEE687"/>
    <w:rsid w:val="6F110FC5"/>
    <w:rsid w:val="6F196179"/>
    <w:rsid w:val="6FB94D60"/>
    <w:rsid w:val="6FDBAC7B"/>
    <w:rsid w:val="6FF02573"/>
    <w:rsid w:val="6FFC21AB"/>
    <w:rsid w:val="6FFE919A"/>
    <w:rsid w:val="6FFF9A7F"/>
    <w:rsid w:val="70330A9B"/>
    <w:rsid w:val="70A77661"/>
    <w:rsid w:val="70D63EAD"/>
    <w:rsid w:val="70E04962"/>
    <w:rsid w:val="71261F83"/>
    <w:rsid w:val="71BB3216"/>
    <w:rsid w:val="71F75DEA"/>
    <w:rsid w:val="720B2AD6"/>
    <w:rsid w:val="72997A96"/>
    <w:rsid w:val="729D5A9E"/>
    <w:rsid w:val="72F60C61"/>
    <w:rsid w:val="72F9BCEA"/>
    <w:rsid w:val="72FC846D"/>
    <w:rsid w:val="734E4A03"/>
    <w:rsid w:val="73FC6EC7"/>
    <w:rsid w:val="73FD774E"/>
    <w:rsid w:val="73FF0B75"/>
    <w:rsid w:val="73FF6476"/>
    <w:rsid w:val="73FF7B6F"/>
    <w:rsid w:val="74C1280E"/>
    <w:rsid w:val="75295BE7"/>
    <w:rsid w:val="75658274"/>
    <w:rsid w:val="75782D22"/>
    <w:rsid w:val="75936B43"/>
    <w:rsid w:val="759F35D1"/>
    <w:rsid w:val="75EA00C2"/>
    <w:rsid w:val="76185B41"/>
    <w:rsid w:val="763D62D4"/>
    <w:rsid w:val="767B43A9"/>
    <w:rsid w:val="76CD3C9B"/>
    <w:rsid w:val="76DA244C"/>
    <w:rsid w:val="76F45F27"/>
    <w:rsid w:val="77167A98"/>
    <w:rsid w:val="77350BFF"/>
    <w:rsid w:val="774320FF"/>
    <w:rsid w:val="775E9DDD"/>
    <w:rsid w:val="778A0F8C"/>
    <w:rsid w:val="77AF8CD8"/>
    <w:rsid w:val="77B293B7"/>
    <w:rsid w:val="77BA49C6"/>
    <w:rsid w:val="77F76CD8"/>
    <w:rsid w:val="77FE33BD"/>
    <w:rsid w:val="77FE7847"/>
    <w:rsid w:val="78651B87"/>
    <w:rsid w:val="78837099"/>
    <w:rsid w:val="79987ADD"/>
    <w:rsid w:val="79B500A9"/>
    <w:rsid w:val="79D32E61"/>
    <w:rsid w:val="79D35795"/>
    <w:rsid w:val="79E58F9D"/>
    <w:rsid w:val="79FBB935"/>
    <w:rsid w:val="79FFB6B4"/>
    <w:rsid w:val="7A35787F"/>
    <w:rsid w:val="7AF77906"/>
    <w:rsid w:val="7AFF74AD"/>
    <w:rsid w:val="7AFFC2D7"/>
    <w:rsid w:val="7B292135"/>
    <w:rsid w:val="7B393532"/>
    <w:rsid w:val="7B3FDE96"/>
    <w:rsid w:val="7B53326B"/>
    <w:rsid w:val="7B7B0E04"/>
    <w:rsid w:val="7B7D9BC7"/>
    <w:rsid w:val="7B7F26E7"/>
    <w:rsid w:val="7B8DFF11"/>
    <w:rsid w:val="7B996353"/>
    <w:rsid w:val="7B9F4FAC"/>
    <w:rsid w:val="7BA63AF9"/>
    <w:rsid w:val="7BBB2AC0"/>
    <w:rsid w:val="7BC041D3"/>
    <w:rsid w:val="7BEE0E3F"/>
    <w:rsid w:val="7BFFB6BD"/>
    <w:rsid w:val="7C881148"/>
    <w:rsid w:val="7CEADDA1"/>
    <w:rsid w:val="7CF85E9B"/>
    <w:rsid w:val="7CFDA063"/>
    <w:rsid w:val="7D142DAC"/>
    <w:rsid w:val="7D5A7A3D"/>
    <w:rsid w:val="7D8EA7BA"/>
    <w:rsid w:val="7DAAC17A"/>
    <w:rsid w:val="7DAEE00C"/>
    <w:rsid w:val="7DDF0426"/>
    <w:rsid w:val="7DFC2CCB"/>
    <w:rsid w:val="7DFE299C"/>
    <w:rsid w:val="7DFED5B2"/>
    <w:rsid w:val="7E17C650"/>
    <w:rsid w:val="7E63C76D"/>
    <w:rsid w:val="7E7389F9"/>
    <w:rsid w:val="7EDDE468"/>
    <w:rsid w:val="7EDF26C6"/>
    <w:rsid w:val="7EE8047A"/>
    <w:rsid w:val="7EFE3903"/>
    <w:rsid w:val="7F1172CE"/>
    <w:rsid w:val="7F2F0A6A"/>
    <w:rsid w:val="7F3D17A5"/>
    <w:rsid w:val="7F4B1D9D"/>
    <w:rsid w:val="7F751424"/>
    <w:rsid w:val="7F7FFF6B"/>
    <w:rsid w:val="7FAD948A"/>
    <w:rsid w:val="7FCE6114"/>
    <w:rsid w:val="7FCEAE6D"/>
    <w:rsid w:val="7FCEF902"/>
    <w:rsid w:val="7FDAE848"/>
    <w:rsid w:val="7FDF7633"/>
    <w:rsid w:val="7FEDD813"/>
    <w:rsid w:val="7FEF3261"/>
    <w:rsid w:val="7FEFC8EA"/>
    <w:rsid w:val="7FFB720A"/>
    <w:rsid w:val="7FFB8CD6"/>
    <w:rsid w:val="7FFB9918"/>
    <w:rsid w:val="7FFEB48B"/>
    <w:rsid w:val="7FFFE6B2"/>
    <w:rsid w:val="8BFF8E14"/>
    <w:rsid w:val="95748ADD"/>
    <w:rsid w:val="976F37C1"/>
    <w:rsid w:val="97FAD1EE"/>
    <w:rsid w:val="9D937E89"/>
    <w:rsid w:val="9DDFA266"/>
    <w:rsid w:val="9FFBE7F1"/>
    <w:rsid w:val="A63F9B8B"/>
    <w:rsid w:val="AB97F0EC"/>
    <w:rsid w:val="AB9F4FB5"/>
    <w:rsid w:val="AE6BCF78"/>
    <w:rsid w:val="AFEF91B2"/>
    <w:rsid w:val="B1FB138E"/>
    <w:rsid w:val="B67D59D0"/>
    <w:rsid w:val="B6FDD982"/>
    <w:rsid w:val="B6FFEBBD"/>
    <w:rsid w:val="B7D77C8D"/>
    <w:rsid w:val="B7DD90B1"/>
    <w:rsid w:val="BA7B23C6"/>
    <w:rsid w:val="BADF4915"/>
    <w:rsid w:val="BB5FC936"/>
    <w:rsid w:val="BB7727AA"/>
    <w:rsid w:val="BBCD6D58"/>
    <w:rsid w:val="BBEE7899"/>
    <w:rsid w:val="BC2BCD0E"/>
    <w:rsid w:val="BD2F5AC0"/>
    <w:rsid w:val="BDEDC0B2"/>
    <w:rsid w:val="BDFFBC2D"/>
    <w:rsid w:val="BF073A71"/>
    <w:rsid w:val="BF8FC32B"/>
    <w:rsid w:val="BFCD7786"/>
    <w:rsid w:val="BFDF9AEA"/>
    <w:rsid w:val="BFFF0D2F"/>
    <w:rsid w:val="BFFF574C"/>
    <w:rsid w:val="C0BFBD3C"/>
    <w:rsid w:val="C34F9853"/>
    <w:rsid w:val="C387C4C3"/>
    <w:rsid w:val="C5FA185C"/>
    <w:rsid w:val="C5FF471B"/>
    <w:rsid w:val="C7FB6F9B"/>
    <w:rsid w:val="CA2B30B5"/>
    <w:rsid w:val="CB5CFE19"/>
    <w:rsid w:val="CEE0B8B2"/>
    <w:rsid w:val="CF71F5C8"/>
    <w:rsid w:val="CFACAC30"/>
    <w:rsid w:val="CFFFD82C"/>
    <w:rsid w:val="D1EF24BD"/>
    <w:rsid w:val="D2630A82"/>
    <w:rsid w:val="D5EF0D32"/>
    <w:rsid w:val="D5FFC8E6"/>
    <w:rsid w:val="D97F097F"/>
    <w:rsid w:val="D9EB0E18"/>
    <w:rsid w:val="D9F60553"/>
    <w:rsid w:val="DAB79669"/>
    <w:rsid w:val="DAB907CA"/>
    <w:rsid w:val="DBE9B462"/>
    <w:rsid w:val="DBFF4D23"/>
    <w:rsid w:val="DBFFE2BD"/>
    <w:rsid w:val="DEFB2E38"/>
    <w:rsid w:val="DF47C653"/>
    <w:rsid w:val="DFEF34AD"/>
    <w:rsid w:val="DFFE4B2D"/>
    <w:rsid w:val="E1DA9ABC"/>
    <w:rsid w:val="E6EC4282"/>
    <w:rsid w:val="E6FF8EB9"/>
    <w:rsid w:val="E79F6C0D"/>
    <w:rsid w:val="E7D76492"/>
    <w:rsid w:val="EB7DA18F"/>
    <w:rsid w:val="EB979F84"/>
    <w:rsid w:val="EBB1645C"/>
    <w:rsid w:val="EBFE9FD6"/>
    <w:rsid w:val="EDB72023"/>
    <w:rsid w:val="EDDF5B87"/>
    <w:rsid w:val="EDF7085C"/>
    <w:rsid w:val="EDF70AD1"/>
    <w:rsid w:val="EE6F9AFF"/>
    <w:rsid w:val="EEFE397B"/>
    <w:rsid w:val="EF1B177D"/>
    <w:rsid w:val="EFBC0CB1"/>
    <w:rsid w:val="EFDA5BE2"/>
    <w:rsid w:val="F0FFDC01"/>
    <w:rsid w:val="F32F1D78"/>
    <w:rsid w:val="F3D20B74"/>
    <w:rsid w:val="F5B6A37E"/>
    <w:rsid w:val="F5FFB10E"/>
    <w:rsid w:val="F66593CB"/>
    <w:rsid w:val="F7A2F81E"/>
    <w:rsid w:val="F7BB4BB2"/>
    <w:rsid w:val="F7BF5FF3"/>
    <w:rsid w:val="F7F3DD9D"/>
    <w:rsid w:val="F7FD9895"/>
    <w:rsid w:val="F7FFFA75"/>
    <w:rsid w:val="F8F389C9"/>
    <w:rsid w:val="F9D7A8FE"/>
    <w:rsid w:val="F9DF2179"/>
    <w:rsid w:val="FA5AB82F"/>
    <w:rsid w:val="FAEFD810"/>
    <w:rsid w:val="FAFC4B7B"/>
    <w:rsid w:val="FB7D31EA"/>
    <w:rsid w:val="FBB93422"/>
    <w:rsid w:val="FBBFCC4A"/>
    <w:rsid w:val="FBFBF037"/>
    <w:rsid w:val="FBFF084B"/>
    <w:rsid w:val="FBFFC234"/>
    <w:rsid w:val="FD13FEDE"/>
    <w:rsid w:val="FD361F9C"/>
    <w:rsid w:val="FD3DAF5D"/>
    <w:rsid w:val="FD7FF82C"/>
    <w:rsid w:val="FDDF32F3"/>
    <w:rsid w:val="FDEF346B"/>
    <w:rsid w:val="FDFF08DA"/>
    <w:rsid w:val="FE55B9D0"/>
    <w:rsid w:val="FEEF96D5"/>
    <w:rsid w:val="FEFD670D"/>
    <w:rsid w:val="FF764952"/>
    <w:rsid w:val="FF7F0546"/>
    <w:rsid w:val="FF7FC7D9"/>
    <w:rsid w:val="FFA700A1"/>
    <w:rsid w:val="FFC9C8FA"/>
    <w:rsid w:val="FFCE78B0"/>
    <w:rsid w:val="FFD43084"/>
    <w:rsid w:val="FFD7028C"/>
    <w:rsid w:val="FFDA9C8D"/>
    <w:rsid w:val="FFDDC919"/>
    <w:rsid w:val="FFEF4089"/>
    <w:rsid w:val="FFF7006C"/>
    <w:rsid w:val="FFF7D867"/>
    <w:rsid w:val="FFF7EA5D"/>
    <w:rsid w:val="FFF94640"/>
    <w:rsid w:val="FFFA035F"/>
    <w:rsid w:val="FFFB01A9"/>
    <w:rsid w:val="FFFBE591"/>
    <w:rsid w:val="FFFDF18A"/>
    <w:rsid w:val="FFFE9F83"/>
    <w:rsid w:val="FFFF3F96"/>
    <w:rsid w:val="FFFFC4E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unhideWhenUsed/>
    <w:qFormat/>
    <w:uiPriority w:val="0"/>
    <w:pPr>
      <w:keepNext/>
      <w:keepLines/>
      <w:numPr>
        <w:ilvl w:val="2"/>
        <w:numId w:val="1"/>
      </w:numPr>
      <w:spacing w:before="120" w:after="120" w:line="360" w:lineRule="auto"/>
      <w:ind w:left="993"/>
      <w:outlineLvl w:val="2"/>
    </w:pPr>
    <w:rPr>
      <w:rFonts w:ascii="Calibri" w:hAnsi="Calibri" w:eastAsia="黑体" w:cs="Times New Roman"/>
      <w:b/>
      <w:bCs/>
      <w:kern w:val="2"/>
      <w:sz w:val="32"/>
      <w:szCs w:val="32"/>
      <w:lang w:val="en-US" w:eastAsia="zh-CN" w:bidi="ar-SA"/>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99"/>
    <w:pPr>
      <w:spacing w:after="120" w:line="240" w:lineRule="auto"/>
      <w:ind w:firstLine="420" w:firstLineChars="100"/>
      <w:jc w:val="both"/>
    </w:pPr>
    <w:rPr>
      <w:rFonts w:eastAsia="宋体"/>
      <w:color w:val="auto"/>
      <w:sz w:val="21"/>
    </w:rPr>
  </w:style>
  <w:style w:type="paragraph" w:styleId="3">
    <w:name w:val="Body Text"/>
    <w:basedOn w:val="1"/>
    <w:next w:val="2"/>
    <w:qFormat/>
    <w:uiPriority w:val="0"/>
    <w:pPr>
      <w:spacing w:line="520" w:lineRule="exact"/>
      <w:jc w:val="center"/>
    </w:pPr>
    <w:rPr>
      <w:rFonts w:eastAsia="黑体"/>
      <w:color w:val="FF0000"/>
      <w:sz w:val="44"/>
    </w:rPr>
  </w:style>
  <w:style w:type="paragraph" w:styleId="4">
    <w:name w:val="toc 6"/>
    <w:basedOn w:val="1"/>
    <w:next w:val="1"/>
    <w:qFormat/>
    <w:uiPriority w:val="0"/>
    <w:pPr>
      <w:ind w:left="1050"/>
      <w:jc w:val="left"/>
    </w:pPr>
    <w:rPr>
      <w:rFonts w:asciiTheme="minorHAnsi" w:hAnsiTheme="minorHAnsi"/>
      <w:sz w:val="18"/>
      <w:szCs w:val="18"/>
    </w:rPr>
  </w:style>
  <w:style w:type="paragraph" w:styleId="8">
    <w:name w:val="toc 7"/>
    <w:basedOn w:val="1"/>
    <w:next w:val="1"/>
    <w:qFormat/>
    <w:uiPriority w:val="0"/>
    <w:pPr>
      <w:ind w:left="1260"/>
      <w:jc w:val="left"/>
    </w:pPr>
    <w:rPr>
      <w:rFonts w:asciiTheme="minorHAnsi" w:hAnsiTheme="minorHAnsi"/>
      <w:sz w:val="18"/>
      <w:szCs w:val="18"/>
    </w:rPr>
  </w:style>
  <w:style w:type="paragraph" w:styleId="9">
    <w:name w:val="Normal Indent"/>
    <w:basedOn w:val="1"/>
    <w:qFormat/>
    <w:uiPriority w:val="0"/>
    <w:pPr>
      <w:ind w:firstLine="420"/>
    </w:pPr>
    <w:rPr>
      <w:szCs w:val="20"/>
    </w:rPr>
  </w:style>
  <w:style w:type="paragraph" w:styleId="10">
    <w:name w:val="caption"/>
    <w:basedOn w:val="1"/>
    <w:next w:val="1"/>
    <w:link w:val="54"/>
    <w:qFormat/>
    <w:uiPriority w:val="0"/>
    <w:pPr>
      <w:spacing w:before="152" w:after="160"/>
    </w:pPr>
    <w:rPr>
      <w:rFonts w:ascii="Arial" w:hAnsi="Arial" w:eastAsia="黑体" w:cs="Arial"/>
      <w:kern w:val="0"/>
      <w:sz w:val="20"/>
      <w:szCs w:val="20"/>
    </w:rPr>
  </w:style>
  <w:style w:type="paragraph" w:styleId="11">
    <w:name w:val="annotation text"/>
    <w:basedOn w:val="1"/>
    <w:qFormat/>
    <w:uiPriority w:val="0"/>
    <w:pPr>
      <w:jc w:val="left"/>
    </w:pPr>
  </w:style>
  <w:style w:type="paragraph" w:styleId="12">
    <w:name w:val="Body Text Indent"/>
    <w:basedOn w:val="1"/>
    <w:link w:val="40"/>
    <w:qFormat/>
    <w:uiPriority w:val="99"/>
    <w:pPr>
      <w:spacing w:line="360" w:lineRule="auto"/>
      <w:ind w:firstLine="600" w:firstLineChars="200"/>
    </w:pPr>
    <w:rPr>
      <w:rFonts w:ascii="仿宋_GB2312" w:hAnsi="宋体" w:eastAsia="仿宋_GB2312"/>
      <w:sz w:val="30"/>
    </w:rPr>
  </w:style>
  <w:style w:type="paragraph" w:styleId="13">
    <w:name w:val="toc 5"/>
    <w:basedOn w:val="1"/>
    <w:next w:val="1"/>
    <w:qFormat/>
    <w:uiPriority w:val="0"/>
    <w:pPr>
      <w:ind w:left="840"/>
      <w:jc w:val="left"/>
    </w:pPr>
    <w:rPr>
      <w:rFonts w:asciiTheme="minorHAnsi" w:hAnsiTheme="minorHAnsi"/>
      <w:sz w:val="18"/>
      <w:szCs w:val="18"/>
    </w:rPr>
  </w:style>
  <w:style w:type="paragraph" w:styleId="14">
    <w:name w:val="toc 3"/>
    <w:basedOn w:val="1"/>
    <w:next w:val="1"/>
    <w:qFormat/>
    <w:uiPriority w:val="0"/>
    <w:pPr>
      <w:ind w:left="420"/>
      <w:jc w:val="left"/>
    </w:pPr>
    <w:rPr>
      <w:rFonts w:asciiTheme="minorHAnsi" w:hAnsiTheme="minorHAnsi"/>
      <w:i/>
      <w:iCs/>
      <w:sz w:val="20"/>
      <w:szCs w:val="20"/>
    </w:rPr>
  </w:style>
  <w:style w:type="paragraph" w:styleId="15">
    <w:name w:val="Plain Text"/>
    <w:basedOn w:val="1"/>
    <w:link w:val="44"/>
    <w:qFormat/>
    <w:uiPriority w:val="99"/>
    <w:pPr>
      <w:spacing w:beforeLines="50" w:afterLines="50" w:line="400" w:lineRule="exact"/>
    </w:pPr>
    <w:rPr>
      <w:rFonts w:ascii="宋体" w:hAnsi="Courier New"/>
      <w:sz w:val="24"/>
    </w:rPr>
  </w:style>
  <w:style w:type="paragraph" w:styleId="16">
    <w:name w:val="toc 8"/>
    <w:basedOn w:val="1"/>
    <w:next w:val="1"/>
    <w:qFormat/>
    <w:uiPriority w:val="0"/>
    <w:pPr>
      <w:ind w:left="1470"/>
      <w:jc w:val="left"/>
    </w:pPr>
    <w:rPr>
      <w:rFonts w:asciiTheme="minorHAnsi" w:hAnsiTheme="minorHAnsi"/>
      <w:sz w:val="18"/>
      <w:szCs w:val="18"/>
    </w:rPr>
  </w:style>
  <w:style w:type="paragraph" w:styleId="17">
    <w:name w:val="Date"/>
    <w:basedOn w:val="1"/>
    <w:next w:val="1"/>
    <w:link w:val="50"/>
    <w:qFormat/>
    <w:uiPriority w:val="0"/>
    <w:pPr>
      <w:ind w:left="100" w:leftChars="2500"/>
    </w:pPr>
    <w:rPr>
      <w:rFonts w:ascii="仿宋_GB2312" w:hAnsi="宋体" w:eastAsia="仿宋_GB2312"/>
      <w:sz w:val="30"/>
    </w:rPr>
  </w:style>
  <w:style w:type="paragraph" w:styleId="18">
    <w:name w:val="Body Text Indent 2"/>
    <w:basedOn w:val="1"/>
    <w:link w:val="49"/>
    <w:qFormat/>
    <w:uiPriority w:val="0"/>
    <w:pPr>
      <w:spacing w:line="320" w:lineRule="atLeast"/>
      <w:ind w:firstLine="600" w:firstLineChars="250"/>
    </w:pPr>
    <w:rPr>
      <w:rFonts w:ascii="宋体" w:hAnsi="宋体"/>
      <w:sz w:val="24"/>
    </w:rPr>
  </w:style>
  <w:style w:type="paragraph" w:styleId="19">
    <w:name w:val="Balloon Text"/>
    <w:basedOn w:val="1"/>
    <w:link w:val="46"/>
    <w:qFormat/>
    <w:uiPriority w:val="0"/>
    <w:rPr>
      <w:sz w:val="18"/>
      <w:szCs w:val="18"/>
    </w:rPr>
  </w:style>
  <w:style w:type="paragraph" w:styleId="20">
    <w:name w:val="footer"/>
    <w:basedOn w:val="1"/>
    <w:link w:val="39"/>
    <w:qFormat/>
    <w:uiPriority w:val="99"/>
    <w:pPr>
      <w:tabs>
        <w:tab w:val="center" w:pos="4153"/>
        <w:tab w:val="right" w:pos="8306"/>
      </w:tabs>
      <w:snapToGrid w:val="0"/>
      <w:jc w:val="left"/>
    </w:pPr>
    <w:rPr>
      <w:sz w:val="18"/>
      <w:szCs w:val="18"/>
    </w:rPr>
  </w:style>
  <w:style w:type="paragraph" w:styleId="21">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heme="minorHAnsi" w:hAnsiTheme="minorHAnsi"/>
      <w:b/>
      <w:bCs/>
      <w:caps/>
      <w:sz w:val="20"/>
      <w:szCs w:val="20"/>
    </w:rPr>
  </w:style>
  <w:style w:type="paragraph" w:styleId="23">
    <w:name w:val="toc 4"/>
    <w:basedOn w:val="1"/>
    <w:next w:val="1"/>
    <w:qFormat/>
    <w:uiPriority w:val="0"/>
    <w:pPr>
      <w:ind w:left="630"/>
      <w:jc w:val="left"/>
    </w:pPr>
    <w:rPr>
      <w:rFonts w:asciiTheme="minorHAnsi" w:hAnsiTheme="minorHAnsi"/>
      <w:sz w:val="18"/>
      <w:szCs w:val="18"/>
    </w:rPr>
  </w:style>
  <w:style w:type="paragraph" w:styleId="24">
    <w:name w:val="Body Text Indent 3"/>
    <w:basedOn w:val="1"/>
    <w:qFormat/>
    <w:uiPriority w:val="0"/>
    <w:pPr>
      <w:spacing w:line="560" w:lineRule="exact"/>
      <w:ind w:firstLine="568" w:firstLineChars="200"/>
    </w:pPr>
    <w:rPr>
      <w:rFonts w:ascii="仿宋_GB2312" w:hAnsi="宋体" w:eastAsia="仿宋_GB2312"/>
      <w:spacing w:val="-8"/>
      <w:sz w:val="30"/>
    </w:rPr>
  </w:style>
  <w:style w:type="paragraph" w:styleId="25">
    <w:name w:val="toc 2"/>
    <w:basedOn w:val="1"/>
    <w:next w:val="1"/>
    <w:qFormat/>
    <w:uiPriority w:val="39"/>
    <w:pPr>
      <w:ind w:left="210"/>
      <w:jc w:val="left"/>
    </w:pPr>
    <w:rPr>
      <w:rFonts w:asciiTheme="minorHAnsi" w:hAnsiTheme="minorHAnsi"/>
      <w:smallCaps/>
      <w:sz w:val="20"/>
      <w:szCs w:val="20"/>
    </w:rPr>
  </w:style>
  <w:style w:type="paragraph" w:styleId="26">
    <w:name w:val="toc 9"/>
    <w:basedOn w:val="1"/>
    <w:next w:val="1"/>
    <w:qFormat/>
    <w:uiPriority w:val="0"/>
    <w:pPr>
      <w:ind w:left="1680"/>
      <w:jc w:val="left"/>
    </w:pPr>
    <w:rPr>
      <w:rFonts w:asciiTheme="minorHAnsi" w:hAnsiTheme="minorHAnsi"/>
      <w:sz w:val="18"/>
      <w:szCs w:val="18"/>
    </w:rPr>
  </w:style>
  <w:style w:type="paragraph" w:styleId="27">
    <w:name w:val="Body Text 2"/>
    <w:basedOn w:val="1"/>
    <w:link w:val="51"/>
    <w:qFormat/>
    <w:uiPriority w:val="0"/>
    <w:pPr>
      <w:spacing w:after="120" w:line="480" w:lineRule="auto"/>
    </w:pPr>
  </w:style>
  <w:style w:type="paragraph" w:styleId="2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0"/>
    <w:rPr>
      <w:b/>
      <w:bCs/>
    </w:rPr>
  </w:style>
  <w:style w:type="character" w:styleId="34">
    <w:name w:val="page number"/>
    <w:basedOn w:val="32"/>
    <w:qFormat/>
    <w:uiPriority w:val="0"/>
  </w:style>
  <w:style w:type="character" w:styleId="35">
    <w:name w:val="FollowedHyperlink"/>
    <w:qFormat/>
    <w:uiPriority w:val="0"/>
    <w:rPr>
      <w:color w:val="800080"/>
      <w:u w:val="single"/>
    </w:rPr>
  </w:style>
  <w:style w:type="character" w:styleId="36">
    <w:name w:val="Emphasis"/>
    <w:basedOn w:val="32"/>
    <w:qFormat/>
    <w:uiPriority w:val="0"/>
    <w:rPr>
      <w:i/>
    </w:rPr>
  </w:style>
  <w:style w:type="character" w:styleId="37">
    <w:name w:val="Hyperlink"/>
    <w:qFormat/>
    <w:uiPriority w:val="99"/>
    <w:rPr>
      <w:color w:val="0000FF"/>
      <w:u w:val="single"/>
    </w:rPr>
  </w:style>
  <w:style w:type="paragraph" w:customStyle="1" w:styleId="38">
    <w:name w:val="Default"/>
    <w:next w:val="1"/>
    <w:qFormat/>
    <w:uiPriority w:val="0"/>
    <w:pPr>
      <w:widowControl w:val="0"/>
      <w:autoSpaceDE w:val="0"/>
      <w:autoSpaceDN w:val="0"/>
      <w:adjustRightInd w:val="0"/>
    </w:pPr>
    <w:rPr>
      <w:rFonts w:ascii="微软雅黑" w:hAnsi="Calibri" w:eastAsia="微软雅黑" w:cs="Times New Roman"/>
      <w:color w:val="000000"/>
      <w:sz w:val="24"/>
      <w:szCs w:val="24"/>
      <w:lang w:val="en-US" w:eastAsia="zh-CN" w:bidi="ar-SA"/>
    </w:rPr>
  </w:style>
  <w:style w:type="character" w:customStyle="1" w:styleId="39">
    <w:name w:val="页脚 字符"/>
    <w:link w:val="20"/>
    <w:qFormat/>
    <w:uiPriority w:val="99"/>
    <w:rPr>
      <w:kern w:val="2"/>
      <w:sz w:val="18"/>
      <w:szCs w:val="18"/>
    </w:rPr>
  </w:style>
  <w:style w:type="character" w:customStyle="1" w:styleId="40">
    <w:name w:val="正文文本缩进 字符"/>
    <w:link w:val="12"/>
    <w:qFormat/>
    <w:uiPriority w:val="99"/>
    <w:rPr>
      <w:rFonts w:ascii="仿宋_GB2312" w:hAnsi="宋体" w:eastAsia="仿宋_GB2312"/>
      <w:kern w:val="2"/>
      <w:sz w:val="30"/>
      <w:szCs w:val="24"/>
      <w:lang w:val="en-US" w:eastAsia="zh-CN" w:bidi="ar-SA"/>
    </w:rPr>
  </w:style>
  <w:style w:type="character" w:customStyle="1" w:styleId="41">
    <w:name w:val="ptb181"/>
    <w:qFormat/>
    <w:uiPriority w:val="0"/>
    <w:rPr>
      <w:rFonts w:hint="default" w:ascii="Verdana" w:hAnsi="Verdana"/>
      <w:b/>
      <w:bCs/>
      <w:color w:val="000000"/>
      <w:sz w:val="27"/>
      <w:szCs w:val="27"/>
    </w:rPr>
  </w:style>
  <w:style w:type="paragraph" w:customStyle="1" w:styleId="42">
    <w:name w:val="Char"/>
    <w:basedOn w:val="1"/>
    <w:qFormat/>
    <w:uiPriority w:val="0"/>
    <w:rPr>
      <w:rFonts w:ascii="仿宋_GB2312" w:eastAsia="仿宋_GB2312"/>
      <w:b/>
      <w:sz w:val="32"/>
      <w:szCs w:val="32"/>
    </w:rPr>
  </w:style>
  <w:style w:type="character" w:customStyle="1" w:styleId="43">
    <w:name w:val="页眉 字符"/>
    <w:link w:val="21"/>
    <w:qFormat/>
    <w:uiPriority w:val="0"/>
    <w:rPr>
      <w:kern w:val="2"/>
      <w:sz w:val="18"/>
      <w:szCs w:val="18"/>
    </w:rPr>
  </w:style>
  <w:style w:type="character" w:customStyle="1" w:styleId="44">
    <w:name w:val="纯文本 字符1"/>
    <w:link w:val="15"/>
    <w:qFormat/>
    <w:uiPriority w:val="0"/>
    <w:rPr>
      <w:rFonts w:ascii="宋体" w:hAnsi="Courier New"/>
      <w:kern w:val="2"/>
      <w:sz w:val="24"/>
      <w:szCs w:val="24"/>
    </w:rPr>
  </w:style>
  <w:style w:type="paragraph" w:customStyle="1" w:styleId="45">
    <w:name w:val="默认段落字体 Para Char Char Char Char Char Char Char Char Char1 Char Char Char Char"/>
    <w:basedOn w:val="1"/>
    <w:qFormat/>
    <w:uiPriority w:val="0"/>
    <w:rPr>
      <w:rFonts w:ascii="Tahoma" w:hAnsi="Tahoma"/>
      <w:sz w:val="24"/>
      <w:szCs w:val="20"/>
    </w:rPr>
  </w:style>
  <w:style w:type="character" w:customStyle="1" w:styleId="46">
    <w:name w:val="批注框文本 字符"/>
    <w:link w:val="19"/>
    <w:qFormat/>
    <w:uiPriority w:val="0"/>
    <w:rPr>
      <w:kern w:val="2"/>
      <w:sz w:val="18"/>
      <w:szCs w:val="18"/>
    </w:rPr>
  </w:style>
  <w:style w:type="paragraph" w:customStyle="1" w:styleId="47">
    <w:name w:val="Char1 Char Char Char"/>
    <w:basedOn w:val="1"/>
    <w:qFormat/>
    <w:uiPriority w:val="0"/>
    <w:pPr>
      <w:widowControl/>
      <w:snapToGrid w:val="0"/>
      <w:spacing w:before="120" w:after="160" w:line="360" w:lineRule="auto"/>
      <w:ind w:right="-360"/>
      <w:jc w:val="left"/>
    </w:pPr>
  </w:style>
  <w:style w:type="character" w:customStyle="1" w:styleId="48">
    <w:name w:val="value"/>
    <w:basedOn w:val="32"/>
    <w:qFormat/>
    <w:uiPriority w:val="0"/>
  </w:style>
  <w:style w:type="character" w:customStyle="1" w:styleId="49">
    <w:name w:val="正文文本缩进 2 字符"/>
    <w:basedOn w:val="32"/>
    <w:link w:val="18"/>
    <w:qFormat/>
    <w:uiPriority w:val="0"/>
    <w:rPr>
      <w:rFonts w:ascii="宋体" w:hAnsi="宋体"/>
      <w:kern w:val="2"/>
      <w:sz w:val="24"/>
      <w:szCs w:val="24"/>
    </w:rPr>
  </w:style>
  <w:style w:type="character" w:customStyle="1" w:styleId="50">
    <w:name w:val="日期 字符"/>
    <w:basedOn w:val="32"/>
    <w:link w:val="17"/>
    <w:qFormat/>
    <w:locked/>
    <w:uiPriority w:val="0"/>
    <w:rPr>
      <w:rFonts w:ascii="仿宋_GB2312" w:hAnsi="宋体" w:eastAsia="仿宋_GB2312"/>
      <w:kern w:val="2"/>
      <w:sz w:val="30"/>
      <w:szCs w:val="24"/>
    </w:rPr>
  </w:style>
  <w:style w:type="character" w:customStyle="1" w:styleId="51">
    <w:name w:val="正文文本 2 字符"/>
    <w:basedOn w:val="32"/>
    <w:link w:val="27"/>
    <w:qFormat/>
    <w:uiPriority w:val="0"/>
    <w:rPr>
      <w:kern w:val="2"/>
      <w:sz w:val="21"/>
      <w:szCs w:val="24"/>
    </w:rPr>
  </w:style>
  <w:style w:type="character" w:customStyle="1" w:styleId="52">
    <w:name w:val="页脚 Char1"/>
    <w:qFormat/>
    <w:uiPriority w:val="99"/>
    <w:rPr>
      <w:sz w:val="18"/>
      <w:szCs w:val="18"/>
    </w:rPr>
  </w:style>
  <w:style w:type="character" w:customStyle="1" w:styleId="53">
    <w:name w:val="页眉 Char1"/>
    <w:qFormat/>
    <w:uiPriority w:val="0"/>
    <w:rPr>
      <w:sz w:val="18"/>
      <w:szCs w:val="18"/>
    </w:rPr>
  </w:style>
  <w:style w:type="character" w:customStyle="1" w:styleId="54">
    <w:name w:val="题注 字符"/>
    <w:link w:val="10"/>
    <w:qFormat/>
    <w:uiPriority w:val="0"/>
    <w:rPr>
      <w:rFonts w:ascii="Arial" w:hAnsi="Arial" w:eastAsia="黑体" w:cs="Arial"/>
    </w:rPr>
  </w:style>
  <w:style w:type="paragraph" w:customStyle="1" w:styleId="55">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56">
    <w:name w:val="纯文本 字符"/>
    <w:qFormat/>
    <w:uiPriority w:val="99"/>
    <w:rPr>
      <w:rFonts w:ascii="宋体" w:hAnsi="Courier New" w:eastAsia="宋体"/>
      <w:kern w:val="2"/>
      <w:sz w:val="21"/>
      <w:lang w:val="en-US" w:eastAsia="zh-CN" w:bidi="ar-SA"/>
    </w:rPr>
  </w:style>
  <w:style w:type="character" w:customStyle="1" w:styleId="57">
    <w:name w:val="bookmark-item"/>
    <w:basedOn w:val="32"/>
    <w:qFormat/>
    <w:uiPriority w:val="0"/>
  </w:style>
  <w:style w:type="paragraph" w:customStyle="1" w:styleId="58">
    <w:name w:val="段"/>
    <w:basedOn w:val="1"/>
    <w:next w:val="1"/>
    <w:qFormat/>
    <w:uiPriority w:val="0"/>
    <w:pPr>
      <w:widowControl/>
      <w:autoSpaceDE w:val="0"/>
      <w:autoSpaceDN w:val="0"/>
      <w:ind w:firstLine="200" w:firstLineChars="200"/>
    </w:pPr>
    <w:rPr>
      <w:rFonts w:ascii="宋体" w:hAnsi="Calibri" w:cs="宋体"/>
      <w:kern w:val="0"/>
      <w:szCs w:val="21"/>
    </w:rPr>
  </w:style>
  <w:style w:type="paragraph" w:customStyle="1" w:styleId="59">
    <w:name w:val="此正文"/>
    <w:basedOn w:val="1"/>
    <w:qFormat/>
    <w:uiPriority w:val="0"/>
    <w:pPr>
      <w:spacing w:line="360" w:lineRule="auto"/>
      <w:ind w:firstLine="200" w:firstLineChars="200"/>
    </w:pPr>
    <w:rPr>
      <w:sz w:val="24"/>
    </w:rPr>
  </w:style>
  <w:style w:type="paragraph" w:styleId="60">
    <w:name w:val="List Paragraph"/>
    <w:basedOn w:val="1"/>
    <w:qFormat/>
    <w:uiPriority w:val="34"/>
    <w:pPr>
      <w:ind w:firstLine="420" w:firstLineChars="200"/>
    </w:pPr>
  </w:style>
  <w:style w:type="paragraph" w:customStyle="1" w:styleId="61">
    <w:name w:val="段落样式"/>
    <w:basedOn w:val="1"/>
    <w:next w:val="60"/>
    <w:qFormat/>
    <w:uiPriority w:val="0"/>
    <w:pPr>
      <w:ind w:firstLine="420" w:firstLineChars="200"/>
    </w:pPr>
    <w:rPr>
      <w:kern w:val="0"/>
      <w:sz w:val="20"/>
      <w:szCs w:val="20"/>
    </w:rPr>
  </w:style>
  <w:style w:type="paragraph" w:customStyle="1" w:styleId="62">
    <w:name w:val="列出段落1"/>
    <w:basedOn w:val="1"/>
    <w:qFormat/>
    <w:uiPriority w:val="0"/>
    <w:pPr>
      <w:ind w:firstLine="420" w:firstLineChars="200"/>
    </w:pPr>
  </w:style>
  <w:style w:type="paragraph" w:styleId="63">
    <w:name w:val="No Spacing"/>
    <w:basedOn w:val="1"/>
    <w:qFormat/>
    <w:uiPriority w:val="1"/>
    <w:rPr>
      <w:rFonts w:ascii="Calibri" w:hAnsi="Calibri"/>
      <w:sz w:val="24"/>
    </w:rPr>
  </w:style>
  <w:style w:type="character" w:customStyle="1" w:styleId="64">
    <w:name w:val="font91"/>
    <w:basedOn w:val="32"/>
    <w:qFormat/>
    <w:uiPriority w:val="0"/>
    <w:rPr>
      <w:rFonts w:hint="eastAsia" w:ascii="宋体" w:hAnsi="宋体" w:eastAsia="宋体" w:cs="宋体"/>
      <w:color w:val="FF0000"/>
      <w:sz w:val="22"/>
      <w:szCs w:val="22"/>
      <w:u w:val="none"/>
    </w:rPr>
  </w:style>
  <w:style w:type="character" w:customStyle="1" w:styleId="65">
    <w:name w:val="font21"/>
    <w:basedOn w:val="32"/>
    <w:qFormat/>
    <w:uiPriority w:val="0"/>
    <w:rPr>
      <w:rFonts w:hint="eastAsia" w:ascii="宋体" w:hAnsi="宋体" w:eastAsia="宋体" w:cs="宋体"/>
      <w:color w:val="000000"/>
      <w:sz w:val="22"/>
      <w:szCs w:val="22"/>
      <w:u w:val="none"/>
    </w:rPr>
  </w:style>
  <w:style w:type="character" w:customStyle="1" w:styleId="66">
    <w:name w:val="font11"/>
    <w:basedOn w:val="32"/>
    <w:qFormat/>
    <w:uiPriority w:val="0"/>
    <w:rPr>
      <w:rFonts w:hint="eastAsia" w:ascii="宋体" w:hAnsi="宋体" w:eastAsia="宋体" w:cs="宋体"/>
      <w:color w:val="000000"/>
      <w:sz w:val="24"/>
      <w:szCs w:val="24"/>
      <w:u w:val="none"/>
    </w:rPr>
  </w:style>
  <w:style w:type="character" w:customStyle="1" w:styleId="67">
    <w:name w:val="font41"/>
    <w:basedOn w:val="32"/>
    <w:qFormat/>
    <w:uiPriority w:val="0"/>
    <w:rPr>
      <w:rFonts w:hint="eastAsia" w:ascii="宋体" w:hAnsi="宋体" w:eastAsia="宋体" w:cs="宋体"/>
      <w:color w:val="000000"/>
      <w:sz w:val="20"/>
      <w:szCs w:val="20"/>
      <w:u w:val="none"/>
    </w:rPr>
  </w:style>
  <w:style w:type="paragraph" w:customStyle="1" w:styleId="68">
    <w:name w:val="_Style 3"/>
    <w:basedOn w:val="1"/>
    <w:qFormat/>
    <w:uiPriority w:val="34"/>
    <w:pPr>
      <w:adjustRightInd/>
      <w:ind w:firstLine="420" w:firstLineChars="200"/>
    </w:pPr>
    <w:rPr>
      <w:rFonts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55</Pages>
  <Words>28440</Words>
  <Characters>32308</Characters>
  <Lines>260</Lines>
  <Paragraphs>73</Paragraphs>
  <TotalTime>3</TotalTime>
  <ScaleCrop>false</ScaleCrop>
  <LinksUpToDate>false</LinksUpToDate>
  <CharactersWithSpaces>33597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2021-03-25T00:35:00Z</dcterms:created>
  <dc:creator>user</dc:creator>
  <cp:lastModifiedBy>Huzhou</cp:lastModifiedBy>
  <cp:lastPrinted>2022-04-08T16:41:00Z</cp:lastPrinted>
  <dcterms:modified xsi:type="dcterms:W3CDTF">2022-09-01T15:40:41Z</dcterms:modified>
  <dc:title>项目名称：浙江省湖州市（单位）</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1A8D26A178F048C6B7F698228E7AA46B</vt:lpwstr>
  </property>
  <property fmtid="{D5CDD505-2E9C-101B-9397-08002B2CF9AE}" pid="4" name="woTemplateTypoMode" linkTarget="0">
    <vt:lpwstr>web</vt:lpwstr>
  </property>
  <property fmtid="{D5CDD505-2E9C-101B-9397-08002B2CF9AE}" pid="5" name="woTemplate" linkTarget="0">
    <vt:i4>1</vt:i4>
  </property>
</Properties>
</file>