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hint="eastAsia" w:ascii="宋体" w:hAnsi="宋体" w:cs="宋体"/>
          <w:b/>
          <w:bCs/>
          <w:sz w:val="52"/>
          <w:szCs w:val="52"/>
        </w:rPr>
      </w:pPr>
      <w:r>
        <w:rPr>
          <w:rFonts w:hint="eastAsia" w:ascii="宋体" w:hAnsi="宋体" w:cs="宋体"/>
          <w:b/>
          <w:bCs/>
          <w:sz w:val="52"/>
          <w:szCs w:val="52"/>
          <w:lang w:eastAsia="zh-CN"/>
        </w:rPr>
        <w:t>湖州市大数据发展管理局湖州市政务云数据资源备份服务</w:t>
      </w:r>
      <w:r>
        <w:rPr>
          <w:rFonts w:hint="eastAsia" w:ascii="宋体" w:hAnsi="宋体" w:cs="宋体"/>
          <w:b/>
          <w:bCs/>
          <w:sz w:val="52"/>
          <w:szCs w:val="52"/>
        </w:rPr>
        <w:t>采购项目</w:t>
      </w:r>
    </w:p>
    <w:p>
      <w:pPr>
        <w:spacing w:line="1160" w:lineRule="exact"/>
        <w:jc w:val="center"/>
        <w:rPr>
          <w:rFonts w:ascii="宋体" w:hAnsi="宋体" w:cs="宋体"/>
          <w:b/>
          <w:bCs/>
          <w:sz w:val="52"/>
          <w:szCs w:val="52"/>
        </w:rPr>
      </w:pPr>
      <w:r>
        <w:rPr>
          <w:rFonts w:hint="eastAsia" w:ascii="宋体" w:hAnsi="宋体" w:cs="宋体"/>
          <w:b/>
          <w:bCs/>
          <w:sz w:val="52"/>
          <w:szCs w:val="52"/>
        </w:rPr>
        <w:t>公开招标文件</w:t>
      </w:r>
    </w:p>
    <w:p>
      <w:pPr>
        <w:jc w:val="center"/>
        <w:rPr>
          <w:rFonts w:ascii="宋体" w:hAnsi="宋体" w:cs="宋体"/>
          <w:b/>
          <w:bCs/>
          <w:sz w:val="28"/>
          <w:szCs w:val="28"/>
        </w:rPr>
      </w:pPr>
    </w:p>
    <w:p>
      <w:pPr>
        <w:jc w:val="center"/>
        <w:rPr>
          <w:rFonts w:ascii="宋体" w:hAnsi="宋体" w:cs="宋体"/>
          <w:b/>
          <w:bCs/>
          <w:sz w:val="48"/>
        </w:rPr>
      </w:pPr>
    </w:p>
    <w:p>
      <w:pPr>
        <w:jc w:val="center"/>
        <w:rPr>
          <w:rFonts w:ascii="宋体" w:hAnsi="宋体" w:cs="宋体"/>
          <w:b/>
          <w:bCs/>
          <w:sz w:val="48"/>
        </w:rPr>
      </w:pPr>
    </w:p>
    <w:p>
      <w:pPr>
        <w:rPr>
          <w:rFonts w:ascii="宋体" w:hAnsi="宋体" w:cs="宋体"/>
          <w:b/>
          <w:bCs/>
          <w:sz w:val="48"/>
        </w:rPr>
      </w:pPr>
    </w:p>
    <w:p>
      <w:pPr>
        <w:ind w:firstLine="1601" w:firstLineChars="445"/>
        <w:rPr>
          <w:rFonts w:hint="eastAsia" w:ascii="宋体" w:hAnsi="宋体" w:eastAsia="宋体" w:cs="宋体"/>
          <w:b/>
          <w:bCs/>
          <w:sz w:val="36"/>
          <w:lang w:eastAsia="zh-CN"/>
        </w:rPr>
      </w:pPr>
      <w:r>
        <w:rPr>
          <w:rFonts w:hint="eastAsia" w:ascii="宋体" w:hAnsi="宋体" w:cs="宋体"/>
          <w:b/>
          <w:bCs/>
          <w:sz w:val="36"/>
        </w:rPr>
        <w:t>招标文件编号:</w:t>
      </w:r>
      <w:bookmarkStart w:id="56" w:name="_GoBack"/>
      <w:bookmarkEnd w:id="56"/>
      <w:r>
        <w:rPr>
          <w:rFonts w:hint="eastAsia" w:ascii="宋体" w:hAnsi="宋体" w:cs="宋体"/>
          <w:b/>
          <w:bCs/>
          <w:sz w:val="36"/>
          <w:lang w:eastAsia="zh-CN"/>
        </w:rPr>
        <w:t>HZGZ2022-49</w:t>
      </w:r>
    </w:p>
    <w:p>
      <w:pPr>
        <w:ind w:firstLine="1601" w:firstLineChars="445"/>
        <w:rPr>
          <w:rFonts w:ascii="宋体" w:hAnsi="宋体" w:cs="宋体"/>
          <w:b/>
          <w:bCs/>
          <w:sz w:val="36"/>
        </w:rPr>
      </w:pPr>
      <w:r>
        <w:rPr>
          <w:rFonts w:hint="eastAsia" w:ascii="宋体" w:hAnsi="宋体" w:cs="宋体"/>
          <w:b/>
          <w:bCs/>
          <w:sz w:val="36"/>
        </w:rPr>
        <w:t>财政审批编号: HZCG【2022】</w:t>
      </w:r>
      <w:r>
        <w:rPr>
          <w:rFonts w:hint="eastAsia" w:ascii="宋体" w:hAnsi="宋体" w:cs="宋体"/>
          <w:b/>
          <w:bCs/>
          <w:sz w:val="36"/>
          <w:lang w:eastAsia="zh-CN"/>
        </w:rPr>
        <w:t>12829</w:t>
      </w:r>
      <w:r>
        <w:rPr>
          <w:rFonts w:hint="eastAsia" w:ascii="宋体" w:hAnsi="宋体" w:cs="宋体"/>
          <w:b/>
          <w:bCs/>
          <w:sz w:val="36"/>
        </w:rPr>
        <w:t>号</w:t>
      </w:r>
    </w:p>
    <w:p>
      <w:pPr>
        <w:jc w:val="center"/>
        <w:rPr>
          <w:rFonts w:ascii="宋体" w:hAnsi="宋体" w:cs="宋体"/>
          <w:b/>
          <w:bCs/>
          <w:sz w:val="36"/>
        </w:rPr>
      </w:pPr>
    </w:p>
    <w:p>
      <w:pPr>
        <w:rPr>
          <w:rFonts w:ascii="宋体" w:hAnsi="宋体" w:cs="宋体"/>
          <w:b/>
          <w:bCs/>
          <w:sz w:val="36"/>
        </w:rPr>
      </w:pPr>
    </w:p>
    <w:p>
      <w:pPr>
        <w:pStyle w:val="31"/>
        <w:ind w:firstLine="210"/>
        <w:rPr>
          <w:rFonts w:ascii="宋体" w:hAnsi="宋体" w:cs="宋体"/>
        </w:rPr>
      </w:pPr>
    </w:p>
    <w:p>
      <w:pPr>
        <w:spacing w:line="940" w:lineRule="exact"/>
        <w:rPr>
          <w:rFonts w:hint="eastAsia" w:ascii="宋体" w:hAnsi="宋体" w:eastAsia="宋体" w:cs="宋体"/>
          <w:b/>
          <w:bCs/>
          <w:sz w:val="30"/>
          <w:szCs w:val="30"/>
          <w:u w:val="single"/>
          <w:lang w:eastAsia="zh-CN"/>
        </w:rPr>
      </w:pPr>
      <w:r>
        <w:rPr>
          <w:rFonts w:hint="eastAsia" w:ascii="宋体" w:hAnsi="宋体" w:cs="宋体"/>
          <w:b/>
          <w:bCs/>
          <w:sz w:val="30"/>
          <w:szCs w:val="30"/>
        </w:rPr>
        <w:t>采购人：</w:t>
      </w:r>
      <w:r>
        <w:rPr>
          <w:rFonts w:hint="eastAsia" w:ascii="宋体" w:hAnsi="宋体" w:cs="宋体"/>
          <w:b/>
          <w:sz w:val="30"/>
          <w:szCs w:val="30"/>
          <w:lang w:eastAsia="zh-CN"/>
        </w:rPr>
        <w:t>湖州市大数据发展管理局</w:t>
      </w:r>
    </w:p>
    <w:p>
      <w:pPr>
        <w:spacing w:line="940" w:lineRule="exact"/>
        <w:rPr>
          <w:rFonts w:ascii="宋体" w:hAnsi="宋体" w:cs="宋体"/>
          <w:b/>
          <w:bCs/>
          <w:sz w:val="28"/>
          <w:szCs w:val="28"/>
          <w:u w:val="single"/>
        </w:rPr>
      </w:pPr>
      <w:r>
        <w:rPr>
          <w:rFonts w:hint="eastAsia" w:ascii="宋体" w:hAnsi="宋体" w:cs="宋体"/>
          <w:b/>
          <w:bCs/>
          <w:sz w:val="30"/>
          <w:szCs w:val="30"/>
        </w:rPr>
        <w:t>集中采购机构：</w:t>
      </w:r>
      <w:r>
        <w:rPr>
          <w:rFonts w:hint="eastAsia" w:ascii="宋体" w:hAnsi="宋体" w:cs="宋体"/>
          <w:b/>
          <w:bCs/>
          <w:sz w:val="28"/>
          <w:szCs w:val="28"/>
        </w:rPr>
        <w:t>湖州市政府采购中心（盖章）</w:t>
      </w:r>
    </w:p>
    <w:p>
      <w:pPr>
        <w:spacing w:line="940" w:lineRule="exact"/>
        <w:rPr>
          <w:rFonts w:hint="eastAsia" w:ascii="宋体" w:hAnsi="宋体" w:cs="宋体"/>
          <w:b/>
          <w:bCs/>
          <w:sz w:val="30"/>
          <w:szCs w:val="30"/>
        </w:rPr>
      </w:pPr>
      <w:r>
        <w:rPr>
          <w:rFonts w:hint="eastAsia" w:ascii="宋体" w:hAnsi="宋体" w:cs="宋体"/>
          <w:b/>
          <w:bCs/>
          <w:sz w:val="30"/>
          <w:szCs w:val="30"/>
        </w:rPr>
        <w:t>日期：2022年月日</w:t>
      </w:r>
    </w:p>
    <w:p>
      <w:pPr>
        <w:pStyle w:val="31"/>
        <w:rPr>
          <w:rFonts w:hint="eastAsia" w:ascii="宋体" w:hAnsi="宋体" w:cs="宋体"/>
          <w:b/>
          <w:bCs/>
          <w:sz w:val="30"/>
          <w:szCs w:val="30"/>
        </w:rPr>
      </w:pPr>
    </w:p>
    <w:p>
      <w:pPr>
        <w:pStyle w:val="24"/>
        <w:rPr>
          <w:rFonts w:hint="eastAsia" w:ascii="宋体" w:hAnsi="宋体" w:cs="宋体"/>
          <w:b/>
          <w:bCs/>
          <w:sz w:val="30"/>
          <w:szCs w:val="30"/>
        </w:rPr>
      </w:pPr>
    </w:p>
    <w:p>
      <w:pPr>
        <w:rPr>
          <w:rFonts w:hint="eastAsia" w:ascii="宋体" w:hAnsi="宋体" w:cs="宋体"/>
          <w:b/>
          <w:bCs/>
          <w:sz w:val="30"/>
          <w:szCs w:val="30"/>
        </w:rPr>
      </w:pPr>
    </w:p>
    <w:p>
      <w:pPr>
        <w:pStyle w:val="31"/>
      </w:pPr>
    </w:p>
    <w:p>
      <w:pPr>
        <w:pStyle w:val="31"/>
        <w:ind w:firstLine="210"/>
        <w:rPr>
          <w:rFonts w:ascii="宋体" w:hAnsi="宋体" w:cs="宋体"/>
        </w:rPr>
      </w:pPr>
    </w:p>
    <w:p>
      <w:pPr>
        <w:pStyle w:val="31"/>
        <w:ind w:firstLine="210"/>
        <w:rPr>
          <w:rFonts w:ascii="宋体" w:hAnsi="宋体" w:cs="宋体"/>
        </w:rPr>
      </w:pPr>
    </w:p>
    <w:p>
      <w:pPr>
        <w:adjustRightInd w:val="0"/>
        <w:snapToGrid w:val="0"/>
        <w:spacing w:line="500" w:lineRule="exact"/>
        <w:jc w:val="center"/>
        <w:rPr>
          <w:rFonts w:ascii="宋体" w:hAnsi="宋体" w:cs="宋体"/>
          <w:b/>
          <w:snapToGrid w:val="0"/>
          <w:sz w:val="32"/>
          <w:szCs w:val="32"/>
        </w:rPr>
      </w:pPr>
      <w:r>
        <w:rPr>
          <w:rFonts w:hint="eastAsia" w:ascii="宋体" w:hAnsi="宋体" w:cs="宋体"/>
          <w:b/>
          <w:snapToGrid w:val="0"/>
          <w:sz w:val="32"/>
          <w:szCs w:val="32"/>
        </w:rPr>
        <w:t>目         录</w:t>
      </w:r>
    </w:p>
    <w:p>
      <w:pPr>
        <w:adjustRightInd w:val="0"/>
        <w:snapToGrid w:val="0"/>
        <w:spacing w:line="500" w:lineRule="exact"/>
        <w:rPr>
          <w:rFonts w:hint="eastAsia" w:ascii="仿宋" w:hAnsi="仿宋" w:eastAsia="仿宋" w:cs="仿宋"/>
          <w:bCs/>
          <w:snapToGrid w:val="0"/>
          <w:sz w:val="28"/>
        </w:rPr>
      </w:pPr>
    </w:p>
    <w:p>
      <w:pPr>
        <w:pStyle w:val="22"/>
        <w:spacing w:line="480" w:lineRule="exact"/>
        <w:rPr>
          <w:rFonts w:hint="eastAsia" w:ascii="仿宋" w:hAnsi="仿宋" w:eastAsia="仿宋" w:cs="仿宋"/>
          <w:b w:val="0"/>
          <w:kern w:val="0"/>
          <w:sz w:val="28"/>
          <w:szCs w:val="28"/>
        </w:rPr>
      </w:pPr>
      <w:r>
        <w:rPr>
          <w:rFonts w:hint="eastAsia" w:ascii="仿宋" w:hAnsi="仿宋" w:eastAsia="仿宋" w:cs="仿宋"/>
          <w:b w:val="0"/>
          <w:kern w:val="0"/>
          <w:sz w:val="28"/>
          <w:szCs w:val="28"/>
        </w:rPr>
        <w:t>招标公告</w:t>
      </w:r>
      <w:r>
        <w:rPr>
          <w:rFonts w:hint="eastAsia" w:ascii="仿宋" w:hAnsi="仿宋" w:eastAsia="仿宋" w:cs="仿宋"/>
          <w:b w:val="0"/>
          <w:kern w:val="0"/>
          <w:sz w:val="28"/>
          <w:szCs w:val="28"/>
        </w:rPr>
        <w:tab/>
      </w:r>
      <w:r>
        <w:rPr>
          <w:rFonts w:hint="eastAsia" w:ascii="仿宋" w:hAnsi="仿宋" w:eastAsia="仿宋" w:cs="仿宋"/>
          <w:b w:val="0"/>
          <w:kern w:val="0"/>
          <w:sz w:val="28"/>
          <w:szCs w:val="28"/>
        </w:rPr>
        <w:t>................................................3</w:t>
      </w:r>
    </w:p>
    <w:p>
      <w:pPr>
        <w:pStyle w:val="22"/>
        <w:tabs>
          <w:tab w:val="right" w:leader="dot" w:pos="8494"/>
        </w:tabs>
        <w:rPr>
          <w:rFonts w:hint="eastAsia" w:ascii="仿宋" w:hAnsi="仿宋" w:eastAsia="仿宋" w:cs="仿宋"/>
          <w:b w:val="0"/>
          <w:bCs w:val="0"/>
          <w:caps w:val="0"/>
          <w:sz w:val="28"/>
          <w:szCs w:val="28"/>
        </w:rPr>
      </w:pPr>
      <w:bookmarkStart w:id="0" w:name="OLE_LINK1"/>
      <w:bookmarkStart w:id="1" w:name="OLE_LINK4"/>
      <w:bookmarkStart w:id="2" w:name="OLE_LINK6"/>
      <w:bookmarkStart w:id="3" w:name="OLE_LINK5"/>
      <w:bookmarkStart w:id="4" w:name="OLE_LINK3"/>
      <w:r>
        <w:rPr>
          <w:rStyle w:val="39"/>
          <w:rFonts w:hint="eastAsia" w:ascii="仿宋" w:hAnsi="仿宋" w:eastAsia="仿宋" w:cs="仿宋"/>
          <w:b w:val="0"/>
          <w:sz w:val="28"/>
          <w:szCs w:val="28"/>
        </w:rPr>
        <w:fldChar w:fldCharType="begin"/>
      </w:r>
      <w:r>
        <w:rPr>
          <w:rStyle w:val="39"/>
          <w:rFonts w:hint="eastAsia" w:ascii="仿宋" w:hAnsi="仿宋" w:eastAsia="仿宋" w:cs="仿宋"/>
          <w:b w:val="0"/>
          <w:sz w:val="28"/>
          <w:szCs w:val="28"/>
        </w:rPr>
        <w:instrText xml:space="preserve"> TOC \o "1-3" \h \z \u </w:instrText>
      </w:r>
      <w:r>
        <w:rPr>
          <w:rStyle w:val="39"/>
          <w:rFonts w:hint="eastAsia" w:ascii="仿宋" w:hAnsi="仿宋" w:eastAsia="仿宋" w:cs="仿宋"/>
          <w:b w:val="0"/>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"_Toc36454312" </w:instrText>
      </w:r>
      <w:r>
        <w:rPr>
          <w:rFonts w:hint="eastAsia" w:ascii="仿宋" w:hAnsi="仿宋" w:eastAsia="仿宋" w:cs="仿宋"/>
        </w:rPr>
        <w:fldChar w:fldCharType="separate"/>
      </w:r>
      <w:r>
        <w:rPr>
          <w:rStyle w:val="39"/>
          <w:rFonts w:hint="eastAsia" w:ascii="仿宋" w:hAnsi="仿宋" w:eastAsia="仿宋" w:cs="仿宋"/>
          <w:b w:val="0"/>
          <w:sz w:val="28"/>
          <w:szCs w:val="28"/>
        </w:rPr>
        <w:t>第一章  投标人须知</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_Toc36454312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7</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6"/>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"_Toc36454313" </w:instrText>
      </w:r>
      <w:r>
        <w:rPr>
          <w:rFonts w:hint="eastAsia" w:ascii="仿宋" w:hAnsi="仿宋" w:eastAsia="仿宋" w:cs="仿宋"/>
        </w:rPr>
        <w:fldChar w:fldCharType="separate"/>
      </w:r>
      <w:r>
        <w:rPr>
          <w:rStyle w:val="39"/>
          <w:rFonts w:hint="eastAsia" w:ascii="仿宋" w:hAnsi="仿宋" w:eastAsia="仿宋" w:cs="仿宋"/>
          <w:sz w:val="28"/>
          <w:szCs w:val="28"/>
        </w:rPr>
        <w:t>前   附  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_Toc36454313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"_Toc36454314" </w:instrText>
      </w:r>
      <w:r>
        <w:rPr>
          <w:rFonts w:hint="eastAsia" w:ascii="仿宋" w:hAnsi="仿宋" w:eastAsia="仿宋" w:cs="仿宋"/>
        </w:rPr>
        <w:fldChar w:fldCharType="separate"/>
      </w:r>
      <w:r>
        <w:rPr>
          <w:rStyle w:val="39"/>
          <w:rFonts w:hint="eastAsia" w:ascii="仿宋" w:hAnsi="仿宋" w:eastAsia="仿宋" w:cs="仿宋"/>
          <w:sz w:val="28"/>
          <w:szCs w:val="28"/>
        </w:rPr>
        <w:t>一、总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"_Toc36454315" </w:instrText>
      </w:r>
      <w:r>
        <w:rPr>
          <w:rFonts w:hint="eastAsia" w:ascii="仿宋" w:hAnsi="仿宋" w:eastAsia="仿宋" w:cs="仿宋"/>
        </w:rPr>
        <w:fldChar w:fldCharType="separate"/>
      </w:r>
      <w:r>
        <w:rPr>
          <w:rStyle w:val="39"/>
          <w:rFonts w:hint="eastAsia" w:ascii="仿宋" w:hAnsi="仿宋" w:eastAsia="仿宋" w:cs="仿宋"/>
          <w:sz w:val="28"/>
          <w:szCs w:val="28"/>
        </w:rPr>
        <w:t>二、招标文件的说明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_Toc36454315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"_Toc36454316" </w:instrText>
      </w:r>
      <w:r>
        <w:rPr>
          <w:rFonts w:hint="eastAsia" w:ascii="仿宋" w:hAnsi="仿宋" w:eastAsia="仿宋" w:cs="仿宋"/>
        </w:rPr>
        <w:fldChar w:fldCharType="separate"/>
      </w:r>
      <w:r>
        <w:rPr>
          <w:rStyle w:val="39"/>
          <w:rFonts w:hint="eastAsia" w:ascii="仿宋" w:hAnsi="仿宋" w:eastAsia="仿宋" w:cs="仿宋"/>
          <w:sz w:val="28"/>
          <w:szCs w:val="28"/>
        </w:rPr>
        <w:t>三、投标文件的编制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"_Toc36454317" </w:instrText>
      </w:r>
      <w:r>
        <w:rPr>
          <w:rFonts w:hint="eastAsia" w:ascii="仿宋" w:hAnsi="仿宋" w:eastAsia="仿宋" w:cs="仿宋"/>
        </w:rPr>
        <w:fldChar w:fldCharType="separate"/>
      </w:r>
      <w:r>
        <w:rPr>
          <w:rStyle w:val="39"/>
          <w:rFonts w:hint="eastAsia" w:ascii="仿宋" w:hAnsi="仿宋" w:eastAsia="仿宋" w:cs="仿宋"/>
          <w:sz w:val="28"/>
          <w:szCs w:val="28"/>
        </w:rPr>
        <w:t>四、投标文件的提交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_Toc36454317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"_Toc36454318" </w:instrText>
      </w:r>
      <w:r>
        <w:rPr>
          <w:rFonts w:hint="eastAsia" w:ascii="仿宋" w:hAnsi="仿宋" w:eastAsia="仿宋" w:cs="仿宋"/>
        </w:rPr>
        <w:fldChar w:fldCharType="separate"/>
      </w:r>
      <w:r>
        <w:rPr>
          <w:rStyle w:val="39"/>
          <w:rFonts w:hint="eastAsia" w:ascii="仿宋" w:hAnsi="仿宋" w:eastAsia="仿宋" w:cs="仿宋"/>
          <w:sz w:val="28"/>
          <w:szCs w:val="28"/>
        </w:rPr>
        <w:t>五、开标程序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_Toc36454318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"_Toc36454319" </w:instrText>
      </w:r>
      <w:r>
        <w:rPr>
          <w:rFonts w:hint="eastAsia" w:ascii="仿宋" w:hAnsi="仿宋" w:eastAsia="仿宋" w:cs="仿宋"/>
        </w:rPr>
        <w:fldChar w:fldCharType="separate"/>
      </w:r>
      <w:r>
        <w:rPr>
          <w:rStyle w:val="39"/>
          <w:rFonts w:hint="eastAsia" w:ascii="仿宋" w:hAnsi="仿宋" w:eastAsia="仿宋" w:cs="仿宋"/>
          <w:snapToGrid w:val="0"/>
          <w:sz w:val="28"/>
          <w:szCs w:val="28"/>
        </w:rPr>
        <w:t>六、评标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_Toc36454319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"_Toc36454320" </w:instrText>
      </w:r>
      <w:r>
        <w:rPr>
          <w:rFonts w:hint="eastAsia" w:ascii="仿宋" w:hAnsi="仿宋" w:eastAsia="仿宋" w:cs="仿宋"/>
        </w:rPr>
        <w:fldChar w:fldCharType="separate"/>
      </w:r>
      <w:r>
        <w:rPr>
          <w:rStyle w:val="39"/>
          <w:rFonts w:hint="eastAsia" w:ascii="仿宋" w:hAnsi="仿宋" w:eastAsia="仿宋" w:cs="仿宋"/>
          <w:sz w:val="28"/>
          <w:szCs w:val="28"/>
        </w:rPr>
        <w:t>七、投标无效的情形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_Toc36454320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"_Toc36454321" </w:instrText>
      </w:r>
      <w:r>
        <w:rPr>
          <w:rFonts w:hint="eastAsia" w:ascii="仿宋" w:hAnsi="仿宋" w:eastAsia="仿宋" w:cs="仿宋"/>
        </w:rPr>
        <w:fldChar w:fldCharType="separate"/>
      </w:r>
      <w:r>
        <w:rPr>
          <w:rStyle w:val="39"/>
          <w:rFonts w:hint="eastAsia" w:ascii="仿宋" w:hAnsi="仿宋" w:eastAsia="仿宋" w:cs="仿宋"/>
          <w:sz w:val="28"/>
          <w:szCs w:val="28"/>
        </w:rPr>
        <w:t>八、合同的授予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_Toc36454321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6"/>
        <w:tabs>
          <w:tab w:val="right" w:leader="dot" w:pos="8494"/>
        </w:tabs>
        <w:rPr>
          <w:rFonts w:hint="eastAsia" w:ascii="仿宋" w:hAnsi="仿宋" w:eastAsia="仿宋" w:cs="仿宋"/>
          <w:small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"_Toc36454322" </w:instrText>
      </w:r>
      <w:r>
        <w:rPr>
          <w:rFonts w:hint="eastAsia" w:ascii="仿宋" w:hAnsi="仿宋" w:eastAsia="仿宋" w:cs="仿宋"/>
        </w:rPr>
        <w:fldChar w:fldCharType="separate"/>
      </w:r>
      <w:r>
        <w:rPr>
          <w:rStyle w:val="39"/>
          <w:rFonts w:hint="eastAsia" w:ascii="仿宋" w:hAnsi="仿宋" w:eastAsia="仿宋" w:cs="仿宋"/>
          <w:sz w:val="28"/>
          <w:szCs w:val="28"/>
        </w:rPr>
        <w:t>九、质疑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_Toc36454322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2"/>
        <w:tabs>
          <w:tab w:val="right" w:leader="dot" w:pos="849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"_Toc36454323" </w:instrText>
      </w:r>
      <w:r>
        <w:rPr>
          <w:rFonts w:hint="eastAsia" w:ascii="仿宋" w:hAnsi="仿宋" w:eastAsia="仿宋" w:cs="仿宋"/>
        </w:rPr>
        <w:fldChar w:fldCharType="separate"/>
      </w:r>
      <w:r>
        <w:rPr>
          <w:rStyle w:val="39"/>
          <w:rFonts w:hint="eastAsia" w:ascii="仿宋" w:hAnsi="仿宋" w:eastAsia="仿宋" w:cs="仿宋"/>
          <w:b w:val="0"/>
          <w:sz w:val="28"/>
          <w:szCs w:val="28"/>
        </w:rPr>
        <w:t>第二章  招标需求</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_Toc36454323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21</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tabs>
          <w:tab w:val="right" w:leader="dot" w:pos="849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"_Toc36454324" </w:instrText>
      </w:r>
      <w:r>
        <w:rPr>
          <w:rFonts w:hint="eastAsia" w:ascii="仿宋" w:hAnsi="仿宋" w:eastAsia="仿宋" w:cs="仿宋"/>
        </w:rPr>
        <w:fldChar w:fldCharType="separate"/>
      </w:r>
      <w:r>
        <w:rPr>
          <w:rStyle w:val="39"/>
          <w:rFonts w:hint="eastAsia" w:ascii="仿宋" w:hAnsi="仿宋" w:eastAsia="仿宋" w:cs="仿宋"/>
          <w:b w:val="0"/>
          <w:sz w:val="28"/>
          <w:szCs w:val="28"/>
        </w:rPr>
        <w:t>第三章  合同主要条款</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_Toc36454324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63</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tabs>
          <w:tab w:val="right" w:leader="dot" w:pos="849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"_Toc36454325" </w:instrText>
      </w:r>
      <w:r>
        <w:rPr>
          <w:rFonts w:hint="eastAsia" w:ascii="仿宋" w:hAnsi="仿宋" w:eastAsia="仿宋" w:cs="仿宋"/>
        </w:rPr>
        <w:fldChar w:fldCharType="separate"/>
      </w:r>
      <w:r>
        <w:rPr>
          <w:rStyle w:val="39"/>
          <w:rFonts w:hint="eastAsia" w:ascii="仿宋" w:hAnsi="仿宋" w:eastAsia="仿宋" w:cs="仿宋"/>
          <w:b w:val="0"/>
          <w:sz w:val="28"/>
          <w:szCs w:val="28"/>
        </w:rPr>
        <w:t>第四章  投标文件的格式附件</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_Toc36454325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72</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tabs>
          <w:tab w:val="right" w:leader="dot" w:pos="8494"/>
        </w:tabs>
        <w:rPr>
          <w:rFonts w:hint="eastAsia" w:ascii="仿宋" w:hAnsi="仿宋" w:eastAsia="仿宋" w:cs="仿宋"/>
          <w:b w:val="0"/>
          <w:bCs w:val="0"/>
          <w:caps w:val="0"/>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"_Toc36454326" </w:instrText>
      </w:r>
      <w:r>
        <w:rPr>
          <w:rFonts w:hint="eastAsia" w:ascii="仿宋" w:hAnsi="仿宋" w:eastAsia="仿宋" w:cs="仿宋"/>
        </w:rPr>
        <w:fldChar w:fldCharType="separate"/>
      </w:r>
      <w:r>
        <w:rPr>
          <w:rStyle w:val="39"/>
          <w:rFonts w:hint="eastAsia" w:ascii="仿宋" w:hAnsi="仿宋" w:eastAsia="仿宋" w:cs="仿宋"/>
          <w:b w:val="0"/>
          <w:sz w:val="28"/>
          <w:szCs w:val="28"/>
        </w:rPr>
        <w:t>第五章  评标办法及标准</w:t>
      </w:r>
      <w:r>
        <w:rPr>
          <w:rFonts w:hint="eastAsia" w:ascii="仿宋" w:hAnsi="仿宋" w:eastAsia="仿宋" w:cs="仿宋"/>
          <w:b w:val="0"/>
          <w:sz w:val="28"/>
          <w:szCs w:val="28"/>
        </w:rPr>
        <w:tab/>
      </w: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PAGEREF _Toc36454326 \h </w:instrText>
      </w:r>
      <w:r>
        <w:rPr>
          <w:rFonts w:hint="eastAsia" w:ascii="仿宋" w:hAnsi="仿宋" w:eastAsia="仿宋" w:cs="仿宋"/>
          <w:b w:val="0"/>
          <w:sz w:val="28"/>
          <w:szCs w:val="28"/>
        </w:rPr>
        <w:fldChar w:fldCharType="separate"/>
      </w:r>
      <w:r>
        <w:rPr>
          <w:rFonts w:hint="eastAsia" w:ascii="仿宋" w:hAnsi="仿宋" w:eastAsia="仿宋" w:cs="仿宋"/>
          <w:b w:val="0"/>
          <w:sz w:val="28"/>
          <w:szCs w:val="28"/>
        </w:rPr>
        <w:t>87</w:t>
      </w:r>
      <w:r>
        <w:rPr>
          <w:rFonts w:hint="eastAsia" w:ascii="仿宋" w:hAnsi="仿宋" w:eastAsia="仿宋" w:cs="仿宋"/>
          <w:b w:val="0"/>
          <w:sz w:val="28"/>
          <w:szCs w:val="28"/>
        </w:rPr>
        <w:fldChar w:fldCharType="end"/>
      </w:r>
      <w:r>
        <w:rPr>
          <w:rFonts w:hint="eastAsia" w:ascii="仿宋" w:hAnsi="仿宋" w:eastAsia="仿宋" w:cs="仿宋"/>
          <w:b w:val="0"/>
          <w:sz w:val="28"/>
          <w:szCs w:val="28"/>
        </w:rPr>
        <w:fldChar w:fldCharType="end"/>
      </w:r>
    </w:p>
    <w:p>
      <w:pPr>
        <w:pStyle w:val="22"/>
        <w:spacing w:line="480" w:lineRule="exact"/>
        <w:jc w:val="both"/>
        <w:rPr>
          <w:rFonts w:ascii="宋体" w:hAnsi="宋体" w:cs="宋体"/>
        </w:rPr>
      </w:pPr>
      <w:r>
        <w:rPr>
          <w:rStyle w:val="39"/>
          <w:rFonts w:hint="eastAsia" w:ascii="仿宋" w:hAnsi="仿宋" w:eastAsia="仿宋" w:cs="仿宋"/>
          <w:b w:val="0"/>
          <w:sz w:val="28"/>
          <w:szCs w:val="28"/>
        </w:rPr>
        <w:fldChar w:fldCharType="end"/>
      </w:r>
    </w:p>
    <w:p>
      <w:pPr>
        <w:pStyle w:val="22"/>
        <w:spacing w:line="480" w:lineRule="exact"/>
        <w:jc w:val="center"/>
        <w:rPr>
          <w:rFonts w:hint="eastAsia" w:ascii="仿宋" w:hAnsi="仿宋" w:eastAsia="仿宋" w:cs="仿宋"/>
          <w:b w:val="0"/>
          <w:sz w:val="28"/>
          <w:szCs w:val="28"/>
        </w:rPr>
      </w:pPr>
      <w:r>
        <w:rPr>
          <w:rFonts w:hint="eastAsia" w:ascii="仿宋" w:hAnsi="仿宋" w:eastAsia="仿宋" w:cs="仿宋"/>
          <w:sz w:val="28"/>
          <w:szCs w:val="28"/>
          <w:lang w:eastAsia="zh-CN"/>
        </w:rPr>
        <w:t>湖州市大数据发展管理局湖州市政务云数据资源备份服务</w:t>
      </w:r>
      <w:r>
        <w:rPr>
          <w:rFonts w:hint="eastAsia" w:ascii="仿宋" w:hAnsi="仿宋" w:eastAsia="仿宋" w:cs="仿宋"/>
          <w:sz w:val="28"/>
          <w:szCs w:val="28"/>
        </w:rPr>
        <w:t>采购项目招标公告</w:t>
      </w:r>
    </w:p>
    <w:bookmarkEnd w:id="0"/>
    <w:bookmarkEnd w:id="1"/>
    <w:bookmarkEnd w:id="2"/>
    <w:bookmarkEnd w:id="3"/>
    <w:bookmarkEnd w:id="4"/>
    <w:p>
      <w:pPr>
        <w:pBdr>
          <w:top w:val="single" w:color="auto" w:sz="4" w:space="1"/>
          <w:left w:val="single" w:color="auto" w:sz="4" w:space="4"/>
          <w:bottom w:val="single" w:color="auto" w:sz="4" w:space="1"/>
          <w:right w:val="single" w:color="auto" w:sz="4" w:space="4"/>
        </w:pBdr>
        <w:spacing w:line="400" w:lineRule="exact"/>
        <w:rPr>
          <w:rFonts w:hint="eastAsia" w:ascii="仿宋" w:hAnsi="仿宋" w:eastAsia="仿宋" w:cs="仿宋"/>
          <w:sz w:val="28"/>
          <w:szCs w:val="28"/>
        </w:rPr>
      </w:pPr>
      <w:bookmarkStart w:id="5" w:name="OLE_LINK7"/>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湖州市大数据发展管理局湖州市政务云数据资源备份服务</w:t>
      </w:r>
      <w:r>
        <w:rPr>
          <w:rFonts w:hint="eastAsia" w:ascii="仿宋" w:hAnsi="仿宋" w:eastAsia="仿宋" w:cs="仿宋"/>
          <w:sz w:val="28"/>
          <w:szCs w:val="28"/>
        </w:rPr>
        <w:t>采购项目的潜在投标人应注册成为政采云平台供应商后登录浙江政府采购云平台（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"http://www.zcygov.cn/" </w:instrText>
      </w:r>
      <w:r>
        <w:rPr>
          <w:rFonts w:hint="eastAsia" w:ascii="仿宋" w:hAnsi="仿宋" w:eastAsia="仿宋" w:cs="仿宋"/>
          <w:sz w:val="28"/>
          <w:szCs w:val="28"/>
        </w:rPr>
        <w:fldChar w:fldCharType="separate"/>
      </w:r>
      <w:r>
        <w:rPr>
          <w:rFonts w:hint="eastAsia" w:ascii="仿宋" w:hAnsi="仿宋" w:eastAsia="仿宋" w:cs="仿宋"/>
          <w:sz w:val="28"/>
          <w:szCs w:val="28"/>
        </w:rPr>
        <w:t>http://www.zcygov.cn/</w:t>
      </w:r>
      <w:r>
        <w:rPr>
          <w:rFonts w:hint="eastAsia" w:ascii="仿宋" w:hAnsi="仿宋" w:eastAsia="仿宋" w:cs="仿宋"/>
          <w:sz w:val="28"/>
          <w:szCs w:val="28"/>
        </w:rPr>
        <w:fldChar w:fldCharType="end"/>
      </w:r>
      <w:r>
        <w:rPr>
          <w:rFonts w:hint="eastAsia" w:ascii="仿宋" w:hAnsi="仿宋" w:eastAsia="仿宋" w:cs="仿宋"/>
          <w:sz w:val="28"/>
          <w:szCs w:val="28"/>
        </w:rPr>
        <w:t>）进行申请。申请通过后请自行在浙江政府采购网（http://zfcg.czt.zj.gov.cn/）或者湖州市公共资源交易信息网（</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"http://ggzy.huzhou.gov.cn/hzfront/）下载获取招标文件，并于2020年7月" </w:instrText>
      </w:r>
      <w:r>
        <w:rPr>
          <w:rFonts w:hint="eastAsia" w:ascii="仿宋" w:hAnsi="仿宋" w:eastAsia="仿宋" w:cs="仿宋"/>
          <w:sz w:val="28"/>
          <w:szCs w:val="28"/>
        </w:rPr>
        <w:fldChar w:fldCharType="separate"/>
      </w:r>
      <w:r>
        <w:rPr>
          <w:rStyle w:val="39"/>
          <w:rFonts w:hint="eastAsia" w:ascii="仿宋" w:hAnsi="仿宋" w:eastAsia="仿宋" w:cs="仿宋"/>
          <w:color w:val="auto"/>
          <w:sz w:val="28"/>
          <w:szCs w:val="28"/>
          <w:u w:val="none"/>
        </w:rPr>
        <w:t>http://ggzy.huzhou.gov.cn/hzfront/）下载获取招标文件，并于2022年</w:t>
      </w:r>
      <w:r>
        <w:rPr>
          <w:rStyle w:val="39"/>
          <w:rFonts w:hint="eastAsia" w:ascii="仿宋" w:hAnsi="仿宋" w:eastAsia="仿宋" w:cs="仿宋"/>
          <w:bCs/>
          <w:color w:val="auto"/>
          <w:sz w:val="28"/>
          <w:szCs w:val="28"/>
          <w:u w:val="none"/>
        </w:rPr>
        <w:t>月</w:t>
      </w:r>
      <w:r>
        <w:rPr>
          <w:rStyle w:val="39"/>
          <w:rFonts w:hint="eastAsia" w:ascii="仿宋" w:hAnsi="仿宋" w:eastAsia="仿宋" w:cs="仿宋"/>
          <w:bCs/>
          <w:color w:val="auto"/>
          <w:sz w:val="28"/>
          <w:szCs w:val="28"/>
          <w:u w:val="none"/>
        </w:rPr>
        <w:fldChar w:fldCharType="end"/>
      </w:r>
      <w:r>
        <w:rPr>
          <w:rFonts w:hint="eastAsia" w:ascii="仿宋" w:hAnsi="仿宋" w:eastAsia="仿宋" w:cs="仿宋"/>
          <w:bCs/>
          <w:sz w:val="28"/>
          <w:szCs w:val="28"/>
        </w:rPr>
        <w:t>日9:00（北京时间）前在政采云平台上传递交投标文件</w:t>
      </w:r>
      <w:r>
        <w:rPr>
          <w:rFonts w:hint="eastAsia" w:ascii="仿宋" w:hAnsi="仿宋" w:eastAsia="仿宋" w:cs="仿宋"/>
          <w:sz w:val="28"/>
          <w:szCs w:val="28"/>
        </w:rPr>
        <w:t>。</w:t>
      </w:r>
    </w:p>
    <w:p>
      <w:pPr>
        <w:spacing w:line="400" w:lineRule="exact"/>
        <w:rPr>
          <w:rFonts w:hint="eastAsia" w:ascii="仿宋" w:hAnsi="仿宋" w:eastAsia="仿宋" w:cs="仿宋"/>
          <w:b/>
          <w:sz w:val="28"/>
          <w:szCs w:val="28"/>
        </w:rPr>
      </w:pPr>
      <w:bookmarkStart w:id="6" w:name="_Toc28359079"/>
      <w:bookmarkStart w:id="7" w:name="_Toc35393621"/>
      <w:bookmarkStart w:id="8" w:name="_Toc35393790"/>
      <w:bookmarkStart w:id="9" w:name="_Toc28359002"/>
      <w:bookmarkStart w:id="10" w:name="_Hlk24379207"/>
      <w:r>
        <w:rPr>
          <w:rFonts w:hint="eastAsia" w:ascii="仿宋" w:hAnsi="仿宋" w:eastAsia="仿宋" w:cs="仿宋"/>
          <w:b/>
          <w:sz w:val="28"/>
          <w:szCs w:val="28"/>
        </w:rPr>
        <w:t>一、项目基本情况</w:t>
      </w:r>
      <w:bookmarkEnd w:id="6"/>
      <w:bookmarkEnd w:id="7"/>
      <w:bookmarkEnd w:id="8"/>
      <w:bookmarkEnd w:id="9"/>
    </w:p>
    <w:p>
      <w:pPr>
        <w:spacing w:line="40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HZGZ2022-49</w:t>
      </w:r>
    </w:p>
    <w:p>
      <w:pPr>
        <w:spacing w:line="400" w:lineRule="exact"/>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财政审批编号：HZCG【2022】</w:t>
      </w:r>
      <w:r>
        <w:rPr>
          <w:rFonts w:hint="eastAsia" w:ascii="仿宋" w:hAnsi="仿宋" w:eastAsia="仿宋" w:cs="仿宋"/>
          <w:sz w:val="28"/>
          <w:szCs w:val="28"/>
          <w:lang w:eastAsia="zh-CN"/>
        </w:rPr>
        <w:t>12829</w:t>
      </w:r>
      <w:r>
        <w:rPr>
          <w:rFonts w:hint="eastAsia" w:ascii="仿宋" w:hAnsi="仿宋" w:eastAsia="仿宋" w:cs="仿宋"/>
          <w:sz w:val="28"/>
          <w:szCs w:val="28"/>
        </w:rPr>
        <w:t>号</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lang w:eastAsia="zh-CN"/>
        </w:rPr>
        <w:t>湖州市大数据发展管理局湖州市政务云数据资源备份服务</w:t>
      </w:r>
      <w:r>
        <w:rPr>
          <w:rFonts w:hint="eastAsia" w:ascii="仿宋" w:hAnsi="仿宋" w:eastAsia="仿宋" w:cs="仿宋"/>
          <w:sz w:val="28"/>
          <w:szCs w:val="28"/>
        </w:rPr>
        <w:t>采购项目</w:t>
      </w:r>
      <w:bookmarkEnd w:id="10"/>
      <w:r>
        <w:rPr>
          <w:rFonts w:hint="eastAsia" w:ascii="仿宋" w:hAnsi="仿宋" w:eastAsia="仿宋" w:cs="仿宋"/>
          <w:sz w:val="28"/>
          <w:szCs w:val="28"/>
        </w:rPr>
        <w:t xml:space="preserve">    </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sz w:val="28"/>
          <w:szCs w:val="28"/>
          <w:lang w:val="en-US" w:eastAsia="zh-CN"/>
        </w:rPr>
        <w:t>110万</w:t>
      </w:r>
      <w:r>
        <w:rPr>
          <w:rFonts w:hint="eastAsia" w:ascii="仿宋" w:hAnsi="仿宋" w:eastAsia="仿宋" w:cs="仿宋"/>
          <w:sz w:val="28"/>
          <w:szCs w:val="28"/>
        </w:rPr>
        <w:t>元</w:t>
      </w:r>
    </w:p>
    <w:p>
      <w:pPr>
        <w:spacing w:line="400" w:lineRule="exact"/>
        <w:ind w:firstLine="560" w:firstLineChars="200"/>
        <w:rPr>
          <w:rFonts w:hint="eastAsia" w:ascii="仿宋" w:hAnsi="仿宋" w:eastAsia="仿宋" w:cs="仿宋"/>
          <w:bCs/>
          <w:color w:val="FF0000"/>
          <w:sz w:val="28"/>
          <w:szCs w:val="28"/>
          <w:lang w:eastAsia="zh-CN"/>
        </w:rPr>
      </w:pPr>
      <w:r>
        <w:rPr>
          <w:rFonts w:hint="eastAsia" w:ascii="仿宋" w:hAnsi="仿宋" w:eastAsia="仿宋" w:cs="仿宋"/>
          <w:sz w:val="28"/>
          <w:szCs w:val="28"/>
        </w:rPr>
        <w:t>供货期限：</w:t>
      </w:r>
      <w:r>
        <w:rPr>
          <w:rFonts w:hint="eastAsia" w:ascii="仿宋" w:hAnsi="仿宋" w:eastAsia="仿宋" w:cs="仿宋"/>
          <w:bCs/>
          <w:color w:val="FF0000"/>
          <w:sz w:val="28"/>
          <w:szCs w:val="28"/>
          <w:lang w:eastAsia="zh-CN"/>
        </w:rPr>
        <w:t>签订合同后一年</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本项目不接受联合体投标和进口产品投标。</w:t>
      </w:r>
    </w:p>
    <w:p>
      <w:pPr>
        <w:spacing w:line="400" w:lineRule="exact"/>
        <w:rPr>
          <w:rFonts w:hint="eastAsia" w:ascii="仿宋" w:hAnsi="仿宋" w:eastAsia="仿宋" w:cs="仿宋"/>
          <w:b/>
          <w:sz w:val="28"/>
          <w:szCs w:val="28"/>
        </w:rPr>
      </w:pPr>
      <w:bookmarkStart w:id="11" w:name="_Toc35393622"/>
      <w:bookmarkStart w:id="12" w:name="_Toc28359080"/>
      <w:bookmarkStart w:id="13" w:name="_Toc35393791"/>
      <w:bookmarkStart w:id="14" w:name="_Toc28359003"/>
      <w:r>
        <w:rPr>
          <w:rFonts w:hint="eastAsia" w:ascii="仿宋" w:hAnsi="仿宋" w:eastAsia="仿宋" w:cs="仿宋"/>
          <w:b/>
          <w:sz w:val="28"/>
          <w:szCs w:val="28"/>
        </w:rPr>
        <w:t>二、申请人的资格要求</w:t>
      </w:r>
      <w:bookmarkEnd w:id="11"/>
      <w:bookmarkEnd w:id="12"/>
      <w:bookmarkEnd w:id="13"/>
      <w:bookmarkEnd w:id="14"/>
    </w:p>
    <w:p>
      <w:pPr>
        <w:spacing w:line="40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1、符合《中华人民共和国政府采购法》第二十二条和《关于规范政府采购</w:t>
      </w:r>
      <w:r>
        <w:rPr>
          <w:rFonts w:hint="eastAsia" w:ascii="仿宋" w:hAnsi="仿宋" w:eastAsia="仿宋" w:cs="仿宋"/>
          <w:sz w:val="28"/>
          <w:szCs w:val="28"/>
        </w:rPr>
        <w:t>供应商资格设定及资格审查的通知》(浙财采监[2013]24号)第六条规定，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hint="eastAsia" w:ascii="仿宋" w:hAnsi="仿宋" w:eastAsia="仿宋" w:cs="仿宋"/>
          <w:sz w:val="28"/>
          <w:szCs w:val="28"/>
          <w:lang w:eastAsia="zh-CN"/>
        </w:rPr>
      </w:pPr>
      <w:bookmarkStart w:id="15" w:name="_Toc35393792"/>
      <w:bookmarkStart w:id="16" w:name="_Toc28359081"/>
      <w:bookmarkStart w:id="17" w:name="_Toc35393623"/>
      <w:bookmarkStart w:id="18" w:name="_Toc28359004"/>
      <w:r>
        <w:rPr>
          <w:rFonts w:hint="eastAsia" w:ascii="仿宋" w:hAnsi="仿宋" w:eastAsia="仿宋" w:cs="仿宋"/>
          <w:sz w:val="28"/>
          <w:szCs w:val="28"/>
          <w:lang w:val="en-US" w:eastAsia="zh-CN"/>
        </w:rPr>
        <w:t>2</w:t>
      </w:r>
      <w:r>
        <w:rPr>
          <w:rFonts w:hint="eastAsia" w:ascii="仿宋" w:hAnsi="仿宋" w:eastAsia="仿宋" w:cs="仿宋"/>
          <w:sz w:val="28"/>
          <w:szCs w:val="28"/>
        </w:rPr>
        <w:t>、落实政府采购政策需满足的资格要求：</w:t>
      </w:r>
      <w:r>
        <w:rPr>
          <w:rFonts w:hint="eastAsia" w:ascii="仿宋" w:hAnsi="仿宋" w:eastAsia="仿宋" w:cs="仿宋"/>
          <w:sz w:val="28"/>
          <w:szCs w:val="28"/>
          <w:lang w:eastAsia="zh-CN"/>
        </w:rPr>
        <w:t>专门面向中小企业。</w:t>
      </w:r>
    </w:p>
    <w:p>
      <w:pPr>
        <w:spacing w:line="400" w:lineRule="exact"/>
        <w:rPr>
          <w:rFonts w:hint="eastAsia" w:ascii="仿宋" w:hAnsi="仿宋" w:eastAsia="仿宋" w:cs="仿宋"/>
          <w:b/>
          <w:sz w:val="28"/>
          <w:szCs w:val="28"/>
        </w:rPr>
      </w:pPr>
      <w:r>
        <w:rPr>
          <w:rFonts w:hint="eastAsia" w:ascii="仿宋" w:hAnsi="仿宋" w:eastAsia="仿宋" w:cs="仿宋"/>
          <w:b/>
          <w:sz w:val="28"/>
          <w:szCs w:val="28"/>
        </w:rPr>
        <w:t>三、获取招标文件</w:t>
      </w:r>
      <w:bookmarkEnd w:id="15"/>
      <w:bookmarkEnd w:id="16"/>
      <w:bookmarkEnd w:id="17"/>
      <w:bookmarkEnd w:id="18"/>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时间：公告发布时间 至 投标截止时间</w:t>
      </w:r>
    </w:p>
    <w:p>
      <w:pPr>
        <w:spacing w:line="400" w:lineRule="exact"/>
        <w:ind w:firstLine="540"/>
        <w:rPr>
          <w:rFonts w:hint="eastAsia" w:ascii="仿宋" w:hAnsi="仿宋" w:eastAsia="仿宋" w:cs="仿宋"/>
          <w:sz w:val="28"/>
          <w:szCs w:val="28"/>
          <w:u w:val="single"/>
        </w:rPr>
      </w:pPr>
      <w:r>
        <w:rPr>
          <w:rFonts w:hint="eastAsia" w:ascii="仿宋" w:hAnsi="仿宋" w:eastAsia="仿宋" w:cs="仿宋"/>
          <w:sz w:val="28"/>
          <w:szCs w:val="28"/>
        </w:rPr>
        <w:t>方式：网上在线申请。注册成为政采云平台供应商后登录浙江政府采购云平台（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"http://www.zcygov.cn/" </w:instrText>
      </w:r>
      <w:r>
        <w:rPr>
          <w:rFonts w:hint="eastAsia" w:ascii="仿宋" w:hAnsi="仿宋" w:eastAsia="仿宋" w:cs="仿宋"/>
          <w:sz w:val="28"/>
          <w:szCs w:val="28"/>
        </w:rPr>
        <w:fldChar w:fldCharType="separate"/>
      </w:r>
      <w:r>
        <w:rPr>
          <w:rFonts w:hint="eastAsia" w:ascii="仿宋" w:hAnsi="仿宋" w:eastAsia="仿宋" w:cs="仿宋"/>
          <w:sz w:val="28"/>
          <w:szCs w:val="28"/>
        </w:rPr>
        <w:t>http://www.zcygov.cn/</w:t>
      </w:r>
      <w:r>
        <w:rPr>
          <w:rFonts w:hint="eastAsia" w:ascii="仿宋" w:hAnsi="仿宋" w:eastAsia="仿宋" w:cs="仿宋"/>
          <w:sz w:val="28"/>
          <w:szCs w:val="28"/>
        </w:rPr>
        <w:fldChar w:fldCharType="end"/>
      </w:r>
      <w:r>
        <w:rPr>
          <w:rFonts w:hint="eastAsia" w:ascii="仿宋" w:hAnsi="仿宋" w:eastAsia="仿宋" w:cs="仿宋"/>
          <w:sz w:val="28"/>
          <w:szCs w:val="28"/>
        </w:rPr>
        <w:t>）进行申请。申请通过后请自行在浙江政府采购网（http://zfcg.czt.zj.gov.cn/）或者湖州市公共资源交易信息网（http://ggzy.huzhou.gov.cn/hzfront/）下载。</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投标保证金：不缴纳</w:t>
      </w:r>
    </w:p>
    <w:p>
      <w:pPr>
        <w:spacing w:line="400" w:lineRule="exact"/>
        <w:ind w:firstLine="540"/>
        <w:rPr>
          <w:rFonts w:hint="eastAsia" w:ascii="仿宋" w:hAnsi="仿宋" w:eastAsia="仿宋" w:cs="仿宋"/>
          <w:sz w:val="28"/>
          <w:szCs w:val="28"/>
        </w:rPr>
      </w:pPr>
      <w:r>
        <w:rPr>
          <w:rFonts w:hint="eastAsia" w:ascii="仿宋" w:hAnsi="仿宋" w:eastAsia="仿宋" w:cs="仿宋"/>
          <w:sz w:val="28"/>
          <w:szCs w:val="28"/>
        </w:rPr>
        <w:t>售价：免工本费</w:t>
      </w:r>
    </w:p>
    <w:p>
      <w:pPr>
        <w:spacing w:line="400" w:lineRule="exact"/>
        <w:rPr>
          <w:rFonts w:hint="eastAsia" w:ascii="仿宋" w:hAnsi="仿宋" w:eastAsia="仿宋" w:cs="仿宋"/>
          <w:b/>
          <w:sz w:val="28"/>
          <w:szCs w:val="28"/>
        </w:rPr>
      </w:pPr>
      <w:bookmarkStart w:id="19" w:name="_Toc28359082"/>
      <w:bookmarkStart w:id="20" w:name="_Toc28359005"/>
      <w:bookmarkStart w:id="21" w:name="_Toc35393793"/>
      <w:bookmarkStart w:id="22" w:name="_Toc35393624"/>
      <w:r>
        <w:rPr>
          <w:rFonts w:hint="eastAsia" w:ascii="仿宋" w:hAnsi="仿宋" w:eastAsia="仿宋" w:cs="仿宋"/>
          <w:b/>
          <w:sz w:val="28"/>
          <w:szCs w:val="28"/>
        </w:rPr>
        <w:t>四、提交投标文件</w:t>
      </w:r>
      <w:bookmarkEnd w:id="19"/>
      <w:bookmarkEnd w:id="20"/>
      <w:r>
        <w:rPr>
          <w:rFonts w:hint="eastAsia" w:ascii="仿宋" w:hAnsi="仿宋" w:eastAsia="仿宋" w:cs="仿宋"/>
          <w:b/>
          <w:sz w:val="28"/>
          <w:szCs w:val="28"/>
        </w:rPr>
        <w:t>截止时间、开标时间和</w:t>
      </w:r>
      <w:bookmarkEnd w:id="21"/>
      <w:bookmarkEnd w:id="22"/>
      <w:r>
        <w:rPr>
          <w:rFonts w:hint="eastAsia" w:ascii="仿宋" w:hAnsi="仿宋" w:eastAsia="仿宋" w:cs="仿宋"/>
          <w:b/>
          <w:sz w:val="28"/>
          <w:szCs w:val="28"/>
        </w:rPr>
        <w:t>方式</w:t>
      </w:r>
    </w:p>
    <w:p>
      <w:pPr>
        <w:spacing w:line="4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截止（开标）时间： 2022年月日9:00（北京时间）</w:t>
      </w:r>
    </w:p>
    <w:p>
      <w:pPr>
        <w:spacing w:line="400" w:lineRule="exact"/>
        <w:ind w:firstLine="560" w:firstLineChars="200"/>
        <w:rPr>
          <w:rFonts w:hint="eastAsia" w:ascii="仿宋" w:hAnsi="仿宋" w:eastAsia="仿宋" w:cs="仿宋"/>
          <w:bCs/>
          <w:sz w:val="28"/>
          <w:szCs w:val="28"/>
          <w:u w:val="single"/>
        </w:rPr>
      </w:pPr>
      <w:r>
        <w:rPr>
          <w:rFonts w:hint="eastAsia" w:ascii="仿宋" w:hAnsi="仿宋" w:eastAsia="仿宋" w:cs="仿宋"/>
          <w:sz w:val="28"/>
          <w:szCs w:val="28"/>
        </w:rPr>
        <w:t>方式：政采云平台提交电子投标文件。</w:t>
      </w:r>
    </w:p>
    <w:p>
      <w:pPr>
        <w:spacing w:line="400" w:lineRule="exact"/>
        <w:rPr>
          <w:rFonts w:hint="eastAsia" w:ascii="仿宋" w:hAnsi="仿宋" w:eastAsia="仿宋" w:cs="仿宋"/>
          <w:b/>
          <w:sz w:val="28"/>
          <w:szCs w:val="28"/>
        </w:rPr>
      </w:pPr>
      <w:bookmarkStart w:id="23" w:name="_Toc35393794"/>
      <w:bookmarkStart w:id="24" w:name="_Toc28359007"/>
      <w:bookmarkStart w:id="25" w:name="_Toc35393625"/>
      <w:bookmarkStart w:id="26" w:name="_Toc28359084"/>
      <w:r>
        <w:rPr>
          <w:rFonts w:hint="eastAsia" w:ascii="仿宋" w:hAnsi="仿宋" w:eastAsia="仿宋" w:cs="仿宋"/>
          <w:b/>
          <w:sz w:val="28"/>
          <w:szCs w:val="28"/>
        </w:rPr>
        <w:t>五、公告期限</w:t>
      </w:r>
      <w:bookmarkEnd w:id="23"/>
      <w:bookmarkEnd w:id="24"/>
      <w:bookmarkEnd w:id="25"/>
      <w:bookmarkEnd w:id="26"/>
    </w:p>
    <w:p>
      <w:pPr>
        <w:spacing w:line="4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自本公告发布之日起5个工作日。</w:t>
      </w:r>
    </w:p>
    <w:p>
      <w:pPr>
        <w:spacing w:line="400" w:lineRule="exact"/>
        <w:rPr>
          <w:rFonts w:hint="eastAsia" w:ascii="仿宋" w:hAnsi="仿宋" w:eastAsia="仿宋" w:cs="仿宋"/>
          <w:b/>
          <w:sz w:val="28"/>
          <w:szCs w:val="28"/>
        </w:rPr>
      </w:pPr>
      <w:bookmarkStart w:id="27" w:name="_Toc35393795"/>
      <w:bookmarkStart w:id="28" w:name="_Toc35393626"/>
      <w:r>
        <w:rPr>
          <w:rFonts w:hint="eastAsia" w:ascii="仿宋" w:hAnsi="仿宋" w:eastAsia="仿宋" w:cs="仿宋"/>
          <w:b/>
          <w:sz w:val="28"/>
          <w:szCs w:val="28"/>
        </w:rPr>
        <w:t>六、其他补充事宜</w:t>
      </w:r>
      <w:bookmarkEnd w:id="27"/>
      <w:bookmarkEnd w:id="28"/>
    </w:p>
    <w:p>
      <w:pPr>
        <w:spacing w:line="400" w:lineRule="exact"/>
        <w:rPr>
          <w:rFonts w:hint="eastAsia" w:ascii="仿宋" w:hAnsi="仿宋" w:eastAsia="仿宋"/>
          <w:sz w:val="28"/>
          <w:szCs w:val="28"/>
          <w:highlight w:val="none"/>
        </w:rPr>
      </w:pPr>
      <w:bookmarkStart w:id="29" w:name="_Toc28359008"/>
      <w:bookmarkStart w:id="30" w:name="_Toc28359085"/>
      <w:bookmarkStart w:id="31" w:name="_Toc35393627"/>
      <w:bookmarkStart w:id="32" w:name="_Toc35393796"/>
      <w:r>
        <w:rPr>
          <w:rFonts w:hint="eastAsia" w:ascii="仿宋" w:hAnsi="仿宋" w:eastAsia="仿宋"/>
          <w:sz w:val="28"/>
          <w:szCs w:val="28"/>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 xml:space="preserve">   </w:t>
      </w:r>
      <w:r>
        <w:rPr>
          <w:rFonts w:hint="eastAsia" w:ascii="仿宋" w:hAnsi="仿宋" w:eastAsia="仿宋"/>
          <w:b/>
          <w:bCs/>
          <w:sz w:val="28"/>
          <w:szCs w:val="28"/>
          <w:highlight w:val="none"/>
        </w:rPr>
        <w:t xml:space="preserve"> 4.其他事项：</w:t>
      </w:r>
      <w:r>
        <w:rPr>
          <w:rFonts w:hint="eastAsia" w:ascii="仿宋" w:hAnsi="仿宋" w:eastAsia="仿宋"/>
          <w:sz w:val="28"/>
          <w:szCs w:val="28"/>
          <w:highlight w:val="none"/>
        </w:rPr>
        <w:t>1、本项目实行电子投标，应按照本项目招标文件和政采云平台的要求编制、加密并提交投标文件, 投标人的法定代表人或其授权代表或个体工商户不需要参加现场投标和开标。</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供应商在使用系统进行投标的过程中遇到涉及平台使用的任何问题，可致电政采云平台技术支持热线咨询，联系方式：400-881-7190。</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2、投标人应在开标前完成CA数字证书办理。（办理流程详见http://zfcg.czt.zj.gov.cn/bidClientTemplate/2019-05-27/12945.html）。</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3、投标人通过“政采云”平台电子交易客户端制作投标文件，电子交易客户端请供应商自行前往浙江省政府采购网下载并安装，（下载网址：</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http://zfcg.czt.zj.gov.cn/bidClientTemplate/2019-09-24/12975.html），电子投标具体流程详见政采云平台帮助文档视频材料：“政府采购项目电子交易管理操作视频-供应商”。</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4、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5、投标人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pacing w:line="400" w:lineRule="exact"/>
        <w:rPr>
          <w:rFonts w:hint="default" w:ascii="仿宋" w:hAnsi="仿宋" w:eastAsia="仿宋"/>
          <w:sz w:val="28"/>
          <w:szCs w:val="28"/>
          <w:highlight w:val="none"/>
          <w:lang w:val="en-US" w:eastAsia="zh-CN"/>
        </w:rPr>
      </w:pPr>
      <w:r>
        <w:rPr>
          <w:rFonts w:hint="eastAsia" w:ascii="仿宋" w:hAnsi="仿宋" w:eastAsia="仿宋"/>
          <w:sz w:val="28"/>
          <w:szCs w:val="28"/>
          <w:highlight w:val="none"/>
        </w:rPr>
        <w:t>EMS接收人：</w:t>
      </w:r>
      <w:r>
        <w:rPr>
          <w:rFonts w:hint="eastAsia" w:ascii="仿宋" w:hAnsi="仿宋" w:eastAsia="仿宋"/>
          <w:sz w:val="28"/>
          <w:szCs w:val="28"/>
          <w:highlight w:val="none"/>
          <w:lang w:eastAsia="zh-CN"/>
        </w:rPr>
        <w:t>范</w:t>
      </w:r>
      <w:r>
        <w:rPr>
          <w:rFonts w:hint="eastAsia" w:ascii="仿宋" w:hAnsi="仿宋" w:eastAsia="仿宋"/>
          <w:sz w:val="28"/>
          <w:szCs w:val="28"/>
          <w:highlight w:val="none"/>
        </w:rPr>
        <w:t>女士 电话：0572-22200</w:t>
      </w:r>
      <w:r>
        <w:rPr>
          <w:rFonts w:hint="eastAsia" w:ascii="仿宋" w:hAnsi="仿宋" w:eastAsia="仿宋"/>
          <w:sz w:val="28"/>
          <w:szCs w:val="28"/>
          <w:highlight w:val="none"/>
          <w:lang w:val="en-US" w:eastAsia="zh-CN"/>
        </w:rPr>
        <w:t>19</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邮寄地址：湖州市金盖山路66号市民服务中心2号楼2楼238室。</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6、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质疑供应商对采购人、采购代理机构的答复不满意，或者采购人、采购代理机构未在规定时间内作出答复的，可以在答复期满后15个工作日内向同级财政部门提起投诉。</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“规定方式获取招标文件”是指：供应商按本项目招标公告要求向集中采购机构申请获取招标文件通过后下载招标文件。</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7、投标答疑时间：供应商对招标文件有异议的，应当在2022年月日下午17:00前以书面（含传真、电邮）形式向集中采购机构一次性提出，集中采购机构将在规定的时间内统一进行澄清和修改，并书面（含传真、电邮）通知所有获取招标文件的供应商。供应商未按规定要求提出的，则视同认可招标文件，但法律法规及规范性文件有明确规定的除外。</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8、采购项目需要落实的政府采购政策：包括保护环境、节约能源、促进中小企业发展等，详见招标文件。</w:t>
      </w:r>
    </w:p>
    <w:p>
      <w:pPr>
        <w:spacing w:line="400" w:lineRule="exact"/>
        <w:rPr>
          <w:rFonts w:hint="eastAsia" w:ascii="仿宋" w:hAnsi="仿宋" w:eastAsia="仿宋"/>
          <w:sz w:val="28"/>
          <w:szCs w:val="28"/>
          <w:highlight w:val="none"/>
        </w:rPr>
      </w:pPr>
      <w:r>
        <w:rPr>
          <w:rFonts w:hint="eastAsia" w:ascii="仿宋" w:hAnsi="仿宋" w:eastAsia="仿宋"/>
          <w:sz w:val="28"/>
          <w:szCs w:val="28"/>
          <w:highlight w:val="none"/>
        </w:rPr>
        <w:t>9、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-2151055、18698580797）。</w:t>
      </w:r>
    </w:p>
    <w:p>
      <w:pPr>
        <w:spacing w:line="4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七、对本次招标提出询问，请按以下方式联系。</w:t>
      </w:r>
      <w:bookmarkEnd w:id="29"/>
      <w:bookmarkEnd w:id="30"/>
      <w:bookmarkEnd w:id="31"/>
      <w:bookmarkEnd w:id="32"/>
    </w:p>
    <w:p>
      <w:pPr>
        <w:widowControl/>
        <w:spacing w:line="40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1、采购人信息</w:t>
      </w:r>
    </w:p>
    <w:p>
      <w:pPr>
        <w:spacing w:line="400" w:lineRule="exact"/>
        <w:ind w:firstLine="980" w:firstLineChars="350"/>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w:t>
      </w:r>
      <w:r>
        <w:rPr>
          <w:rFonts w:hint="eastAsia" w:ascii="仿宋" w:hAnsi="仿宋" w:eastAsia="仿宋" w:cs="仿宋"/>
          <w:color w:val="000000" w:themeColor="text1"/>
          <w:sz w:val="28"/>
          <w:szCs w:val="28"/>
          <w:lang w:eastAsia="zh-CN"/>
          <w14:textFill>
            <w14:solidFill>
              <w14:schemeClr w14:val="tx1"/>
            </w14:solidFill>
          </w14:textFill>
        </w:rPr>
        <w:t>湖州市大数据发展管理局</w:t>
      </w:r>
    </w:p>
    <w:p>
      <w:pPr>
        <w:spacing w:line="400" w:lineRule="exact"/>
        <w:ind w:firstLine="980" w:firstLineChars="350"/>
        <w:jc w:val="left"/>
        <w:rPr>
          <w:rFonts w:hint="eastAsia" w:ascii="仿宋" w:hAnsi="仿宋" w:eastAsia="仿宋" w:cs="仿宋"/>
          <w:color w:val="000000" w:themeColor="text1"/>
          <w:sz w:val="28"/>
          <w:szCs w:val="28"/>
          <w14:textFill>
            <w14:solidFill>
              <w14:schemeClr w14:val="tx1"/>
            </w14:solidFill>
          </w14:textFill>
        </w:rPr>
      </w:pPr>
      <w:bookmarkStart w:id="33" w:name="_Toc28359009"/>
      <w:bookmarkStart w:id="34" w:name="_Toc28359086"/>
      <w:r>
        <w:rPr>
          <w:rFonts w:hint="eastAsia" w:ascii="仿宋" w:hAnsi="仿宋" w:eastAsia="仿宋" w:cs="仿宋"/>
          <w:color w:val="000000"/>
          <w:sz w:val="28"/>
          <w:szCs w:val="28"/>
        </w:rPr>
        <w:t>地址：</w:t>
      </w:r>
      <w:r>
        <w:rPr>
          <w:rFonts w:hint="eastAsia" w:ascii="仿宋" w:hAnsi="仿宋" w:eastAsia="仿宋" w:cs="仿宋"/>
          <w:color w:val="000000" w:themeColor="text1"/>
          <w:kern w:val="0"/>
          <w:sz w:val="28"/>
          <w:szCs w:val="28"/>
          <w14:textFill>
            <w14:solidFill>
              <w14:schemeClr w14:val="tx1"/>
            </w14:solidFill>
          </w14:textFill>
        </w:rPr>
        <w:t>湖州市金盖山路66号市民服务中心</w:t>
      </w: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号楼</w:t>
      </w: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楼</w:t>
      </w:r>
    </w:p>
    <w:p>
      <w:pPr>
        <w:spacing w:line="400" w:lineRule="exact"/>
        <w:ind w:firstLine="980" w:firstLineChars="350"/>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w:t>
      </w:r>
      <w:r>
        <w:rPr>
          <w:rFonts w:hint="eastAsia" w:ascii="仿宋" w:hAnsi="仿宋" w:eastAsia="仿宋" w:cs="仿宋"/>
          <w:color w:val="000000" w:themeColor="text1"/>
          <w:sz w:val="28"/>
          <w:szCs w:val="28"/>
          <w:lang w:eastAsia="zh-CN"/>
          <w14:textFill>
            <w14:solidFill>
              <w14:schemeClr w14:val="tx1"/>
            </w14:solidFill>
          </w14:textFill>
        </w:rPr>
        <w:t>范先生</w:t>
      </w:r>
      <w:r>
        <w:rPr>
          <w:rFonts w:hint="eastAsia" w:ascii="仿宋" w:hAnsi="仿宋" w:eastAsia="仿宋" w:cs="仿宋"/>
          <w:color w:val="000000" w:themeColor="text1"/>
          <w:sz w:val="28"/>
          <w:szCs w:val="28"/>
          <w14:textFill>
            <w14:solidFill>
              <w14:schemeClr w14:val="tx1"/>
            </w14:solidFill>
          </w14:textFill>
        </w:rPr>
        <w:t xml:space="preserve">  质疑函接收人：</w:t>
      </w:r>
      <w:r>
        <w:rPr>
          <w:rFonts w:hint="eastAsia" w:ascii="仿宋" w:hAnsi="仿宋" w:eastAsia="仿宋" w:cs="仿宋"/>
          <w:color w:val="000000" w:themeColor="text1"/>
          <w:sz w:val="28"/>
          <w:szCs w:val="28"/>
          <w:lang w:eastAsia="zh-CN"/>
          <w14:textFill>
            <w14:solidFill>
              <w14:schemeClr w14:val="tx1"/>
            </w14:solidFill>
          </w14:textFill>
        </w:rPr>
        <w:t>范先生</w:t>
      </w:r>
    </w:p>
    <w:p>
      <w:pPr>
        <w:spacing w:line="400" w:lineRule="exact"/>
        <w:ind w:firstLine="980" w:firstLineChars="350"/>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w:t>
      </w:r>
      <w:r>
        <w:rPr>
          <w:rFonts w:hint="eastAsia" w:ascii="仿宋" w:hAnsi="仿宋" w:eastAsia="仿宋" w:cs="仿宋"/>
          <w:color w:val="000000" w:themeColor="text1"/>
          <w:sz w:val="28"/>
          <w:szCs w:val="28"/>
          <w:lang w:eastAsia="zh-CN"/>
          <w14:textFill>
            <w14:solidFill>
              <w14:schemeClr w14:val="tx1"/>
            </w14:solidFill>
          </w14:textFill>
        </w:rPr>
        <w:t>0572-2398813</w:t>
      </w:r>
    </w:p>
    <w:p>
      <w:pPr>
        <w:spacing w:line="40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2、采购代理机构信息</w:t>
      </w:r>
      <w:bookmarkEnd w:id="33"/>
      <w:bookmarkEnd w:id="34"/>
    </w:p>
    <w:p>
      <w:pPr>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名称：湖州市政府采购中心</w:t>
      </w:r>
    </w:p>
    <w:p>
      <w:pPr>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地址：</w:t>
      </w:r>
      <w:r>
        <w:rPr>
          <w:rFonts w:hint="eastAsia" w:ascii="仿宋" w:hAnsi="仿宋" w:eastAsia="仿宋" w:cs="仿宋"/>
          <w:color w:val="000000" w:themeColor="text1"/>
          <w:kern w:val="0"/>
          <w:sz w:val="28"/>
          <w:szCs w:val="28"/>
          <w14:textFill>
            <w14:solidFill>
              <w14:schemeClr w14:val="tx1"/>
            </w14:solidFill>
          </w14:textFill>
        </w:rPr>
        <w:t>湖州市金盖山路66号市民服务中心2号楼2楼</w:t>
      </w:r>
    </w:p>
    <w:p>
      <w:pPr>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质疑函接收人：</w:t>
      </w:r>
      <w:r>
        <w:rPr>
          <w:rFonts w:hint="eastAsia" w:ascii="仿宋" w:hAnsi="仿宋" w:eastAsia="仿宋" w:cs="仿宋"/>
          <w:color w:val="000000" w:themeColor="text1"/>
          <w:sz w:val="28"/>
          <w:szCs w:val="28"/>
          <w:lang w:eastAsia="zh-CN"/>
          <w14:textFill>
            <w14:solidFill>
              <w14:schemeClr w14:val="tx1"/>
            </w14:solidFill>
          </w14:textFill>
        </w:rPr>
        <w:t>范</w:t>
      </w:r>
      <w:r>
        <w:rPr>
          <w:rFonts w:hint="eastAsia" w:ascii="仿宋" w:hAnsi="仿宋" w:eastAsia="仿宋" w:cs="仿宋"/>
          <w:color w:val="000000" w:themeColor="text1"/>
          <w:sz w:val="28"/>
          <w:szCs w:val="28"/>
          <w14:textFill>
            <w14:solidFill>
              <w14:schemeClr w14:val="tx1"/>
            </w14:solidFill>
          </w14:textFill>
        </w:rPr>
        <w:t>女士</w:t>
      </w:r>
    </w:p>
    <w:p>
      <w:pPr>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联系方式：</w:t>
      </w:r>
      <w:bookmarkStart w:id="35" w:name="_Toc28359087"/>
      <w:bookmarkStart w:id="36" w:name="_Toc28359010"/>
      <w:r>
        <w:rPr>
          <w:rFonts w:hint="eastAsia" w:ascii="仿宋" w:hAnsi="仿宋" w:eastAsia="仿宋" w:cs="仿宋"/>
          <w:color w:val="000000" w:themeColor="text1"/>
          <w:sz w:val="28"/>
          <w:szCs w:val="28"/>
          <w14:textFill>
            <w14:solidFill>
              <w14:schemeClr w14:val="tx1"/>
            </w14:solidFill>
          </w14:textFill>
        </w:rPr>
        <w:t>0572-2220019   传真：0572-2220061</w:t>
      </w:r>
    </w:p>
    <w:p>
      <w:pPr>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邮箱：zfcgfzx@huzhou.gov.cn</w:t>
      </w:r>
    </w:p>
    <w:p>
      <w:pPr>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3、项目联系方式</w:t>
      </w:r>
      <w:bookmarkEnd w:id="35"/>
      <w:bookmarkEnd w:id="36"/>
    </w:p>
    <w:p>
      <w:pPr>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项目联系人：顾女士    电话：0572-2220020</w:t>
      </w:r>
    </w:p>
    <w:p>
      <w:pPr>
        <w:snapToGrid w:val="0"/>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4、同级政府采购监督管理部门</w:t>
      </w:r>
    </w:p>
    <w:p>
      <w:pPr>
        <w:snapToGrid w:val="0"/>
        <w:spacing w:line="400" w:lineRule="exact"/>
        <w:ind w:firstLine="980" w:firstLineChars="3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名称：湖州市财政局政府采购监管处 </w:t>
      </w:r>
    </w:p>
    <w:p>
      <w:pPr>
        <w:snapToGrid w:val="0"/>
        <w:spacing w:line="400" w:lineRule="exact"/>
        <w:ind w:firstLine="980" w:firstLineChars="35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联系人：李女士    监督投诉电话：0572-</w:t>
      </w:r>
      <w:bookmarkEnd w:id="5"/>
      <w:r>
        <w:rPr>
          <w:rFonts w:hint="eastAsia" w:ascii="仿宋" w:hAnsi="仿宋" w:eastAsia="仿宋" w:cs="仿宋"/>
          <w:color w:val="000000" w:themeColor="text1"/>
          <w:sz w:val="28"/>
          <w:szCs w:val="28"/>
          <w14:textFill>
            <w14:solidFill>
              <w14:schemeClr w14:val="tx1"/>
            </w14:solidFill>
          </w14:textFill>
        </w:rPr>
        <w:t>2150086</w:t>
      </w:r>
      <w:r>
        <w:rPr>
          <w:rFonts w:hint="eastAsia" w:ascii="仿宋" w:hAnsi="仿宋" w:eastAsia="仿宋" w:cs="仿宋"/>
          <w:bCs/>
          <w:color w:val="000000" w:themeColor="text1"/>
          <w:sz w:val="28"/>
          <w:szCs w:val="28"/>
          <w14:textFill>
            <w14:solidFill>
              <w14:schemeClr w14:val="tx1"/>
            </w14:solidFill>
          </w14:textFill>
        </w:rPr>
        <w:br w:type="page"/>
      </w:r>
    </w:p>
    <w:p>
      <w:pPr>
        <w:pStyle w:val="3"/>
        <w:jc w:val="center"/>
        <w:rPr>
          <w:rFonts w:hint="eastAsia" w:ascii="仿宋" w:hAnsi="仿宋" w:eastAsia="仿宋" w:cs="仿宋"/>
          <w:color w:val="000000" w:themeColor="text1"/>
          <w:sz w:val="28"/>
          <w:szCs w:val="28"/>
          <w14:textFill>
            <w14:solidFill>
              <w14:schemeClr w14:val="tx1"/>
            </w14:solidFill>
          </w14:textFill>
        </w:rPr>
      </w:pPr>
      <w:bookmarkStart w:id="37" w:name="_Toc36454312"/>
      <w:r>
        <w:rPr>
          <w:rFonts w:hint="eastAsia" w:ascii="仿宋" w:hAnsi="仿宋" w:eastAsia="仿宋" w:cs="仿宋"/>
          <w:color w:val="000000" w:themeColor="text1"/>
          <w:sz w:val="28"/>
          <w:szCs w:val="28"/>
          <w14:textFill>
            <w14:solidFill>
              <w14:schemeClr w14:val="tx1"/>
            </w14:solidFill>
          </w14:textFill>
        </w:rPr>
        <w:t>第一章  投标人须知</w:t>
      </w:r>
      <w:bookmarkEnd w:id="37"/>
    </w:p>
    <w:p>
      <w:pPr>
        <w:pStyle w:val="4"/>
        <w:spacing w:line="440" w:lineRule="exact"/>
        <w:jc w:val="center"/>
        <w:rPr>
          <w:rFonts w:hint="eastAsia" w:ascii="仿宋" w:hAnsi="仿宋" w:eastAsia="仿宋" w:cs="仿宋"/>
          <w:color w:val="000000" w:themeColor="text1"/>
          <w:sz w:val="28"/>
          <w:szCs w:val="28"/>
          <w14:textFill>
            <w14:solidFill>
              <w14:schemeClr w14:val="tx1"/>
            </w14:solidFill>
          </w14:textFill>
        </w:rPr>
      </w:pPr>
      <w:bookmarkStart w:id="38" w:name="_Toc36454313"/>
      <w:r>
        <w:rPr>
          <w:rFonts w:hint="eastAsia" w:ascii="仿宋" w:hAnsi="仿宋" w:eastAsia="仿宋" w:cs="仿宋"/>
          <w:color w:val="000000" w:themeColor="text1"/>
          <w:sz w:val="28"/>
          <w:szCs w:val="28"/>
          <w14:textFill>
            <w14:solidFill>
              <w14:schemeClr w14:val="tx1"/>
            </w14:solidFill>
          </w14:textFill>
        </w:rPr>
        <w:t>前   附  表</w:t>
      </w:r>
      <w:bookmarkEnd w:id="38"/>
    </w:p>
    <w:tbl>
      <w:tblPr>
        <w:tblStyle w:val="32"/>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0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序号</w:t>
            </w:r>
          </w:p>
        </w:tc>
        <w:tc>
          <w:tcPr>
            <w:tcW w:w="2520" w:type="dxa"/>
            <w:vAlign w:val="center"/>
          </w:tcPr>
          <w:p>
            <w:pPr>
              <w:spacing w:line="30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  目</w:t>
            </w:r>
          </w:p>
        </w:tc>
        <w:tc>
          <w:tcPr>
            <w:tcW w:w="6261" w:type="dxa"/>
            <w:vAlign w:val="center"/>
          </w:tcPr>
          <w:p>
            <w:pPr>
              <w:spacing w:line="300" w:lineRule="exact"/>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项目名称</w:t>
            </w:r>
          </w:p>
        </w:tc>
        <w:tc>
          <w:tcPr>
            <w:tcW w:w="6261" w:type="dxa"/>
            <w:vAlign w:val="center"/>
          </w:tcPr>
          <w:p>
            <w:pPr>
              <w:spacing w:line="300" w:lineRule="exact"/>
              <w:jc w:val="center"/>
              <w:rPr>
                <w:rFonts w:hint="eastAsia" w:ascii="仿宋" w:hAnsi="仿宋" w:eastAsia="仿宋" w:cs="仿宋"/>
                <w:bCs/>
                <w:color w:val="000000" w:themeColor="text1"/>
                <w:spacing w:val="-4"/>
                <w:sz w:val="28"/>
                <w:szCs w:val="28"/>
                <w14:textFill>
                  <w14:solidFill>
                    <w14:schemeClr w14:val="tx1"/>
                  </w14:solidFill>
                </w14:textFill>
              </w:rPr>
            </w:pPr>
            <w:r>
              <w:rPr>
                <w:rFonts w:hint="eastAsia" w:ascii="仿宋" w:hAnsi="仿宋" w:eastAsia="仿宋" w:cs="仿宋"/>
                <w:bCs/>
                <w:color w:val="000000" w:themeColor="text1"/>
                <w:spacing w:val="-4"/>
                <w:sz w:val="28"/>
                <w:szCs w:val="28"/>
                <w:lang w:eastAsia="zh-CN"/>
                <w14:textFill>
                  <w14:solidFill>
                    <w14:schemeClr w14:val="tx1"/>
                  </w14:solidFill>
                </w14:textFill>
              </w:rPr>
              <w:t>湖州市大数据发展管理局湖州市政务云数据资源备份服务</w:t>
            </w:r>
            <w:r>
              <w:rPr>
                <w:rFonts w:hint="eastAsia" w:ascii="仿宋" w:hAnsi="仿宋" w:eastAsia="仿宋" w:cs="仿宋"/>
                <w:bCs/>
                <w:color w:val="000000" w:themeColor="text1"/>
                <w:spacing w:val="-4"/>
                <w:sz w:val="28"/>
                <w:szCs w:val="28"/>
                <w14:textFill>
                  <w14:solidFill>
                    <w14:schemeClr w14:val="tx1"/>
                  </w14:solidFill>
                </w14:textFill>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编号</w:t>
            </w:r>
          </w:p>
        </w:tc>
        <w:tc>
          <w:tcPr>
            <w:tcW w:w="6261" w:type="dxa"/>
            <w:vAlign w:val="center"/>
          </w:tcPr>
          <w:p>
            <w:pPr>
              <w:spacing w:line="300" w:lineRule="exact"/>
              <w:rPr>
                <w:rFonts w:hint="default" w:ascii="仿宋" w:hAnsi="仿宋" w:eastAsia="仿宋" w:cs="仿宋"/>
                <w:bCs/>
                <w:color w:val="000000" w:themeColor="text1"/>
                <w:spacing w:val="-4"/>
                <w:sz w:val="28"/>
                <w:szCs w:val="28"/>
                <w:u w:val="single"/>
                <w:lang w:val="en-US" w:eastAsia="zh-CN"/>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招标文件编号：</w:t>
            </w:r>
            <w:r>
              <w:rPr>
                <w:rFonts w:hint="eastAsia" w:ascii="仿宋" w:hAnsi="仿宋" w:eastAsia="仿宋" w:cs="仿宋"/>
                <w:bCs/>
                <w:color w:val="000000" w:themeColor="text1"/>
                <w:spacing w:val="-4"/>
                <w:sz w:val="28"/>
                <w:szCs w:val="28"/>
                <w:lang w:eastAsia="zh-CN"/>
                <w14:textFill>
                  <w14:solidFill>
                    <w14:schemeClr w14:val="tx1"/>
                  </w14:solidFill>
                </w14:textFill>
              </w:rPr>
              <w:t>HZGZ2022-49</w:t>
            </w:r>
          </w:p>
          <w:p>
            <w:pPr>
              <w:spacing w:line="300" w:lineRule="exact"/>
              <w:rPr>
                <w:rFonts w:hint="eastAsia" w:ascii="仿宋" w:hAnsi="仿宋" w:eastAsia="仿宋" w:cs="仿宋"/>
                <w:bCs/>
                <w:color w:val="000000" w:themeColor="text1"/>
                <w:spacing w:val="-4"/>
                <w:sz w:val="28"/>
                <w:szCs w:val="28"/>
                <w:u w:val="single"/>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财政审批编号：HZCG【2022】</w:t>
            </w:r>
            <w:r>
              <w:rPr>
                <w:rFonts w:hint="eastAsia" w:ascii="仿宋" w:hAnsi="仿宋" w:eastAsia="仿宋" w:cs="仿宋"/>
                <w:bCs/>
                <w:color w:val="000000" w:themeColor="text1"/>
                <w:spacing w:val="-4"/>
                <w:sz w:val="28"/>
                <w:szCs w:val="28"/>
                <w:lang w:eastAsia="zh-CN"/>
                <w14:textFill>
                  <w14:solidFill>
                    <w14:schemeClr w14:val="tx1"/>
                  </w14:solidFill>
                </w14:textFill>
              </w:rPr>
              <w:t>12829</w:t>
            </w:r>
            <w:r>
              <w:rPr>
                <w:rFonts w:hint="eastAsia" w:ascii="仿宋" w:hAnsi="仿宋" w:eastAsia="仿宋" w:cs="仿宋"/>
                <w:bCs/>
                <w:color w:val="000000" w:themeColor="text1"/>
                <w:spacing w:val="-4"/>
                <w:sz w:val="28"/>
                <w:szCs w:val="28"/>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招标内容</w:t>
            </w:r>
          </w:p>
        </w:tc>
        <w:tc>
          <w:tcPr>
            <w:tcW w:w="6261" w:type="dxa"/>
            <w:vAlign w:val="center"/>
          </w:tcPr>
          <w:p>
            <w:pPr>
              <w:spacing w:line="30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pacing w:val="-4"/>
                <w:sz w:val="28"/>
                <w:szCs w:val="28"/>
                <w14:textFill>
                  <w14:solidFill>
                    <w14:schemeClr w14:val="tx1"/>
                  </w14:solidFill>
                </w14:textFill>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项目交货及安装地点</w:t>
            </w:r>
          </w:p>
        </w:tc>
        <w:tc>
          <w:tcPr>
            <w:tcW w:w="6261"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合同履行期限</w:t>
            </w:r>
          </w:p>
        </w:tc>
        <w:tc>
          <w:tcPr>
            <w:tcW w:w="6261"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政务云服务输出周期为自合同签订后，60个日历日内完成，同时出具运行报告。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bottom w:val="single" w:color="auto" w:sz="4" w:space="0"/>
            </w:tcBorders>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w:t>
            </w:r>
          </w:p>
        </w:tc>
        <w:tc>
          <w:tcPr>
            <w:tcW w:w="2520" w:type="dxa"/>
            <w:tcBorders>
              <w:bottom w:val="single" w:color="auto" w:sz="4" w:space="0"/>
            </w:tcBorders>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投标保证金</w:t>
            </w:r>
          </w:p>
        </w:tc>
        <w:tc>
          <w:tcPr>
            <w:tcW w:w="6261" w:type="dxa"/>
            <w:tcBorders>
              <w:bottom w:val="single" w:color="auto" w:sz="4" w:space="0"/>
            </w:tcBorders>
            <w:vAlign w:val="center"/>
          </w:tcPr>
          <w:p>
            <w:pPr>
              <w:spacing w:line="44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bCs/>
                <w:color w:val="000000" w:themeColor="text1"/>
                <w:sz w:val="28"/>
                <w:szCs w:val="28"/>
                <w:shd w:val="pct10" w:color="auto" w:fill="FFFFFF"/>
                <w14:textFill>
                  <w14:solidFill>
                    <w14:schemeClr w14:val="tx1"/>
                  </w14:solidFill>
                </w14:textFill>
              </w:rPr>
            </w:pPr>
            <w:r>
              <w:rPr>
                <w:rFonts w:hint="eastAsia" w:ascii="仿宋" w:hAnsi="仿宋" w:eastAsia="仿宋" w:cs="仿宋"/>
                <w:bCs/>
                <w:color w:val="000000" w:themeColor="text1"/>
                <w:sz w:val="28"/>
                <w:szCs w:val="28"/>
                <w:shd w:val="pct10" w:color="auto" w:fill="FFFFFF"/>
                <w14:textFill>
                  <w14:solidFill>
                    <w14:schemeClr w14:val="tx1"/>
                  </w14:solidFill>
                </w14:textFill>
              </w:rPr>
              <w:t>7</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投标答疑截止时间</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2022年月日下午17:00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tcBorders>
              <w:top w:val="single" w:color="auto" w:sz="4" w:space="0"/>
            </w:tcBorders>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w:t>
            </w:r>
          </w:p>
        </w:tc>
        <w:tc>
          <w:tcPr>
            <w:tcW w:w="2520" w:type="dxa"/>
            <w:tcBorders>
              <w:top w:val="single" w:color="auto" w:sz="4" w:space="0"/>
            </w:tcBorders>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是否允许转包与分包</w:t>
            </w:r>
          </w:p>
        </w:tc>
        <w:tc>
          <w:tcPr>
            <w:tcW w:w="6261" w:type="dxa"/>
            <w:tcBorders>
              <w:top w:val="single" w:color="auto" w:sz="4" w:space="0"/>
            </w:tcBorders>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p>
        </w:tc>
        <w:tc>
          <w:tcPr>
            <w:tcW w:w="2520"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是否现场踏勘</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p>
        </w:tc>
        <w:tc>
          <w:tcPr>
            <w:tcW w:w="2520"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是否提供演示</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20"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2520"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是否提供样品</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12</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投标形式</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政采云平台提交电子投标文件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13</w:t>
            </w:r>
          </w:p>
        </w:tc>
        <w:tc>
          <w:tcPr>
            <w:tcW w:w="2520" w:type="dxa"/>
            <w:vAlign w:val="center"/>
          </w:tcPr>
          <w:p>
            <w:pPr>
              <w:spacing w:line="30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开标时间</w:t>
            </w:r>
          </w:p>
          <w:p>
            <w:pPr>
              <w:spacing w:line="30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（投标截止时间）</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2022年月日9：00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14</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开标地点</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湖州市金盖山路66号市民服务中心2号楼2楼，</w:t>
            </w:r>
          </w:p>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15</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投标有效期</w:t>
            </w:r>
          </w:p>
        </w:tc>
        <w:tc>
          <w:tcPr>
            <w:tcW w:w="6261" w:type="dxa"/>
            <w:vAlign w:val="center"/>
          </w:tcPr>
          <w:p>
            <w:pPr>
              <w:snapToGrid w:val="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16</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服务</w:t>
            </w:r>
            <w:r>
              <w:rPr>
                <w:rFonts w:hint="eastAsia" w:ascii="仿宋" w:hAnsi="仿宋" w:eastAsia="仿宋" w:cs="仿宋"/>
                <w:bCs/>
                <w:color w:val="000000" w:themeColor="text1"/>
                <w:sz w:val="28"/>
                <w:szCs w:val="28"/>
                <w14:textFill>
                  <w14:solidFill>
                    <w14:schemeClr w14:val="tx1"/>
                  </w14:solidFill>
                </w14:textFill>
              </w:rPr>
              <w:t>期</w:t>
            </w:r>
          </w:p>
        </w:tc>
        <w:tc>
          <w:tcPr>
            <w:tcW w:w="6261" w:type="dxa"/>
            <w:vAlign w:val="center"/>
          </w:tcPr>
          <w:p>
            <w:pPr>
              <w:snapToGrid w:val="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17</w:t>
            </w:r>
          </w:p>
        </w:tc>
        <w:tc>
          <w:tcPr>
            <w:tcW w:w="2520" w:type="dxa"/>
            <w:vAlign w:val="center"/>
          </w:tcPr>
          <w:p>
            <w:pPr>
              <w:spacing w:line="300" w:lineRule="exact"/>
              <w:jc w:val="center"/>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履约保证金</w:t>
            </w:r>
          </w:p>
        </w:tc>
        <w:tc>
          <w:tcPr>
            <w:tcW w:w="6261" w:type="dxa"/>
            <w:vAlign w:val="center"/>
          </w:tcPr>
          <w:p>
            <w:pPr>
              <w:spacing w:line="300" w:lineRule="exact"/>
              <w:jc w:val="center"/>
              <w:rPr>
                <w:rFonts w:hint="eastAsia" w:ascii="仿宋" w:hAnsi="仿宋" w:eastAsia="仿宋" w:cs="仿宋"/>
                <w:color w:val="000000" w:themeColor="text1"/>
                <w:kern w:val="0"/>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18</w:t>
            </w:r>
          </w:p>
        </w:tc>
        <w:tc>
          <w:tcPr>
            <w:tcW w:w="25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评标办法及标准</w:t>
            </w:r>
          </w:p>
        </w:tc>
        <w:tc>
          <w:tcPr>
            <w:tcW w:w="6261"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0" w:type="dxa"/>
            <w:vAlign w:val="center"/>
          </w:tcPr>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19</w:t>
            </w:r>
          </w:p>
        </w:tc>
        <w:tc>
          <w:tcPr>
            <w:tcW w:w="2520" w:type="dxa"/>
            <w:vAlign w:val="center"/>
          </w:tcPr>
          <w:p>
            <w:pPr>
              <w:spacing w:line="38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采购人</w:t>
            </w:r>
          </w:p>
        </w:tc>
        <w:tc>
          <w:tcPr>
            <w:tcW w:w="6261" w:type="dxa"/>
            <w:vAlign w:val="center"/>
          </w:tcPr>
          <w:p>
            <w:pPr>
              <w:spacing w:line="300" w:lineRule="exact"/>
              <w:ind w:firstLine="560" w:firstLineChars="200"/>
              <w:jc w:val="center"/>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湖州市大数据发展管理局</w:t>
            </w:r>
          </w:p>
          <w:p>
            <w:pPr>
              <w:spacing w:line="30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联系人：</w:t>
            </w:r>
            <w:r>
              <w:rPr>
                <w:rFonts w:hint="eastAsia" w:ascii="仿宋" w:hAnsi="仿宋" w:eastAsia="仿宋" w:cs="仿宋"/>
                <w:color w:val="000000" w:themeColor="text1"/>
                <w:sz w:val="28"/>
                <w:szCs w:val="28"/>
                <w:lang w:eastAsia="zh-CN"/>
                <w14:textFill>
                  <w14:solidFill>
                    <w14:schemeClr w14:val="tx1"/>
                  </w14:solidFill>
                </w14:textFill>
              </w:rPr>
              <w:t>范先生</w:t>
            </w:r>
            <w:r>
              <w:rPr>
                <w:rFonts w:hint="eastAsia" w:ascii="仿宋" w:hAnsi="仿宋" w:eastAsia="仿宋" w:cs="仿宋"/>
                <w:color w:val="000000" w:themeColor="text1"/>
                <w:sz w:val="28"/>
                <w:szCs w:val="28"/>
                <w14:textFill>
                  <w14:solidFill>
                    <w14:schemeClr w14:val="tx1"/>
                  </w14:solidFill>
                </w14:textFill>
              </w:rPr>
              <w:t xml:space="preserve">   电话:0572-2322188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01" w:type="dxa"/>
            <w:gridSpan w:val="3"/>
            <w:vAlign w:val="center"/>
          </w:tcPr>
          <w:p>
            <w:pPr>
              <w:spacing w:line="300" w:lineRule="exact"/>
              <w:jc w:val="center"/>
              <w:rPr>
                <w:rFonts w:hint="eastAsia" w:ascii="仿宋" w:hAnsi="仿宋" w:eastAsia="仿宋" w:cs="仿宋"/>
                <w:bCs/>
                <w:color w:val="000000" w:themeColor="text1"/>
                <w:sz w:val="28"/>
                <w:szCs w:val="28"/>
                <w:lang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本招标文件的解释权属湖州市政府采购中心、</w:t>
            </w:r>
            <w:r>
              <w:rPr>
                <w:rFonts w:hint="eastAsia" w:ascii="仿宋" w:hAnsi="仿宋" w:eastAsia="仿宋" w:cs="仿宋"/>
                <w:bCs/>
                <w:color w:val="000000" w:themeColor="text1"/>
                <w:sz w:val="28"/>
                <w:szCs w:val="28"/>
                <w:u w:val="single"/>
                <w:lang w:eastAsia="zh-CN"/>
                <w14:textFill>
                  <w14:solidFill>
                    <w14:schemeClr w14:val="tx1"/>
                  </w14:solidFill>
                </w14:textFill>
              </w:rPr>
              <w:t>湖州市大数据发展管理局</w:t>
            </w:r>
          </w:p>
        </w:tc>
      </w:tr>
    </w:tbl>
    <w:p>
      <w:pPr>
        <w:rPr>
          <w:rFonts w:hint="eastAsia" w:ascii="仿宋" w:hAnsi="仿宋" w:eastAsia="仿宋" w:cs="仿宋"/>
          <w:sz w:val="28"/>
          <w:szCs w:val="28"/>
        </w:rPr>
      </w:pPr>
    </w:p>
    <w:p>
      <w:pPr>
        <w:pStyle w:val="4"/>
        <w:spacing w:line="440" w:lineRule="exact"/>
        <w:jc w:val="center"/>
        <w:rPr>
          <w:rFonts w:hint="eastAsia" w:ascii="仿宋" w:hAnsi="仿宋" w:eastAsia="仿宋" w:cs="仿宋"/>
          <w:sz w:val="28"/>
          <w:szCs w:val="28"/>
        </w:rPr>
      </w:pPr>
      <w:bookmarkStart w:id="39" w:name="_Toc36454314"/>
      <w:r>
        <w:rPr>
          <w:rFonts w:hint="eastAsia" w:ascii="仿宋" w:hAnsi="仿宋" w:eastAsia="仿宋" w:cs="仿宋"/>
          <w:sz w:val="28"/>
          <w:szCs w:val="28"/>
        </w:rPr>
        <w:t>一、总  则</w:t>
      </w:r>
      <w:bookmarkEnd w:id="39"/>
    </w:p>
    <w:p>
      <w:pPr>
        <w:spacing w:line="440" w:lineRule="exact"/>
        <w:rPr>
          <w:rFonts w:hint="eastAsia" w:ascii="仿宋" w:hAnsi="仿宋" w:eastAsia="仿宋" w:cs="仿宋"/>
          <w:sz w:val="28"/>
          <w:szCs w:val="28"/>
        </w:rPr>
      </w:pPr>
      <w:r>
        <w:rPr>
          <w:rFonts w:hint="eastAsia" w:ascii="仿宋" w:hAnsi="仿宋" w:eastAsia="仿宋" w:cs="仿宋"/>
          <w:b/>
          <w:sz w:val="28"/>
          <w:szCs w:val="28"/>
        </w:rPr>
        <w:t>1. 适用范围</w:t>
      </w:r>
      <w:r>
        <w:rPr>
          <w:rFonts w:hint="eastAsia" w:ascii="仿宋" w:hAnsi="仿宋" w:eastAsia="仿宋" w:cs="仿宋"/>
          <w:sz w:val="28"/>
          <w:szCs w:val="28"/>
        </w:rPr>
        <w:t>：本招标文件适用于本项目的招标、评标、定标、验收、合同履约、付款等（如法律、法规、规章及省级以上规范性文件另有规定的，从其规定）。</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采购人、项目名称、编号及相关内容见投标人须知前附表。</w:t>
      </w:r>
      <w:bookmarkStart w:id="40" w:name="_Toc495916957"/>
    </w:p>
    <w:p>
      <w:pPr>
        <w:spacing w:line="440" w:lineRule="exact"/>
        <w:rPr>
          <w:rFonts w:hint="eastAsia" w:ascii="仿宋" w:hAnsi="仿宋" w:eastAsia="仿宋" w:cs="仿宋"/>
          <w:b/>
          <w:sz w:val="28"/>
          <w:szCs w:val="28"/>
        </w:rPr>
      </w:pPr>
      <w:r>
        <w:rPr>
          <w:rFonts w:hint="eastAsia" w:ascii="仿宋" w:hAnsi="仿宋" w:eastAsia="仿宋" w:cs="仿宋"/>
          <w:b/>
          <w:sz w:val="28"/>
          <w:szCs w:val="28"/>
        </w:rPr>
        <w:t>2、定义</w:t>
      </w:r>
      <w:bookmarkEnd w:id="40"/>
      <w:r>
        <w:rPr>
          <w:rFonts w:hint="eastAsia" w:ascii="仿宋" w:hAnsi="仿宋" w:eastAsia="仿宋" w:cs="仿宋"/>
          <w:b/>
          <w:sz w:val="28"/>
          <w:szCs w:val="28"/>
        </w:rPr>
        <w:t xml:space="preserve"> </w:t>
      </w:r>
    </w:p>
    <w:p>
      <w:pPr>
        <w:snapToGrid w:val="0"/>
        <w:spacing w:line="46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(1)、“集中采购机构”系指组织本项目采购的湖州市政府采购中心。</w:t>
      </w:r>
    </w:p>
    <w:p>
      <w:pPr>
        <w:snapToGrid w:val="0"/>
        <w:spacing w:line="46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(2)、“投标人”系指提交投标文件的单位。</w:t>
      </w:r>
    </w:p>
    <w:p>
      <w:pPr>
        <w:snapToGrid w:val="0"/>
        <w:spacing w:line="460" w:lineRule="exact"/>
        <w:ind w:firstLine="420" w:firstLineChars="150"/>
        <w:rPr>
          <w:rFonts w:hint="eastAsia" w:ascii="仿宋" w:hAnsi="仿宋" w:eastAsia="仿宋" w:cs="仿宋"/>
          <w:sz w:val="28"/>
          <w:szCs w:val="28"/>
        </w:rPr>
      </w:pPr>
      <w:r>
        <w:rPr>
          <w:rFonts w:hint="eastAsia" w:ascii="仿宋" w:hAnsi="仿宋" w:eastAsia="仿宋" w:cs="仿宋"/>
          <w:sz w:val="28"/>
          <w:szCs w:val="28"/>
        </w:rPr>
        <w:t>(3)、“采购人” 系指委托集中采购机构采购本次货物、服务项目的国家机关、事业单位和团体组织。</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b/>
          <w:bCs/>
          <w:sz w:val="28"/>
          <w:szCs w:val="28"/>
        </w:rPr>
        <w:t>3.采购预算：</w:t>
      </w:r>
      <w:r>
        <w:rPr>
          <w:rFonts w:hint="eastAsia" w:ascii="仿宋" w:hAnsi="仿宋" w:eastAsia="仿宋" w:cs="仿宋"/>
          <w:sz w:val="28"/>
          <w:szCs w:val="28"/>
        </w:rPr>
        <w:t xml:space="preserve">    </w:t>
      </w:r>
    </w:p>
    <w:p>
      <w:pPr>
        <w:spacing w:line="4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预算金额：</w:t>
      </w:r>
      <w:r>
        <w:rPr>
          <w:rFonts w:hint="eastAsia" w:ascii="仿宋" w:hAnsi="仿宋" w:eastAsia="仿宋" w:cs="仿宋"/>
          <w:color w:val="000000" w:themeColor="text1"/>
          <w:sz w:val="28"/>
          <w:szCs w:val="28"/>
          <w:lang w:val="en-US" w:eastAsia="zh-CN"/>
          <w14:textFill>
            <w14:solidFill>
              <w14:schemeClr w14:val="tx1"/>
            </w14:solidFill>
          </w14:textFill>
        </w:rPr>
        <w:t>110万</w:t>
      </w:r>
      <w:r>
        <w:rPr>
          <w:rFonts w:hint="eastAsia" w:ascii="仿宋" w:hAnsi="仿宋" w:eastAsia="仿宋" w:cs="仿宋"/>
          <w:color w:val="000000" w:themeColor="text1"/>
          <w:sz w:val="28"/>
          <w:szCs w:val="28"/>
          <w14:textFill>
            <w14:solidFill>
              <w14:schemeClr w14:val="tx1"/>
            </w14:solidFill>
          </w14:textFill>
        </w:rPr>
        <w:t>元</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采购人用于采购本项目的资金已得到政府有关部门的批准，其资金来源已落实。         </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4.采购方式 ：公开招标</w:t>
      </w:r>
    </w:p>
    <w:p>
      <w:pPr>
        <w:spacing w:line="440" w:lineRule="exact"/>
        <w:rPr>
          <w:rFonts w:hint="eastAsia" w:ascii="仿宋" w:hAnsi="仿宋" w:eastAsia="仿宋" w:cs="仿宋"/>
          <w:b/>
          <w:sz w:val="28"/>
          <w:szCs w:val="28"/>
        </w:rPr>
      </w:pPr>
      <w:r>
        <w:rPr>
          <w:rFonts w:hint="eastAsia" w:ascii="仿宋" w:hAnsi="仿宋" w:eastAsia="仿宋" w:cs="仿宋"/>
          <w:b/>
          <w:sz w:val="28"/>
          <w:szCs w:val="28"/>
        </w:rPr>
        <w:t>5.投标人的资格条件</w:t>
      </w:r>
    </w:p>
    <w:p>
      <w:pPr>
        <w:snapToGrid w:val="0"/>
        <w:spacing w:line="460" w:lineRule="exact"/>
        <w:ind w:firstLine="700" w:firstLineChars="250"/>
        <w:rPr>
          <w:rFonts w:hint="eastAsia" w:ascii="仿宋" w:hAnsi="仿宋" w:eastAsia="仿宋" w:cs="仿宋"/>
          <w:sz w:val="28"/>
          <w:szCs w:val="28"/>
        </w:rPr>
      </w:pPr>
      <w:r>
        <w:rPr>
          <w:rFonts w:hint="eastAsia" w:ascii="仿宋" w:hAnsi="仿宋" w:eastAsia="仿宋" w:cs="仿宋"/>
          <w:bCs/>
          <w:sz w:val="28"/>
          <w:szCs w:val="28"/>
        </w:rPr>
        <w:t>5.1</w:t>
      </w:r>
      <w:r>
        <w:rPr>
          <w:rFonts w:hint="eastAsia" w:ascii="仿宋" w:hAnsi="仿宋" w:eastAsia="仿宋" w:cs="仿宋"/>
          <w:sz w:val="28"/>
          <w:szCs w:val="28"/>
        </w:rPr>
        <w:t>符合《中华人民共和国政府采购法》第二十二条</w:t>
      </w:r>
      <w:r>
        <w:rPr>
          <w:rFonts w:hint="eastAsia" w:ascii="仿宋" w:hAnsi="仿宋" w:eastAsia="仿宋" w:cs="仿宋"/>
          <w:bCs/>
          <w:sz w:val="28"/>
          <w:szCs w:val="28"/>
        </w:rPr>
        <w:t>和《关于规范政府采购供应商资格设定及资格审查的通知》（浙财采监[2013]24号）第六条规定，</w:t>
      </w:r>
      <w:r>
        <w:rPr>
          <w:rFonts w:hint="eastAsia" w:ascii="仿宋" w:hAnsi="仿宋" w:eastAsia="仿宋" w:cs="仿宋"/>
          <w:sz w:val="28"/>
          <w:szCs w:val="28"/>
        </w:rPr>
        <w:t>且未被“信用中国”（www.creditchina.gov.cn）、中国政府采购网（www.ccgp.gov.cn）列入失信被执行人、重大税收违法案件当事人名单、政府采购严重违法失信行为记录名单。</w:t>
      </w:r>
    </w:p>
    <w:p>
      <w:pPr>
        <w:snapToGrid w:val="0"/>
        <w:spacing w:line="460" w:lineRule="exact"/>
        <w:ind w:firstLine="700" w:firstLineChars="250"/>
        <w:rPr>
          <w:rFonts w:hint="eastAsia" w:ascii="仿宋" w:hAnsi="仿宋" w:eastAsia="仿宋" w:cs="仿宋"/>
          <w:sz w:val="28"/>
          <w:szCs w:val="28"/>
          <w:lang w:eastAsia="zh-CN"/>
        </w:rPr>
      </w:pPr>
      <w:r>
        <w:rPr>
          <w:rFonts w:hint="eastAsia" w:ascii="仿宋" w:hAnsi="仿宋" w:eastAsia="仿宋" w:cs="仿宋"/>
          <w:sz w:val="28"/>
          <w:szCs w:val="28"/>
        </w:rPr>
        <w:t>5.2落实政府采购政策需满足的资格要求：</w:t>
      </w:r>
      <w:r>
        <w:rPr>
          <w:rFonts w:hint="eastAsia" w:ascii="仿宋" w:hAnsi="仿宋" w:eastAsia="仿宋" w:cs="仿宋"/>
          <w:sz w:val="28"/>
          <w:szCs w:val="28"/>
          <w:lang w:eastAsia="zh-CN"/>
        </w:rPr>
        <w:t>专门面向中小企业。</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6.投标费用</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投标人应承担其编制投标文件和提交投标文件所涉及的一切费用。不论投标结果如何，集中采购机构对上述费用不负任何责任。</w:t>
      </w:r>
    </w:p>
    <w:p>
      <w:pPr>
        <w:pStyle w:val="4"/>
        <w:spacing w:line="440" w:lineRule="exact"/>
        <w:jc w:val="center"/>
        <w:rPr>
          <w:rFonts w:hint="eastAsia" w:ascii="仿宋" w:hAnsi="仿宋" w:eastAsia="仿宋" w:cs="仿宋"/>
          <w:bCs w:val="0"/>
          <w:sz w:val="28"/>
          <w:szCs w:val="28"/>
        </w:rPr>
      </w:pPr>
      <w:bookmarkStart w:id="41" w:name="_Toc36454315"/>
      <w:r>
        <w:rPr>
          <w:rFonts w:hint="eastAsia" w:ascii="仿宋" w:hAnsi="仿宋" w:eastAsia="仿宋" w:cs="仿宋"/>
          <w:bCs w:val="0"/>
          <w:sz w:val="28"/>
          <w:szCs w:val="28"/>
        </w:rPr>
        <w:t>二、招标文件的说明</w:t>
      </w:r>
      <w:bookmarkEnd w:id="41"/>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7.招标文件的组成</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7.1招标文件包括以下内容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第一章 投标人须知</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第二章 </w:t>
      </w:r>
      <w:r>
        <w:rPr>
          <w:rFonts w:hint="eastAsia" w:ascii="仿宋" w:hAnsi="仿宋" w:eastAsia="仿宋" w:cs="仿宋"/>
          <w:bCs/>
          <w:sz w:val="28"/>
          <w:szCs w:val="28"/>
        </w:rPr>
        <w:t>招标项目内容、数量、规格和技术要求</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第三章 合同主要条款</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第四章 投标文件格式</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第五章 评标办法及标准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8.招标文件答疑</w:t>
      </w:r>
    </w:p>
    <w:p>
      <w:pPr>
        <w:spacing w:line="440" w:lineRule="exact"/>
        <w:ind w:firstLine="600"/>
        <w:rPr>
          <w:rFonts w:hint="eastAsia" w:ascii="仿宋" w:hAnsi="仿宋" w:eastAsia="仿宋" w:cs="仿宋"/>
          <w:sz w:val="28"/>
          <w:szCs w:val="28"/>
        </w:rPr>
      </w:pPr>
      <w:r>
        <w:rPr>
          <w:rFonts w:hint="eastAsia" w:ascii="仿宋" w:hAnsi="仿宋" w:eastAsia="仿宋" w:cs="仿宋"/>
          <w:sz w:val="28"/>
          <w:szCs w:val="28"/>
        </w:rPr>
        <w:t>投标人对招标文件有异议的，应当在</w:t>
      </w:r>
      <w:r>
        <w:rPr>
          <w:rFonts w:hint="eastAsia" w:ascii="仿宋" w:hAnsi="仿宋" w:eastAsia="仿宋" w:cs="仿宋"/>
          <w:b/>
          <w:sz w:val="28"/>
          <w:szCs w:val="28"/>
        </w:rPr>
        <w:t>招标公告中规定的时间</w:t>
      </w:r>
      <w:r>
        <w:rPr>
          <w:rFonts w:hint="eastAsia" w:ascii="仿宋" w:hAnsi="仿宋" w:eastAsia="仿宋" w:cs="仿宋"/>
          <w:sz w:val="28"/>
          <w:szCs w:val="28"/>
        </w:rPr>
        <w:t>以书面（含传真、电邮）形式向集中采购机构一次性提出，采购人和集中采购机构将在规定的时间内统一进行澄清和修改，并书面（含传真、电邮）通知所有获取招标文件的供应商。供应商未按规定要求提出的，则视同认可招标文件，但法律法规及规范性文件有明确规定的除外。</w:t>
      </w:r>
      <w:r>
        <w:rPr>
          <w:rFonts w:hint="eastAsia" w:ascii="仿宋" w:hAnsi="仿宋" w:eastAsia="仿宋" w:cs="仿宋"/>
          <w:b/>
          <w:sz w:val="28"/>
          <w:szCs w:val="28"/>
        </w:rPr>
        <w:t>逾期提出集中采购机构将不予受理。</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9.招标文件的澄清、修改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9.2采购人和集中采购机构可以视采购具体情况，延长投标截止时间和开标时间，并将变更时间书面通知所有招标文件收受人，并在财政部门指定的政府采购信息发布媒体上发布变更公告。</w:t>
      </w:r>
    </w:p>
    <w:p>
      <w:pPr>
        <w:pStyle w:val="4"/>
        <w:spacing w:line="440" w:lineRule="exact"/>
        <w:jc w:val="center"/>
        <w:rPr>
          <w:rFonts w:hint="eastAsia" w:ascii="仿宋" w:hAnsi="仿宋" w:eastAsia="仿宋" w:cs="仿宋"/>
          <w:bCs w:val="0"/>
          <w:sz w:val="28"/>
          <w:szCs w:val="28"/>
        </w:rPr>
      </w:pPr>
      <w:bookmarkStart w:id="42" w:name="_Toc36454316"/>
      <w:r>
        <w:rPr>
          <w:rFonts w:hint="eastAsia" w:ascii="仿宋" w:hAnsi="仿宋" w:eastAsia="仿宋" w:cs="仿宋"/>
          <w:bCs w:val="0"/>
          <w:sz w:val="28"/>
          <w:szCs w:val="28"/>
        </w:rPr>
        <w:t>三、投标文件的编制</w:t>
      </w:r>
      <w:bookmarkEnd w:id="42"/>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10.投标文件的语言及度量衡单位</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10.2除技术规范中另有规定外，投标文件所使用的度量衡单位，均采用我国法定计量单位。</w:t>
      </w:r>
    </w:p>
    <w:p>
      <w:pPr>
        <w:snapToGrid w:val="0"/>
        <w:spacing w:line="460" w:lineRule="exact"/>
        <w:jc w:val="left"/>
        <w:rPr>
          <w:rFonts w:hint="eastAsia" w:ascii="仿宋" w:hAnsi="仿宋" w:eastAsia="仿宋" w:cs="仿宋"/>
          <w:b/>
          <w:bCs/>
          <w:sz w:val="28"/>
          <w:szCs w:val="28"/>
        </w:rPr>
      </w:pPr>
      <w:r>
        <w:rPr>
          <w:rFonts w:hint="eastAsia" w:ascii="仿宋" w:hAnsi="仿宋" w:eastAsia="仿宋" w:cs="仿宋"/>
          <w:b/>
          <w:sz w:val="28"/>
          <w:szCs w:val="28"/>
        </w:rPr>
        <w:t>11.</w:t>
      </w:r>
      <w:r>
        <w:rPr>
          <w:rFonts w:hint="eastAsia" w:ascii="仿宋" w:hAnsi="仿宋" w:eastAsia="仿宋" w:cs="仿宋"/>
          <w:b/>
          <w:bCs/>
          <w:sz w:val="28"/>
          <w:szCs w:val="28"/>
        </w:rPr>
        <w:t>投标文件的形式与效力</w:t>
      </w:r>
    </w:p>
    <w:p>
      <w:pPr>
        <w:snapToGrid w:val="0"/>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11.1供应商应准备电子投标文件，按政采云平台“政府采购项目电子交易管理操作视频-供应商”及本项目招标文件要求提交；</w:t>
      </w:r>
    </w:p>
    <w:p>
      <w:pPr>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bCs/>
          <w:sz w:val="28"/>
          <w:szCs w:val="28"/>
        </w:rPr>
        <w:t>11.2</w:t>
      </w:r>
      <w:r>
        <w:rPr>
          <w:rFonts w:hint="eastAsia" w:ascii="仿宋" w:hAnsi="仿宋" w:eastAsia="仿宋" w:cs="仿宋"/>
          <w:kern w:val="0"/>
          <w:sz w:val="28"/>
          <w:szCs w:val="28"/>
        </w:rPr>
        <w:t>投标人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kern w:val="0"/>
          <w:sz w:val="28"/>
          <w:szCs w:val="28"/>
        </w:rPr>
        <w:t>通过政府采购云平台成功上传递交的电子加密投标文件已按时解密的，备份投标文件自动失效；</w:t>
      </w:r>
      <w:r>
        <w:rPr>
          <w:rFonts w:hint="eastAsia" w:ascii="仿宋" w:hAnsi="仿宋" w:eastAsia="仿宋" w:cs="仿宋"/>
          <w:bCs/>
          <w:sz w:val="28"/>
          <w:szCs w:val="28"/>
        </w:rPr>
        <w:t>电子加密投标文件解密失败的，启用备份投标文件；启用成功的投标文件作为评标依据。</w:t>
      </w:r>
    </w:p>
    <w:p>
      <w:pPr>
        <w:snapToGrid w:val="0"/>
        <w:spacing w:line="46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投标截止时间前，投标供应商仅递交了“备份投标文件”而未将“电子加密投标文件”成功上传至“政府采购云平台”的，投标无效。</w:t>
      </w:r>
    </w:p>
    <w:p>
      <w:pPr>
        <w:spacing w:line="440" w:lineRule="exact"/>
        <w:rPr>
          <w:rFonts w:hint="eastAsia" w:ascii="仿宋" w:hAnsi="仿宋" w:eastAsia="仿宋" w:cs="仿宋"/>
          <w:b/>
          <w:sz w:val="28"/>
          <w:szCs w:val="28"/>
        </w:rPr>
      </w:pPr>
      <w:r>
        <w:rPr>
          <w:rFonts w:hint="eastAsia" w:ascii="仿宋" w:hAnsi="仿宋" w:eastAsia="仿宋" w:cs="仿宋"/>
          <w:b/>
          <w:sz w:val="28"/>
          <w:szCs w:val="28"/>
        </w:rPr>
        <w:t>12.电子投标文件的组成</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投标人应当按照招标文件的要求编制电子投标文件。电子投标文件应对招标文件提出的要求和条件做出实质性响应。电子投标文件由资格部分、商务部分、技术部分和价格部分组成（</w:t>
      </w:r>
      <w:r>
        <w:rPr>
          <w:rFonts w:hint="eastAsia" w:ascii="仿宋" w:hAnsi="仿宋" w:eastAsia="仿宋" w:cs="仿宋"/>
          <w:b/>
          <w:sz w:val="28"/>
          <w:szCs w:val="28"/>
        </w:rPr>
        <w:t>电子投标文件中所盖公章均采用CA签章</w:t>
      </w:r>
      <w:r>
        <w:rPr>
          <w:rFonts w:hint="eastAsia" w:ascii="仿宋" w:hAnsi="仿宋" w:eastAsia="仿宋" w:cs="仿宋"/>
          <w:sz w:val="28"/>
          <w:szCs w:val="28"/>
        </w:rPr>
        <w:t>）。</w:t>
      </w:r>
    </w:p>
    <w:p>
      <w:pPr>
        <w:spacing w:line="440" w:lineRule="exact"/>
        <w:rPr>
          <w:rFonts w:hint="eastAsia"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12.1资格部分</w:t>
      </w:r>
      <w:r>
        <w:rPr>
          <w:rFonts w:hint="eastAsia" w:ascii="仿宋" w:hAnsi="仿宋" w:eastAsia="仿宋" w:cs="仿宋"/>
          <w:b/>
          <w:bCs/>
          <w:sz w:val="28"/>
          <w:szCs w:val="28"/>
        </w:rPr>
        <w:t>包括下列内容：</w:t>
      </w:r>
    </w:p>
    <w:p>
      <w:pPr>
        <w:snapToGrid w:val="0"/>
        <w:spacing w:line="460" w:lineRule="exact"/>
        <w:ind w:firstLine="548" w:firstLineChars="196"/>
        <w:jc w:val="left"/>
        <w:rPr>
          <w:rFonts w:hint="eastAsia" w:ascii="仿宋" w:hAnsi="仿宋" w:eastAsia="仿宋" w:cs="仿宋"/>
          <w:sz w:val="28"/>
          <w:szCs w:val="28"/>
        </w:rPr>
      </w:pPr>
      <w:r>
        <w:rPr>
          <w:rFonts w:hint="eastAsia" w:ascii="仿宋" w:hAnsi="仿宋" w:eastAsia="仿宋" w:cs="仿宋"/>
          <w:sz w:val="28"/>
          <w:szCs w:val="28"/>
        </w:rPr>
        <w:t>12.1.1投标声明书(格式见附件1，含重大违法记录声明)；</w:t>
      </w:r>
    </w:p>
    <w:p>
      <w:pPr>
        <w:snapToGrid w:val="0"/>
        <w:spacing w:line="46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12.1.</w:t>
      </w:r>
      <w:r>
        <w:rPr>
          <w:rFonts w:hint="eastAsia" w:ascii="仿宋" w:hAnsi="仿宋" w:eastAsia="仿宋" w:cs="仿宋"/>
          <w:sz w:val="28"/>
          <w:szCs w:val="28"/>
          <w:lang w:val="en-US" w:eastAsia="zh-CN"/>
        </w:rPr>
        <w:t>2</w:t>
      </w:r>
      <w:r>
        <w:rPr>
          <w:rFonts w:hint="eastAsia" w:ascii="仿宋" w:hAnsi="仿宋" w:eastAsia="仿宋" w:cs="仿宋"/>
          <w:sz w:val="28"/>
          <w:szCs w:val="28"/>
        </w:rPr>
        <w:t>提供法定代表人授权委托书(原件、格式见附件</w:t>
      </w:r>
      <w:r>
        <w:rPr>
          <w:rFonts w:hint="eastAsia" w:ascii="仿宋" w:hAnsi="仿宋" w:eastAsia="仿宋" w:cs="仿宋"/>
          <w:sz w:val="28"/>
          <w:szCs w:val="28"/>
          <w:lang w:val="en-US" w:eastAsia="zh-CN"/>
        </w:rPr>
        <w:t>2、附件3</w:t>
      </w:r>
      <w:r>
        <w:rPr>
          <w:rFonts w:hint="eastAsia" w:ascii="仿宋" w:hAnsi="仿宋" w:eastAsia="仿宋" w:cs="仿宋"/>
          <w:sz w:val="28"/>
          <w:szCs w:val="28"/>
        </w:rPr>
        <w:t>)、授权代理人有效身份证明（复印件）以及授权代理人个人社保缴纳证明（缴纳凭证或人社部门出具的证明）；</w:t>
      </w:r>
    </w:p>
    <w:p>
      <w:pPr>
        <w:snapToGrid w:val="0"/>
        <w:spacing w:line="460" w:lineRule="exact"/>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联合投标协议书、联合投标授权委托书（若需要）;</w:t>
      </w:r>
    </w:p>
    <w:p>
      <w:pPr>
        <w:snapToGrid w:val="0"/>
        <w:spacing w:line="460" w:lineRule="exact"/>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12.1.</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中小企业声明函（如面向中小企业采购需提供，格式见附件1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w:t>
      </w:r>
    </w:p>
    <w:p>
      <w:pPr>
        <w:snapToGrid w:val="0"/>
        <w:spacing w:line="460" w:lineRule="exact"/>
        <w:ind w:firstLine="548" w:firstLineChars="196"/>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请将以上资格部分材料上传政采云平台做资格审查，采购人或评标委员会仅根据上传的资格部分文件材料进行审查。</w:t>
      </w:r>
    </w:p>
    <w:p>
      <w:pPr>
        <w:snapToGrid w:val="0"/>
        <w:spacing w:line="460" w:lineRule="exact"/>
        <w:ind w:firstLine="548" w:firstLineChars="196"/>
        <w:jc w:val="lef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12.2商务部分</w:t>
      </w:r>
      <w:r>
        <w:rPr>
          <w:rFonts w:hint="eastAsia" w:ascii="仿宋" w:hAnsi="仿宋" w:eastAsia="仿宋" w:cs="仿宋"/>
          <w:b/>
          <w:bCs/>
          <w:color w:val="000000" w:themeColor="text1"/>
          <w:sz w:val="28"/>
          <w:szCs w:val="28"/>
          <w14:textFill>
            <w14:solidFill>
              <w14:schemeClr w14:val="tx1"/>
            </w14:solidFill>
          </w14:textFill>
        </w:rPr>
        <w:t>主要包括下列内容：</w:t>
      </w:r>
    </w:p>
    <w:p>
      <w:pPr>
        <w:snapToGrid w:val="0"/>
        <w:spacing w:line="4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12.2.1评分索引表（格式见附件</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，主要用于评委对应评分内容，包括商务部分、技术部分）</w:t>
      </w:r>
    </w:p>
    <w:p>
      <w:pPr>
        <w:snapToGrid w:val="0"/>
        <w:spacing w:line="460" w:lineRule="exact"/>
        <w:ind w:firstLine="560" w:firstLineChars="200"/>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12.2.2企业荣誉与业绩（见附件</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、附件</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w:t>
      </w:r>
    </w:p>
    <w:p>
      <w:pPr>
        <w:snapToGrid w:val="0"/>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12.2.3认证证书；</w:t>
      </w:r>
    </w:p>
    <w:p>
      <w:pPr>
        <w:snapToGrid w:val="0"/>
        <w:spacing w:line="460" w:lineRule="exact"/>
        <w:ind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12.2.4人员配备（格式自拟）</w:t>
      </w:r>
      <w:r>
        <w:rPr>
          <w:rFonts w:hint="eastAsia" w:ascii="仿宋" w:hAnsi="仿宋" w:eastAsia="仿宋" w:cs="仿宋"/>
          <w:color w:val="000000"/>
          <w:sz w:val="28"/>
          <w:szCs w:val="28"/>
          <w:lang w:eastAsia="zh-CN"/>
        </w:rPr>
        <w:t>；</w:t>
      </w:r>
    </w:p>
    <w:p>
      <w:pPr>
        <w:snapToGrid w:val="0"/>
        <w:spacing w:line="460" w:lineRule="exact"/>
        <w:ind w:firstLine="560" w:firstLineChars="200"/>
        <w:jc w:val="left"/>
        <w:rPr>
          <w:rFonts w:hint="default" w:ascii="仿宋" w:hAnsi="仿宋" w:eastAsia="仿宋" w:cs="仿宋"/>
          <w:color w:val="000000"/>
          <w:sz w:val="28"/>
          <w:szCs w:val="28"/>
          <w:lang w:val="en"/>
        </w:rPr>
      </w:pPr>
      <w:r>
        <w:rPr>
          <w:rFonts w:hint="eastAsia" w:ascii="仿宋" w:hAnsi="仿宋" w:eastAsia="仿宋" w:cs="仿宋"/>
          <w:color w:val="000000"/>
          <w:sz w:val="28"/>
          <w:szCs w:val="28"/>
        </w:rPr>
        <w:t>12.2.</w:t>
      </w:r>
      <w:r>
        <w:rPr>
          <w:rFonts w:hint="default" w:ascii="仿宋" w:hAnsi="仿宋" w:eastAsia="仿宋" w:cs="仿宋"/>
          <w:color w:val="000000"/>
          <w:sz w:val="28"/>
          <w:szCs w:val="28"/>
          <w:lang w:val="en"/>
        </w:rPr>
        <w:t>5</w:t>
      </w:r>
      <w:r>
        <w:rPr>
          <w:rFonts w:hint="eastAsia" w:ascii="仿宋" w:hAnsi="仿宋" w:eastAsia="仿宋" w:cs="仿宋"/>
          <w:color w:val="000000"/>
          <w:sz w:val="28"/>
          <w:szCs w:val="28"/>
        </w:rPr>
        <w:t>服务平台能力和安全性（格式自拟）</w:t>
      </w:r>
      <w:r>
        <w:rPr>
          <w:rFonts w:hint="default" w:ascii="仿宋" w:hAnsi="仿宋" w:eastAsia="仿宋" w:cs="仿宋"/>
          <w:color w:val="000000"/>
          <w:sz w:val="28"/>
          <w:szCs w:val="28"/>
          <w:lang w:val="en"/>
        </w:rPr>
        <w:t>;</w:t>
      </w:r>
    </w:p>
    <w:p>
      <w:pPr>
        <w:snapToGrid w:val="0"/>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12.2.</w:t>
      </w:r>
      <w:r>
        <w:rPr>
          <w:rFonts w:hint="default" w:ascii="仿宋" w:hAnsi="仿宋" w:eastAsia="仿宋" w:cs="仿宋"/>
          <w:color w:val="000000"/>
          <w:sz w:val="28"/>
          <w:szCs w:val="28"/>
          <w:lang w:val="en"/>
        </w:rPr>
        <w:t>6</w:t>
      </w:r>
      <w:r>
        <w:rPr>
          <w:rFonts w:hint="eastAsia" w:ascii="仿宋" w:hAnsi="仿宋" w:eastAsia="仿宋" w:cs="仿宋"/>
          <w:color w:val="000000"/>
          <w:sz w:val="28"/>
          <w:szCs w:val="28"/>
        </w:rPr>
        <w:t>商务条款偏离表（格式见附件</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w:t>
      </w:r>
    </w:p>
    <w:p>
      <w:pPr>
        <w:snapToGrid w:val="0"/>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12.2.</w:t>
      </w:r>
      <w:r>
        <w:rPr>
          <w:rFonts w:hint="default" w:ascii="仿宋" w:hAnsi="仿宋" w:eastAsia="仿宋" w:cs="仿宋"/>
          <w:color w:val="000000"/>
          <w:sz w:val="28"/>
          <w:szCs w:val="28"/>
          <w:lang w:val="en" w:eastAsia="zh-CN"/>
        </w:rPr>
        <w:t>7</w:t>
      </w:r>
      <w:r>
        <w:rPr>
          <w:rFonts w:hint="eastAsia" w:ascii="仿宋" w:hAnsi="仿宋" w:eastAsia="仿宋" w:cs="仿宋"/>
          <w:color w:val="000000"/>
          <w:sz w:val="28"/>
          <w:szCs w:val="28"/>
        </w:rPr>
        <w:t>政策分相关证明资料；</w:t>
      </w:r>
    </w:p>
    <w:p>
      <w:pPr>
        <w:snapToGrid w:val="0"/>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12.2.</w:t>
      </w:r>
      <w:r>
        <w:rPr>
          <w:rFonts w:hint="default" w:ascii="仿宋" w:hAnsi="仿宋" w:eastAsia="仿宋" w:cs="仿宋"/>
          <w:color w:val="000000"/>
          <w:sz w:val="28"/>
          <w:szCs w:val="28"/>
          <w:lang w:val="en"/>
        </w:rPr>
        <w:t>8</w:t>
      </w:r>
      <w:r>
        <w:rPr>
          <w:rFonts w:hint="eastAsia" w:ascii="仿宋" w:hAnsi="仿宋" w:eastAsia="仿宋" w:cs="仿宋"/>
          <w:color w:val="000000"/>
          <w:sz w:val="28"/>
          <w:szCs w:val="28"/>
        </w:rPr>
        <w:t>投标人认为要说明的其他内容；</w:t>
      </w:r>
    </w:p>
    <w:p>
      <w:pPr>
        <w:spacing w:line="440" w:lineRule="exact"/>
        <w:ind w:firstLine="560"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12.3技术部分主要包括下列内容：</w:t>
      </w:r>
    </w:p>
    <w:p>
      <w:pPr>
        <w:snapToGrid w:val="0"/>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12.3.1投标服务技术能力（格式自拟）；</w:t>
      </w:r>
    </w:p>
    <w:p>
      <w:pPr>
        <w:snapToGrid w:val="0"/>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12.3.2项目实施方案（格式自拟）；</w:t>
      </w:r>
    </w:p>
    <w:p>
      <w:pPr>
        <w:snapToGrid w:val="0"/>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12.3.4服务运维能力（格式自拟）；</w:t>
      </w:r>
    </w:p>
    <w:p>
      <w:pPr>
        <w:snapToGrid w:val="0"/>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12.3.5服务平台功能演示（格式自拟）；</w:t>
      </w:r>
    </w:p>
    <w:p>
      <w:pPr>
        <w:snapToGrid w:val="0"/>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12.3.6投标方认为需要的其他文件资料。</w:t>
      </w:r>
    </w:p>
    <w:p>
      <w:pPr>
        <w:spacing w:line="440" w:lineRule="exact"/>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12.4价格部分主要包括下列内容：</w:t>
      </w:r>
    </w:p>
    <w:p>
      <w:p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12.4.1开标一览表（报价表）（格式见附件</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w:t>
      </w:r>
    </w:p>
    <w:p>
      <w:p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中小企业声明函（若有，格式见附件</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w:t>
      </w:r>
    </w:p>
    <w:p>
      <w:p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残疾人福利企业声明函（若有，格式见附件1</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w:t>
      </w:r>
    </w:p>
    <w:p>
      <w:p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12.4.</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属于监狱企业的证明文件（若有）。</w:t>
      </w:r>
    </w:p>
    <w:p>
      <w:pPr>
        <w:spacing w:line="400" w:lineRule="exact"/>
        <w:ind w:firstLine="548" w:firstLineChars="196"/>
        <w:rPr>
          <w:rFonts w:hint="eastAsia" w:ascii="仿宋" w:hAnsi="仿宋" w:eastAsia="仿宋" w:cs="仿宋"/>
          <w:b/>
          <w:color w:val="000000" w:themeColor="text1"/>
          <w:sz w:val="28"/>
          <w:szCs w:val="28"/>
          <w:u w:val="single"/>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注：法定代表人授权委托书、投标声明书、投标项目报价明细表必须按招标文件格式要求正确签署并加盖投标人电子签章。</w:t>
      </w:r>
      <w:r>
        <w:rPr>
          <w:rFonts w:hint="eastAsia" w:ascii="仿宋" w:hAnsi="仿宋" w:eastAsia="仿宋" w:cs="仿宋"/>
          <w:b/>
          <w:color w:val="000000" w:themeColor="text1"/>
          <w:sz w:val="28"/>
          <w:szCs w:val="28"/>
          <w:u w:val="single"/>
          <w14:textFill>
            <w14:solidFill>
              <w14:schemeClr w14:val="tx1"/>
            </w14:solidFill>
          </w14:textFill>
        </w:rPr>
        <w:t>资格部分、商务部分及技术部分中不得出现项目价格部分内容，否则将作无效标处理。</w:t>
      </w:r>
    </w:p>
    <w:p>
      <w:pPr>
        <w:spacing w:line="4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13.投标报价</w:t>
      </w:r>
    </w:p>
    <w:p>
      <w:pPr>
        <w:spacing w:line="440" w:lineRule="exact"/>
        <w:ind w:firstLine="560" w:firstLineChars="200"/>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u w:val="single"/>
          <w14:textFill>
            <w14:solidFill>
              <w14:schemeClr w14:val="tx1"/>
            </w14:solidFill>
          </w14:textFill>
        </w:rPr>
        <w:t>13.1投标人对同一投标货物不得同时出现可选择性品牌和一个品牌中的可选择性型号，</w:t>
      </w:r>
      <w:r>
        <w:rPr>
          <w:rFonts w:hint="eastAsia" w:ascii="仿宋" w:hAnsi="仿宋" w:eastAsia="仿宋" w:cs="仿宋"/>
          <w:color w:val="000000" w:themeColor="text1"/>
          <w:sz w:val="28"/>
          <w:szCs w:val="28"/>
          <w14:textFill>
            <w14:solidFill>
              <w14:schemeClr w14:val="tx1"/>
            </w14:solidFill>
          </w14:textFill>
        </w:rPr>
        <w:t>采购人和集中采购机构不接受备选方案。</w:t>
      </w:r>
    </w:p>
    <w:p>
      <w:p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13.2投标人应按招标文件规定的报价格式进行投标报价。投标文件只允许有一个报价，任何有选择性的报价将不予接受。</w:t>
      </w:r>
    </w:p>
    <w:p>
      <w:pPr>
        <w:spacing w:line="44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13.4投标人在填报</w:t>
      </w:r>
      <w:r>
        <w:rPr>
          <w:rFonts w:hint="eastAsia" w:ascii="仿宋" w:hAnsi="仿宋" w:eastAsia="仿宋" w:cs="仿宋"/>
          <w:bCs/>
          <w:color w:val="000000" w:themeColor="text1"/>
          <w:sz w:val="28"/>
          <w:szCs w:val="28"/>
          <w14:textFill>
            <w14:solidFill>
              <w14:schemeClr w14:val="tx1"/>
            </w14:solidFill>
          </w14:textFill>
        </w:rPr>
        <w:t>投标项目报价明细表</w:t>
      </w:r>
      <w:r>
        <w:rPr>
          <w:rFonts w:hint="eastAsia" w:ascii="仿宋" w:hAnsi="仿宋" w:eastAsia="仿宋" w:cs="仿宋"/>
          <w:color w:val="000000" w:themeColor="text1"/>
          <w:sz w:val="28"/>
          <w:szCs w:val="28"/>
          <w14:textFill>
            <w14:solidFill>
              <w14:schemeClr w14:val="tx1"/>
            </w14:solidFill>
          </w14:textFill>
        </w:rPr>
        <w:t>时必须</w:t>
      </w:r>
      <w:r>
        <w:rPr>
          <w:rFonts w:hint="eastAsia" w:ascii="仿宋" w:hAnsi="仿宋" w:eastAsia="仿宋" w:cs="仿宋"/>
          <w:sz w:val="28"/>
          <w:szCs w:val="28"/>
        </w:rPr>
        <w:t>按照采购需求货物清单内容逐项报价，不得随意更改序号、货物名称、单位、数量，</w:t>
      </w:r>
      <w:r>
        <w:rPr>
          <w:rFonts w:hint="eastAsia" w:ascii="仿宋" w:hAnsi="仿宋" w:eastAsia="仿宋" w:cs="仿宋"/>
          <w:b/>
          <w:sz w:val="28"/>
          <w:szCs w:val="28"/>
        </w:rPr>
        <w:t>否则有可能被视为无效投标</w:t>
      </w:r>
      <w:r>
        <w:rPr>
          <w:rFonts w:hint="eastAsia" w:ascii="仿宋" w:hAnsi="仿宋" w:eastAsia="仿宋" w:cs="仿宋"/>
          <w:sz w:val="28"/>
          <w:szCs w:val="28"/>
        </w:rPr>
        <w:t>。</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13.5投标文件中的单价、合价、总价全部采用人民币表示。</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14.投标有效期</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14.1投标有效期见本须知前附表第15项（120日历天）所规定的期限，在此期限内，凡符合本招标文件要求的投标文件均保持有效。</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在特殊情况下，采购人和集中采购机构在原定投标有效期内，可以根据需要以书面形式向投标人提出延长投标有效期的要求，对此要求投标人须以书面形式予以答复。投标人可以拒绝采购人和集中采购机构这种要求。同意延长投标有效期的投标人既不能要求也不允许修改其投标文件。</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15.投标保证金</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本项目不向投标人收取投标保证金。</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16.投标文件的签署</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sz w:val="28"/>
          <w:szCs w:val="28"/>
        </w:rPr>
        <w:t>供应商应根据政采云平台“政府采购项目电子交易管理操作视频-供应商”及本招标文件规定的格式和顺序编制电子投标文件并进行关联定位。</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hint="eastAsia" w:ascii="仿宋" w:hAnsi="仿宋" w:eastAsia="仿宋" w:cs="仿宋"/>
          <w:sz w:val="28"/>
          <w:szCs w:val="28"/>
        </w:rPr>
      </w:pPr>
      <w:r>
        <w:rPr>
          <w:rFonts w:hint="eastAsia" w:ascii="仿宋" w:hAnsi="仿宋" w:eastAsia="仿宋" w:cs="仿宋"/>
          <w:b/>
          <w:bCs/>
          <w:kern w:val="0"/>
          <w:sz w:val="28"/>
          <w:szCs w:val="28"/>
        </w:rPr>
        <w:t>投标文件需按招标文件要求的格式填写并签字盖章。</w:t>
      </w:r>
    </w:p>
    <w:p>
      <w:pPr>
        <w:pStyle w:val="4"/>
        <w:spacing w:line="440" w:lineRule="exact"/>
        <w:jc w:val="center"/>
        <w:rPr>
          <w:rFonts w:hint="eastAsia" w:ascii="仿宋" w:hAnsi="仿宋" w:eastAsia="仿宋" w:cs="仿宋"/>
          <w:bCs w:val="0"/>
          <w:sz w:val="28"/>
          <w:szCs w:val="28"/>
        </w:rPr>
      </w:pPr>
      <w:bookmarkStart w:id="43" w:name="_Toc36454317"/>
      <w:r>
        <w:rPr>
          <w:rFonts w:hint="eastAsia" w:ascii="仿宋" w:hAnsi="仿宋" w:eastAsia="仿宋" w:cs="仿宋"/>
          <w:bCs w:val="0"/>
          <w:sz w:val="28"/>
          <w:szCs w:val="28"/>
        </w:rPr>
        <w:t>四、投标文件的提交</w:t>
      </w:r>
      <w:bookmarkEnd w:id="43"/>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17.投标文件的提交及提交截止时间</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17.2集中采购机构可通过修改招标文件酌情延长投标截止时间，在此情况下，投标人的所有权利和义务以及投标人的投标截止时间均应以延长后新的截止时间为准；</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18.迟交的投标文件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投标截止时间后传输提交的投标文件，将被政采云平台拒收。</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19.投标文件的撤回</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在投标截止时间至规定的投标有效期满之间的这段时间，投标人不得撤回其投标。</w:t>
      </w:r>
    </w:p>
    <w:p>
      <w:pPr>
        <w:pStyle w:val="4"/>
        <w:spacing w:line="440" w:lineRule="exact"/>
        <w:jc w:val="center"/>
        <w:rPr>
          <w:rFonts w:hint="eastAsia" w:ascii="仿宋" w:hAnsi="仿宋" w:eastAsia="仿宋" w:cs="仿宋"/>
          <w:bCs w:val="0"/>
          <w:sz w:val="28"/>
          <w:szCs w:val="28"/>
        </w:rPr>
      </w:pPr>
      <w:bookmarkStart w:id="44" w:name="_Toc36454318"/>
      <w:r>
        <w:rPr>
          <w:rFonts w:hint="eastAsia" w:ascii="仿宋" w:hAnsi="仿宋" w:eastAsia="仿宋" w:cs="仿宋"/>
          <w:bCs w:val="0"/>
          <w:sz w:val="28"/>
          <w:szCs w:val="28"/>
        </w:rPr>
        <w:t>五、开标程序</w:t>
      </w:r>
      <w:bookmarkEnd w:id="44"/>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20.开标程序</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20.1集中采购机构和采购人将于本须知《前附表》第13、14项规定的时间和地点举行开标会；</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20.2开标会由集中采购机构和采购人共同主持；</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20.3本项目采用政采云电子招投标开标程序</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投标截止时间后，投标人登录政采云平台，用“项目采购-开标评标”功能对电子投标文件进行在线解密。在线解密电子投标文件时间为</w:t>
      </w:r>
      <w:r>
        <w:rPr>
          <w:rFonts w:hint="eastAsia" w:ascii="仿宋" w:hAnsi="仿宋" w:eastAsia="仿宋" w:cs="仿宋"/>
          <w:b/>
          <w:sz w:val="28"/>
          <w:szCs w:val="28"/>
        </w:rPr>
        <w:t>开标时间起30分钟内</w:t>
      </w:r>
      <w:r>
        <w:rPr>
          <w:rFonts w:hint="eastAsia" w:ascii="仿宋" w:hAnsi="仿宋" w:eastAsia="仿宋" w:cs="仿宋"/>
          <w:sz w:val="28"/>
          <w:szCs w:val="28"/>
        </w:rPr>
        <w:t>。</w:t>
      </w:r>
      <w:r>
        <w:rPr>
          <w:rFonts w:hint="eastAsia" w:ascii="仿宋" w:hAnsi="仿宋" w:eastAsia="仿宋" w:cs="仿宋"/>
          <w:b/>
          <w:sz w:val="28"/>
          <w:szCs w:val="28"/>
          <w:u w:val="single"/>
        </w:rPr>
        <w:t>如投标人在开标开始后30分钟内解密失败，投标无效</w:t>
      </w:r>
      <w:r>
        <w:rPr>
          <w:rFonts w:hint="eastAsia" w:ascii="仿宋" w:hAnsi="仿宋" w:eastAsia="仿宋" w:cs="仿宋"/>
          <w:sz w:val="28"/>
          <w:szCs w:val="28"/>
          <w:u w:val="single"/>
        </w:rPr>
        <w:t>。</w:t>
      </w:r>
    </w:p>
    <w:p>
      <w:pPr>
        <w:spacing w:line="4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说明：政采云平台如对电子开评标程序有调整的，按调整后的程序操作。</w:t>
      </w:r>
    </w:p>
    <w:p>
      <w:pPr>
        <w:pStyle w:val="4"/>
        <w:spacing w:line="440" w:lineRule="exact"/>
        <w:ind w:firstLine="3332" w:firstLineChars="1190"/>
        <w:rPr>
          <w:rFonts w:hint="eastAsia" w:ascii="仿宋" w:hAnsi="仿宋" w:eastAsia="仿宋" w:cs="仿宋"/>
          <w:bCs w:val="0"/>
          <w:snapToGrid w:val="0"/>
          <w:sz w:val="28"/>
          <w:szCs w:val="28"/>
        </w:rPr>
      </w:pPr>
      <w:bookmarkStart w:id="45" w:name="_Toc36454319"/>
      <w:r>
        <w:rPr>
          <w:rFonts w:hint="eastAsia" w:ascii="仿宋" w:hAnsi="仿宋" w:eastAsia="仿宋" w:cs="仿宋"/>
          <w:bCs w:val="0"/>
          <w:snapToGrid w:val="0"/>
          <w:sz w:val="28"/>
          <w:szCs w:val="28"/>
        </w:rPr>
        <w:t>六、评标</w:t>
      </w:r>
      <w:bookmarkEnd w:id="45"/>
    </w:p>
    <w:p>
      <w:pPr>
        <w:spacing w:line="440" w:lineRule="exact"/>
        <w:rPr>
          <w:rFonts w:hint="eastAsia" w:ascii="仿宋" w:hAnsi="仿宋" w:eastAsia="仿宋" w:cs="仿宋"/>
          <w:b/>
          <w:bCs/>
          <w:snapToGrid w:val="0"/>
          <w:sz w:val="28"/>
          <w:szCs w:val="28"/>
        </w:rPr>
      </w:pPr>
      <w:r>
        <w:rPr>
          <w:rFonts w:hint="eastAsia" w:ascii="仿宋" w:hAnsi="仿宋" w:eastAsia="仿宋" w:cs="仿宋"/>
          <w:b/>
          <w:bCs/>
          <w:snapToGrid w:val="0"/>
          <w:sz w:val="28"/>
          <w:szCs w:val="28"/>
        </w:rPr>
        <w:t>21.</w:t>
      </w:r>
      <w:r>
        <w:rPr>
          <w:rFonts w:hint="eastAsia" w:ascii="仿宋" w:hAnsi="仿宋" w:eastAsia="仿宋" w:cs="仿宋"/>
          <w:b/>
          <w:bCs/>
          <w:sz w:val="28"/>
          <w:szCs w:val="28"/>
        </w:rPr>
        <w:t>评标委员会与评标</w:t>
      </w:r>
    </w:p>
    <w:p>
      <w:pPr>
        <w:spacing w:line="440" w:lineRule="exact"/>
        <w:ind w:firstLine="560"/>
        <w:rPr>
          <w:rFonts w:hint="eastAsia" w:ascii="仿宋" w:hAnsi="仿宋" w:eastAsia="仿宋" w:cs="仿宋"/>
          <w:sz w:val="28"/>
          <w:szCs w:val="28"/>
        </w:rPr>
      </w:pPr>
      <w:r>
        <w:rPr>
          <w:rFonts w:hint="eastAsia" w:ascii="仿宋" w:hAnsi="仿宋" w:eastAsia="仿宋" w:cs="仿宋"/>
          <w:sz w:val="28"/>
          <w:szCs w:val="28"/>
        </w:rPr>
        <w:t>评标委员会由集中采购机构依法组建，负责评标活动。评标</w:t>
      </w:r>
      <w:r>
        <w:rPr>
          <w:rFonts w:hint="eastAsia" w:ascii="仿宋" w:hAnsi="仿宋" w:eastAsia="仿宋" w:cs="仿宋"/>
          <w:snapToGrid w:val="0"/>
          <w:sz w:val="28"/>
          <w:szCs w:val="28"/>
        </w:rPr>
        <w:t>委员会</w:t>
      </w:r>
      <w:r>
        <w:rPr>
          <w:rFonts w:hint="eastAsia" w:ascii="仿宋" w:hAnsi="仿宋" w:eastAsia="仿宋" w:cs="仿宋"/>
          <w:sz w:val="28"/>
          <w:szCs w:val="28"/>
        </w:rPr>
        <w:t>遵循公正、公平、科学合理，竞争择优的原则。</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22.评标过程的保密</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22.1开标后，直至授予中标供应商合同为止，凡属于对投标文件的审查、澄清、评价和比较的有关资料、中标候选人的推荐情况及与评标有关的其他任何情况均严格保密。</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22.2 在投标文件的评审和比较、中标候选人推荐以及授予合同的过程中，投标人向采购人、集中采购机构和评标委员会施加影响的任何行为，都将会导致其投标被拒绝。</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23.投标文件的澄清</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为有助于投标文件的审查、评价和比较，评标委员会可以要求投标人对于投标文件中含义不明确、同类问题表述不一致或者有明显文字和计算错误的内容作必要的澄清、说明或补正。</w:t>
      </w:r>
    </w:p>
    <w:p>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投标人通过政采云平台交换的数据电文必须进行电子签章。</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根据本须知第25条规定，凡属于评标委员会在评标中发现的计算错误进行核实的修改不在此列。</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24.投标文件的评定</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24.1资格性审查</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依据法律、法规和招标文件规定，对投标文件中的资格文件逐项进行审查，以确定投标人是否具备投标资格。资格性审查由采购人负责。</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24.2符合性审查</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24.3如果投标文件实质上不响应招标文件的各项要求，评标委员会将予以拒绝，并且不允许投标人通过修改或撤销其不符合要求的差异或保留，使之成为具有响应性的投标。</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25.投标文件报价前后不一致的修正</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投标文件报价出现前后不一致的，除本招标文件另有规定外，按照下列规定修正：</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25.1投标文件中开标一览表（报价表）内容与投标文件中</w:t>
      </w:r>
      <w:r>
        <w:rPr>
          <w:rFonts w:hint="eastAsia" w:ascii="仿宋" w:hAnsi="仿宋" w:eastAsia="仿宋" w:cs="仿宋"/>
          <w:bCs/>
          <w:sz w:val="28"/>
          <w:szCs w:val="28"/>
        </w:rPr>
        <w:t>投标项目报价</w:t>
      </w:r>
      <w:r>
        <w:rPr>
          <w:rFonts w:hint="eastAsia" w:ascii="仿宋" w:hAnsi="仿宋" w:eastAsia="仿宋" w:cs="仿宋"/>
          <w:sz w:val="28"/>
          <w:szCs w:val="28"/>
        </w:rPr>
        <w:t>明细表内容不一致的，以开标一览表（报价表）为准；</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25.2投标文件的大写金额和小写金额不一致的，以大写金额为准；</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25.3单价金额小数点或者百分比有明显错位的，以开标一览表的总价为准，并修改单价；</w:t>
      </w:r>
    </w:p>
    <w:p>
      <w:pPr>
        <w:spacing w:line="440" w:lineRule="exact"/>
        <w:ind w:firstLine="500"/>
        <w:rPr>
          <w:rFonts w:hint="eastAsia" w:ascii="仿宋" w:hAnsi="仿宋" w:eastAsia="仿宋" w:cs="仿宋"/>
          <w:sz w:val="28"/>
          <w:szCs w:val="28"/>
        </w:rPr>
      </w:pPr>
      <w:r>
        <w:rPr>
          <w:rFonts w:hint="eastAsia" w:ascii="仿宋" w:hAnsi="仿宋" w:eastAsia="仿宋" w:cs="仿宋"/>
          <w:spacing w:val="-8"/>
          <w:sz w:val="28"/>
          <w:szCs w:val="28"/>
        </w:rPr>
        <w:t>25.4</w:t>
      </w:r>
      <w:r>
        <w:rPr>
          <w:rFonts w:hint="eastAsia" w:ascii="仿宋" w:hAnsi="仿宋" w:eastAsia="仿宋" w:cs="仿宋"/>
          <w:sz w:val="28"/>
          <w:szCs w:val="28"/>
        </w:rPr>
        <w:t>总价金额与按单价汇总金额不一致的，以单价金额计算结果为准。</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25.5同时出现两种以上不一致的，按照前款规定的顺序修正。修正后的报价经投标人确认后产生约束力，投标人不确认的，其投标无效。</w:t>
      </w:r>
    </w:p>
    <w:p>
      <w:pPr>
        <w:tabs>
          <w:tab w:val="left" w:pos="5685"/>
        </w:tabs>
        <w:spacing w:line="440" w:lineRule="exact"/>
        <w:rPr>
          <w:rFonts w:hint="eastAsia" w:ascii="仿宋" w:hAnsi="仿宋" w:eastAsia="仿宋" w:cs="仿宋"/>
          <w:b/>
          <w:bCs/>
          <w:sz w:val="28"/>
          <w:szCs w:val="28"/>
        </w:rPr>
      </w:pPr>
      <w:r>
        <w:rPr>
          <w:rFonts w:hint="eastAsia" w:ascii="仿宋" w:hAnsi="仿宋" w:eastAsia="仿宋" w:cs="仿宋"/>
          <w:b/>
          <w:bCs/>
          <w:sz w:val="28"/>
          <w:szCs w:val="28"/>
        </w:rPr>
        <w:t>26.投标文件的评审、比较和否决</w:t>
      </w:r>
      <w:r>
        <w:rPr>
          <w:rFonts w:hint="eastAsia" w:ascii="仿宋" w:hAnsi="仿宋" w:eastAsia="仿宋" w:cs="仿宋"/>
          <w:b/>
          <w:bCs/>
          <w:sz w:val="28"/>
          <w:szCs w:val="28"/>
        </w:rPr>
        <w:tab/>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26.1评标委员会将对在实质上响应招标文件要求的投标文件进行评估和比较。</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26.2 在评审过程中,评标委员会可以要求投标人就投标文件中含义不明确的内容进行说明并提供相关材料。</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26.3在评审过程中，如发现与招标文件要求相偏离的，评标委员会应对其偏离情形进行必要的书面核实。</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26.4在评审过程中，如属于实质性偏离或符合无效响应条件的，应当询问相关投标人，并允许其进行陈述申辩，但不允许其对偏离条款进行补充、修正或撤回。</w:t>
      </w:r>
    </w:p>
    <w:p>
      <w:pPr>
        <w:spacing w:line="440" w:lineRule="exact"/>
        <w:ind w:firstLine="500"/>
        <w:rPr>
          <w:rFonts w:hint="eastAsia" w:ascii="仿宋" w:hAnsi="仿宋" w:eastAsia="仿宋" w:cs="仿宋"/>
          <w:sz w:val="28"/>
          <w:szCs w:val="28"/>
          <w:u w:val="single"/>
        </w:rPr>
      </w:pPr>
      <w:r>
        <w:rPr>
          <w:rFonts w:hint="eastAsia" w:ascii="仿宋" w:hAnsi="仿宋" w:eastAsia="仿宋" w:cs="仿宋"/>
          <w:sz w:val="28"/>
          <w:szCs w:val="28"/>
        </w:rPr>
        <w:t>26.5在评审过程中，如发现投标文件同一内容前后描述不一致的，评标委员会有权对其做出不利的判定。</w:t>
      </w:r>
    </w:p>
    <w:p>
      <w:pPr>
        <w:spacing w:line="440" w:lineRule="exact"/>
        <w:ind w:firstLine="500"/>
        <w:rPr>
          <w:rFonts w:hint="eastAsia" w:ascii="仿宋" w:hAnsi="仿宋" w:eastAsia="仿宋" w:cs="仿宋"/>
          <w:sz w:val="28"/>
          <w:szCs w:val="28"/>
        </w:rPr>
      </w:pPr>
      <w:r>
        <w:rPr>
          <w:rFonts w:hint="eastAsia" w:ascii="仿宋" w:hAnsi="仿宋" w:eastAsia="仿宋" w:cs="仿宋"/>
          <w:sz w:val="28"/>
          <w:szCs w:val="28"/>
        </w:rPr>
        <w:t>26.6 评标委员会依据招标文件规定的评标标准和方法，对投标文件进行评审和比较，向集中采购机构提交书面评标报告，并推荐合格的中标候选人。</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27.废标</w:t>
      </w:r>
    </w:p>
    <w:p>
      <w:pPr>
        <w:spacing w:line="44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在招标采购中，出现下列情形之一的，应予废标（</w:t>
      </w:r>
      <w:r>
        <w:rPr>
          <w:rFonts w:hint="eastAsia" w:ascii="仿宋" w:hAnsi="仿宋" w:eastAsia="仿宋" w:cs="仿宋"/>
          <w:b/>
          <w:snapToGrid w:val="0"/>
          <w:sz w:val="28"/>
          <w:szCs w:val="28"/>
        </w:rPr>
        <w:t>法律、法规、规章、省级及以上监管部门规定的其他情形除外）</w:t>
      </w:r>
      <w:r>
        <w:rPr>
          <w:rFonts w:hint="eastAsia" w:ascii="仿宋" w:hAnsi="仿宋" w:eastAsia="仿宋" w:cs="仿宋"/>
          <w:b/>
          <w:bCs/>
          <w:sz w:val="28"/>
          <w:szCs w:val="28"/>
        </w:rPr>
        <w:t>：</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27.1符合专业条件的供应商或者对招标文件作实质响应的供应商不足三家的；</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27.2出现影响采购公正的违法、违规行为的；</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27.3因重大变故，采购任务取消的;</w:t>
      </w:r>
    </w:p>
    <w:p>
      <w:pPr>
        <w:spacing w:line="440" w:lineRule="exact"/>
        <w:ind w:firstLine="560" w:firstLineChars="200"/>
        <w:rPr>
          <w:rFonts w:hint="eastAsia" w:ascii="仿宋" w:hAnsi="仿宋" w:eastAsia="仿宋" w:cs="仿宋"/>
          <w:b/>
          <w:snapToGrid w:val="0"/>
          <w:sz w:val="28"/>
          <w:szCs w:val="28"/>
        </w:rPr>
      </w:pPr>
      <w:r>
        <w:rPr>
          <w:rFonts w:hint="eastAsia" w:ascii="仿宋" w:hAnsi="仿宋" w:eastAsia="仿宋" w:cs="仿宋"/>
          <w:bCs/>
          <w:sz w:val="28"/>
          <w:szCs w:val="28"/>
        </w:rPr>
        <w:t>27.4投标人的报价均超采购预算的，采购人不能支付的。</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28.定标</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28.1集中采购机构在评标结束后2个工作日内将评标报告送交采购人确认，采购人应在收到评标报告后五个工作日内依法确定中标供应商，并将确认意见书面形式回复集中采购机构，逾期未复视为同意。</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28.2中标供应商确定后，中标结果在财政部门指定的政府采购信息发布媒体上公告。</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28.3在发布公告的同时，采购人和集中采购机构向中标供应商发出中标通知书，中标通知书对采购人和中标供应商具有同等法律效力。</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28.4中标通知书发出后，采购人改变中标结果，或者中标供应商放弃中标，应当承担相应的法律责任。</w:t>
      </w:r>
    </w:p>
    <w:p>
      <w:pPr>
        <w:pStyle w:val="4"/>
        <w:jc w:val="center"/>
        <w:rPr>
          <w:rFonts w:hint="eastAsia" w:ascii="仿宋" w:hAnsi="仿宋" w:eastAsia="仿宋" w:cs="仿宋"/>
          <w:sz w:val="28"/>
          <w:szCs w:val="28"/>
        </w:rPr>
      </w:pPr>
      <w:bookmarkStart w:id="46" w:name="_Toc36454320"/>
      <w:r>
        <w:rPr>
          <w:rFonts w:hint="eastAsia" w:ascii="仿宋" w:hAnsi="仿宋" w:eastAsia="仿宋" w:cs="仿宋"/>
          <w:sz w:val="28"/>
          <w:szCs w:val="28"/>
        </w:rPr>
        <w:t>七、投标无效的情形</w:t>
      </w:r>
      <w:bookmarkEnd w:id="46"/>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29.投标文件有下列情况之一者, 投标文件将被视为无效：</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29.1资格审查没有通过的（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29.2电子投标文件在规定时间内解密失败的；</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29.3未按照招标文件规定的要求签署、盖章的；</w:t>
      </w:r>
    </w:p>
    <w:p>
      <w:pPr>
        <w:spacing w:line="440" w:lineRule="exact"/>
        <w:ind w:firstLine="548" w:firstLineChars="196"/>
        <w:rPr>
          <w:rFonts w:hint="eastAsia" w:ascii="仿宋" w:hAnsi="仿宋" w:eastAsia="仿宋" w:cs="仿宋"/>
          <w:b/>
          <w:sz w:val="28"/>
          <w:szCs w:val="28"/>
        </w:rPr>
      </w:pPr>
      <w:r>
        <w:rPr>
          <w:rFonts w:hint="eastAsia" w:ascii="仿宋" w:hAnsi="仿宋" w:eastAsia="仿宋" w:cs="仿宋"/>
          <w:b/>
          <w:sz w:val="28"/>
          <w:szCs w:val="28"/>
        </w:rPr>
        <w:t>29.4投标文件中资格部分、商务部分、技术部分中出现价格部分内容的；</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29.5投标人在一份投标文件中对同一采购项目有两个或两个以上报价的；</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29.6投标报价超过招标文件中规定的预算金额或者最高限价的；</w:t>
      </w:r>
    </w:p>
    <w:p>
      <w:pPr>
        <w:spacing w:line="440" w:lineRule="exact"/>
        <w:ind w:firstLine="560" w:firstLineChars="200"/>
        <w:rPr>
          <w:rFonts w:hint="eastAsia" w:ascii="仿宋" w:hAnsi="仿宋" w:eastAsia="仿宋" w:cs="仿宋"/>
          <w:b/>
          <w:snapToGrid w:val="0"/>
          <w:sz w:val="28"/>
          <w:szCs w:val="28"/>
        </w:rPr>
      </w:pPr>
      <w:r>
        <w:rPr>
          <w:rFonts w:hint="eastAsia" w:ascii="仿宋" w:hAnsi="仿宋" w:eastAsia="仿宋" w:cs="仿宋"/>
          <w:b/>
          <w:sz w:val="28"/>
          <w:szCs w:val="28"/>
        </w:rPr>
        <w:t>29.7投标文件</w:t>
      </w:r>
      <w:r>
        <w:rPr>
          <w:rFonts w:hint="eastAsia" w:ascii="仿宋" w:hAnsi="仿宋" w:eastAsia="仿宋" w:cs="仿宋"/>
          <w:b/>
          <w:snapToGrid w:val="0"/>
          <w:sz w:val="28"/>
          <w:szCs w:val="28"/>
        </w:rPr>
        <w:t>载明的招标项目完成期限超过招标文件规定的期限，采购人不能接受的；</w:t>
      </w:r>
    </w:p>
    <w:p>
      <w:pPr>
        <w:spacing w:line="440" w:lineRule="exact"/>
        <w:ind w:firstLine="560" w:firstLineChars="200"/>
        <w:rPr>
          <w:rFonts w:hint="eastAsia" w:ascii="仿宋" w:hAnsi="仿宋" w:eastAsia="仿宋" w:cs="仿宋"/>
          <w:b/>
          <w:snapToGrid w:val="0"/>
          <w:sz w:val="28"/>
          <w:szCs w:val="28"/>
        </w:rPr>
      </w:pPr>
      <w:r>
        <w:rPr>
          <w:rFonts w:hint="eastAsia" w:ascii="仿宋" w:hAnsi="仿宋" w:eastAsia="仿宋" w:cs="仿宋"/>
          <w:b/>
          <w:snapToGrid w:val="0"/>
          <w:sz w:val="28"/>
          <w:szCs w:val="28"/>
        </w:rPr>
        <w:t>29.8</w:t>
      </w:r>
      <w:r>
        <w:rPr>
          <w:rFonts w:hint="eastAsia" w:ascii="仿宋" w:hAnsi="仿宋" w:eastAsia="仿宋" w:cs="仿宋"/>
          <w:b/>
          <w:sz w:val="28"/>
          <w:szCs w:val="28"/>
        </w:rPr>
        <w:t>投标文件</w:t>
      </w:r>
      <w:r>
        <w:rPr>
          <w:rFonts w:hint="eastAsia" w:ascii="仿宋" w:hAnsi="仿宋" w:eastAsia="仿宋" w:cs="仿宋"/>
          <w:b/>
          <w:snapToGrid w:val="0"/>
          <w:sz w:val="28"/>
          <w:szCs w:val="28"/>
        </w:rPr>
        <w:t>载明的投标有效期、质量保证期少于招标文件规定期限的；</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29.9投标文件未响应招标文件规定的付款方式的；</w:t>
      </w:r>
    </w:p>
    <w:p>
      <w:pPr>
        <w:spacing w:line="440" w:lineRule="exact"/>
        <w:ind w:firstLine="548" w:firstLineChars="196"/>
        <w:rPr>
          <w:rFonts w:hint="eastAsia" w:ascii="仿宋" w:hAnsi="仿宋" w:eastAsia="仿宋" w:cs="仿宋"/>
          <w:b/>
          <w:snapToGrid w:val="0"/>
          <w:sz w:val="28"/>
          <w:szCs w:val="28"/>
        </w:rPr>
      </w:pPr>
      <w:r>
        <w:rPr>
          <w:rFonts w:hint="eastAsia" w:ascii="仿宋" w:hAnsi="仿宋" w:eastAsia="仿宋" w:cs="仿宋"/>
          <w:b/>
          <w:sz w:val="28"/>
          <w:szCs w:val="28"/>
        </w:rPr>
        <w:t>29.10投标货物的</w:t>
      </w:r>
      <w:r>
        <w:rPr>
          <w:rFonts w:hint="eastAsia" w:ascii="仿宋" w:hAnsi="仿宋" w:eastAsia="仿宋" w:cs="仿宋"/>
          <w:b/>
          <w:snapToGrid w:val="0"/>
          <w:sz w:val="28"/>
          <w:szCs w:val="28"/>
        </w:rPr>
        <w:t>技术规范、技术标准明显不符合国家强制性要求的；</w:t>
      </w:r>
    </w:p>
    <w:p>
      <w:pPr>
        <w:spacing w:line="440" w:lineRule="exact"/>
        <w:ind w:firstLine="600"/>
        <w:rPr>
          <w:rFonts w:hint="eastAsia" w:ascii="仿宋" w:hAnsi="仿宋" w:eastAsia="仿宋" w:cs="仿宋"/>
          <w:b/>
          <w:snapToGrid w:val="0"/>
          <w:sz w:val="28"/>
          <w:szCs w:val="28"/>
        </w:rPr>
      </w:pPr>
      <w:r>
        <w:rPr>
          <w:rFonts w:hint="eastAsia" w:ascii="仿宋" w:hAnsi="仿宋" w:eastAsia="仿宋" w:cs="仿宋"/>
          <w:b/>
          <w:snapToGrid w:val="0"/>
          <w:sz w:val="28"/>
          <w:szCs w:val="28"/>
        </w:rPr>
        <w:t>29.11投标货物载明的验收标准和方法等不符合国家规定及招标文件要求的；</w:t>
      </w:r>
    </w:p>
    <w:p>
      <w:pPr>
        <w:spacing w:line="440" w:lineRule="exact"/>
        <w:ind w:firstLine="600"/>
        <w:rPr>
          <w:rFonts w:hint="eastAsia" w:ascii="仿宋" w:hAnsi="仿宋" w:eastAsia="仿宋" w:cs="仿宋"/>
          <w:b/>
          <w:sz w:val="28"/>
          <w:szCs w:val="28"/>
        </w:rPr>
      </w:pPr>
      <w:r>
        <w:rPr>
          <w:rFonts w:hint="eastAsia" w:ascii="仿宋" w:hAnsi="仿宋" w:eastAsia="仿宋" w:cs="仿宋"/>
          <w:b/>
          <w:sz w:val="28"/>
          <w:szCs w:val="28"/>
        </w:rPr>
        <w:t>29.12投标文件字迹模糊辨认不清的（评标委员会一致认为难以确认）；</w:t>
      </w:r>
    </w:p>
    <w:p>
      <w:pPr>
        <w:spacing w:line="440" w:lineRule="exact"/>
        <w:ind w:firstLine="560" w:firstLineChars="200"/>
        <w:rPr>
          <w:rFonts w:hint="eastAsia" w:ascii="仿宋" w:hAnsi="仿宋" w:eastAsia="仿宋" w:cs="仿宋"/>
          <w:b/>
          <w:kern w:val="0"/>
          <w:sz w:val="28"/>
          <w:szCs w:val="28"/>
        </w:rPr>
      </w:pPr>
      <w:r>
        <w:rPr>
          <w:rFonts w:hint="eastAsia" w:ascii="仿宋" w:hAnsi="仿宋" w:eastAsia="仿宋" w:cs="仿宋"/>
          <w:b/>
          <w:snapToGrid w:val="0"/>
          <w:sz w:val="28"/>
          <w:szCs w:val="28"/>
        </w:rPr>
        <w:t>29.13</w:t>
      </w:r>
      <w:r>
        <w:rPr>
          <w:rFonts w:hint="eastAsia" w:ascii="仿宋" w:hAnsi="仿宋" w:eastAsia="仿宋" w:cs="仿宋"/>
          <w:b/>
          <w:kern w:val="0"/>
          <w:sz w:val="28"/>
          <w:szCs w:val="28"/>
        </w:rPr>
        <w:t>提供不真实资料的；</w:t>
      </w:r>
    </w:p>
    <w:p>
      <w:pPr>
        <w:spacing w:line="440" w:lineRule="exact"/>
        <w:ind w:firstLine="560" w:firstLineChars="200"/>
        <w:rPr>
          <w:rFonts w:hint="eastAsia" w:ascii="仿宋" w:hAnsi="仿宋" w:eastAsia="仿宋" w:cs="仿宋"/>
          <w:b/>
          <w:sz w:val="28"/>
          <w:szCs w:val="28"/>
        </w:rPr>
      </w:pPr>
      <w:r>
        <w:rPr>
          <w:rFonts w:hint="eastAsia" w:ascii="仿宋" w:hAnsi="仿宋" w:eastAsia="仿宋" w:cs="仿宋"/>
          <w:b/>
          <w:snapToGrid w:val="0"/>
          <w:sz w:val="28"/>
          <w:szCs w:val="28"/>
        </w:rPr>
        <w:t>29.14</w:t>
      </w:r>
      <w:r>
        <w:rPr>
          <w:rFonts w:hint="eastAsia" w:ascii="仿宋" w:hAnsi="仿宋" w:eastAsia="仿宋" w:cs="仿宋"/>
          <w:b/>
          <w:sz w:val="28"/>
          <w:szCs w:val="28"/>
        </w:rPr>
        <w:t>投标货物的</w:t>
      </w:r>
      <w:r>
        <w:rPr>
          <w:rFonts w:hint="eastAsia" w:ascii="仿宋" w:hAnsi="仿宋" w:eastAsia="仿宋" w:cs="仿宋"/>
          <w:b/>
          <w:snapToGrid w:val="0"/>
          <w:sz w:val="28"/>
          <w:szCs w:val="28"/>
        </w:rPr>
        <w:t>技术指标、参数等存在实质性偏离</w:t>
      </w:r>
      <w:r>
        <w:rPr>
          <w:rFonts w:hint="eastAsia" w:ascii="仿宋" w:hAnsi="仿宋" w:eastAsia="仿宋" w:cs="仿宋"/>
          <w:b/>
          <w:sz w:val="28"/>
          <w:szCs w:val="28"/>
        </w:rPr>
        <w:t>（评标委员会一致认定）</w:t>
      </w:r>
      <w:r>
        <w:rPr>
          <w:rFonts w:hint="eastAsia" w:ascii="仿宋" w:hAnsi="仿宋" w:eastAsia="仿宋" w:cs="仿宋"/>
          <w:b/>
          <w:snapToGrid w:val="0"/>
          <w:sz w:val="28"/>
          <w:szCs w:val="28"/>
        </w:rPr>
        <w:t>的；</w:t>
      </w:r>
    </w:p>
    <w:p>
      <w:pPr>
        <w:spacing w:line="440" w:lineRule="exact"/>
        <w:ind w:firstLine="560" w:firstLineChars="200"/>
        <w:rPr>
          <w:rFonts w:hint="eastAsia" w:ascii="仿宋" w:hAnsi="仿宋" w:eastAsia="仿宋" w:cs="仿宋"/>
          <w:b/>
          <w:snapToGrid w:val="0"/>
          <w:color w:val="000000"/>
          <w:sz w:val="28"/>
          <w:szCs w:val="28"/>
        </w:rPr>
      </w:pPr>
      <w:r>
        <w:rPr>
          <w:rFonts w:hint="eastAsia" w:ascii="仿宋" w:hAnsi="仿宋" w:eastAsia="仿宋" w:cs="仿宋"/>
          <w:b/>
          <w:snapToGrid w:val="0"/>
          <w:color w:val="000000"/>
          <w:sz w:val="28"/>
          <w:szCs w:val="28"/>
        </w:rPr>
        <w:t>29.15未满足招标文件中打“</w:t>
      </w:r>
      <w:r>
        <w:rPr>
          <w:rFonts w:hint="eastAsia" w:ascii="仿宋" w:hAnsi="仿宋" w:eastAsia="仿宋" w:cs="仿宋"/>
          <w:kern w:val="0"/>
          <w:sz w:val="28"/>
          <w:szCs w:val="28"/>
        </w:rPr>
        <w:t>★</w:t>
      </w:r>
      <w:r>
        <w:rPr>
          <w:rFonts w:hint="eastAsia" w:ascii="仿宋" w:hAnsi="仿宋" w:eastAsia="仿宋" w:cs="仿宋"/>
          <w:b/>
          <w:snapToGrid w:val="0"/>
          <w:color w:val="000000"/>
          <w:sz w:val="28"/>
          <w:szCs w:val="28"/>
        </w:rPr>
        <w:t>”条款的；</w:t>
      </w:r>
    </w:p>
    <w:p>
      <w:pPr>
        <w:spacing w:line="440" w:lineRule="exact"/>
        <w:ind w:firstLine="560" w:firstLineChars="200"/>
        <w:rPr>
          <w:rFonts w:hint="eastAsia" w:ascii="仿宋" w:hAnsi="仿宋" w:eastAsia="仿宋" w:cs="仿宋"/>
          <w:b/>
          <w:snapToGrid w:val="0"/>
          <w:sz w:val="28"/>
          <w:szCs w:val="28"/>
        </w:rPr>
      </w:pPr>
      <w:r>
        <w:rPr>
          <w:rFonts w:hint="eastAsia" w:ascii="仿宋" w:hAnsi="仿宋" w:eastAsia="仿宋" w:cs="仿宋"/>
          <w:b/>
          <w:snapToGrid w:val="0"/>
          <w:sz w:val="28"/>
          <w:szCs w:val="28"/>
        </w:rPr>
        <w:t>29.16</w:t>
      </w:r>
      <w:r>
        <w:rPr>
          <w:rFonts w:hint="eastAsia" w:ascii="仿宋" w:hAnsi="仿宋" w:eastAsia="仿宋" w:cs="仿宋"/>
          <w:b/>
          <w:snapToGrid w:val="0"/>
          <w:kern w:val="0"/>
          <w:sz w:val="28"/>
          <w:szCs w:val="28"/>
        </w:rPr>
        <w:t>不符合法律、法规和招标文件规定的其他实质</w:t>
      </w:r>
      <w:r>
        <w:rPr>
          <w:rFonts w:hint="eastAsia" w:ascii="仿宋" w:hAnsi="仿宋" w:eastAsia="仿宋" w:cs="仿宋"/>
          <w:b/>
          <w:snapToGrid w:val="0"/>
          <w:sz w:val="28"/>
          <w:szCs w:val="28"/>
        </w:rPr>
        <w:t>性要求</w:t>
      </w:r>
      <w:r>
        <w:rPr>
          <w:rFonts w:hint="eastAsia" w:ascii="仿宋" w:hAnsi="仿宋" w:eastAsia="仿宋" w:cs="仿宋"/>
          <w:b/>
          <w:sz w:val="28"/>
          <w:szCs w:val="28"/>
        </w:rPr>
        <w:t>（评标委员会一致认定）</w:t>
      </w:r>
      <w:r>
        <w:rPr>
          <w:rFonts w:hint="eastAsia" w:ascii="仿宋" w:hAnsi="仿宋" w:eastAsia="仿宋" w:cs="仿宋"/>
          <w:b/>
          <w:snapToGrid w:val="0"/>
          <w:sz w:val="28"/>
          <w:szCs w:val="28"/>
        </w:rPr>
        <w:t>的；</w:t>
      </w:r>
    </w:p>
    <w:p>
      <w:pPr>
        <w:spacing w:line="440" w:lineRule="exact"/>
        <w:ind w:firstLine="548" w:firstLineChars="196"/>
        <w:rPr>
          <w:rFonts w:hint="eastAsia" w:ascii="仿宋" w:hAnsi="仿宋" w:eastAsia="仿宋" w:cs="仿宋"/>
          <w:b/>
          <w:snapToGrid w:val="0"/>
          <w:sz w:val="28"/>
          <w:szCs w:val="28"/>
        </w:rPr>
      </w:pPr>
      <w:r>
        <w:rPr>
          <w:rFonts w:hint="eastAsia" w:ascii="仿宋" w:hAnsi="仿宋" w:eastAsia="仿宋" w:cs="仿宋"/>
          <w:b/>
          <w:snapToGrid w:val="0"/>
          <w:sz w:val="28"/>
          <w:szCs w:val="28"/>
        </w:rPr>
        <w:t>29.17二分之一以上的评委认为供应商报价明显高于市场平均价的；</w:t>
      </w:r>
    </w:p>
    <w:p>
      <w:pPr>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b/>
          <w:snapToGrid w:val="0"/>
          <w:sz w:val="28"/>
          <w:szCs w:val="28"/>
        </w:rPr>
        <w:t>29.18</w:t>
      </w:r>
      <w:r>
        <w:rPr>
          <w:rFonts w:hint="eastAsia" w:ascii="仿宋" w:hAnsi="仿宋" w:eastAsia="仿宋" w:cs="仿宋"/>
          <w:b/>
          <w:sz w:val="28"/>
          <w:szCs w:val="28"/>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b/>
          <w:snapToGrid w:val="0"/>
          <w:sz w:val="28"/>
          <w:szCs w:val="28"/>
        </w:rPr>
        <w:t>29.19</w:t>
      </w:r>
      <w:r>
        <w:rPr>
          <w:rFonts w:hint="eastAsia" w:ascii="仿宋" w:hAnsi="仿宋" w:eastAsia="仿宋" w:cs="仿宋"/>
          <w:b/>
          <w:sz w:val="28"/>
          <w:szCs w:val="28"/>
        </w:rPr>
        <w:t>投标文件含有采购人不能接受的附加条件的；</w:t>
      </w:r>
    </w:p>
    <w:p>
      <w:pPr>
        <w:snapToGrid w:val="0"/>
        <w:spacing w:line="460" w:lineRule="exact"/>
        <w:ind w:firstLine="560" w:firstLineChars="200"/>
        <w:rPr>
          <w:rFonts w:hint="eastAsia" w:ascii="仿宋" w:hAnsi="仿宋" w:eastAsia="仿宋" w:cs="仿宋"/>
          <w:b/>
          <w:snapToGrid w:val="0"/>
          <w:sz w:val="28"/>
          <w:szCs w:val="28"/>
        </w:rPr>
      </w:pPr>
      <w:r>
        <w:rPr>
          <w:rFonts w:hint="eastAsia" w:ascii="仿宋" w:hAnsi="仿宋" w:eastAsia="仿宋" w:cs="仿宋"/>
          <w:b/>
          <w:snapToGrid w:val="0"/>
          <w:sz w:val="28"/>
          <w:szCs w:val="28"/>
        </w:rPr>
        <w:t>29.20</w:t>
      </w:r>
      <w:r>
        <w:rPr>
          <w:rFonts w:hint="eastAsia" w:ascii="仿宋" w:hAnsi="仿宋" w:eastAsia="仿宋" w:cs="仿宋"/>
          <w:b/>
          <w:sz w:val="28"/>
          <w:szCs w:val="28"/>
        </w:rPr>
        <w:t>投标人被视为串通投标的；</w:t>
      </w:r>
    </w:p>
    <w:p>
      <w:pPr>
        <w:spacing w:line="440" w:lineRule="exact"/>
        <w:ind w:firstLine="560" w:firstLineChars="200"/>
        <w:rPr>
          <w:rFonts w:hint="eastAsia" w:ascii="仿宋" w:hAnsi="仿宋" w:eastAsia="仿宋" w:cs="仿宋"/>
          <w:b/>
          <w:snapToGrid w:val="0"/>
          <w:color w:val="000000"/>
          <w:sz w:val="28"/>
          <w:szCs w:val="28"/>
        </w:rPr>
      </w:pPr>
      <w:r>
        <w:rPr>
          <w:rFonts w:hint="eastAsia" w:ascii="仿宋" w:hAnsi="仿宋" w:eastAsia="仿宋" w:cs="仿宋"/>
          <w:b/>
          <w:snapToGrid w:val="0"/>
          <w:sz w:val="28"/>
          <w:szCs w:val="28"/>
        </w:rPr>
        <w:t>29.21</w:t>
      </w:r>
      <w:r>
        <w:rPr>
          <w:rFonts w:hint="eastAsia" w:ascii="仿宋" w:hAnsi="仿宋" w:eastAsia="仿宋" w:cs="仿宋"/>
          <w:b/>
          <w:snapToGrid w:val="0"/>
          <w:color w:val="000000"/>
          <w:sz w:val="28"/>
          <w:szCs w:val="28"/>
        </w:rPr>
        <w:t>投标产品为进口产品且未经</w:t>
      </w:r>
      <w:r>
        <w:rPr>
          <w:rFonts w:hint="eastAsia" w:ascii="仿宋" w:hAnsi="仿宋" w:eastAsia="仿宋" w:cs="仿宋"/>
          <w:b/>
          <w:color w:val="000000"/>
          <w:sz w:val="28"/>
          <w:szCs w:val="28"/>
        </w:rPr>
        <w:t>批准</w:t>
      </w:r>
      <w:r>
        <w:rPr>
          <w:rFonts w:hint="eastAsia" w:ascii="仿宋" w:hAnsi="仿宋" w:eastAsia="仿宋" w:cs="仿宋"/>
          <w:b/>
          <w:snapToGrid w:val="0"/>
          <w:color w:val="000000"/>
          <w:sz w:val="28"/>
          <w:szCs w:val="28"/>
        </w:rPr>
        <w:t>的；</w:t>
      </w:r>
    </w:p>
    <w:p>
      <w:pPr>
        <w:spacing w:line="440" w:lineRule="exact"/>
        <w:ind w:firstLine="560" w:firstLineChars="200"/>
        <w:rPr>
          <w:rFonts w:hint="eastAsia" w:ascii="仿宋" w:hAnsi="仿宋" w:eastAsia="仿宋" w:cs="仿宋"/>
          <w:b/>
          <w:snapToGrid w:val="0"/>
          <w:color w:val="000000"/>
          <w:sz w:val="28"/>
          <w:szCs w:val="28"/>
        </w:rPr>
      </w:pPr>
      <w:r>
        <w:rPr>
          <w:rFonts w:hint="eastAsia" w:ascii="仿宋" w:hAnsi="仿宋" w:eastAsia="仿宋" w:cs="仿宋"/>
          <w:b/>
          <w:snapToGrid w:val="0"/>
          <w:sz w:val="28"/>
          <w:szCs w:val="28"/>
        </w:rPr>
        <w:t>29.22</w:t>
      </w:r>
      <w:r>
        <w:rPr>
          <w:rFonts w:hint="eastAsia" w:ascii="仿宋" w:hAnsi="仿宋" w:eastAsia="仿宋" w:cs="仿宋"/>
          <w:b/>
          <w:snapToGrid w:val="0"/>
          <w:color w:val="000000"/>
          <w:sz w:val="28"/>
          <w:szCs w:val="28"/>
        </w:rPr>
        <w:t>评标委员会按照规定对投标文件的计算错误进行修正后的报价，投标人不予确认的；</w:t>
      </w:r>
    </w:p>
    <w:p>
      <w:pPr>
        <w:spacing w:line="440" w:lineRule="exact"/>
        <w:ind w:firstLine="560" w:firstLineChars="200"/>
        <w:rPr>
          <w:rFonts w:hint="eastAsia" w:ascii="仿宋" w:hAnsi="仿宋" w:eastAsia="仿宋" w:cs="仿宋"/>
          <w:b/>
          <w:snapToGrid w:val="0"/>
          <w:color w:val="000000"/>
          <w:sz w:val="28"/>
          <w:szCs w:val="28"/>
        </w:rPr>
      </w:pPr>
      <w:r>
        <w:rPr>
          <w:rFonts w:hint="eastAsia" w:ascii="仿宋" w:hAnsi="仿宋" w:eastAsia="仿宋" w:cs="仿宋"/>
          <w:b/>
          <w:snapToGrid w:val="0"/>
          <w:color w:val="00000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hint="eastAsia" w:ascii="仿宋" w:hAnsi="仿宋" w:eastAsia="仿宋" w:cs="仿宋"/>
          <w:b/>
          <w:snapToGrid w:val="0"/>
          <w:sz w:val="28"/>
          <w:szCs w:val="28"/>
        </w:rPr>
      </w:pPr>
      <w:r>
        <w:rPr>
          <w:rFonts w:hint="eastAsia" w:ascii="仿宋" w:hAnsi="仿宋" w:eastAsia="仿宋" w:cs="仿宋"/>
          <w:b/>
          <w:snapToGrid w:val="0"/>
          <w:color w:val="000000"/>
          <w:sz w:val="28"/>
          <w:szCs w:val="28"/>
        </w:rPr>
        <w:t>29.24</w:t>
      </w:r>
      <w:r>
        <w:rPr>
          <w:rFonts w:hint="eastAsia" w:ascii="仿宋" w:hAnsi="仿宋" w:eastAsia="仿宋" w:cs="仿宋"/>
          <w:b/>
          <w:snapToGrid w:val="0"/>
          <w:sz w:val="28"/>
          <w:szCs w:val="28"/>
        </w:rPr>
        <w:t>法律、法规、规章及省级以上规范性文件等规定的其他情形；</w:t>
      </w:r>
    </w:p>
    <w:p>
      <w:pPr>
        <w:pStyle w:val="4"/>
        <w:spacing w:line="400" w:lineRule="exact"/>
        <w:jc w:val="center"/>
        <w:rPr>
          <w:rFonts w:hint="eastAsia" w:ascii="仿宋" w:hAnsi="仿宋" w:eastAsia="仿宋" w:cs="仿宋"/>
          <w:bCs w:val="0"/>
          <w:sz w:val="28"/>
          <w:szCs w:val="28"/>
        </w:rPr>
      </w:pPr>
      <w:bookmarkStart w:id="47" w:name="_Toc36454321"/>
      <w:r>
        <w:rPr>
          <w:rFonts w:hint="eastAsia" w:ascii="仿宋" w:hAnsi="仿宋" w:eastAsia="仿宋" w:cs="仿宋"/>
          <w:bCs w:val="0"/>
          <w:sz w:val="28"/>
          <w:szCs w:val="28"/>
        </w:rPr>
        <w:t>八、合同的授予</w:t>
      </w:r>
      <w:bookmarkEnd w:id="47"/>
    </w:p>
    <w:p>
      <w:pPr>
        <w:spacing w:line="400" w:lineRule="exact"/>
        <w:rPr>
          <w:rFonts w:hint="eastAsia" w:ascii="仿宋" w:hAnsi="仿宋" w:eastAsia="仿宋" w:cs="仿宋"/>
          <w:b/>
          <w:bCs/>
          <w:sz w:val="28"/>
          <w:szCs w:val="28"/>
        </w:rPr>
      </w:pPr>
      <w:r>
        <w:rPr>
          <w:rFonts w:hint="eastAsia" w:ascii="仿宋" w:hAnsi="仿宋" w:eastAsia="仿宋" w:cs="仿宋"/>
          <w:b/>
          <w:bCs/>
          <w:sz w:val="28"/>
          <w:szCs w:val="28"/>
        </w:rPr>
        <w:t>30.授予合同的依据</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30.1采购人和集中采购机构签发的中标通知书；</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30.2招标文件、招标文件的修改及补充文件；</w:t>
      </w:r>
    </w:p>
    <w:p>
      <w:pPr>
        <w:pStyle w:val="12"/>
        <w:spacing w:line="400" w:lineRule="exact"/>
        <w:ind w:firstLine="560"/>
        <w:rPr>
          <w:rFonts w:hint="eastAsia" w:ascii="仿宋" w:hAnsi="仿宋" w:eastAsia="仿宋" w:cs="仿宋"/>
          <w:sz w:val="28"/>
          <w:szCs w:val="28"/>
        </w:rPr>
      </w:pPr>
      <w:r>
        <w:rPr>
          <w:rFonts w:hint="eastAsia" w:ascii="仿宋" w:hAnsi="仿宋" w:eastAsia="仿宋" w:cs="仿宋"/>
          <w:sz w:val="28"/>
          <w:szCs w:val="28"/>
        </w:rPr>
        <w:t>30.3投标文件和询标时投标人做出的澄清、说明、纠正、承诺；</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30.4《中华人民共和国合同法》的规定。</w:t>
      </w:r>
    </w:p>
    <w:p>
      <w:pPr>
        <w:spacing w:line="400" w:lineRule="exact"/>
        <w:rPr>
          <w:rFonts w:hint="eastAsia" w:ascii="仿宋" w:hAnsi="仿宋" w:eastAsia="仿宋" w:cs="仿宋"/>
          <w:b/>
          <w:bCs/>
          <w:sz w:val="28"/>
          <w:szCs w:val="28"/>
        </w:rPr>
      </w:pPr>
      <w:r>
        <w:rPr>
          <w:rFonts w:hint="eastAsia" w:ascii="仿宋" w:hAnsi="仿宋" w:eastAsia="仿宋" w:cs="仿宋"/>
          <w:b/>
          <w:bCs/>
          <w:sz w:val="28"/>
          <w:szCs w:val="28"/>
        </w:rPr>
        <w:t>31.签署合同的要求</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31.1采购人与中标供应商按照中标通知书的规定时间、地点签订书面合同；</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31.2签订合同的时间必须在自中标通知书发出之日起三十日内；</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31.3所签订的合同内容不得对招标文件和中标供应商的投标文件作实质性修改；</w:t>
      </w:r>
    </w:p>
    <w:p>
      <w:pPr>
        <w:spacing w:line="400" w:lineRule="exact"/>
        <w:ind w:left="2" w:leftChars="1" w:firstLine="560" w:firstLineChars="200"/>
        <w:jc w:val="left"/>
        <w:rPr>
          <w:rFonts w:hint="eastAsia" w:ascii="仿宋" w:hAnsi="仿宋" w:eastAsia="仿宋" w:cs="仿宋"/>
          <w:spacing w:val="-4"/>
          <w:sz w:val="28"/>
          <w:szCs w:val="28"/>
        </w:rPr>
      </w:pPr>
      <w:r>
        <w:rPr>
          <w:rFonts w:hint="eastAsia" w:ascii="仿宋" w:hAnsi="仿宋" w:eastAsia="仿宋" w:cs="仿宋"/>
          <w:sz w:val="28"/>
          <w:szCs w:val="28"/>
        </w:rPr>
        <w:t>31.4采</w:t>
      </w:r>
      <w:r>
        <w:rPr>
          <w:rFonts w:hint="eastAsia" w:ascii="仿宋" w:hAnsi="仿宋" w:eastAsia="仿宋" w:cs="仿宋"/>
          <w:spacing w:val="-4"/>
          <w:sz w:val="28"/>
          <w:szCs w:val="28"/>
        </w:rPr>
        <w:t>购人不得向中标供应商提出任何不合理的要求，作为签订合同的条件，不得与中标供应商私下订立背离合同实质性内容的协议；</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31.5自采购合同签订之日起七个工作日内，将采购合同副本分别送集中采购机构、同级人民政府财政部门各一份备案。</w:t>
      </w:r>
    </w:p>
    <w:p>
      <w:pPr>
        <w:spacing w:line="400" w:lineRule="exact"/>
        <w:rPr>
          <w:rFonts w:hint="eastAsia" w:ascii="仿宋" w:hAnsi="仿宋" w:eastAsia="仿宋" w:cs="仿宋"/>
          <w:b/>
          <w:bCs/>
          <w:sz w:val="28"/>
          <w:szCs w:val="28"/>
        </w:rPr>
      </w:pPr>
      <w:r>
        <w:rPr>
          <w:rFonts w:hint="eastAsia" w:ascii="仿宋" w:hAnsi="仿宋" w:eastAsia="仿宋" w:cs="仿宋"/>
          <w:b/>
          <w:bCs/>
          <w:sz w:val="28"/>
          <w:szCs w:val="28"/>
        </w:rPr>
        <w:t>32.中标通知书</w:t>
      </w:r>
    </w:p>
    <w:p>
      <w:pPr>
        <w:spacing w:line="40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32.1确定中标供应商后，采购人和集中采购机构将发出中标通知书，通知中标的投标人其投标被接受;</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32.2中标通知书为双方签订合同的依据；</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32.3中标供应商应根据中标通知书中规定的时间内，由法定代表人或其授权代理人与采购人签订合同。</w:t>
      </w:r>
    </w:p>
    <w:p>
      <w:pPr>
        <w:spacing w:line="400" w:lineRule="exact"/>
        <w:rPr>
          <w:rFonts w:hint="eastAsia" w:ascii="仿宋" w:hAnsi="仿宋" w:eastAsia="仿宋" w:cs="仿宋"/>
          <w:b/>
          <w:bCs/>
          <w:sz w:val="28"/>
          <w:szCs w:val="28"/>
        </w:rPr>
      </w:pPr>
      <w:r>
        <w:rPr>
          <w:rFonts w:hint="eastAsia" w:ascii="仿宋" w:hAnsi="仿宋" w:eastAsia="仿宋" w:cs="仿宋"/>
          <w:b/>
          <w:bCs/>
          <w:sz w:val="28"/>
          <w:szCs w:val="28"/>
        </w:rPr>
        <w:t>33.履约保证金</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中标供应商在领取中标通知书的同时，应按本须知前附表第15项的规定，向采购人提交履约保证金；</w:t>
      </w:r>
    </w:p>
    <w:p>
      <w:pPr>
        <w:spacing w:line="400" w:lineRule="exact"/>
        <w:rPr>
          <w:rFonts w:hint="eastAsia" w:ascii="仿宋" w:hAnsi="仿宋" w:eastAsia="仿宋" w:cs="仿宋"/>
          <w:b/>
          <w:bCs/>
          <w:sz w:val="28"/>
          <w:szCs w:val="28"/>
        </w:rPr>
      </w:pPr>
      <w:r>
        <w:rPr>
          <w:rFonts w:hint="eastAsia" w:ascii="仿宋" w:hAnsi="仿宋" w:eastAsia="仿宋" w:cs="仿宋"/>
          <w:b/>
          <w:bCs/>
          <w:sz w:val="28"/>
          <w:szCs w:val="28"/>
        </w:rPr>
        <w:t>34.合同签订</w:t>
      </w:r>
    </w:p>
    <w:p>
      <w:pPr>
        <w:spacing w:line="400" w:lineRule="exact"/>
        <w:ind w:firstLine="500"/>
        <w:rPr>
          <w:rFonts w:hint="eastAsia" w:ascii="仿宋" w:hAnsi="仿宋" w:eastAsia="仿宋" w:cs="仿宋"/>
          <w:sz w:val="28"/>
          <w:szCs w:val="28"/>
        </w:rPr>
      </w:pPr>
      <w:r>
        <w:rPr>
          <w:rFonts w:hint="eastAsia" w:ascii="仿宋" w:hAnsi="仿宋" w:eastAsia="仿宋" w:cs="仿宋"/>
          <w:sz w:val="28"/>
          <w:szCs w:val="28"/>
        </w:rPr>
        <w:t>34.1</w:t>
      </w:r>
      <w:r>
        <w:rPr>
          <w:rFonts w:hint="eastAsia" w:ascii="仿宋" w:hAnsi="仿宋" w:eastAsia="仿宋" w:cs="仿宋"/>
          <w:snapToGrid w:val="0"/>
          <w:sz w:val="28"/>
          <w:szCs w:val="28"/>
        </w:rPr>
        <w:t>采购人与中标供应商将根据《中华人民共和国合同法》的规定，依据招标文件和中标供应商的投标文件签订书面合同。</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34.2 采购人如不与中标供应商订立合同，或者采购人、中标供应商订立背离合同实质性内容的协议，由政府有关部门责令改正，同时依法承担相应法律责任；</w:t>
      </w:r>
    </w:p>
    <w:p>
      <w:pPr>
        <w:spacing w:line="400" w:lineRule="exact"/>
        <w:ind w:firstLine="560"/>
        <w:rPr>
          <w:rFonts w:hint="eastAsia" w:ascii="仿宋" w:hAnsi="仿宋" w:eastAsia="仿宋" w:cs="仿宋"/>
          <w:sz w:val="28"/>
          <w:szCs w:val="28"/>
        </w:rPr>
      </w:pPr>
      <w:r>
        <w:rPr>
          <w:rFonts w:hint="eastAsia" w:ascii="仿宋" w:hAnsi="仿宋" w:eastAsia="仿宋" w:cs="仿宋"/>
          <w:sz w:val="28"/>
          <w:szCs w:val="28"/>
        </w:rPr>
        <w:t>34.3中标供应商如不按规定与采购人订立合同，则采购人废除授标，给采购人造成损失的还应当予以赔偿，同时依法承担相应法律责任。</w:t>
      </w:r>
    </w:p>
    <w:p>
      <w:pPr>
        <w:spacing w:line="400" w:lineRule="exact"/>
        <w:ind w:firstLine="500"/>
        <w:rPr>
          <w:rFonts w:hint="eastAsia" w:ascii="仿宋" w:hAnsi="仿宋" w:eastAsia="仿宋" w:cs="仿宋"/>
          <w:sz w:val="28"/>
          <w:szCs w:val="28"/>
        </w:rPr>
      </w:pPr>
      <w:r>
        <w:rPr>
          <w:rFonts w:hint="eastAsia" w:ascii="仿宋" w:hAnsi="仿宋" w:eastAsia="仿宋" w:cs="仿宋"/>
          <w:sz w:val="28"/>
          <w:szCs w:val="28"/>
        </w:rPr>
        <w:t>34.4 中标供应商应当按照合同约定履行义务，完成中标项目各项工作，不得将中标项目违法转让（转包）给他人；</w:t>
      </w:r>
    </w:p>
    <w:p>
      <w:pPr>
        <w:spacing w:line="400" w:lineRule="exact"/>
        <w:ind w:firstLine="500"/>
        <w:rPr>
          <w:rFonts w:hint="eastAsia" w:ascii="仿宋" w:hAnsi="仿宋" w:eastAsia="仿宋" w:cs="仿宋"/>
          <w:sz w:val="28"/>
          <w:szCs w:val="28"/>
        </w:rPr>
      </w:pPr>
      <w:r>
        <w:rPr>
          <w:rFonts w:hint="eastAsia" w:ascii="仿宋" w:hAnsi="仿宋" w:eastAsia="仿宋" w:cs="仿宋"/>
          <w:sz w:val="28"/>
          <w:szCs w:val="28"/>
        </w:rPr>
        <w:t>34.5如果中标供应商未能遵守本须知第33.3条的规定，则可取消其中标资格。</w:t>
      </w:r>
    </w:p>
    <w:p>
      <w:pPr>
        <w:spacing w:line="400" w:lineRule="exac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35.“绿贷通”、“政采贷”</w:t>
      </w:r>
    </w:p>
    <w:p>
      <w:pPr>
        <w:spacing w:line="400" w:lineRule="exact"/>
        <w:ind w:firstLine="560" w:firstLineChars="200"/>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仿宋"/>
          <w:color w:val="000000" w:themeColor="text1"/>
          <w:kern w:val="0"/>
          <w:sz w:val="28"/>
          <w:szCs w:val="28"/>
          <w14:textFill>
            <w14:solidFill>
              <w14:schemeClr w14:val="tx1"/>
            </w14:solidFill>
          </w14:textFill>
        </w:rPr>
        <w:t>https://lvdt.huzldt.com</w:t>
      </w:r>
      <w:r>
        <w:rPr>
          <w:rFonts w:hint="eastAsia" w:ascii="仿宋" w:hAnsi="仿宋" w:eastAsia="仿宋" w:cs="仿宋"/>
          <w:color w:val="000000" w:themeColor="text1"/>
          <w:sz w:val="28"/>
          <w:szCs w:val="28"/>
          <w14:textFill>
            <w14:solidFill>
              <w14:schemeClr w14:val="tx1"/>
            </w14:solidFill>
          </w14:textFill>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4"/>
        <w:jc w:val="center"/>
        <w:rPr>
          <w:rFonts w:hint="eastAsia" w:ascii="仿宋" w:hAnsi="仿宋" w:eastAsia="仿宋" w:cs="仿宋"/>
          <w:sz w:val="28"/>
          <w:szCs w:val="28"/>
        </w:rPr>
      </w:pPr>
      <w:bookmarkStart w:id="48" w:name="_Toc36454322"/>
      <w:r>
        <w:rPr>
          <w:rFonts w:hint="eastAsia" w:ascii="仿宋" w:hAnsi="仿宋" w:eastAsia="仿宋" w:cs="仿宋"/>
          <w:sz w:val="28"/>
          <w:szCs w:val="28"/>
        </w:rPr>
        <w:t>九、质疑</w:t>
      </w:r>
      <w:bookmarkEnd w:id="48"/>
    </w:p>
    <w:p>
      <w:pPr>
        <w:spacing w:line="400" w:lineRule="exact"/>
        <w:rPr>
          <w:rFonts w:hint="eastAsia" w:ascii="仿宋" w:hAnsi="仿宋" w:eastAsia="仿宋" w:cs="仿宋"/>
          <w:b/>
          <w:sz w:val="28"/>
          <w:szCs w:val="28"/>
        </w:rPr>
      </w:pPr>
      <w:r>
        <w:rPr>
          <w:rFonts w:hint="eastAsia" w:ascii="仿宋" w:hAnsi="仿宋" w:eastAsia="仿宋" w:cs="仿宋"/>
          <w:b/>
          <w:sz w:val="28"/>
          <w:szCs w:val="28"/>
        </w:rPr>
        <w:t>36.质疑</w:t>
      </w:r>
    </w:p>
    <w:p>
      <w:pPr>
        <w:spacing w:line="400" w:lineRule="exact"/>
        <w:ind w:firstLine="499"/>
        <w:rPr>
          <w:rFonts w:hint="eastAsia" w:ascii="仿宋" w:hAnsi="仿宋" w:eastAsia="仿宋" w:cs="仿宋"/>
          <w:sz w:val="28"/>
          <w:szCs w:val="28"/>
        </w:rPr>
      </w:pPr>
      <w:r>
        <w:rPr>
          <w:rFonts w:hint="eastAsia" w:ascii="仿宋" w:hAnsi="仿宋" w:eastAsia="仿宋" w:cs="仿宋"/>
          <w:sz w:val="28"/>
          <w:szCs w:val="28"/>
        </w:rPr>
        <w:t>36.1 供应商认为招标文件、采购过程、中标或者成交结果使自己的权益受到损害的，可以在知道或者应知其权益受到损害之日起7个工作日内，以书面形式向采购人或集中采购机构提出质疑。</w:t>
      </w:r>
    </w:p>
    <w:p>
      <w:pPr>
        <w:spacing w:line="400" w:lineRule="exact"/>
        <w:ind w:firstLine="500"/>
        <w:rPr>
          <w:rFonts w:hint="eastAsia" w:ascii="仿宋" w:hAnsi="仿宋" w:eastAsia="仿宋" w:cs="仿宋"/>
          <w:sz w:val="28"/>
          <w:szCs w:val="28"/>
        </w:rPr>
      </w:pPr>
      <w:r>
        <w:rPr>
          <w:rFonts w:hint="eastAsia" w:ascii="仿宋" w:hAnsi="仿宋" w:eastAsia="仿宋" w:cs="仿宋"/>
          <w:sz w:val="28"/>
          <w:szCs w:val="28"/>
        </w:rPr>
        <w:t>36.2对招标文件第二章招标需求及第五章评标办法及标准的质疑由采购人接收并负责答复，其他质疑由集中采购机构接收并负责答复。</w:t>
      </w:r>
    </w:p>
    <w:p>
      <w:pPr>
        <w:spacing w:line="400" w:lineRule="exact"/>
        <w:ind w:firstLine="5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36.3 供应商须在法定质疑期内一次性提出针对同一采购程序环</w:t>
      </w:r>
      <w:r>
        <w:rPr>
          <w:rFonts w:hint="eastAsia" w:ascii="仿宋" w:hAnsi="仿宋" w:eastAsia="仿宋" w:cs="仿宋"/>
          <w:color w:val="000000" w:themeColor="text1"/>
          <w:sz w:val="28"/>
          <w:szCs w:val="28"/>
          <w14:textFill>
            <w14:solidFill>
              <w14:schemeClr w14:val="tx1"/>
            </w14:solidFill>
          </w14:textFill>
        </w:rPr>
        <w:t>节的质疑，否则采购人或集中采购机构有权拒绝第一次质疑以外其他所有质疑。</w:t>
      </w:r>
    </w:p>
    <w:p>
      <w:pPr>
        <w:spacing w:line="400" w:lineRule="exact"/>
        <w:ind w:firstLine="5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36.4质疑人可以采取直接递交、邮寄方式提交纸质质疑函。以电子邮件、传真或其他方式提出的质疑，以及以非纸质方式提出的质疑，采购人或集中采购机构将不予接受。</w:t>
      </w:r>
    </w:p>
    <w:p>
      <w:pPr>
        <w:spacing w:line="400" w:lineRule="exact"/>
        <w:ind w:firstLine="500"/>
        <w:rPr>
          <w:rFonts w:hint="eastAsia" w:ascii="仿宋" w:hAnsi="仿宋" w:eastAsia="仿宋" w:cs="仿宋"/>
          <w:sz w:val="28"/>
          <w:szCs w:val="28"/>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cols w:space="425" w:num="1"/>
          <w:titlePg/>
          <w:docGrid w:type="linesAndChars" w:linePitch="312" w:charSpace="0"/>
        </w:sectPr>
      </w:pPr>
      <w:r>
        <w:rPr>
          <w:rFonts w:hint="eastAsia" w:ascii="仿宋" w:hAnsi="仿宋" w:eastAsia="仿宋" w:cs="仿宋"/>
          <w:sz w:val="28"/>
          <w:szCs w:val="28"/>
        </w:rPr>
        <w:t>36.5质疑函须采用财政部发布的政府采购供应商质疑函范本</w:t>
      </w:r>
      <w:r>
        <w:rPr>
          <w:rFonts w:hint="eastAsia" w:ascii="仿宋" w:hAnsi="仿宋" w:eastAsia="仿宋" w:cs="仿宋"/>
          <w:snapToGrid w:val="0"/>
          <w:sz w:val="28"/>
          <w:szCs w:val="28"/>
        </w:rPr>
        <w:t>（参考样式可从</w:t>
      </w:r>
      <w:r>
        <w:rPr>
          <w:rFonts w:hint="eastAsia" w:ascii="仿宋" w:hAnsi="仿宋" w:eastAsia="仿宋" w:cs="仿宋"/>
          <w:kern w:val="0"/>
          <w:sz w:val="28"/>
          <w:szCs w:val="28"/>
        </w:rPr>
        <w:t>“湖州市公共资源交易信息网-&gt;资料下载-&gt;采购资料下载”栏目下载）</w:t>
      </w:r>
      <w:r>
        <w:rPr>
          <w:rFonts w:hint="eastAsia" w:ascii="仿宋" w:hAnsi="仿宋" w:eastAsia="仿宋" w:cs="仿宋"/>
          <w:sz w:val="28"/>
          <w:szCs w:val="28"/>
        </w:rPr>
        <w:t>，否则采购人或集中采购机构有权要求质疑人修改正后重新提出。</w:t>
      </w:r>
    </w:p>
    <w:p>
      <w:pPr>
        <w:pStyle w:val="3"/>
        <w:spacing w:line="340" w:lineRule="exact"/>
        <w:jc w:val="center"/>
        <w:rPr>
          <w:rFonts w:hint="eastAsia" w:ascii="仿宋" w:hAnsi="仿宋" w:eastAsia="仿宋" w:cs="仿宋"/>
          <w:sz w:val="28"/>
          <w:szCs w:val="28"/>
        </w:rPr>
      </w:pPr>
      <w:bookmarkStart w:id="49" w:name="_Toc36454323"/>
      <w:r>
        <w:rPr>
          <w:rFonts w:hint="eastAsia" w:ascii="仿宋" w:hAnsi="仿宋" w:eastAsia="仿宋" w:cs="仿宋"/>
          <w:sz w:val="28"/>
          <w:szCs w:val="28"/>
        </w:rPr>
        <w:t>第二章  招标需求</w:t>
      </w:r>
      <w:bookmarkEnd w:id="49"/>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一、项目概述</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国家、部、省关于政务信息系统整合、信息资源共享应用的管理要求并结合省委省政府推行的“云优先”战略的号召，深入贯彻落实省政府数字化改革“四横四纵”顶层设计，响应我市一体化智能化公共数据平台建设要求，进一步整合湖州市各部门的数据资源和业务系统统一入云，开展湖州市政务云资源服务采购，统筹各单位自建的数据中心整体迁移到湖州市政务云平台（购买服务方式），按《加快数字湖州建设打造现代智慧城市三年行动计划（2019-2021年》和《湖州市人民政府办公室关于印发湖州市信息化项目管理办法（试行）的通知》（湖政办发〔2018〕80号）的要求，所有信息数据将纳入市级信息资源目录体系，最终实现信息化项目的统筹建设、统一管理和整合共享。</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随着信息数据的集中，数据安全成为了信息系统安全的重要保障措施之一，根据GB/T 22239—2019《信息安全技术网络安全等级保护基本要求》、GB/T 20988—2007《信息安全技术信息系统灾难恢复规范》和《浙江省电子政务云计算平台管理办法》，结合省大数据局制定的《政务云灾备指南（试行）》，明确按系统等保定级情况组织实施数据备份（含本地、异地）和同城容灾，同时同城容灾中心和异地备份工作列入年度省对市考核内容。结合湖州目前的实际情况，围绕政府数字化转型决策部署要求，以“数字湖州”为愿景，立足湖州市数字改革工作信息化基础，继续开展政务云数据容灾备份服务, 加快和完善政务云集中灾备服务建设，实现统一管理、统一运维、安全备份和集中演练,保障湖州市政务云业务系统数据安全，同时满足政务云灾备的合规性要求。</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二、服务需求清单</w:t>
      </w:r>
    </w:p>
    <w:tbl>
      <w:tblPr>
        <w:tblStyle w:val="33"/>
        <w:tblW w:w="99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276"/>
        <w:gridCol w:w="3686"/>
        <w:gridCol w:w="1417"/>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6"/>
            <w:vAlign w:val="center"/>
          </w:tcPr>
          <w:p>
            <w:pPr>
              <w:pStyle w:val="62"/>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一、政务云灾备服务清单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1276"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灾备对象</w:t>
            </w:r>
          </w:p>
        </w:tc>
        <w:tc>
          <w:tcPr>
            <w:tcW w:w="3686"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灾备模式</w:t>
            </w:r>
          </w:p>
        </w:tc>
        <w:tc>
          <w:tcPr>
            <w:tcW w:w="1417" w:type="dxa"/>
            <w:vAlign w:val="center"/>
          </w:tcPr>
          <w:p>
            <w:pPr>
              <w:pStyle w:val="62"/>
              <w:ind w:firstLine="0" w:firstLineChars="0"/>
              <w:jc w:val="center"/>
              <w:rPr>
                <w:rFonts w:hint="eastAsia" w:ascii="仿宋" w:hAnsi="仿宋" w:eastAsia="仿宋" w:cs="仿宋"/>
                <w:iCs/>
                <w:kern w:val="0"/>
                <w:sz w:val="21"/>
                <w:szCs w:val="21"/>
              </w:rPr>
            </w:pPr>
            <w:r>
              <w:rPr>
                <w:rFonts w:hint="eastAsia" w:ascii="仿宋" w:hAnsi="仿宋" w:eastAsia="仿宋" w:cs="仿宋"/>
                <w:iCs/>
                <w:kern w:val="0"/>
                <w:sz w:val="21"/>
                <w:szCs w:val="21"/>
              </w:rPr>
              <w:t>备份软件授权服务费最高限价（元）</w:t>
            </w:r>
          </w:p>
        </w:tc>
        <w:tc>
          <w:tcPr>
            <w:tcW w:w="1559" w:type="dxa"/>
          </w:tcPr>
          <w:p>
            <w:pPr>
              <w:pStyle w:val="62"/>
              <w:ind w:firstLine="0" w:firstLineChars="0"/>
              <w:jc w:val="center"/>
              <w:rPr>
                <w:rFonts w:hint="eastAsia" w:ascii="仿宋" w:hAnsi="仿宋" w:eastAsia="仿宋" w:cs="仿宋"/>
                <w:iCs/>
                <w:kern w:val="0"/>
                <w:sz w:val="21"/>
                <w:szCs w:val="21"/>
              </w:rPr>
            </w:pPr>
            <w:r>
              <w:rPr>
                <w:rFonts w:hint="eastAsia" w:ascii="仿宋" w:hAnsi="仿宋" w:eastAsia="仿宋" w:cs="仿宋"/>
                <w:iCs/>
                <w:kern w:val="0"/>
                <w:sz w:val="21"/>
                <w:szCs w:val="21"/>
              </w:rPr>
              <w:t>备份容量（压缩后每100G）服务费最高限价（元）</w:t>
            </w:r>
          </w:p>
        </w:tc>
        <w:tc>
          <w:tcPr>
            <w:tcW w:w="1418"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计费单位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76"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全系统（ECS）</w:t>
            </w:r>
          </w:p>
        </w:tc>
        <w:tc>
          <w:tcPr>
            <w:tcW w:w="3686"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定时备份:</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包含操作系统、文件、数据库等定时备份，7*24小时不间断运行；</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合并周期1个月，提供周期性备份报告。</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color w:val="000000" w:themeColor="text1"/>
                <w:kern w:val="0"/>
                <w:sz w:val="21"/>
                <w:szCs w:val="21"/>
                <w14:textFill>
                  <w14:solidFill>
                    <w14:schemeClr w14:val="tx1"/>
                  </w14:solidFill>
                </w14:textFill>
              </w:rPr>
              <w:t>需支持湖州市信创云</w:t>
            </w:r>
            <w:r>
              <w:rPr>
                <w:rFonts w:hint="eastAsia" w:ascii="仿宋" w:hAnsi="仿宋" w:eastAsia="仿宋" w:cs="仿宋"/>
                <w:kern w:val="0"/>
                <w:sz w:val="21"/>
                <w:szCs w:val="21"/>
              </w:rPr>
              <w:t>ECS</w:t>
            </w:r>
            <w:r>
              <w:rPr>
                <w:rFonts w:hint="eastAsia" w:ascii="仿宋" w:hAnsi="仿宋" w:eastAsia="仿宋" w:cs="仿宋"/>
                <w:color w:val="000000" w:themeColor="text1"/>
                <w:kern w:val="0"/>
                <w:sz w:val="21"/>
                <w:szCs w:val="21"/>
                <w14:textFill>
                  <w14:solidFill>
                    <w14:schemeClr w14:val="tx1"/>
                  </w14:solidFill>
                </w14:textFill>
              </w:rPr>
              <w:t>备份。</w:t>
            </w:r>
          </w:p>
        </w:tc>
        <w:tc>
          <w:tcPr>
            <w:tcW w:w="1417" w:type="dxa"/>
            <w:vAlign w:val="center"/>
          </w:tcPr>
          <w:p>
            <w:pPr>
              <w:pStyle w:val="62"/>
              <w:ind w:firstLine="0" w:firstLineChars="0"/>
              <w:jc w:val="center"/>
              <w:rPr>
                <w:rFonts w:hint="eastAsia" w:ascii="仿宋" w:hAnsi="仿宋" w:eastAsia="仿宋" w:cs="仿宋"/>
                <w:kern w:val="0"/>
                <w:sz w:val="24"/>
              </w:rPr>
            </w:pPr>
            <w:r>
              <w:rPr>
                <w:rFonts w:hint="eastAsia" w:ascii="仿宋" w:hAnsi="仿宋" w:eastAsia="仿宋" w:cs="仿宋"/>
                <w:kern w:val="0"/>
                <w:sz w:val="24"/>
              </w:rPr>
              <w:t>58</w:t>
            </w:r>
          </w:p>
        </w:tc>
        <w:tc>
          <w:tcPr>
            <w:tcW w:w="1559" w:type="dxa"/>
            <w:vAlign w:val="center"/>
          </w:tcPr>
          <w:p>
            <w:pPr>
              <w:pStyle w:val="62"/>
              <w:ind w:firstLine="0" w:firstLineChars="0"/>
              <w:jc w:val="center"/>
              <w:rPr>
                <w:rFonts w:hint="eastAsia" w:ascii="仿宋" w:hAnsi="仿宋" w:eastAsia="仿宋" w:cs="仿宋"/>
                <w:kern w:val="0"/>
                <w:sz w:val="24"/>
              </w:rPr>
            </w:pPr>
            <w:r>
              <w:rPr>
                <w:rFonts w:hint="eastAsia" w:ascii="仿宋" w:hAnsi="仿宋" w:eastAsia="仿宋" w:cs="仿宋"/>
                <w:kern w:val="0"/>
                <w:sz w:val="24"/>
              </w:rPr>
              <w:t>32</w:t>
            </w:r>
          </w:p>
        </w:tc>
        <w:tc>
          <w:tcPr>
            <w:tcW w:w="1418"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76"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数据库（RDS）</w:t>
            </w:r>
          </w:p>
        </w:tc>
        <w:tc>
          <w:tcPr>
            <w:tcW w:w="3686"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定时备份：</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数据库定时备份；</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支持异机、原机恢复，支持恢复到任意备份点；</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合并周期1个月，提供周期性备份报告。</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color w:val="000000" w:themeColor="text1"/>
                <w:kern w:val="0"/>
                <w:sz w:val="21"/>
                <w:szCs w:val="21"/>
                <w14:textFill>
                  <w14:solidFill>
                    <w14:schemeClr w14:val="tx1"/>
                  </w14:solidFill>
                </w14:textFill>
              </w:rPr>
              <w:t>需支持湖州市信创云</w:t>
            </w:r>
            <w:r>
              <w:rPr>
                <w:rFonts w:hint="eastAsia" w:ascii="仿宋" w:hAnsi="仿宋" w:eastAsia="仿宋" w:cs="仿宋"/>
                <w:kern w:val="0"/>
                <w:sz w:val="21"/>
                <w:szCs w:val="21"/>
              </w:rPr>
              <w:t>RDS</w:t>
            </w:r>
            <w:r>
              <w:rPr>
                <w:rFonts w:hint="eastAsia" w:ascii="仿宋" w:hAnsi="仿宋" w:eastAsia="仿宋" w:cs="仿宋"/>
                <w:color w:val="000000" w:themeColor="text1"/>
                <w:kern w:val="0"/>
                <w:sz w:val="21"/>
                <w:szCs w:val="21"/>
                <w14:textFill>
                  <w14:solidFill>
                    <w14:schemeClr w14:val="tx1"/>
                  </w14:solidFill>
                </w14:textFill>
              </w:rPr>
              <w:t>备份。</w:t>
            </w:r>
          </w:p>
        </w:tc>
        <w:tc>
          <w:tcPr>
            <w:tcW w:w="1417" w:type="dxa"/>
            <w:vAlign w:val="center"/>
          </w:tcPr>
          <w:p>
            <w:pPr>
              <w:pStyle w:val="62"/>
              <w:ind w:firstLine="0" w:firstLineChars="0"/>
              <w:jc w:val="center"/>
              <w:rPr>
                <w:rFonts w:hint="eastAsia" w:ascii="仿宋" w:hAnsi="仿宋" w:eastAsia="仿宋" w:cs="仿宋"/>
                <w:kern w:val="0"/>
                <w:sz w:val="24"/>
              </w:rPr>
            </w:pPr>
            <w:r>
              <w:rPr>
                <w:rFonts w:hint="eastAsia" w:ascii="仿宋" w:hAnsi="仿宋" w:eastAsia="仿宋" w:cs="仿宋"/>
                <w:kern w:val="0"/>
                <w:sz w:val="24"/>
              </w:rPr>
              <w:t>265</w:t>
            </w:r>
          </w:p>
        </w:tc>
        <w:tc>
          <w:tcPr>
            <w:tcW w:w="1559" w:type="dxa"/>
            <w:vAlign w:val="center"/>
          </w:tcPr>
          <w:p>
            <w:pPr>
              <w:pStyle w:val="62"/>
              <w:ind w:firstLine="0" w:firstLineChars="0"/>
              <w:jc w:val="center"/>
              <w:rPr>
                <w:rFonts w:hint="eastAsia" w:ascii="仿宋" w:hAnsi="仿宋" w:eastAsia="仿宋" w:cs="仿宋"/>
                <w:kern w:val="0"/>
                <w:sz w:val="24"/>
              </w:rPr>
            </w:pPr>
            <w:r>
              <w:rPr>
                <w:rFonts w:hint="eastAsia" w:ascii="仿宋" w:hAnsi="仿宋" w:eastAsia="仿宋" w:cs="仿宋"/>
                <w:kern w:val="0"/>
                <w:sz w:val="24"/>
              </w:rPr>
              <w:t>32</w:t>
            </w:r>
          </w:p>
        </w:tc>
        <w:tc>
          <w:tcPr>
            <w:tcW w:w="1418"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实例·月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3</w:t>
            </w:r>
          </w:p>
        </w:tc>
        <w:tc>
          <w:tcPr>
            <w:tcW w:w="1276"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对象存储（OSS）</w:t>
            </w:r>
          </w:p>
        </w:tc>
        <w:tc>
          <w:tcPr>
            <w:tcW w:w="3686" w:type="dxa"/>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定时备份：</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包含操作系统、文件等备份；</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备份策略：第一次全备，其他全增量模式；</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备份数据存储于专用备份存储上,提供周期性备份报告。</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color w:val="000000" w:themeColor="text1"/>
                <w:kern w:val="0"/>
                <w:sz w:val="21"/>
                <w:szCs w:val="21"/>
                <w14:textFill>
                  <w14:solidFill>
                    <w14:schemeClr w14:val="tx1"/>
                  </w14:solidFill>
                </w14:textFill>
              </w:rPr>
              <w:t>需支持湖州市信创云</w:t>
            </w:r>
            <w:r>
              <w:rPr>
                <w:rFonts w:hint="eastAsia" w:ascii="仿宋" w:hAnsi="仿宋" w:eastAsia="仿宋" w:cs="仿宋"/>
                <w:kern w:val="0"/>
                <w:sz w:val="21"/>
                <w:szCs w:val="21"/>
              </w:rPr>
              <w:t>OSS</w:t>
            </w:r>
            <w:r>
              <w:rPr>
                <w:rFonts w:hint="eastAsia" w:ascii="仿宋" w:hAnsi="仿宋" w:eastAsia="仿宋" w:cs="仿宋"/>
                <w:color w:val="000000" w:themeColor="text1"/>
                <w:kern w:val="0"/>
                <w:sz w:val="21"/>
                <w:szCs w:val="21"/>
                <w14:textFill>
                  <w14:solidFill>
                    <w14:schemeClr w14:val="tx1"/>
                  </w14:solidFill>
                </w14:textFill>
              </w:rPr>
              <w:t>备份。</w:t>
            </w:r>
          </w:p>
        </w:tc>
        <w:tc>
          <w:tcPr>
            <w:tcW w:w="1417" w:type="dxa"/>
            <w:vAlign w:val="center"/>
          </w:tcPr>
          <w:p>
            <w:pPr>
              <w:pStyle w:val="62"/>
              <w:ind w:firstLine="0" w:firstLineChars="0"/>
              <w:jc w:val="center"/>
              <w:rPr>
                <w:rFonts w:hint="eastAsia" w:ascii="仿宋" w:hAnsi="仿宋" w:eastAsia="仿宋" w:cs="仿宋"/>
                <w:kern w:val="0"/>
                <w:sz w:val="24"/>
              </w:rPr>
            </w:pPr>
            <w:r>
              <w:rPr>
                <w:rFonts w:hint="eastAsia" w:ascii="仿宋" w:hAnsi="仿宋" w:eastAsia="仿宋" w:cs="仿宋"/>
                <w:kern w:val="0"/>
                <w:sz w:val="24"/>
              </w:rPr>
              <w:t>58</w:t>
            </w:r>
          </w:p>
        </w:tc>
        <w:tc>
          <w:tcPr>
            <w:tcW w:w="1559" w:type="dxa"/>
            <w:vAlign w:val="center"/>
          </w:tcPr>
          <w:p>
            <w:pPr>
              <w:pStyle w:val="62"/>
              <w:ind w:firstLine="0" w:firstLineChars="0"/>
              <w:jc w:val="center"/>
              <w:rPr>
                <w:rFonts w:hint="eastAsia" w:ascii="仿宋" w:hAnsi="仿宋" w:eastAsia="仿宋" w:cs="仿宋"/>
                <w:kern w:val="0"/>
                <w:sz w:val="24"/>
              </w:rPr>
            </w:pPr>
            <w:r>
              <w:rPr>
                <w:rFonts w:hint="eastAsia" w:ascii="仿宋" w:hAnsi="仿宋" w:eastAsia="仿宋" w:cs="仿宋"/>
                <w:kern w:val="0"/>
                <w:sz w:val="24"/>
              </w:rPr>
              <w:t>32</w:t>
            </w:r>
          </w:p>
        </w:tc>
        <w:tc>
          <w:tcPr>
            <w:tcW w:w="1418"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pStyle w:val="62"/>
              <w:ind w:firstLine="0" w:firstLineChars="0"/>
              <w:jc w:val="center"/>
              <w:rPr>
                <w:rFonts w:hint="eastAsia" w:ascii="仿宋" w:hAnsi="仿宋" w:eastAsia="仿宋" w:cs="仿宋"/>
                <w:kern w:val="0"/>
                <w:sz w:val="20"/>
                <w:szCs w:val="21"/>
              </w:rPr>
            </w:pPr>
            <w:r>
              <w:rPr>
                <w:rFonts w:hint="eastAsia" w:ascii="仿宋" w:hAnsi="仿宋" w:eastAsia="仿宋" w:cs="仿宋"/>
                <w:kern w:val="0"/>
                <w:sz w:val="20"/>
                <w:szCs w:val="21"/>
              </w:rPr>
              <w:t>4</w:t>
            </w:r>
          </w:p>
        </w:tc>
        <w:tc>
          <w:tcPr>
            <w:tcW w:w="1276" w:type="dxa"/>
            <w:vAlign w:val="center"/>
          </w:tcPr>
          <w:p>
            <w:pPr>
              <w:rPr>
                <w:rFonts w:hint="eastAsia" w:ascii="仿宋" w:hAnsi="仿宋" w:eastAsia="仿宋" w:cs="仿宋"/>
                <w:kern w:val="0"/>
                <w:sz w:val="20"/>
                <w:szCs w:val="21"/>
              </w:rPr>
            </w:pPr>
            <w:r>
              <w:rPr>
                <w:rFonts w:hint="eastAsia" w:ascii="仿宋" w:hAnsi="仿宋" w:eastAsia="仿宋" w:cs="仿宋"/>
                <w:kern w:val="0"/>
                <w:sz w:val="21"/>
                <w:szCs w:val="21"/>
              </w:rPr>
              <w:t>异地备份</w:t>
            </w:r>
          </w:p>
        </w:tc>
        <w:tc>
          <w:tcPr>
            <w:tcW w:w="3686" w:type="dxa"/>
            <w:vAlign w:val="center"/>
          </w:tcPr>
          <w:p>
            <w:pPr>
              <w:widowControl/>
              <w:jc w:val="center"/>
              <w:rPr>
                <w:rFonts w:hint="eastAsia" w:ascii="仿宋" w:hAnsi="仿宋" w:eastAsia="仿宋" w:cs="仿宋"/>
                <w:b/>
                <w:bCs/>
                <w:kern w:val="0"/>
                <w:sz w:val="20"/>
                <w:szCs w:val="21"/>
              </w:rPr>
            </w:pPr>
            <w:r>
              <w:rPr>
                <w:rFonts w:hint="eastAsia" w:ascii="仿宋" w:hAnsi="仿宋" w:eastAsia="仿宋" w:cs="仿宋"/>
                <w:b/>
                <w:bCs/>
                <w:kern w:val="0"/>
                <w:sz w:val="20"/>
                <w:szCs w:val="21"/>
              </w:rPr>
              <w:t>异地归档：</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包含存储池、单任务、单资源（ECS/RDS/OSS等）；</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归档策略：支持按存储池、按单个任务或按资源等方式归档；</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 备份数据存储于省异地灾备中心存储上,提供周期性备份报告。</w:t>
            </w:r>
          </w:p>
          <w:p>
            <w:pPr>
              <w:numPr>
                <w:ilvl w:val="0"/>
                <w:numId w:val="2"/>
              </w:numPr>
              <w:ind w:left="0" w:firstLine="0"/>
              <w:jc w:val="left"/>
              <w:rPr>
                <w:rFonts w:hint="eastAsia" w:ascii="仿宋" w:hAnsi="仿宋" w:eastAsia="仿宋" w:cs="仿宋"/>
                <w:kern w:val="0"/>
                <w:sz w:val="20"/>
              </w:rPr>
            </w:pPr>
            <w:r>
              <w:rPr>
                <w:rFonts w:hint="eastAsia" w:ascii="仿宋" w:hAnsi="仿宋" w:eastAsia="仿宋" w:cs="仿宋"/>
                <w:kern w:val="0"/>
                <w:sz w:val="21"/>
                <w:szCs w:val="21"/>
              </w:rPr>
              <w:t>需支持湖州市信创云OSS备份。</w:t>
            </w:r>
          </w:p>
        </w:tc>
        <w:tc>
          <w:tcPr>
            <w:tcW w:w="1417" w:type="dxa"/>
            <w:vAlign w:val="center"/>
          </w:tcPr>
          <w:p>
            <w:pPr>
              <w:pStyle w:val="62"/>
              <w:ind w:firstLine="0" w:firstLineChars="0"/>
              <w:jc w:val="center"/>
              <w:rPr>
                <w:rFonts w:hint="eastAsia" w:ascii="仿宋" w:hAnsi="仿宋" w:eastAsia="仿宋" w:cs="仿宋"/>
                <w:kern w:val="0"/>
                <w:sz w:val="24"/>
              </w:rPr>
            </w:pPr>
            <w:r>
              <w:rPr>
                <w:rFonts w:hint="eastAsia" w:ascii="仿宋" w:hAnsi="仿宋" w:eastAsia="仿宋" w:cs="仿宋"/>
                <w:kern w:val="0"/>
                <w:sz w:val="24"/>
              </w:rPr>
              <w:t>46</w:t>
            </w:r>
          </w:p>
        </w:tc>
        <w:tc>
          <w:tcPr>
            <w:tcW w:w="1559" w:type="dxa"/>
            <w:vAlign w:val="center"/>
          </w:tcPr>
          <w:p>
            <w:pPr>
              <w:pStyle w:val="62"/>
              <w:ind w:firstLine="0" w:firstLineChars="0"/>
              <w:jc w:val="center"/>
              <w:rPr>
                <w:rFonts w:hint="eastAsia" w:ascii="仿宋" w:hAnsi="仿宋" w:eastAsia="仿宋" w:cs="仿宋"/>
                <w:kern w:val="0"/>
                <w:sz w:val="24"/>
              </w:rPr>
            </w:pPr>
            <w:r>
              <w:rPr>
                <w:rFonts w:hint="eastAsia" w:ascii="仿宋" w:hAnsi="仿宋" w:eastAsia="仿宋" w:cs="仿宋"/>
                <w:kern w:val="0"/>
                <w:sz w:val="24"/>
              </w:rPr>
              <w:t>26</w:t>
            </w:r>
          </w:p>
        </w:tc>
        <w:tc>
          <w:tcPr>
            <w:tcW w:w="1418" w:type="dxa"/>
            <w:vAlign w:val="center"/>
          </w:tcPr>
          <w:p>
            <w:pPr>
              <w:pStyle w:val="62"/>
              <w:ind w:firstLine="0" w:firstLineChars="0"/>
              <w:jc w:val="center"/>
              <w:rPr>
                <w:rFonts w:hint="eastAsia" w:ascii="仿宋" w:hAnsi="仿宋" w:eastAsia="仿宋" w:cs="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gridSpan w:val="6"/>
            <w:vAlign w:val="center"/>
          </w:tcPr>
          <w:p>
            <w:pPr>
              <w:pStyle w:val="62"/>
              <w:ind w:firstLine="0" w:firstLineChars="0"/>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二、政务云灾备增值服务清单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序号</w:t>
            </w:r>
          </w:p>
        </w:tc>
        <w:tc>
          <w:tcPr>
            <w:tcW w:w="1276"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服务项</w:t>
            </w:r>
          </w:p>
        </w:tc>
        <w:tc>
          <w:tcPr>
            <w:tcW w:w="3686"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服务内容</w:t>
            </w:r>
          </w:p>
        </w:tc>
        <w:tc>
          <w:tcPr>
            <w:tcW w:w="1417"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数量</w:t>
            </w:r>
          </w:p>
        </w:tc>
        <w:tc>
          <w:tcPr>
            <w:tcW w:w="1559"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服务费最高限价（元）</w:t>
            </w:r>
          </w:p>
        </w:tc>
        <w:tc>
          <w:tcPr>
            <w:tcW w:w="1418"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计费单位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1276"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云灾备系统监控模块增值服务</w:t>
            </w:r>
          </w:p>
        </w:tc>
        <w:tc>
          <w:tcPr>
            <w:tcW w:w="3686" w:type="dxa"/>
            <w:vAlign w:val="center"/>
          </w:tcPr>
          <w:p>
            <w:pPr>
              <w:rPr>
                <w:rFonts w:hint="eastAsia" w:ascii="仿宋" w:hAnsi="仿宋" w:eastAsia="仿宋" w:cs="仿宋"/>
                <w:kern w:val="2"/>
                <w:sz w:val="21"/>
                <w:szCs w:val="21"/>
              </w:rPr>
            </w:pPr>
            <w:r>
              <w:rPr>
                <w:rFonts w:hint="eastAsia" w:ascii="仿宋" w:hAnsi="仿宋" w:eastAsia="仿宋" w:cs="仿宋"/>
                <w:kern w:val="2"/>
                <w:sz w:val="21"/>
                <w:szCs w:val="21"/>
              </w:rPr>
              <w:t>根据运维管理要求，对现有灾备服务平台运行情况进行统计并可针对性进行监控告警发送：</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按部门统计任务执行情况，按月统计任务成功失败情况；</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按需对重要的任务或全部任务进行监控并在发生异常时按天进行告警，告警发送至上云部门管理员；</w:t>
            </w:r>
          </w:p>
          <w:p>
            <w:pPr>
              <w:numPr>
                <w:ilvl w:val="0"/>
                <w:numId w:val="2"/>
              </w:numPr>
              <w:ind w:left="0" w:firstLine="0"/>
              <w:jc w:val="left"/>
              <w:rPr>
                <w:rFonts w:hint="eastAsia" w:ascii="仿宋" w:hAnsi="仿宋" w:eastAsia="仿宋" w:cs="仿宋"/>
                <w:b/>
                <w:bCs/>
                <w:kern w:val="0"/>
                <w:sz w:val="21"/>
                <w:szCs w:val="21"/>
              </w:rPr>
            </w:pPr>
            <w:r>
              <w:rPr>
                <w:rFonts w:hint="eastAsia" w:ascii="仿宋" w:hAnsi="仿宋" w:eastAsia="仿宋" w:cs="仿宋"/>
                <w:kern w:val="0"/>
                <w:sz w:val="21"/>
                <w:szCs w:val="21"/>
              </w:rPr>
              <w:t>需对接湖州市安全运营中心，提供云灾备系统监控数据。</w:t>
            </w:r>
          </w:p>
        </w:tc>
        <w:tc>
          <w:tcPr>
            <w:tcW w:w="1417" w:type="dxa"/>
            <w:vAlign w:val="center"/>
          </w:tcPr>
          <w:p>
            <w:pPr>
              <w:pStyle w:val="62"/>
              <w:ind w:firstLine="0" w:firstLineChars="0"/>
              <w:jc w:val="center"/>
              <w:rPr>
                <w:rFonts w:hint="eastAsia" w:ascii="仿宋" w:hAnsi="仿宋" w:eastAsia="仿宋" w:cs="仿宋"/>
                <w:kern w:val="0"/>
                <w:sz w:val="24"/>
              </w:rPr>
            </w:pPr>
            <w:r>
              <w:rPr>
                <w:rFonts w:hint="eastAsia" w:ascii="仿宋" w:hAnsi="仿宋" w:eastAsia="仿宋" w:cs="仿宋"/>
                <w:kern w:val="0"/>
                <w:sz w:val="24"/>
              </w:rPr>
              <w:t>1</w:t>
            </w:r>
          </w:p>
        </w:tc>
        <w:tc>
          <w:tcPr>
            <w:tcW w:w="1559" w:type="dxa"/>
            <w:vAlign w:val="center"/>
          </w:tcPr>
          <w:p>
            <w:pPr>
              <w:pStyle w:val="62"/>
              <w:ind w:firstLine="0" w:firstLineChars="0"/>
              <w:jc w:val="center"/>
              <w:rPr>
                <w:rFonts w:hint="eastAsia" w:ascii="仿宋" w:hAnsi="仿宋" w:eastAsia="仿宋" w:cs="仿宋"/>
                <w:kern w:val="0"/>
                <w:sz w:val="24"/>
              </w:rPr>
            </w:pPr>
            <w:r>
              <w:rPr>
                <w:rFonts w:hint="eastAsia" w:ascii="仿宋" w:hAnsi="仿宋" w:eastAsia="仿宋" w:cs="仿宋"/>
                <w:kern w:val="0"/>
                <w:sz w:val="24"/>
              </w:rPr>
              <w:t>2500</w:t>
            </w:r>
          </w:p>
        </w:tc>
        <w:tc>
          <w:tcPr>
            <w:tcW w:w="1418"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Align w:val="center"/>
          </w:tcPr>
          <w:p>
            <w:pPr>
              <w:pStyle w:val="62"/>
              <w:ind w:firstLine="0" w:firstLineChars="0"/>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1276" w:type="dxa"/>
            <w:vAlign w:val="center"/>
          </w:tcPr>
          <w:p>
            <w:pPr>
              <w:rPr>
                <w:rFonts w:hint="eastAsia" w:ascii="仿宋" w:hAnsi="仿宋" w:eastAsia="仿宋" w:cs="仿宋"/>
                <w:kern w:val="0"/>
                <w:sz w:val="21"/>
                <w:szCs w:val="21"/>
              </w:rPr>
            </w:pPr>
            <w:r>
              <w:rPr>
                <w:rFonts w:hint="eastAsia" w:ascii="仿宋" w:hAnsi="仿宋" w:eastAsia="仿宋" w:cs="仿宋"/>
                <w:kern w:val="0"/>
                <w:sz w:val="21"/>
                <w:szCs w:val="21"/>
              </w:rPr>
              <w:t>信创云备份管理系统模块增值服务</w:t>
            </w:r>
          </w:p>
        </w:tc>
        <w:tc>
          <w:tcPr>
            <w:tcW w:w="3686" w:type="dxa"/>
            <w:vAlign w:val="center"/>
          </w:tcPr>
          <w:p>
            <w:pPr>
              <w:pStyle w:val="71"/>
              <w:ind w:firstLine="0" w:firstLineChars="0"/>
              <w:jc w:val="left"/>
              <w:rPr>
                <w:rFonts w:hint="eastAsia" w:ascii="仿宋" w:hAnsi="仿宋" w:eastAsia="仿宋" w:cs="仿宋"/>
                <w:kern w:val="0"/>
                <w:sz w:val="21"/>
                <w:szCs w:val="21"/>
              </w:rPr>
            </w:pPr>
            <w:r>
              <w:rPr>
                <w:rFonts w:hint="eastAsia" w:ascii="仿宋" w:hAnsi="仿宋" w:eastAsia="仿宋" w:cs="仿宋"/>
                <w:kern w:val="0"/>
                <w:sz w:val="21"/>
                <w:szCs w:val="21"/>
              </w:rPr>
              <w:t>根据湖州信创云的实际需求，本次增加信创云备份系统服务模块，该服务模块基于原灾备服务平台基础上额外增加，需提供以下服务能力：</w:t>
            </w:r>
          </w:p>
          <w:p>
            <w:pPr>
              <w:numPr>
                <w:ilvl w:val="0"/>
                <w:numId w:val="2"/>
              </w:numPr>
              <w:ind w:left="0" w:firstLine="0"/>
              <w:jc w:val="left"/>
              <w:rPr>
                <w:rFonts w:hint="eastAsia" w:ascii="仿宋" w:hAnsi="仿宋" w:eastAsia="仿宋" w:cs="仿宋"/>
                <w:kern w:val="0"/>
                <w:sz w:val="21"/>
                <w:szCs w:val="21"/>
              </w:rPr>
            </w:pPr>
            <w:bookmarkStart w:id="50" w:name="_Hlk111989976"/>
            <w:r>
              <w:rPr>
                <w:rFonts w:hint="eastAsia" w:ascii="仿宋" w:hAnsi="仿宋" w:eastAsia="仿宋" w:cs="仿宋"/>
                <w:kern w:val="0"/>
                <w:sz w:val="21"/>
                <w:szCs w:val="21"/>
              </w:rPr>
              <w:t>独立信创云资源管理服务：根据湖州市信创云平台内的操作系统版本和内核等相关信息，建立底层资料库，从而扩展客户端的发现、注册、信息采集和归类等功能服务；</w:t>
            </w:r>
          </w:p>
          <w:p>
            <w:pPr>
              <w:numPr>
                <w:ilvl w:val="0"/>
                <w:numId w:val="2"/>
              </w:numPr>
              <w:ind w:left="0" w:firstLine="0"/>
              <w:jc w:val="left"/>
              <w:rPr>
                <w:rFonts w:hint="eastAsia" w:ascii="仿宋" w:hAnsi="仿宋" w:eastAsia="仿宋" w:cs="仿宋"/>
                <w:kern w:val="0"/>
                <w:sz w:val="21"/>
                <w:szCs w:val="21"/>
              </w:rPr>
            </w:pPr>
            <w:r>
              <w:rPr>
                <w:rFonts w:hint="eastAsia" w:ascii="仿宋" w:hAnsi="仿宋" w:eastAsia="仿宋" w:cs="仿宋"/>
                <w:kern w:val="0"/>
                <w:sz w:val="21"/>
                <w:szCs w:val="21"/>
              </w:rPr>
              <w:t>独立信创存储资源管理服务：湖州市信创云平台内的操作系统版本和内核等兼容情况，调整备份存储池相应接口和传输协议；独立提供基于国密算法的存储资源池服务。</w:t>
            </w:r>
          </w:p>
          <w:p>
            <w:pPr>
              <w:numPr>
                <w:ilvl w:val="0"/>
                <w:numId w:val="2"/>
              </w:numPr>
              <w:ind w:left="0" w:firstLine="0"/>
              <w:jc w:val="left"/>
              <w:rPr>
                <w:rFonts w:hint="eastAsia" w:ascii="仿宋" w:hAnsi="仿宋" w:eastAsia="仿宋" w:cs="仿宋"/>
                <w:kern w:val="0"/>
                <w:sz w:val="20"/>
              </w:rPr>
            </w:pPr>
            <w:r>
              <w:rPr>
                <w:rFonts w:hint="eastAsia" w:ascii="仿宋" w:hAnsi="仿宋" w:eastAsia="仿宋" w:cs="仿宋"/>
                <w:kern w:val="0"/>
                <w:sz w:val="21"/>
                <w:szCs w:val="21"/>
              </w:rPr>
              <w:t>独立信创备份任务管理服务：针对信创云平台独立设定任务管理模块，提供对信创备份任务的独立管理服务。</w:t>
            </w:r>
            <w:bookmarkEnd w:id="50"/>
          </w:p>
        </w:tc>
        <w:tc>
          <w:tcPr>
            <w:tcW w:w="1417" w:type="dxa"/>
            <w:vAlign w:val="center"/>
          </w:tcPr>
          <w:p>
            <w:pPr>
              <w:pStyle w:val="62"/>
              <w:ind w:firstLine="0" w:firstLineChars="0"/>
              <w:jc w:val="center"/>
              <w:rPr>
                <w:rFonts w:hint="eastAsia" w:ascii="仿宋" w:hAnsi="仿宋" w:eastAsia="仿宋" w:cs="仿宋"/>
                <w:kern w:val="0"/>
                <w:sz w:val="24"/>
              </w:rPr>
            </w:pPr>
            <w:r>
              <w:rPr>
                <w:rFonts w:hint="eastAsia" w:ascii="仿宋" w:hAnsi="仿宋" w:eastAsia="仿宋" w:cs="仿宋"/>
                <w:kern w:val="0"/>
                <w:sz w:val="24"/>
              </w:rPr>
              <w:t>1</w:t>
            </w:r>
          </w:p>
        </w:tc>
        <w:tc>
          <w:tcPr>
            <w:tcW w:w="1559" w:type="dxa"/>
            <w:vAlign w:val="center"/>
          </w:tcPr>
          <w:p>
            <w:pPr>
              <w:pStyle w:val="62"/>
              <w:ind w:firstLine="0" w:firstLineChars="0"/>
              <w:jc w:val="center"/>
              <w:rPr>
                <w:rFonts w:hint="eastAsia" w:ascii="仿宋" w:hAnsi="仿宋" w:eastAsia="仿宋" w:cs="仿宋"/>
                <w:kern w:val="0"/>
                <w:sz w:val="24"/>
              </w:rPr>
            </w:pPr>
            <w:r>
              <w:rPr>
                <w:rFonts w:hint="eastAsia" w:ascii="仿宋" w:hAnsi="仿宋" w:eastAsia="仿宋" w:cs="仿宋"/>
                <w:kern w:val="0"/>
                <w:sz w:val="24"/>
              </w:rPr>
              <w:t>5000</w:t>
            </w:r>
          </w:p>
        </w:tc>
        <w:tc>
          <w:tcPr>
            <w:tcW w:w="1418" w:type="dxa"/>
            <w:vAlign w:val="center"/>
          </w:tcPr>
          <w:p>
            <w:pPr>
              <w:pStyle w:val="62"/>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每月</w:t>
            </w:r>
          </w:p>
        </w:tc>
      </w:tr>
    </w:tbl>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三、服务技术要求</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eastAsia="zh-CN"/>
        </w:rPr>
        <w:t>（一）</w:t>
      </w:r>
      <w:r>
        <w:rPr>
          <w:rFonts w:hint="eastAsia" w:ascii="仿宋" w:hAnsi="仿宋" w:eastAsia="仿宋" w:cs="仿宋"/>
          <w:b/>
          <w:bCs/>
          <w:sz w:val="28"/>
          <w:szCs w:val="28"/>
        </w:rPr>
        <w:t>政务云灾备服务要求</w:t>
      </w: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全系统（ECS）灾备服务</w:t>
      </w:r>
    </w:p>
    <w:tbl>
      <w:tblPr>
        <w:tblStyle w:val="3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b/>
                <w:bCs/>
                <w:szCs w:val="21"/>
              </w:rPr>
            </w:pPr>
            <w:r>
              <w:rPr>
                <w:rFonts w:hint="eastAsia" w:ascii="仿宋" w:hAnsi="仿宋" w:eastAsia="仿宋" w:cs="仿宋"/>
                <w:b/>
                <w:bCs/>
                <w:szCs w:val="21"/>
              </w:rPr>
              <w:t>指标项</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b/>
                <w:bCs/>
                <w:szCs w:val="21"/>
              </w:rPr>
            </w:pPr>
            <w:r>
              <w:rPr>
                <w:rFonts w:hint="eastAsia" w:ascii="仿宋" w:hAnsi="仿宋" w:eastAsia="仿宋" w:cs="仿宋"/>
                <w:b/>
                <w:bCs/>
                <w:szCs w:val="21"/>
              </w:rPr>
              <w:t>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灾备对象支持</w:t>
            </w:r>
          </w:p>
        </w:tc>
        <w:tc>
          <w:tcPr>
            <w:tcW w:w="6975" w:type="dxa"/>
            <w:tcBorders>
              <w:top w:val="single" w:color="auto" w:sz="4" w:space="0"/>
              <w:left w:val="single" w:color="auto" w:sz="4" w:space="0"/>
              <w:bottom w:val="single" w:color="auto" w:sz="4" w:space="0"/>
              <w:right w:val="single" w:color="auto" w:sz="4" w:space="0"/>
            </w:tcBorders>
            <w:shd w:val="clear" w:color="auto" w:fill="auto"/>
          </w:tcPr>
          <w:p>
            <w:pPr>
              <w:spacing w:line="440" w:lineRule="exact"/>
              <w:rPr>
                <w:rFonts w:hint="eastAsia" w:ascii="仿宋" w:hAnsi="仿宋" w:eastAsia="仿宋" w:cs="仿宋"/>
                <w:szCs w:val="21"/>
              </w:rPr>
            </w:pPr>
            <w:r>
              <w:rPr>
                <w:rFonts w:hint="eastAsia" w:ascii="仿宋" w:hAnsi="仿宋" w:eastAsia="仿宋" w:cs="仿宋"/>
                <w:szCs w:val="21"/>
              </w:rPr>
              <w:t>目前物理机系统、云上操作系统和未来的国产化操作系统及其上的应用和数据（OS+APP+DATA），包括单不限于： AliyunOS、CentOS、CoreOS、Debian、FreeBSD、Gentoo、OpenSUSE、Ubuntu、银河麒麟等各版本系统，支持云平台上自定义镜像Windows2008、Windows2012、Windows2016、Window2019全系列Microsoft Windows Server系统等各版本系统。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809" w:type="dxa"/>
            <w:vMerge w:val="restart"/>
            <w:tcBorders>
              <w:top w:val="nil"/>
              <w:left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灾备能力</w:t>
            </w:r>
          </w:p>
        </w:tc>
        <w:tc>
          <w:tcPr>
            <w:tcW w:w="6975" w:type="dxa"/>
            <w:tcBorders>
              <w:top w:val="single" w:color="auto" w:sz="4" w:space="0"/>
              <w:left w:val="single" w:color="auto" w:sz="4" w:space="0"/>
              <w:right w:val="single" w:color="auto" w:sz="4" w:space="0"/>
            </w:tcBorders>
            <w:shd w:val="clear" w:color="auto" w:fill="auto"/>
          </w:tcPr>
          <w:p>
            <w:pPr>
              <w:spacing w:line="440" w:lineRule="exact"/>
              <w:rPr>
                <w:rFonts w:hint="eastAsia" w:ascii="仿宋" w:hAnsi="仿宋" w:eastAsia="仿宋" w:cs="仿宋"/>
                <w:szCs w:val="21"/>
              </w:rPr>
            </w:pPr>
            <w:r>
              <w:rPr>
                <w:rFonts w:hint="eastAsia" w:ascii="仿宋" w:hAnsi="仿宋" w:eastAsia="仿宋" w:cs="仿宋"/>
                <w:kern w:val="0"/>
                <w:szCs w:val="21"/>
              </w:rPr>
              <w:t>★</w:t>
            </w:r>
            <w:r>
              <w:rPr>
                <w:rFonts w:hint="eastAsia" w:ascii="仿宋" w:hAnsi="仿宋" w:eastAsia="仿宋" w:cs="仿宋"/>
                <w:szCs w:val="21"/>
              </w:rPr>
              <w:t>支持块级整机备份，包括系统、应用、数据，处理有效数据块，跳开无效的数据块。兼容linux流的文件系统EXT2/3/4、XFS、ZFS、ReiserFS 等文件系统，支持windows NTFS文件系统, 提高备份效率；支持文件级备份，包括系统、应用、数据；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809" w:type="dxa"/>
            <w:vMerge w:val="continue"/>
            <w:tcBorders>
              <w:left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kern w:val="0"/>
                <w:szCs w:val="21"/>
              </w:rPr>
            </w:pPr>
          </w:p>
        </w:tc>
        <w:tc>
          <w:tcPr>
            <w:tcW w:w="6975" w:type="dxa"/>
            <w:tcBorders>
              <w:top w:val="single" w:color="auto" w:sz="4" w:space="0"/>
              <w:left w:val="single" w:color="auto" w:sz="4" w:space="0"/>
              <w:right w:val="single" w:color="auto" w:sz="4" w:space="0"/>
            </w:tcBorders>
            <w:shd w:val="clear" w:color="auto" w:fill="auto"/>
          </w:tcPr>
          <w:p>
            <w:pPr>
              <w:pStyle w:val="31"/>
              <w:spacing w:after="0" w:line="440" w:lineRule="exact"/>
              <w:ind w:firstLine="0" w:firstLineChars="0"/>
              <w:rPr>
                <w:rFonts w:hint="eastAsia" w:ascii="仿宋" w:hAnsi="仿宋" w:eastAsia="仿宋" w:cs="仿宋"/>
                <w:szCs w:val="21"/>
              </w:rPr>
            </w:pPr>
            <w:r>
              <w:rPr>
                <w:rFonts w:hint="eastAsia" w:ascii="仿宋" w:hAnsi="仿宋" w:eastAsia="仿宋" w:cs="仿宋"/>
                <w:szCs w:val="21"/>
              </w:rPr>
              <w:t>▲支持自定义排除备份文件或文件夹；支持备份前后脚本执行，支持自定义任务链；支持连续的作业计划，当一个备份完成立即开始新备份，以达到接近CDP级的数据保护；支持即时、循环和计划任务等多种模式；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809" w:type="dxa"/>
            <w:vMerge w:val="continue"/>
            <w:tcBorders>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kern w:val="0"/>
                <w:szCs w:val="21"/>
              </w:rPr>
            </w:pPr>
          </w:p>
        </w:tc>
        <w:tc>
          <w:tcPr>
            <w:tcW w:w="6975" w:type="dxa"/>
            <w:tcBorders>
              <w:top w:val="single" w:color="auto" w:sz="4" w:space="0"/>
              <w:left w:val="single" w:color="auto" w:sz="4" w:space="0"/>
              <w:right w:val="single" w:color="auto" w:sz="4" w:space="0"/>
            </w:tcBorders>
            <w:shd w:val="clear" w:color="auto" w:fill="auto"/>
          </w:tcPr>
          <w:p>
            <w:pPr>
              <w:spacing w:line="440" w:lineRule="exact"/>
              <w:rPr>
                <w:rFonts w:hint="eastAsia" w:ascii="仿宋" w:hAnsi="仿宋" w:eastAsia="仿宋" w:cs="仿宋"/>
                <w:szCs w:val="21"/>
              </w:rPr>
            </w:pPr>
            <w:r>
              <w:rPr>
                <w:rFonts w:hint="eastAsia" w:ascii="仿宋" w:hAnsi="仿宋" w:eastAsia="仿宋" w:cs="仿宋"/>
                <w:szCs w:val="21"/>
              </w:rPr>
              <w:t>支持备份数据防删改功能，可根据备份策略动态调整读写权限，支持只读，只写，可改等方式，有效保障备份数据的安全。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备份方式</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hint="eastAsia" w:ascii="仿宋" w:hAnsi="仿宋" w:eastAsia="仿宋" w:cs="仿宋"/>
                <w:szCs w:val="21"/>
              </w:rPr>
            </w:pPr>
            <w:r>
              <w:rPr>
                <w:rFonts w:hint="eastAsia" w:ascii="仿宋" w:hAnsi="仿宋" w:eastAsia="仿宋" w:cs="仿宋"/>
                <w:szCs w:val="21"/>
              </w:rPr>
              <w:t>支持全量、永久增量备份方式。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场景兼容</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hint="eastAsia" w:ascii="仿宋" w:hAnsi="仿宋" w:eastAsia="仿宋" w:cs="仿宋"/>
                <w:szCs w:val="21"/>
              </w:rPr>
            </w:pPr>
            <w:r>
              <w:rPr>
                <w:rFonts w:hint="eastAsia" w:ascii="仿宋" w:hAnsi="仿宋" w:eastAsia="仿宋" w:cs="仿宋"/>
                <w:szCs w:val="21"/>
              </w:rPr>
              <w:t>断网、业务系统维护重启等场景下可断点续传。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传输要求</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hint="eastAsia" w:ascii="仿宋" w:hAnsi="仿宋" w:eastAsia="仿宋" w:cs="仿宋"/>
                <w:szCs w:val="21"/>
              </w:rPr>
            </w:pPr>
            <w:r>
              <w:rPr>
                <w:rFonts w:hint="eastAsia" w:ascii="仿宋" w:hAnsi="仿宋" w:eastAsia="仿宋" w:cs="仿宋"/>
                <w:szCs w:val="21"/>
              </w:rPr>
              <w:t>支持加密、压缩传输。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带宽控制</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hint="eastAsia" w:ascii="仿宋" w:hAnsi="仿宋" w:eastAsia="仿宋" w:cs="仿宋"/>
                <w:szCs w:val="21"/>
              </w:rPr>
            </w:pPr>
            <w:r>
              <w:rPr>
                <w:rFonts w:hint="eastAsia" w:ascii="仿宋" w:hAnsi="仿宋" w:eastAsia="仿宋" w:cs="仿宋"/>
                <w:szCs w:val="21"/>
              </w:rPr>
              <w:t>可根据工作时间情况，限定不同时间段的备份带宽。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保留策略</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hint="eastAsia" w:ascii="仿宋" w:hAnsi="仿宋" w:eastAsia="仿宋" w:cs="仿宋"/>
                <w:szCs w:val="21"/>
              </w:rPr>
            </w:pPr>
            <w:r>
              <w:rPr>
                <w:rFonts w:hint="eastAsia" w:ascii="仿宋" w:hAnsi="仿宋" w:eastAsia="仿宋" w:cs="仿宋"/>
                <w:szCs w:val="21"/>
              </w:rPr>
              <w:t>可制定不同业务系统的数据保留和回退策略。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▲演练、恢复能力</w:t>
            </w:r>
          </w:p>
        </w:tc>
        <w:tc>
          <w:tcPr>
            <w:tcW w:w="69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hint="eastAsia" w:ascii="仿宋" w:hAnsi="仿宋" w:eastAsia="仿宋" w:cs="仿宋"/>
                <w:szCs w:val="21"/>
              </w:rPr>
            </w:pPr>
            <w:r>
              <w:rPr>
                <w:rFonts w:hint="eastAsia" w:ascii="仿宋" w:hAnsi="仿宋" w:eastAsia="仿宋" w:cs="仿宋"/>
                <w:szCs w:val="21"/>
              </w:rPr>
              <w:t>从备份资源集可直接作为模板导入到专有云上，也可以直接恢复到ECS上，也可以恢复到异机，可提供系统、某文件等演练和恢复能力。</w:t>
            </w:r>
          </w:p>
        </w:tc>
      </w:tr>
    </w:tbl>
    <w:p>
      <w:pPr>
        <w:spacing w:line="360" w:lineRule="auto"/>
        <w:rPr>
          <w:rFonts w:hint="eastAsia" w:ascii="仿宋" w:hAnsi="仿宋" w:eastAsia="仿宋" w:cs="仿宋"/>
          <w:b/>
          <w:bCs/>
          <w:sz w:val="28"/>
          <w:szCs w:val="28"/>
          <w:lang w:val="en-US" w:eastAsia="zh-CN"/>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数据库（RDS）灾备服务</w:t>
      </w:r>
    </w:p>
    <w:tbl>
      <w:tblPr>
        <w:tblStyle w:val="3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b/>
                <w:bCs/>
                <w:szCs w:val="21"/>
              </w:rPr>
              <w:t>指标项</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b/>
                <w:bCs/>
                <w:szCs w:val="21"/>
              </w:rPr>
              <w:t>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★灾备对象支持</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需支持目前政务云和信创云上的RDS数据库（包含不仅限mysql、mssql、PostgreSQL、MongoDB、</w:t>
            </w:r>
            <w:r>
              <w:rPr>
                <w:rFonts w:hint="eastAsia" w:ascii="仿宋" w:hAnsi="仿宋" w:eastAsia="仿宋" w:cs="仿宋"/>
              </w:rPr>
              <w:t>PPAS、Redis、DRDS</w:t>
            </w:r>
            <w:r>
              <w:rPr>
                <w:rFonts w:hint="eastAsia" w:ascii="仿宋" w:hAnsi="仿宋" w:eastAsia="仿宋" w:cs="仿宋"/>
                <w:szCs w:val="21"/>
              </w:rPr>
              <w:t>等）及未来扩展的数据库的DDL、DML等全对象备份。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38" w:type="dxa"/>
            <w:vMerge w:val="restart"/>
            <w:tcBorders>
              <w:top w:val="nil"/>
              <w:left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灾备能力</w:t>
            </w:r>
          </w:p>
        </w:tc>
        <w:tc>
          <w:tcPr>
            <w:tcW w:w="6946" w:type="dxa"/>
            <w:tcBorders>
              <w:top w:val="single" w:color="auto" w:sz="4" w:space="0"/>
              <w:left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kern w:val="0"/>
                <w:szCs w:val="21"/>
              </w:rPr>
              <w:t>★</w:t>
            </w:r>
            <w:r>
              <w:rPr>
                <w:rFonts w:hint="eastAsia" w:ascii="仿宋" w:hAnsi="仿宋" w:eastAsia="仿宋" w:cs="仿宋"/>
                <w:szCs w:val="21"/>
              </w:rPr>
              <w:t>支持阿里云等主流云平台，支持RDS云数据库及主流数据库DDL和DML等备份；支持采用日志模式实现数据库增量备份；支持直接备份成.sql；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838" w:type="dxa"/>
            <w:vMerge w:val="continue"/>
            <w:tcBorders>
              <w:left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kern w:val="0"/>
                <w:szCs w:val="21"/>
              </w:rPr>
            </w:pPr>
          </w:p>
        </w:tc>
        <w:tc>
          <w:tcPr>
            <w:tcW w:w="6946" w:type="dxa"/>
            <w:tcBorders>
              <w:top w:val="single" w:color="auto" w:sz="4" w:space="0"/>
              <w:left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▲支持备份前后脚本执行，支持自定义任务链；支持连续的作业计划，当一个备份完成立即开始新备份，以达到接近CDP级的数据保护；支持即时、循环和计划任务等多种模式；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838" w:type="dxa"/>
            <w:vMerge w:val="continue"/>
            <w:tcBorders>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kern w:val="0"/>
                <w:szCs w:val="21"/>
              </w:rPr>
            </w:pPr>
          </w:p>
        </w:tc>
        <w:tc>
          <w:tcPr>
            <w:tcW w:w="6946" w:type="dxa"/>
            <w:tcBorders>
              <w:top w:val="single" w:color="auto" w:sz="4" w:space="0"/>
              <w:left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支持备份数据防删改功能，可根据备份策略动态调整读写权限，支持只读，只写，可改等方式，有效保障备份数据的安全。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备份方式</w:t>
            </w:r>
          </w:p>
        </w:tc>
        <w:tc>
          <w:tcPr>
            <w:tcW w:w="6946" w:type="dxa"/>
            <w:tcBorders>
              <w:top w:val="single" w:color="auto" w:sz="4" w:space="0"/>
              <w:left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支持全量、永久增量备份方式。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场景兼容</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断网、业务系统维护重启等场景下可断点续传。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传输要求</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支持加密、压缩传输。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带宽控制</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可根据工作时间情况，限定不同时间段的备份带宽。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保留策略</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可制定不同业务系统的数据保留和回退策略。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▲演练、恢复能力</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从备份资源集直接恢复专有云RDS或其他平台的同类数据库上，可提供数据库恢复演练能力。</w:t>
            </w:r>
          </w:p>
        </w:tc>
      </w:tr>
    </w:tbl>
    <w:p>
      <w:pPr>
        <w:spacing w:line="360" w:lineRule="auto"/>
        <w:rPr>
          <w:rFonts w:hint="eastAsia" w:ascii="仿宋" w:hAnsi="仿宋" w:eastAsia="仿宋" w:cs="仿宋"/>
          <w:b/>
          <w:bCs/>
          <w:sz w:val="28"/>
          <w:szCs w:val="28"/>
          <w:lang w:val="en-US" w:eastAsia="zh-CN"/>
        </w:rPr>
      </w:pP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3、对象存储（OSS）灾备服务</w:t>
      </w:r>
    </w:p>
    <w:tbl>
      <w:tblPr>
        <w:tblStyle w:val="3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b/>
                <w:bCs/>
                <w:szCs w:val="21"/>
              </w:rPr>
              <w:t>指标项</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b/>
                <w:bCs/>
                <w:szCs w:val="21"/>
              </w:rPr>
              <w:t>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灾备对象支持</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支持但不限于目前政务云和信创云上的OSS和NAS存储。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43" w:type="dxa"/>
            <w:vMerge w:val="restart"/>
            <w:tcBorders>
              <w:top w:val="nil"/>
              <w:left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灾备能力</w:t>
            </w:r>
          </w:p>
        </w:tc>
        <w:tc>
          <w:tcPr>
            <w:tcW w:w="6946" w:type="dxa"/>
            <w:tcBorders>
              <w:top w:val="single" w:color="auto" w:sz="4" w:space="0"/>
              <w:left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NAS支持以NFS接口直接备份数据；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843" w:type="dxa"/>
            <w:vMerge w:val="continue"/>
            <w:tcBorders>
              <w:left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kern w:val="0"/>
                <w:szCs w:val="21"/>
              </w:rPr>
            </w:pPr>
          </w:p>
        </w:tc>
        <w:tc>
          <w:tcPr>
            <w:tcW w:w="6946" w:type="dxa"/>
            <w:tcBorders>
              <w:top w:val="single" w:color="auto" w:sz="4" w:space="0"/>
              <w:left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kern w:val="0"/>
                <w:szCs w:val="21"/>
              </w:rPr>
              <w:t>★</w:t>
            </w:r>
            <w:r>
              <w:rPr>
                <w:rFonts w:hint="eastAsia" w:ascii="仿宋" w:hAnsi="仿宋" w:eastAsia="仿宋" w:cs="仿宋"/>
                <w:szCs w:val="21"/>
              </w:rPr>
              <w:t>OSS支持以bucket或bucket下某目录为单位进行全量备份及增量备份；支持自定义排除备份文件或文件夹；支持备份前后脚本执行，支持自定义任务链；支持连续的作业计划，当一个备份完成立即开始新备份，以达到接近CDP级的数据保护；支持即时、循环和计划任务等多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43" w:type="dxa"/>
            <w:vMerge w:val="continue"/>
            <w:tcBorders>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kern w:val="0"/>
                <w:szCs w:val="21"/>
              </w:rPr>
            </w:pPr>
          </w:p>
        </w:tc>
        <w:tc>
          <w:tcPr>
            <w:tcW w:w="6946" w:type="dxa"/>
            <w:tcBorders>
              <w:top w:val="single" w:color="auto" w:sz="4" w:space="0"/>
              <w:left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支持备份数据防删改功能，可根据备份策略动态调整读写权限，支持只读，只写，可改等方式，有效保障备份数据的安全。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备份方式</w:t>
            </w:r>
          </w:p>
        </w:tc>
        <w:tc>
          <w:tcPr>
            <w:tcW w:w="6946" w:type="dxa"/>
            <w:tcBorders>
              <w:top w:val="single" w:color="auto" w:sz="4" w:space="0"/>
              <w:left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支持全量、永久增量备份方式。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场景兼容</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断网、业务系统维护重启等场景下可断点续传。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传输要求</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支持加密、压缩传输。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带宽控制</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可根据工作时间情况，限定不同时间段的备份带宽。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保留策略</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可制定不同业务系统的数据保留和回退策略。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hint="eastAsia" w:ascii="仿宋" w:hAnsi="仿宋" w:eastAsia="仿宋" w:cs="仿宋"/>
                <w:szCs w:val="21"/>
              </w:rPr>
            </w:pPr>
            <w:r>
              <w:rPr>
                <w:rFonts w:hint="eastAsia" w:ascii="仿宋" w:hAnsi="仿宋" w:eastAsia="仿宋" w:cs="仿宋"/>
                <w:szCs w:val="21"/>
              </w:rPr>
              <w:t>▲演练、恢复能力</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支持从备份资源集直接恢复专有云OSS bucket，支持恢复到ECS、OSS或其他对象存储、NAS存储上。可提供全量文件、某文件等演练和恢复能力。</w:t>
            </w:r>
          </w:p>
        </w:tc>
      </w:tr>
    </w:tbl>
    <w:p>
      <w:pPr>
        <w:spacing w:line="360" w:lineRule="auto"/>
        <w:rPr>
          <w:rFonts w:hint="eastAsia" w:ascii="仿宋" w:hAnsi="仿宋" w:eastAsia="仿宋" w:cs="仿宋"/>
          <w:b/>
          <w:bCs/>
          <w:sz w:val="28"/>
          <w:szCs w:val="28"/>
          <w:lang w:val="en-US" w:eastAsia="zh-CN"/>
        </w:rPr>
      </w:pP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4、异地备份服务</w:t>
      </w:r>
    </w:p>
    <w:tbl>
      <w:tblPr>
        <w:tblStyle w:val="32"/>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b/>
                <w:bCs/>
                <w:szCs w:val="21"/>
              </w:rPr>
              <w:t>指标项</w:t>
            </w:r>
          </w:p>
        </w:tc>
        <w:tc>
          <w:tcPr>
            <w:tcW w:w="69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b/>
                <w:bCs/>
                <w:szCs w:val="21"/>
              </w:rPr>
              <w:t>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kern w:val="0"/>
                <w:szCs w:val="21"/>
              </w:rPr>
              <w:t>★</w:t>
            </w:r>
            <w:r>
              <w:rPr>
                <w:rFonts w:hint="eastAsia" w:ascii="仿宋" w:hAnsi="仿宋" w:eastAsia="仿宋" w:cs="仿宋"/>
                <w:szCs w:val="21"/>
              </w:rPr>
              <w:t>备份对象支持</w:t>
            </w:r>
          </w:p>
        </w:tc>
        <w:tc>
          <w:tcPr>
            <w:tcW w:w="6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存储池、单任务、单资源（ECS/RDS/OSS等）。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备份能力</w:t>
            </w:r>
          </w:p>
        </w:tc>
        <w:tc>
          <w:tcPr>
            <w:tcW w:w="6943" w:type="dxa"/>
            <w:tcBorders>
              <w:top w:val="single" w:color="auto" w:sz="4" w:space="0"/>
              <w:left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支持存储池定时或准实时归档；</w:t>
            </w:r>
          </w:p>
          <w:p>
            <w:pPr>
              <w:spacing w:line="440" w:lineRule="exact"/>
              <w:jc w:val="left"/>
              <w:rPr>
                <w:rFonts w:hint="eastAsia" w:ascii="仿宋" w:hAnsi="仿宋" w:eastAsia="仿宋" w:cs="仿宋"/>
                <w:szCs w:val="21"/>
              </w:rPr>
            </w:pPr>
            <w:r>
              <w:rPr>
                <w:rFonts w:hint="eastAsia" w:ascii="仿宋" w:hAnsi="仿宋" w:eastAsia="仿宋" w:cs="仿宋"/>
                <w:szCs w:val="21"/>
              </w:rPr>
              <w:t>支持备份任务完成后即时、定时归档；</w:t>
            </w:r>
          </w:p>
          <w:p>
            <w:pPr>
              <w:spacing w:line="440" w:lineRule="exact"/>
              <w:jc w:val="left"/>
              <w:rPr>
                <w:rFonts w:hint="eastAsia" w:ascii="仿宋" w:hAnsi="仿宋" w:eastAsia="仿宋" w:cs="仿宋"/>
                <w:szCs w:val="21"/>
              </w:rPr>
            </w:pPr>
            <w:r>
              <w:rPr>
                <w:rFonts w:hint="eastAsia" w:ascii="仿宋" w:hAnsi="仿宋" w:eastAsia="仿宋" w:cs="仿宋"/>
                <w:szCs w:val="21"/>
              </w:rPr>
              <w:t>支持按照资源定时归档；</w:t>
            </w:r>
          </w:p>
          <w:p>
            <w:pPr>
              <w:spacing w:line="440" w:lineRule="exact"/>
              <w:jc w:val="left"/>
              <w:rPr>
                <w:rFonts w:hint="eastAsia" w:ascii="仿宋" w:hAnsi="仿宋" w:eastAsia="仿宋" w:cs="仿宋"/>
                <w:szCs w:val="21"/>
              </w:rPr>
            </w:pPr>
            <w:r>
              <w:rPr>
                <w:rFonts w:hint="eastAsia" w:ascii="仿宋" w:hAnsi="仿宋" w:eastAsia="仿宋" w:cs="仿宋"/>
                <w:szCs w:val="21"/>
              </w:rPr>
              <w:t>可归档到NAS、ISCSI、OSS等介质。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备份方式</w:t>
            </w:r>
          </w:p>
        </w:tc>
        <w:tc>
          <w:tcPr>
            <w:tcW w:w="6943" w:type="dxa"/>
            <w:tcBorders>
              <w:top w:val="single" w:color="auto" w:sz="4" w:space="0"/>
              <w:left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支持差异归档、永久增量归档、循环归档。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场景兼容</w:t>
            </w:r>
          </w:p>
        </w:tc>
        <w:tc>
          <w:tcPr>
            <w:tcW w:w="6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断网、业务系统维护重启等场景下可断点续传。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带宽控制</w:t>
            </w:r>
          </w:p>
        </w:tc>
        <w:tc>
          <w:tcPr>
            <w:tcW w:w="6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可根据工作时间情况，限定不同时间段的备份带宽。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保留策略</w:t>
            </w:r>
          </w:p>
        </w:tc>
        <w:tc>
          <w:tcPr>
            <w:tcW w:w="6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可制定不同业务系统的归档数据保留策略。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▲演练、恢复能力</w:t>
            </w:r>
          </w:p>
        </w:tc>
        <w:tc>
          <w:tcPr>
            <w:tcW w:w="6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支持从归档直接恢复数据到对应生产系统上。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 w:hAnsi="仿宋" w:eastAsia="仿宋" w:cs="仿宋"/>
                <w:szCs w:val="21"/>
              </w:rPr>
            </w:pPr>
            <w:r>
              <w:rPr>
                <w:rFonts w:hint="eastAsia" w:ascii="仿宋" w:hAnsi="仿宋" w:eastAsia="仿宋" w:cs="仿宋"/>
                <w:kern w:val="0"/>
                <w:szCs w:val="21"/>
              </w:rPr>
              <w:t>★</w:t>
            </w:r>
            <w:r>
              <w:rPr>
                <w:rFonts w:hint="eastAsia" w:ascii="仿宋" w:hAnsi="仿宋" w:eastAsia="仿宋" w:cs="仿宋"/>
                <w:szCs w:val="21"/>
              </w:rPr>
              <w:t>备份存储资源</w:t>
            </w:r>
          </w:p>
        </w:tc>
        <w:tc>
          <w:tcPr>
            <w:tcW w:w="6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供应商需向浙江省异地灾备中心购买异地备份所需相关备份存储资源，采购费用包含在本次服务项目总费用中。</w:t>
            </w:r>
          </w:p>
        </w:tc>
      </w:tr>
    </w:tbl>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（二）、政务云灾备增值服务要求</w:t>
      </w: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1、云灾备系统监控模块增值服务</w:t>
      </w:r>
    </w:p>
    <w:tbl>
      <w:tblPr>
        <w:tblStyle w:val="3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b/>
                <w:bCs/>
                <w:szCs w:val="21"/>
              </w:rPr>
              <w:t>指标项</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b/>
                <w:bCs/>
                <w:szCs w:val="21"/>
              </w:rPr>
              <w:t>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Cs w:val="21"/>
              </w:rPr>
            </w:pPr>
            <w:r>
              <w:rPr>
                <w:rFonts w:hint="eastAsia" w:ascii="仿宋" w:hAnsi="仿宋" w:eastAsia="仿宋" w:cs="仿宋"/>
                <w:kern w:val="0"/>
                <w:szCs w:val="21"/>
              </w:rPr>
              <w:t>★</w:t>
            </w:r>
            <w:r>
              <w:rPr>
                <w:rFonts w:hint="eastAsia" w:ascii="仿宋" w:hAnsi="仿宋" w:eastAsia="仿宋" w:cs="仿宋"/>
                <w:szCs w:val="21"/>
              </w:rPr>
              <w:t>基本要求</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在现有灾备服务平台上增加对灾备资源、灾备任务的实时监控服务，进行运行情况统计，并可提供自定义监控告警发送服务。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1"/>
              <w:ind w:firstLine="0" w:firstLineChars="0"/>
              <w:jc w:val="center"/>
              <w:rPr>
                <w:rFonts w:hint="eastAsia" w:ascii="仿宋" w:hAnsi="仿宋" w:eastAsia="仿宋" w:cs="仿宋"/>
                <w:szCs w:val="21"/>
              </w:rPr>
            </w:pPr>
            <w:r>
              <w:rPr>
                <w:rFonts w:hint="eastAsia" w:ascii="仿宋" w:hAnsi="仿宋" w:eastAsia="仿宋" w:cs="仿宋"/>
                <w:szCs w:val="21"/>
              </w:rPr>
              <w:t>▲监控对象支持</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ECS状态：在线、离线、CPU、内存、磁盘使用率、网络流量等；</w:t>
            </w:r>
          </w:p>
          <w:p>
            <w:pPr>
              <w:spacing w:line="440" w:lineRule="exact"/>
              <w:jc w:val="left"/>
              <w:rPr>
                <w:rFonts w:hint="eastAsia" w:ascii="仿宋" w:hAnsi="仿宋" w:eastAsia="仿宋" w:cs="仿宋"/>
                <w:szCs w:val="21"/>
              </w:rPr>
            </w:pPr>
            <w:r>
              <w:rPr>
                <w:rFonts w:hint="eastAsia" w:ascii="仿宋" w:hAnsi="仿宋" w:eastAsia="仿宋" w:cs="仿宋"/>
                <w:szCs w:val="21"/>
              </w:rPr>
              <w:t>RDS数据库状态：在线、离线、数据库压力情况，数据库响应等性能情况；</w:t>
            </w:r>
          </w:p>
          <w:p>
            <w:pPr>
              <w:spacing w:line="440" w:lineRule="exact"/>
              <w:jc w:val="left"/>
              <w:rPr>
                <w:rFonts w:hint="eastAsia" w:ascii="仿宋" w:hAnsi="仿宋" w:eastAsia="仿宋" w:cs="仿宋"/>
                <w:szCs w:val="21"/>
              </w:rPr>
            </w:pPr>
            <w:r>
              <w:rPr>
                <w:rFonts w:hint="eastAsia" w:ascii="仿宋" w:hAnsi="仿宋" w:eastAsia="仿宋" w:cs="仿宋"/>
                <w:szCs w:val="21"/>
              </w:rPr>
              <w:t>OSS状态：展示OSS的资源使用情况，使用容量、文件对象数量等；</w:t>
            </w:r>
          </w:p>
          <w:p>
            <w:pPr>
              <w:spacing w:line="440" w:lineRule="exact"/>
              <w:jc w:val="left"/>
              <w:rPr>
                <w:rFonts w:hint="eastAsia" w:ascii="仿宋" w:hAnsi="仿宋" w:eastAsia="仿宋" w:cs="仿宋"/>
                <w:szCs w:val="21"/>
              </w:rPr>
            </w:pPr>
            <w:r>
              <w:rPr>
                <w:rFonts w:hint="eastAsia" w:ascii="仿宋" w:hAnsi="仿宋" w:eastAsia="仿宋" w:cs="仿宋"/>
                <w:szCs w:val="21"/>
              </w:rPr>
              <w:t>ECS备份监控：备份资源池所在系统情况、备份任务情况、备份容量情况等综合监控；</w:t>
            </w:r>
          </w:p>
          <w:p>
            <w:pPr>
              <w:spacing w:line="440" w:lineRule="exact"/>
              <w:jc w:val="left"/>
              <w:rPr>
                <w:rFonts w:hint="eastAsia" w:ascii="仿宋" w:hAnsi="仿宋" w:eastAsia="仿宋" w:cs="仿宋"/>
                <w:szCs w:val="21"/>
              </w:rPr>
            </w:pPr>
            <w:r>
              <w:rPr>
                <w:rFonts w:hint="eastAsia" w:ascii="仿宋" w:hAnsi="仿宋" w:eastAsia="仿宋" w:cs="仿宋"/>
                <w:szCs w:val="21"/>
              </w:rPr>
              <w:t>RDS数据库备份监控：数据库备份所在资源池情况、备份任务情况、备份容量情况等综合监控；</w:t>
            </w:r>
          </w:p>
          <w:p>
            <w:pPr>
              <w:spacing w:line="440" w:lineRule="exact"/>
              <w:jc w:val="left"/>
              <w:rPr>
                <w:rFonts w:hint="eastAsia" w:ascii="仿宋" w:hAnsi="仿宋" w:eastAsia="仿宋" w:cs="仿宋"/>
                <w:szCs w:val="21"/>
              </w:rPr>
            </w:pPr>
            <w:r>
              <w:rPr>
                <w:rFonts w:hint="eastAsia" w:ascii="仿宋" w:hAnsi="仿宋" w:eastAsia="仿宋" w:cs="仿宋"/>
                <w:szCs w:val="21"/>
              </w:rPr>
              <w:t>OSS备份状态监控：OSS备份所在资源池情况、备份任务情况、备份容量情况等综合监控。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838" w:type="dxa"/>
            <w:tcBorders>
              <w:top w:val="nil"/>
              <w:left w:val="single" w:color="auto" w:sz="4" w:space="0"/>
              <w:bottom w:val="single" w:color="auto" w:sz="4" w:space="0"/>
              <w:right w:val="single" w:color="auto" w:sz="4" w:space="0"/>
            </w:tcBorders>
            <w:shd w:val="clear" w:color="auto" w:fill="auto"/>
            <w:vAlign w:val="center"/>
          </w:tcPr>
          <w:p>
            <w:pPr>
              <w:pStyle w:val="71"/>
              <w:ind w:firstLine="0" w:firstLineChars="0"/>
              <w:jc w:val="center"/>
              <w:rPr>
                <w:rFonts w:hint="eastAsia" w:ascii="仿宋" w:hAnsi="仿宋" w:eastAsia="仿宋" w:cs="仿宋"/>
                <w:szCs w:val="21"/>
              </w:rPr>
            </w:pPr>
            <w:r>
              <w:rPr>
                <w:rFonts w:hint="eastAsia" w:ascii="仿宋" w:hAnsi="仿宋" w:eastAsia="仿宋" w:cs="仿宋"/>
                <w:szCs w:val="21"/>
              </w:rPr>
              <w:t>告警能力支持</w:t>
            </w:r>
          </w:p>
        </w:tc>
        <w:tc>
          <w:tcPr>
            <w:tcW w:w="6946" w:type="dxa"/>
            <w:tcBorders>
              <w:top w:val="single" w:color="auto" w:sz="4" w:space="0"/>
              <w:left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可根据要求，按实时、天、周、月提供以下告警能力：</w:t>
            </w:r>
          </w:p>
          <w:p>
            <w:pPr>
              <w:spacing w:line="440" w:lineRule="exact"/>
              <w:jc w:val="left"/>
              <w:rPr>
                <w:rFonts w:hint="eastAsia" w:ascii="仿宋" w:hAnsi="仿宋" w:eastAsia="仿宋" w:cs="仿宋"/>
                <w:szCs w:val="21"/>
              </w:rPr>
            </w:pPr>
            <w:r>
              <w:rPr>
                <w:rFonts w:hint="eastAsia" w:ascii="仿宋" w:hAnsi="仿宋" w:eastAsia="仿宋" w:cs="仿宋"/>
                <w:szCs w:val="21"/>
              </w:rPr>
              <w:t>灾备系统CPU、内存、磁盘等异常告警；</w:t>
            </w:r>
          </w:p>
          <w:p>
            <w:pPr>
              <w:spacing w:line="440" w:lineRule="exact"/>
              <w:jc w:val="left"/>
              <w:rPr>
                <w:rFonts w:hint="eastAsia" w:ascii="仿宋" w:hAnsi="仿宋" w:eastAsia="仿宋" w:cs="仿宋"/>
                <w:szCs w:val="21"/>
              </w:rPr>
            </w:pPr>
            <w:r>
              <w:rPr>
                <w:rFonts w:hint="eastAsia" w:ascii="仿宋" w:hAnsi="仿宋" w:eastAsia="仿宋" w:cs="仿宋"/>
                <w:szCs w:val="21"/>
              </w:rPr>
              <w:t>灾备模块异常告警；</w:t>
            </w:r>
          </w:p>
          <w:p>
            <w:pPr>
              <w:spacing w:line="440" w:lineRule="exact"/>
              <w:jc w:val="left"/>
              <w:rPr>
                <w:rFonts w:hint="eastAsia" w:ascii="仿宋" w:hAnsi="仿宋" w:eastAsia="仿宋" w:cs="仿宋"/>
                <w:szCs w:val="21"/>
              </w:rPr>
            </w:pPr>
            <w:r>
              <w:rPr>
                <w:rFonts w:hint="eastAsia" w:ascii="仿宋" w:hAnsi="仿宋" w:eastAsia="仿宋" w:cs="仿宋"/>
                <w:szCs w:val="21"/>
              </w:rPr>
              <w:t>灾备任务异常告警。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1"/>
              <w:ind w:firstLine="0" w:firstLineChars="0"/>
              <w:jc w:val="center"/>
              <w:rPr>
                <w:rFonts w:hint="eastAsia" w:ascii="仿宋" w:hAnsi="仿宋" w:eastAsia="仿宋" w:cs="仿宋"/>
                <w:szCs w:val="21"/>
              </w:rPr>
            </w:pPr>
            <w:r>
              <w:rPr>
                <w:rFonts w:hint="eastAsia" w:ascii="仿宋" w:hAnsi="仿宋" w:eastAsia="仿宋" w:cs="仿宋"/>
                <w:szCs w:val="21"/>
              </w:rPr>
              <w:t>告警方式</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可根据告警预设定监控情况，按部门发送告警信息到钉钉、企业微信上。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1"/>
              <w:ind w:firstLine="0" w:firstLineChars="0"/>
              <w:jc w:val="center"/>
              <w:rPr>
                <w:rFonts w:hint="eastAsia" w:ascii="仿宋" w:hAnsi="仿宋" w:eastAsia="仿宋" w:cs="仿宋"/>
                <w:szCs w:val="21"/>
              </w:rPr>
            </w:pPr>
            <w:r>
              <w:rPr>
                <w:rFonts w:hint="eastAsia" w:ascii="仿宋" w:hAnsi="仿宋" w:eastAsia="仿宋" w:cs="仿宋"/>
                <w:szCs w:val="21"/>
              </w:rPr>
              <w:t>监控统计</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按部门统计任务执行情况，按月统计任务成功失败情况，并对数据进行持久化保留。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1"/>
              <w:ind w:firstLine="0" w:firstLineChars="0"/>
              <w:jc w:val="center"/>
              <w:rPr>
                <w:rFonts w:hint="eastAsia" w:ascii="仿宋" w:hAnsi="仿宋" w:eastAsia="仿宋" w:cs="仿宋"/>
                <w:szCs w:val="21"/>
              </w:rPr>
            </w:pPr>
            <w:r>
              <w:rPr>
                <w:rFonts w:hint="eastAsia" w:ascii="仿宋" w:hAnsi="仿宋" w:eastAsia="仿宋" w:cs="仿宋"/>
                <w:szCs w:val="21"/>
              </w:rPr>
              <w:t>▲第三方对接</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hint="eastAsia" w:ascii="仿宋" w:hAnsi="仿宋" w:eastAsia="仿宋" w:cs="仿宋"/>
                <w:szCs w:val="21"/>
              </w:rPr>
            </w:pPr>
            <w:r>
              <w:rPr>
                <w:rFonts w:hint="eastAsia" w:ascii="仿宋" w:hAnsi="仿宋" w:eastAsia="仿宋" w:cs="仿宋"/>
                <w:szCs w:val="21"/>
              </w:rPr>
              <w:t>监控和计费统计、监控、告警等信息需提供API接口，供湖州市安全运营中心直接调度。</w:t>
            </w:r>
          </w:p>
        </w:tc>
      </w:tr>
    </w:tbl>
    <w:p>
      <w:pPr>
        <w:spacing w:line="360" w:lineRule="auto"/>
        <w:rPr>
          <w:rFonts w:hint="eastAsia" w:ascii="仿宋" w:hAnsi="仿宋" w:eastAsia="仿宋" w:cs="仿宋"/>
          <w:b/>
          <w:bCs/>
          <w:sz w:val="28"/>
          <w:szCs w:val="28"/>
          <w:lang w:val="en-US" w:eastAsia="zh-CN"/>
        </w:rPr>
      </w:pP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2、信创云备份管理系统模块增值服务</w:t>
      </w:r>
    </w:p>
    <w:tbl>
      <w:tblPr>
        <w:tblStyle w:val="33"/>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jc w:val="center"/>
              <w:rPr>
                <w:rFonts w:hint="eastAsia" w:ascii="仿宋" w:hAnsi="仿宋" w:eastAsia="仿宋" w:cs="仿宋"/>
                <w:kern w:val="0"/>
                <w:sz w:val="21"/>
                <w:szCs w:val="21"/>
              </w:rPr>
            </w:pPr>
            <w:r>
              <w:rPr>
                <w:rFonts w:hint="eastAsia" w:ascii="仿宋" w:hAnsi="仿宋" w:eastAsia="仿宋" w:cs="仿宋"/>
                <w:b/>
                <w:bCs/>
                <w:kern w:val="0"/>
                <w:sz w:val="21"/>
                <w:szCs w:val="21"/>
              </w:rPr>
              <w:t>指标项</w:t>
            </w:r>
          </w:p>
        </w:tc>
        <w:tc>
          <w:tcPr>
            <w:tcW w:w="6945" w:type="dxa"/>
            <w:vAlign w:val="center"/>
          </w:tcPr>
          <w:p>
            <w:pPr>
              <w:jc w:val="center"/>
              <w:rPr>
                <w:rFonts w:hint="eastAsia" w:ascii="仿宋" w:hAnsi="仿宋" w:eastAsia="仿宋" w:cs="仿宋"/>
                <w:kern w:val="0"/>
                <w:sz w:val="21"/>
                <w:szCs w:val="21"/>
              </w:rPr>
            </w:pPr>
            <w:r>
              <w:rPr>
                <w:rFonts w:hint="eastAsia" w:ascii="仿宋" w:hAnsi="仿宋" w:eastAsia="仿宋" w:cs="仿宋"/>
                <w:b/>
                <w:bCs/>
                <w:kern w:val="0"/>
                <w:sz w:val="21"/>
                <w:szCs w:val="21"/>
              </w:rPr>
              <w:t>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★基本要求</w:t>
            </w: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在现有</w:t>
            </w:r>
            <w:r>
              <w:rPr>
                <w:rFonts w:hint="eastAsia" w:ascii="仿宋" w:hAnsi="仿宋" w:eastAsia="仿宋" w:cs="仿宋"/>
                <w:kern w:val="2"/>
                <w:sz w:val="21"/>
                <w:szCs w:val="21"/>
              </w:rPr>
              <w:t>灾备服务平台的基础上增加信创云备份管理系统，实现统一门户单点登陆。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硬件平台支持</w:t>
            </w:r>
          </w:p>
        </w:tc>
        <w:tc>
          <w:tcPr>
            <w:tcW w:w="6945" w:type="dxa"/>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支持国产飞腾、鲲鹏、海光等国产处理器平台。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系统平台支持</w:t>
            </w:r>
          </w:p>
        </w:tc>
        <w:tc>
          <w:tcPr>
            <w:tcW w:w="6945" w:type="dxa"/>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实现信创云上系统（UOS、麒麟等操作系统）、数据库（达梦、人大金仓、南大通用等）、文件等备份和恢复适配支持。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加密要求</w:t>
            </w:r>
          </w:p>
        </w:tc>
        <w:tc>
          <w:tcPr>
            <w:tcW w:w="6945" w:type="dxa"/>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认证、传输等均采用国密算法。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restart"/>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基础功能要求</w:t>
            </w:r>
          </w:p>
        </w:tc>
        <w:tc>
          <w:tcPr>
            <w:tcW w:w="6945" w:type="dxa"/>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▲信创云灾备客户端资源注册、信息采集、归集、任务管理、备份资源管理等均在信创云灾备平台和资源池上，需与现有灾备服务平台中政务云灾备部分实现物理隔离。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pPr>
              <w:jc w:val="center"/>
              <w:rPr>
                <w:rFonts w:hint="eastAsia" w:ascii="仿宋" w:hAnsi="仿宋" w:eastAsia="仿宋" w:cs="仿宋"/>
                <w:kern w:val="0"/>
                <w:sz w:val="21"/>
                <w:szCs w:val="21"/>
              </w:rPr>
            </w:pPr>
          </w:p>
        </w:tc>
        <w:tc>
          <w:tcPr>
            <w:tcW w:w="6945" w:type="dxa"/>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★增加自定义脚本、自定义备份命令模板创建，模板支持备份、恢复、归档等多种模式，满足当前和未来未知应用和场景的扩展需求。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vMerge w:val="continue"/>
            <w:vAlign w:val="center"/>
          </w:tcPr>
          <w:p>
            <w:pPr>
              <w:jc w:val="center"/>
              <w:rPr>
                <w:rFonts w:hint="eastAsia" w:ascii="仿宋" w:hAnsi="仿宋" w:eastAsia="仿宋" w:cs="仿宋"/>
                <w:kern w:val="0"/>
                <w:sz w:val="21"/>
                <w:szCs w:val="21"/>
              </w:rPr>
            </w:pPr>
          </w:p>
        </w:tc>
        <w:tc>
          <w:tcPr>
            <w:tcW w:w="6945" w:type="dxa"/>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支持信创云平台上系统和数据库自带备份命令的无缝衔接，可直接在信创云备份管理系统页面创建任何第三方备份命令的计划任务，且可控制自带接口备份的CPU、内存等使用率，可在管理页面手动停止备份任务，可直观展示备份速度和备份容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基础资源集群架构</w:t>
            </w:r>
          </w:p>
        </w:tc>
        <w:tc>
          <w:tcPr>
            <w:tcW w:w="6945" w:type="dxa"/>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灾备资源纳入原平台统一管理，但后台物理隔离，采用集群架构，单个或多个物理节点故障不影响备份、恢复任务持续进行。备份/恢复任务分布群内节点并发执行。</w:t>
            </w:r>
          </w:p>
        </w:tc>
      </w:tr>
    </w:tbl>
    <w:p>
      <w:pPr>
        <w:spacing w:line="360" w:lineRule="auto"/>
        <w:rPr>
          <w:rFonts w:hint="eastAsia" w:ascii="仿宋" w:hAnsi="仿宋" w:eastAsia="仿宋" w:cs="仿宋"/>
          <w:b/>
          <w:bCs/>
          <w:sz w:val="28"/>
          <w:szCs w:val="28"/>
          <w:lang w:val="en-US" w:eastAsia="zh-CN"/>
        </w:rPr>
      </w:pPr>
    </w:p>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（三）、政务云灾备其他服务要求</w:t>
      </w:r>
    </w:p>
    <w:tbl>
      <w:tblPr>
        <w:tblStyle w:val="33"/>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指标项</w:t>
            </w:r>
          </w:p>
        </w:tc>
        <w:tc>
          <w:tcPr>
            <w:tcW w:w="6945" w:type="dxa"/>
            <w:vAlign w:val="center"/>
          </w:tcPr>
          <w:p>
            <w:pPr>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服务技术要求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restart"/>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灾备服务平台基础要求</w:t>
            </w:r>
          </w:p>
        </w:tc>
        <w:tc>
          <w:tcPr>
            <w:tcW w:w="6945" w:type="dxa"/>
            <w:vAlign w:val="center"/>
          </w:tcPr>
          <w:p>
            <w:pPr>
              <w:spacing w:line="440" w:lineRule="exact"/>
              <w:jc w:val="left"/>
              <w:rPr>
                <w:rFonts w:hint="eastAsia" w:ascii="仿宋" w:hAnsi="仿宋" w:eastAsia="仿宋" w:cs="仿宋"/>
                <w:kern w:val="2"/>
                <w:sz w:val="21"/>
                <w:szCs w:val="21"/>
              </w:rPr>
            </w:pPr>
            <w:r>
              <w:rPr>
                <w:rFonts w:hint="eastAsia" w:ascii="仿宋" w:hAnsi="仿宋" w:eastAsia="仿宋" w:cs="仿宋"/>
                <w:kern w:val="0"/>
                <w:sz w:val="21"/>
                <w:szCs w:val="21"/>
              </w:rPr>
              <w:t>云灾备架构：计算、存储、网络及灾备模块、灾备控制平台等采用分布式架构。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pPr>
              <w:jc w:val="center"/>
              <w:rPr>
                <w:rFonts w:hint="eastAsia" w:ascii="仿宋" w:hAnsi="仿宋" w:eastAsia="仿宋" w:cs="仿宋"/>
                <w:kern w:val="2"/>
                <w:sz w:val="21"/>
                <w:szCs w:val="21"/>
              </w:rPr>
            </w:pP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采用统一管理集群资源，统一管理集群内的CPU、内存、磁盘和网络资源，能高效地使用这些关键资源。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vMerge w:val="continue"/>
            <w:vAlign w:val="center"/>
          </w:tcPr>
          <w:p>
            <w:pPr>
              <w:jc w:val="center"/>
              <w:rPr>
                <w:rFonts w:hint="eastAsia" w:ascii="仿宋" w:hAnsi="仿宋" w:eastAsia="仿宋" w:cs="仿宋"/>
                <w:kern w:val="2"/>
                <w:sz w:val="21"/>
                <w:szCs w:val="21"/>
              </w:rPr>
            </w:pP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采用统一的灾备集群管理，统一管理用户、部门、灾备模块、监控告警等，同时控制和灾备业务分离到不同网段，实现逻辑隔离。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pPr>
              <w:jc w:val="center"/>
              <w:rPr>
                <w:rFonts w:hint="eastAsia" w:ascii="仿宋" w:hAnsi="仿宋" w:eastAsia="仿宋" w:cs="仿宋"/>
                <w:kern w:val="2"/>
                <w:sz w:val="21"/>
                <w:szCs w:val="21"/>
              </w:rPr>
            </w:pP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信创云灾备资源与常规资源物理隔离。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pPr>
              <w:jc w:val="center"/>
              <w:rPr>
                <w:rFonts w:hint="eastAsia" w:ascii="仿宋" w:hAnsi="仿宋" w:eastAsia="仿宋" w:cs="仿宋"/>
                <w:kern w:val="2"/>
                <w:sz w:val="21"/>
                <w:szCs w:val="21"/>
              </w:rPr>
            </w:pP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每个单位独立置备OSS备份池、独立置备ECS备份池、独立置备RDS备份池，相互之间逻辑隔离，不能互相访问。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pPr>
              <w:jc w:val="center"/>
              <w:rPr>
                <w:rFonts w:hint="eastAsia" w:ascii="仿宋" w:hAnsi="仿宋" w:eastAsia="仿宋" w:cs="仿宋"/>
                <w:kern w:val="2"/>
                <w:sz w:val="21"/>
                <w:szCs w:val="21"/>
              </w:rPr>
            </w:pP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所有单位通过统一门户登陆，统一界面管理，仅具备查看权限，不具备操作权限。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vMerge w:val="continue"/>
            <w:vAlign w:val="center"/>
          </w:tcPr>
          <w:p>
            <w:pPr>
              <w:jc w:val="center"/>
              <w:rPr>
                <w:rFonts w:hint="eastAsia" w:ascii="仿宋" w:hAnsi="仿宋" w:eastAsia="仿宋" w:cs="仿宋"/>
                <w:kern w:val="2"/>
                <w:sz w:val="21"/>
                <w:szCs w:val="21"/>
              </w:rPr>
            </w:pP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所有访问采用白名单机制，仅允许访问对应资源和对应接口协议。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restart"/>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★灾备服务平台承载能力要求</w:t>
            </w: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全系统（ECS）备份服务承载能力：2500个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pPr>
              <w:jc w:val="center"/>
              <w:rPr>
                <w:rFonts w:hint="eastAsia" w:ascii="仿宋" w:hAnsi="仿宋" w:eastAsia="仿宋" w:cs="仿宋"/>
                <w:kern w:val="2"/>
                <w:sz w:val="21"/>
                <w:szCs w:val="21"/>
              </w:rPr>
            </w:pP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数据库（RDS）备份服务承载能力：600个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Merge w:val="continue"/>
            <w:vAlign w:val="center"/>
          </w:tcPr>
          <w:p>
            <w:pPr>
              <w:jc w:val="center"/>
              <w:rPr>
                <w:rFonts w:hint="eastAsia" w:ascii="仿宋" w:hAnsi="仿宋" w:eastAsia="仿宋" w:cs="仿宋"/>
                <w:kern w:val="2"/>
                <w:sz w:val="21"/>
                <w:szCs w:val="21"/>
              </w:rPr>
            </w:pP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对象存储（OSS）备份服务承载能力：300个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基础设施资源服务</w:t>
            </w: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包括灾备端网络设备资源服务、计算资源服务、存储资源服务、灾备服务、应急服务和咨询服务。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支撑资源服务</w:t>
            </w: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对于用户提出的新的备份对象备份需求，如特殊操作系统、特殊数据库等灾备服务需求，云灾备服务商应提供相应适配和二次开发服务。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jc w:val="center"/>
              <w:rPr>
                <w:rFonts w:hint="eastAsia" w:ascii="仿宋" w:hAnsi="仿宋" w:eastAsia="仿宋" w:cs="仿宋"/>
                <w:kern w:val="2"/>
                <w:sz w:val="21"/>
                <w:szCs w:val="21"/>
              </w:rPr>
            </w:pPr>
            <w:r>
              <w:rPr>
                <w:rFonts w:hint="eastAsia" w:ascii="仿宋" w:hAnsi="仿宋" w:eastAsia="仿宋" w:cs="仿宋"/>
                <w:kern w:val="0"/>
                <w:sz w:val="21"/>
                <w:szCs w:val="21"/>
              </w:rPr>
              <w:t>▲</w:t>
            </w:r>
            <w:r>
              <w:rPr>
                <w:rFonts w:hint="eastAsia" w:ascii="仿宋" w:hAnsi="仿宋" w:eastAsia="仿宋" w:cs="仿宋"/>
                <w:kern w:val="2"/>
                <w:sz w:val="21"/>
                <w:szCs w:val="21"/>
              </w:rPr>
              <w:t>灾备自身安全服务</w:t>
            </w: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包括不限于灾备自身安全机制、防勒索机制、操作系统、应用组件升级迭代和补丁升级等服务。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运行保障服务</w:t>
            </w: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包括云灾备平台的资源监测、资源配置、资源优化、服务监控、事件处理、运维流程、日常巡检、备份恢复、灾备管理、应急预案管理、服务质量监督和报告等服务。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4" w:type="dxa"/>
            <w:vMerge w:val="restart"/>
            <w:vAlign w:val="center"/>
          </w:tcPr>
          <w:p>
            <w:pPr>
              <w:jc w:val="center"/>
              <w:rPr>
                <w:rFonts w:hint="eastAsia" w:ascii="仿宋" w:hAnsi="仿宋" w:eastAsia="仿宋" w:cs="仿宋"/>
                <w:kern w:val="2"/>
                <w:sz w:val="21"/>
                <w:szCs w:val="21"/>
              </w:rPr>
            </w:pPr>
            <w:r>
              <w:rPr>
                <w:rFonts w:hint="eastAsia" w:ascii="仿宋" w:hAnsi="仿宋" w:eastAsia="仿宋" w:cs="仿宋"/>
                <w:kern w:val="2"/>
                <w:sz w:val="21"/>
                <w:szCs w:val="21"/>
              </w:rPr>
              <w:t>制度标准服务</w:t>
            </w: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可提供基于灾备服务平台的相关标准、办法及建议，如：云灾备管理办法、运维制度、应急预案等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44" w:type="dxa"/>
            <w:vMerge w:val="continue"/>
            <w:vAlign w:val="center"/>
          </w:tcPr>
          <w:p>
            <w:pPr>
              <w:jc w:val="center"/>
              <w:rPr>
                <w:rFonts w:hint="eastAsia" w:ascii="仿宋" w:hAnsi="仿宋" w:eastAsia="仿宋" w:cs="仿宋"/>
                <w:kern w:val="2"/>
                <w:sz w:val="21"/>
                <w:szCs w:val="21"/>
              </w:rPr>
            </w:pP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可提供云灾备服务平台层接口及对第三方控件、模块的要求，为建设完善的政务云中间平台层、业务应用层服务功能打下基础。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44" w:type="dxa"/>
            <w:vMerge w:val="continue"/>
            <w:vAlign w:val="center"/>
          </w:tcPr>
          <w:p>
            <w:pPr>
              <w:jc w:val="center"/>
              <w:rPr>
                <w:rFonts w:hint="eastAsia" w:ascii="仿宋" w:hAnsi="仿宋" w:eastAsia="仿宋" w:cs="仿宋"/>
                <w:kern w:val="2"/>
                <w:sz w:val="21"/>
                <w:szCs w:val="21"/>
              </w:rPr>
            </w:pP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可提供满足政务云安全监管需要的配套检测、监管手段（如：流量），及相应监测办法。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44" w:type="dxa"/>
            <w:vMerge w:val="restart"/>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★服务实施要求</w:t>
            </w: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自合同签订后15个工作日内完成整体云灾备服务输出，完成对现有所需备份资源（不少于792个ECS、79个RDS、70个OSS）的备份部署并开启备份任务，并出具相关部署及运行报告。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844" w:type="dxa"/>
            <w:vMerge w:val="continue"/>
            <w:vAlign w:val="center"/>
          </w:tcPr>
          <w:p>
            <w:pPr>
              <w:jc w:val="center"/>
              <w:rPr>
                <w:rFonts w:hint="eastAsia" w:ascii="仿宋" w:hAnsi="仿宋" w:eastAsia="仿宋" w:cs="仿宋"/>
                <w:kern w:val="0"/>
                <w:sz w:val="21"/>
                <w:szCs w:val="21"/>
              </w:rPr>
            </w:pPr>
          </w:p>
        </w:tc>
        <w:tc>
          <w:tcPr>
            <w:tcW w:w="6945" w:type="dxa"/>
            <w:vAlign w:val="center"/>
          </w:tcPr>
          <w:p>
            <w:pPr>
              <w:spacing w:line="440" w:lineRule="exact"/>
              <w:jc w:val="left"/>
              <w:rPr>
                <w:rFonts w:hint="eastAsia" w:ascii="仿宋" w:hAnsi="仿宋" w:eastAsia="仿宋" w:cs="仿宋"/>
                <w:kern w:val="0"/>
                <w:sz w:val="21"/>
                <w:szCs w:val="21"/>
              </w:rPr>
            </w:pPr>
            <w:r>
              <w:rPr>
                <w:rFonts w:hint="eastAsia" w:ascii="仿宋" w:hAnsi="仿宋" w:eastAsia="仿宋" w:cs="仿宋"/>
                <w:kern w:val="0"/>
                <w:sz w:val="21"/>
                <w:szCs w:val="21"/>
              </w:rPr>
              <w:t>对所有灾备对象的实施过程中，云上生产系统无感知，无需重启ECS系统，与灾备对象原有备份工具、备份脚本等不冲突。</w:t>
            </w:r>
          </w:p>
        </w:tc>
      </w:tr>
    </w:tbl>
    <w:p>
      <w:pPr>
        <w:rPr>
          <w:rFonts w:hint="eastAsia" w:ascii="仿宋" w:hAnsi="仿宋" w:eastAsia="仿宋" w:cs="仿宋"/>
          <w:b/>
          <w:sz w:val="28"/>
          <w:szCs w:val="28"/>
        </w:rPr>
      </w:pPr>
    </w:p>
    <w:p>
      <w:pPr>
        <w:rPr>
          <w:rFonts w:hint="eastAsia" w:ascii="仿宋" w:hAnsi="仿宋" w:eastAsia="仿宋" w:cs="仿宋"/>
          <w:b/>
          <w:spacing w:val="40"/>
          <w:kern w:val="0"/>
          <w:sz w:val="28"/>
          <w:szCs w:val="28"/>
        </w:rPr>
      </w:pPr>
      <w:r>
        <w:rPr>
          <w:rFonts w:hint="eastAsia" w:ascii="仿宋" w:hAnsi="仿宋" w:eastAsia="仿宋" w:cs="仿宋"/>
          <w:b/>
          <w:sz w:val="28"/>
          <w:szCs w:val="28"/>
        </w:rPr>
        <w:t>三、商务条款</w:t>
      </w:r>
    </w:p>
    <w:tbl>
      <w:tblPr>
        <w:tblStyle w:val="32"/>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lang w:eastAsia="zh-CN"/>
              </w:rPr>
              <w:t>服务</w:t>
            </w:r>
            <w:r>
              <w:rPr>
                <w:rFonts w:hint="eastAsia" w:ascii="仿宋" w:hAnsi="仿宋" w:eastAsia="仿宋" w:cs="仿宋"/>
                <w:b/>
                <w:sz w:val="28"/>
                <w:szCs w:val="28"/>
              </w:rPr>
              <w:t>期</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lang w:eastAsia="zh-CN"/>
              </w:rPr>
              <w:t>一年</w:t>
            </w:r>
            <w:r>
              <w:rPr>
                <w:rFonts w:hint="eastAsia" w:ascii="仿宋" w:hAnsi="仿宋" w:eastAsia="仿宋" w:cs="仿宋"/>
                <w:b/>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rPr>
              <w:t>合同履行期限及地点</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b/>
                <w:color w:val="FF0000"/>
                <w:sz w:val="28"/>
                <w:szCs w:val="28"/>
                <w:lang w:eastAsia="zh-CN"/>
              </w:rPr>
            </w:pPr>
            <w:r>
              <w:rPr>
                <w:rFonts w:hint="eastAsia" w:ascii="仿宋" w:hAnsi="仿宋" w:eastAsia="仿宋" w:cs="仿宋"/>
                <w:b/>
                <w:sz w:val="28"/>
                <w:szCs w:val="28"/>
              </w:rPr>
              <w:t>合同履行期限：</w:t>
            </w:r>
            <w:r>
              <w:rPr>
                <w:rFonts w:hint="eastAsia" w:ascii="仿宋" w:hAnsi="仿宋" w:eastAsia="仿宋" w:cs="仿宋"/>
                <w:b/>
                <w:color w:val="FF0000"/>
                <w:sz w:val="28"/>
                <w:szCs w:val="28"/>
                <w:lang w:eastAsia="zh-CN"/>
              </w:rPr>
              <w:t>合同签订后一年</w:t>
            </w:r>
          </w:p>
          <w:p>
            <w:pPr>
              <w:snapToGrid w:val="0"/>
              <w:spacing w:line="360" w:lineRule="exact"/>
              <w:rPr>
                <w:rFonts w:hint="eastAsia" w:ascii="仿宋" w:hAnsi="仿宋" w:eastAsia="仿宋" w:cs="仿宋"/>
                <w:b/>
                <w:sz w:val="28"/>
                <w:szCs w:val="28"/>
              </w:rPr>
            </w:pPr>
            <w:r>
              <w:rPr>
                <w:rFonts w:hint="eastAsia" w:ascii="仿宋" w:hAnsi="仿宋" w:eastAsia="仿宋" w:cs="仿宋"/>
                <w:b/>
                <w:sz w:val="28"/>
                <w:szCs w:val="28"/>
              </w:rPr>
              <w:t xml:space="preserve">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723"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付款方式</w:t>
            </w:r>
          </w:p>
        </w:tc>
        <w:tc>
          <w:tcPr>
            <w:tcW w:w="7775" w:type="dxa"/>
            <w:tcBorders>
              <w:top w:val="single" w:color="auto" w:sz="4" w:space="0"/>
              <w:left w:val="single" w:color="auto" w:sz="4" w:space="0"/>
              <w:bottom w:val="single" w:color="auto" w:sz="4" w:space="0"/>
              <w:right w:val="single" w:color="auto" w:sz="4" w:space="0"/>
            </w:tcBorders>
          </w:tcPr>
          <w:p>
            <w:pPr>
              <w:snapToGrid w:val="0"/>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根据省财政厅《关于进一步发挥政府采购政策功能全力推动经济稳进提质的通知》（浙财采监【2022】3号）要求，制定如下付款方式：</w:t>
            </w:r>
          </w:p>
          <w:p>
            <w:pPr>
              <w:snapToGrid w:val="0"/>
              <w:spacing w:line="36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1、预付费：</w:t>
            </w:r>
          </w:p>
          <w:p>
            <w:pPr>
              <w:snapToGrid w:val="0"/>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采购人可在合同有效期内按照财政预算批复金额范围内向中标人预付服务费用。该预付费用于抵扣将来实际发生的服务费。</w:t>
            </w:r>
          </w:p>
          <w:p>
            <w:pPr>
              <w:snapToGrid w:val="0"/>
              <w:spacing w:line="36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2、服务费用支付：</w:t>
            </w:r>
          </w:p>
          <w:p>
            <w:pPr>
              <w:snapToGrid w:val="0"/>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政务云灾备服务费用采用先用后付、按实结算的原则进行支付，采购人根据本服务期内实际使用数量情况，按照对应的服务单价结算，并扣除预付费金额后（未抵扣完部分，于下一年度继续扣除，扣完为止），在下一年度向中标人支付剩余的服务费用。</w:t>
            </w:r>
          </w:p>
          <w:p>
            <w:pPr>
              <w:snapToGrid w:val="0"/>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支付时间暂定为当年的第十一月。</w:t>
            </w:r>
          </w:p>
          <w:p>
            <w:pPr>
              <w:snapToGrid w:val="0"/>
              <w:spacing w:line="360" w:lineRule="exact"/>
              <w:rPr>
                <w:rFonts w:hint="eastAsia" w:ascii="仿宋" w:hAnsi="仿宋" w:eastAsia="仿宋" w:cs="仿宋"/>
                <w:color w:val="000000"/>
                <w:sz w:val="28"/>
                <w:szCs w:val="28"/>
              </w:rPr>
            </w:pPr>
            <w:r>
              <w:rPr>
                <w:rFonts w:hint="eastAsia" w:ascii="仿宋" w:hAnsi="仿宋" w:eastAsia="仿宋" w:cs="仿宋"/>
                <w:b/>
                <w:bCs/>
                <w:color w:val="000000"/>
                <w:sz w:val="28"/>
                <w:szCs w:val="28"/>
              </w:rPr>
              <w:t>3、供应商明确表示无需预付款或者主动要求降低预付款比例的，采购单位可不适用前述规定</w:t>
            </w:r>
            <w:r>
              <w:rPr>
                <w:rFonts w:hint="eastAsia" w:ascii="仿宋" w:hAnsi="仿宋" w:eastAsia="仿宋" w:cs="仿宋"/>
                <w:color w:val="000000"/>
                <w:sz w:val="28"/>
                <w:szCs w:val="28"/>
              </w:rPr>
              <w:t>。</w:t>
            </w:r>
          </w:p>
        </w:tc>
      </w:tr>
    </w:tbl>
    <w:p>
      <w:pPr>
        <w:rPr>
          <w:rFonts w:hint="eastAsia" w:ascii="仿宋" w:hAnsi="仿宋" w:eastAsia="仿宋" w:cs="仿宋"/>
          <w:b/>
          <w:sz w:val="28"/>
          <w:szCs w:val="28"/>
        </w:rPr>
      </w:pPr>
      <w:r>
        <w:rPr>
          <w:rFonts w:hint="eastAsia" w:ascii="仿宋" w:hAnsi="仿宋" w:eastAsia="仿宋" w:cs="仿宋"/>
          <w:b/>
          <w:sz w:val="28"/>
          <w:szCs w:val="28"/>
        </w:rPr>
        <w:t>特别说明：</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1、根据浙财采监字[2007]2号文件规定：除招标文件明确的品牌外，欢迎其他能满足本项目技术需求且性能与所明确品牌相当的产品参加。</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2、需求中不允许负偏离的实质性要求和条件，以“★”号标明，如投标人未响应的，将被视为无效。</w:t>
      </w:r>
    </w:p>
    <w:p>
      <w:pPr>
        <w:ind w:firstLine="562" w:firstLineChars="200"/>
        <w:rPr>
          <w:rFonts w:hint="eastAsia" w:ascii="仿宋" w:hAnsi="仿宋" w:eastAsia="仿宋" w:cs="仿宋"/>
          <w:b/>
          <w:sz w:val="28"/>
          <w:szCs w:val="28"/>
        </w:rPr>
      </w:pPr>
      <w:r>
        <w:rPr>
          <w:rFonts w:hint="eastAsia" w:ascii="仿宋" w:hAnsi="仿宋" w:eastAsia="仿宋" w:cs="仿宋"/>
          <w:b/>
          <w:sz w:val="28"/>
          <w:szCs w:val="28"/>
        </w:rPr>
        <w:t>3、核心产品在各标项内容中明确，如出现同品牌情况的，评标委员会根据《政府采购货物和服务招标投标管理办法》（财政部令第87号）第三十一条规定执行。</w:t>
      </w:r>
    </w:p>
    <w:p>
      <w:pPr>
        <w:pStyle w:val="3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645"/>
        <w:jc w:val="both"/>
        <w:rPr>
          <w:rFonts w:hint="default" w:ascii="仿宋" w:hAnsi="仿宋" w:eastAsia="仿宋" w:cs="仿宋"/>
          <w:b/>
          <w:kern w:val="2"/>
          <w:sz w:val="28"/>
          <w:szCs w:val="28"/>
          <w:lang w:val="en-US" w:eastAsia="zh-CN" w:bidi="ar-SA"/>
        </w:rPr>
      </w:pPr>
      <w:bookmarkStart w:id="51" w:name="_Toc36454324"/>
      <w:r>
        <w:rPr>
          <w:rFonts w:hint="eastAsia" w:ascii="仿宋" w:hAnsi="仿宋" w:eastAsia="仿宋" w:cs="仿宋"/>
          <w:b/>
          <w:kern w:val="2"/>
          <w:sz w:val="28"/>
          <w:szCs w:val="28"/>
          <w:lang w:val="en-US" w:eastAsia="zh-CN" w:bidi="ar-SA"/>
        </w:rPr>
        <w:t>4、本项目所属行业：</w:t>
      </w:r>
      <w:r>
        <w:rPr>
          <w:rFonts w:hint="default" w:ascii="仿宋" w:hAnsi="仿宋" w:eastAsia="仿宋" w:cs="仿宋"/>
          <w:b/>
          <w:kern w:val="2"/>
          <w:sz w:val="28"/>
          <w:szCs w:val="28"/>
          <w:lang w:val="en-US" w:eastAsia="zh-CN" w:bidi="ar-SA"/>
        </w:rPr>
        <w:t>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p>
      <w:pPr>
        <w:ind w:firstLine="562" w:firstLineChars="200"/>
        <w:rPr>
          <w:rFonts w:hint="eastAsia" w:ascii="仿宋" w:hAnsi="仿宋" w:eastAsia="仿宋" w:cs="仿宋"/>
          <w:b/>
          <w:sz w:val="28"/>
          <w:szCs w:val="28"/>
        </w:rPr>
      </w:pPr>
    </w:p>
    <w:p>
      <w:pPr>
        <w:rPr>
          <w:rFonts w:hint="eastAsia" w:ascii="仿宋" w:hAnsi="仿宋" w:eastAsia="仿宋" w:cs="仿宋"/>
          <w:sz w:val="28"/>
          <w:szCs w:val="28"/>
        </w:rPr>
      </w:pPr>
    </w:p>
    <w:p>
      <w:pPr>
        <w:pStyle w:val="31"/>
        <w:ind w:firstLine="210"/>
        <w:rPr>
          <w:rFonts w:hint="eastAsia" w:ascii="仿宋" w:hAnsi="仿宋" w:eastAsia="仿宋" w:cs="仿宋"/>
          <w:sz w:val="28"/>
          <w:szCs w:val="28"/>
        </w:rPr>
      </w:pPr>
    </w:p>
    <w:p>
      <w:pPr>
        <w:pStyle w:val="24"/>
        <w:rPr>
          <w:rFonts w:hint="eastAsia" w:ascii="仿宋" w:hAnsi="仿宋" w:eastAsia="仿宋" w:cs="仿宋"/>
          <w:sz w:val="28"/>
          <w:szCs w:val="28"/>
        </w:rPr>
      </w:pPr>
    </w:p>
    <w:p>
      <w:pPr>
        <w:rPr>
          <w:rFonts w:hint="eastAsia" w:ascii="仿宋" w:hAnsi="仿宋" w:eastAsia="仿宋" w:cs="仿宋"/>
          <w:sz w:val="28"/>
          <w:szCs w:val="28"/>
        </w:rPr>
      </w:pPr>
    </w:p>
    <w:p>
      <w:pPr>
        <w:pStyle w:val="31"/>
        <w:rPr>
          <w:rFonts w:hint="eastAsia" w:ascii="仿宋" w:hAnsi="仿宋" w:eastAsia="仿宋" w:cs="仿宋"/>
          <w:sz w:val="28"/>
          <w:szCs w:val="28"/>
        </w:rPr>
      </w:pPr>
    </w:p>
    <w:p>
      <w:pPr>
        <w:pStyle w:val="24"/>
        <w:rPr>
          <w:rFonts w:hint="eastAsia" w:ascii="仿宋" w:hAnsi="仿宋" w:eastAsia="仿宋" w:cs="仿宋"/>
          <w:sz w:val="28"/>
          <w:szCs w:val="28"/>
        </w:rPr>
      </w:pPr>
    </w:p>
    <w:p>
      <w:pPr>
        <w:rPr>
          <w:rFonts w:hint="eastAsia" w:ascii="仿宋" w:hAnsi="仿宋" w:eastAsia="仿宋" w:cs="仿宋"/>
          <w:sz w:val="28"/>
          <w:szCs w:val="28"/>
        </w:rPr>
      </w:pPr>
    </w:p>
    <w:p>
      <w:pPr>
        <w:pStyle w:val="31"/>
        <w:rPr>
          <w:rFonts w:hint="eastAsia" w:ascii="仿宋" w:hAnsi="仿宋" w:eastAsia="仿宋" w:cs="仿宋"/>
          <w:sz w:val="28"/>
          <w:szCs w:val="28"/>
        </w:rPr>
      </w:pPr>
    </w:p>
    <w:p>
      <w:pPr>
        <w:pStyle w:val="24"/>
        <w:ind w:left="0" w:leftChars="0" w:firstLine="0" w:firstLineChars="0"/>
        <w:rPr>
          <w:rFonts w:hint="eastAsia"/>
        </w:rPr>
      </w:pPr>
    </w:p>
    <w:p>
      <w:pPr>
        <w:pStyle w:val="3"/>
        <w:spacing w:line="400" w:lineRule="exact"/>
        <w:jc w:val="center"/>
        <w:rPr>
          <w:rFonts w:hint="eastAsia" w:ascii="仿宋" w:hAnsi="仿宋" w:eastAsia="仿宋" w:cs="仿宋"/>
          <w:sz w:val="28"/>
          <w:szCs w:val="28"/>
        </w:rPr>
      </w:pPr>
      <w:r>
        <w:rPr>
          <w:rFonts w:hint="eastAsia" w:ascii="仿宋" w:hAnsi="仿宋" w:eastAsia="仿宋" w:cs="仿宋"/>
          <w:sz w:val="28"/>
          <w:szCs w:val="28"/>
        </w:rPr>
        <w:t>第三章  合同主要条款</w:t>
      </w:r>
      <w:bookmarkEnd w:id="51"/>
    </w:p>
    <w:p>
      <w:pPr>
        <w:spacing w:line="400" w:lineRule="exact"/>
        <w:ind w:firstLine="482" w:firstLineChars="200"/>
        <w:rPr>
          <w:rFonts w:hint="eastAsia" w:ascii="仿宋" w:hAnsi="仿宋" w:eastAsia="仿宋" w:cs="仿宋"/>
          <w:b/>
          <w:spacing w:val="-20"/>
          <w:sz w:val="28"/>
          <w:szCs w:val="28"/>
        </w:rPr>
      </w:pPr>
      <w:r>
        <w:rPr>
          <w:rFonts w:hint="eastAsia" w:ascii="仿宋" w:hAnsi="仿宋" w:eastAsia="仿宋" w:cs="仿宋"/>
          <w:b/>
          <w:bCs/>
          <w:spacing w:val="-20"/>
          <w:sz w:val="28"/>
          <w:szCs w:val="28"/>
        </w:rPr>
        <w:t xml:space="preserve">财政审批编号:     ; 招标文件编号: </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1.定义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本合同中的下列术语应解释为：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1.1“合同”系指供需双方签署的、合同格式中载明的供需双方所达成的协议，包括所有的附件、附录和构成合同的所有文件；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1.2“合同价”系指根据合同规定，需方在供方完全履行合同义务后应付给的价格；</w:t>
      </w:r>
    </w:p>
    <w:p>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1.3“货物”系指供方根据合同规定向需方提供的一切货物、质量保证书和其他技术资料及技术参数；</w:t>
      </w:r>
    </w:p>
    <w:p>
      <w:pPr>
        <w:spacing w:line="44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1.4“服务”系指根据合同规定供方承担与供货有关的辅助服务，如运输、装卸、安装、保险以及其他的服务，例如安装、调试提供技术援助、培训和其他类似的义务；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1.5“需方”系指</w:t>
      </w:r>
      <w:r>
        <w:rPr>
          <w:rFonts w:hint="eastAsia" w:ascii="仿宋" w:hAnsi="仿宋" w:eastAsia="仿宋" w:cs="仿宋"/>
          <w:bCs/>
          <w:sz w:val="28"/>
          <w:szCs w:val="28"/>
        </w:rPr>
        <w:t>具体使用货物和接受服务的使用单位（即采购人）；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1.6“供方”系指根据合同规定提供采购项目货物和服务的具有法人资格的公司、企业或实体（即供应商）；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1.7“财政审批编号”系指湖州市（区）财政局审批编号。</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2.合同项目与内容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湖州市大数据发展管理局湖州市政务云数据资源备份服务</w:t>
      </w:r>
      <w:r>
        <w:rPr>
          <w:rFonts w:hint="eastAsia" w:ascii="仿宋" w:hAnsi="仿宋" w:eastAsia="仿宋" w:cs="仿宋"/>
          <w:sz w:val="28"/>
          <w:szCs w:val="28"/>
        </w:rPr>
        <w:t>采购项目采购项目</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3.供货时间与交货地点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供货时间：详见招标文件第二章商务条款要求；</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供货地点：由采购单位指定。</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4.标准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4.1国家有强制性标准的，执行国家强制性标准。</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5.技术规范</w:t>
      </w:r>
    </w:p>
    <w:p>
      <w:pPr>
        <w:pStyle w:val="7"/>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本合同执行国家及本省、市现行施工及验收规范及有关条例、实施办法等。</w:t>
      </w:r>
    </w:p>
    <w:p>
      <w:pPr>
        <w:pStyle w:val="1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提供和交付的货物及相关服务的技术规范应与招标文件规定的技术规范相一致。</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6.专利权</w:t>
      </w:r>
    </w:p>
    <w:p>
      <w:pPr>
        <w:pStyle w:val="1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供方应保证需方在使用时不受第三方提出侵犯其专利权、商标权等知识产权的起诉。</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7.包装</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8.装运标记</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8.1供方应在每一包装箱的四面用不可擦除的油漆和明显的中文字样做出以下标记：</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8.1.1收货人；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8.1.2合同号；</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8.1.3发货标记（唛头）；</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8.1.4收货人编号；</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8.1.5目的港；</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8.1.6货物名称、品目号和箱号；</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8.1.7毛重/净重（用kg表示）；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8.1.8尺寸（长×宽×高用cm表示）。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8.2如果单件包装箱的重量在2吨或2吨以上，供方应在包装箱两侧用通用的运输标记标准“重心”和“起吊点”以便装卸和搬运。</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根据货物的特点和运输的不同要求，供方应在包装箱上清楚地标注“小心轻放”，“此端朝上，请勿倒置”、“保持干燥”等标记。</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9.装卸要求</w:t>
      </w:r>
    </w:p>
    <w:p>
      <w:pPr>
        <w:pStyle w:val="12"/>
        <w:spacing w:line="440" w:lineRule="exact"/>
        <w:ind w:firstLine="560"/>
        <w:rPr>
          <w:rFonts w:hint="eastAsia" w:ascii="仿宋" w:hAnsi="仿宋" w:eastAsia="仿宋" w:cs="仿宋"/>
          <w:sz w:val="28"/>
          <w:szCs w:val="28"/>
        </w:rPr>
      </w:pPr>
      <w:r>
        <w:rPr>
          <w:rFonts w:hint="eastAsia" w:ascii="仿宋" w:hAnsi="仿宋" w:eastAsia="仿宋" w:cs="仿宋"/>
          <w:sz w:val="28"/>
          <w:szCs w:val="28"/>
        </w:rPr>
        <w:t>除合同另有规定外，供方提供的全部货物，均应按标准采取保护措施，确保货物安全无损运抵现场。由于装卸或运输途中一切不善所造成的损失均由供方承担。</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10.装运条件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供方负责安排运输，运输中的一切费用由供方承担；</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11.装运通知</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供方应在合同规定的装运日期之前，将合同号、货物名称、数量、箱数、总毛重、总体积（用m</w:t>
      </w:r>
      <w:r>
        <w:rPr>
          <w:rFonts w:hint="eastAsia" w:ascii="仿宋" w:hAnsi="仿宋" w:eastAsia="仿宋" w:cs="仿宋"/>
          <w:sz w:val="28"/>
          <w:szCs w:val="28"/>
          <w:vertAlign w:val="superscript"/>
        </w:rPr>
        <w:t>3</w:t>
      </w:r>
      <w:r>
        <w:rPr>
          <w:rFonts w:hint="eastAsia" w:ascii="仿宋" w:hAnsi="仿宋" w:eastAsia="仿宋" w:cs="仿宋"/>
          <w:sz w:val="28"/>
          <w:szCs w:val="28"/>
        </w:rPr>
        <w:t>表示）运输工具以传真形式通知需方。具体安装时间以需方通知为准。</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12.货物就位</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供方负责所供货物就位，如受条件影响就位，供方负责货物拆装，就位一切费用供方负责。</w:t>
      </w:r>
    </w:p>
    <w:p>
      <w:pPr>
        <w:spacing w:line="440" w:lineRule="exact"/>
        <w:rPr>
          <w:rFonts w:hint="eastAsia" w:ascii="仿宋" w:hAnsi="仿宋" w:eastAsia="仿宋" w:cs="仿宋"/>
          <w:b/>
          <w:bCs/>
          <w:sz w:val="28"/>
          <w:szCs w:val="28"/>
          <w:lang w:eastAsia="zh-CN"/>
        </w:rPr>
      </w:pPr>
      <w:r>
        <w:rPr>
          <w:rFonts w:hint="eastAsia" w:ascii="仿宋" w:hAnsi="仿宋" w:eastAsia="仿宋" w:cs="仿宋"/>
          <w:b/>
          <w:bCs/>
          <w:sz w:val="28"/>
          <w:szCs w:val="28"/>
        </w:rPr>
        <w:t>13.付款方法和条件</w:t>
      </w:r>
      <w:r>
        <w:rPr>
          <w:rFonts w:hint="eastAsia" w:ascii="仿宋" w:hAnsi="仿宋" w:eastAsia="仿宋" w:cs="仿宋"/>
          <w:b/>
          <w:bCs/>
          <w:sz w:val="28"/>
          <w:szCs w:val="28"/>
          <w:lang w:eastAsia="zh-CN"/>
        </w:rPr>
        <w:t>：详见第二章商务条款</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14.支付</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14.1支付应使用人民币；</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14.2提交下列单据后结算：</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14.2.1生产厂家出具的出厂合格证书和质量检验报告；</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14.2.2商业发票一份，其金额为所签合同的相应金额；</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14.2.3双方签字验收的验收证书一份。</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15.技术服务及货物的安装、调试</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15.1供方应负责安排需方相关人员进行操作、维修的培训。具体时间及培训内容在投标时由供方提出建议；</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15.2合同所指的货物到达需方工地现场后，供方应在收到需方通知后，派专业安装技术人员前往需方现场进行安装调试，并提供详细的作业流程图及相关人数、技术级别、服务内容和逗留时间等；</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15.3安装调试期间的一切费用由供方自理。</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16.售后服务及承诺</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16.1供方应明确承诺售后服务各项内容和措施，提供详细的服务地点、联系人、电话等有关资料；</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16.2</w:t>
      </w:r>
      <w:r>
        <w:rPr>
          <w:rFonts w:hint="eastAsia" w:ascii="仿宋" w:hAnsi="仿宋" w:eastAsia="仿宋" w:cs="仿宋"/>
          <w:bCs/>
          <w:sz w:val="28"/>
          <w:szCs w:val="28"/>
          <w:lang w:eastAsia="zh-CN"/>
        </w:rPr>
        <w:t>服务期</w:t>
      </w:r>
      <w:r>
        <w:rPr>
          <w:rFonts w:hint="eastAsia" w:ascii="仿宋" w:hAnsi="仿宋" w:eastAsia="仿宋" w:cs="仿宋"/>
          <w:bCs/>
          <w:sz w:val="28"/>
          <w:szCs w:val="28"/>
        </w:rPr>
        <w:t>：</w:t>
      </w:r>
      <w:r>
        <w:rPr>
          <w:rFonts w:hint="eastAsia" w:ascii="仿宋" w:hAnsi="仿宋" w:eastAsia="仿宋" w:cs="仿宋"/>
          <w:b/>
          <w:sz w:val="28"/>
          <w:szCs w:val="28"/>
        </w:rPr>
        <w:t>详见招标文件第二章商务条款要求</w:t>
      </w:r>
      <w:r>
        <w:rPr>
          <w:rFonts w:hint="eastAsia" w:ascii="仿宋" w:hAnsi="仿宋" w:eastAsia="仿宋" w:cs="仿宋"/>
          <w:bCs/>
          <w:sz w:val="28"/>
          <w:szCs w:val="28"/>
        </w:rPr>
        <w:t>。在质保期内，因货物的维修和保养所发生的一切费用均由供方承担；</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16.3货物签约的同时，双方可签订质保修期满后的维修保养协议或合同;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16.4供方在收到需方维修通知后须按投标文件的承诺及时进行现场响应。</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17.备件</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正如合同条款所规定，供方可能被要求提供下列与备件有关的材料、通知和资料：</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17.1需方从供方选购备件，但前提条件是该选择并不能免除供方在合同保证期内所承担的义务；</w:t>
      </w:r>
    </w:p>
    <w:p>
      <w:pPr>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17.2在备件停产的情况下，供方应事先将要停止生产的计划通知需方使需方有足够的时间采购所需的备件；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17.3在备件停产后，如果需方要求，供方应免费向需方提供备件的蓝图等相关技术资料。</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18.技术质量保证</w:t>
      </w:r>
    </w:p>
    <w:p>
      <w:pPr>
        <w:spacing w:line="440" w:lineRule="exact"/>
        <w:ind w:firstLine="560" w:firstLineChars="200"/>
        <w:rPr>
          <w:rFonts w:hint="eastAsia" w:ascii="仿宋" w:hAnsi="仿宋" w:eastAsia="仿宋" w:cs="仿宋"/>
          <w:spacing w:val="-4"/>
          <w:sz w:val="28"/>
          <w:szCs w:val="28"/>
        </w:rPr>
      </w:pPr>
      <w:r>
        <w:rPr>
          <w:rFonts w:hint="eastAsia" w:ascii="仿宋" w:hAnsi="仿宋" w:eastAsia="仿宋" w:cs="仿宋"/>
          <w:sz w:val="28"/>
          <w:szCs w:val="28"/>
        </w:rPr>
        <w:t>18.1</w:t>
      </w:r>
      <w:r>
        <w:rPr>
          <w:rFonts w:hint="eastAsia" w:ascii="仿宋" w:hAnsi="仿宋" w:eastAsia="仿宋" w:cs="仿宋"/>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18.2合同货物提交前，供方应将其有关技术资料一套，如使用指南或服务手册和示意图提交给需方；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18.3质保期以项目安装完毕并经采购人组织验收合格起计算；</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18.4供方对提供的货物执行一定的保质期限，供方应对保质期内由于货物的缺陷（非人为因素）而引发的任何不足负责，费用由供方承担；</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18.5需方应尽快以书面形式通知供方由于货物缺陷而发生的索赔；</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18.6供方在收到通知后3天内应免费更换有缺陷的材料；</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18.7如果供方在收到通知后3天内没有弥补缺陷，需方可采取必要的补救措施，但风险和费用将由供方负责。</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19.检验和测试</w:t>
      </w:r>
    </w:p>
    <w:p>
      <w:pPr>
        <w:widowControl/>
        <w:autoSpaceDE w:val="0"/>
        <w:autoSpaceDN w:val="0"/>
        <w:spacing w:line="44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19.1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19.2检验和测试应在货物的最终目的地进行；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19.3如果任何被检验或测试的货物不能满足规定要求，需方可以拒绝接受该货物，供方应更换被拒绝的货物，或者免费进行必要的修改以满足规定的要求；</w:t>
      </w:r>
    </w:p>
    <w:p>
      <w:pPr>
        <w:widowControl/>
        <w:autoSpaceDE w:val="0"/>
        <w:autoSpaceDN w:val="0"/>
        <w:spacing w:line="44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19.4 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20.验收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20.1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widowControl/>
        <w:autoSpaceDE w:val="0"/>
        <w:autoSpaceDN w:val="0"/>
        <w:spacing w:line="44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20.2 验收费用由供方承担。</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21.索赔</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21.1如果供方对偏差负有责任而需方在合同条款规定的检验、安装、调试、验收和质量保证期内提出了索赔，供方应按照需方同意的下列一种或几种方式结合起来解决索赔事宜：</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21.1.1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21.1.2根据货物的偏差情况、损坏程度以及需方所遭受损失的金额，经供需双方商定降低货物的价格；</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21.1.3用符合合同规定的规格、质量和性能要求的新零件、部件和/或货物来更换有缺陷的部分和/或修补缺陷部分，供方应承担一切费用和风险并负担需方蒙受的全部直接损失费用，同时，供方应按合同规定，相应延长所更换货物的质量保证期。</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21.1.4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以合同付款或从供方开具的履约保证金中扣回索赔金额。</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21.1.5如果在合同条款规定的保质期内，根据质量检验机构的检验结果，发现货物的质量或规格与合同要求不符，或货物被证实有缺陷、包括潜在的缺陷或使用不合适的材料，需方应向供方提出索赔； </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21.1.6合同条款的规定不能免除供方在本合同项下的保证义务或其他义务。</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22.迟交货</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22.1需方的“供货计划一览表”在合同签订的同时提交给供方。供方需按照需方提供的“供货计划一览表”中规定的时间、数量交货和提供服务；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22.2在供货期间，如遇中标货物型号停产或市场断货，供方可在不改变品牌并获取需方书面同意后提供相当于（或优于）中标货物技术性能、档次的替代产品；</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22.3如果供方毫无理由地拖延交货，将受到以下制裁：赔偿损失或终止合同；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22.4在履行合同过程中，如果供方遇到不能按时交货和提供服务的情况，应及时以书面形式将不能按时交货的理由、延误时间通知需方，并承担由此造成的法律和经济责任；</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22.5供方按照“供货计划一览表”中规定的时间、数量如期供货，需方由于自身原因无法及时验收，造成货物积压，需方应赔偿由此给供方所造成的直接损失费用。</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23.不可抗力</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23.1如果双方任何一方由于严重火灾、水灾、台风和地震以及其它经双方同意属于不可抗力的事故，致使影响合同履行时，履行合同的期限应予以延长，延长的期限应相当于事故所影响的时间；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23.2受事故影响的一方应在不可抗力发生后3天内以电报或电传通知另一方，并在事故发生后14天内，将有关部门出具的证明文件寄给另一方。</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24.税</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本合同执行中相关的一切税费均由供方负担。</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25.供方履约延误</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25.1供方应按照“供货计划一览表”中需方规定的时间表交货和提供服务；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25.2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25.3除了合同条款规定的情况外，除非拖延是根据合同条款的规定并取得双方同意而不收取误期赔偿费之外，供方延误交货将按合同条款的规定被收取误期赔偿费。</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26.误期赔偿费</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除了合同条款规定的情况外，如果供方没有按照合同规定的时间交货和提供服务，需方应在不影响合同项下的其他补救措施的情况下，以合同价款中扣除误期赔偿费。延期10天以内每延期一天扣罚合同价款的百分之零点五（0.5%），延期10天以上每延期一天扣罚合同价款的百分之一（1%），累计在履约保证金中扣除，若履约保证金扣完不够，继续从合同价款中扣除。</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27.违约终止合同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27.1在需方对供方违约而采取的任何补救措施不受影响的情况下，需方可向供方发出书面违约通知书，提出终止部分或全部合同；</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27.2如果供方未能在合同规定的期限内或需方根据合同条款的规定同意延长的期限内提供部分或全部货物；</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27.3如果供方未能履行合同规定的其它任何义务；</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27.4如果需方认为供方在本招投标竞争和合同实施过程中有腐败和欺诈行为。为此目的，定义下述条件：</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27.4.1“腐败行为”是指提供、给予、接受或索取任何有价值的物品来影响公共官员在采购过程或合同实施过程中的行为；</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27.4.2“欺诈行为”是指为了影响采购过程或合同实施过程而谎报事实，损害需方利益的行为。</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27.5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spacing w:line="420" w:lineRule="exact"/>
        <w:rPr>
          <w:rFonts w:hint="eastAsia" w:ascii="仿宋" w:hAnsi="仿宋" w:eastAsia="仿宋" w:cs="仿宋"/>
          <w:b/>
          <w:bCs/>
          <w:sz w:val="28"/>
          <w:szCs w:val="28"/>
        </w:rPr>
      </w:pPr>
      <w:r>
        <w:rPr>
          <w:rFonts w:hint="eastAsia" w:ascii="仿宋" w:hAnsi="仿宋" w:eastAsia="仿宋" w:cs="仿宋"/>
          <w:b/>
          <w:bCs/>
          <w:sz w:val="28"/>
          <w:szCs w:val="28"/>
        </w:rPr>
        <w:t>28.仲裁</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28.1在执行本合同中所发生的或与本合同有关的一切争端，供需双方应通过友好协商解决，如从协商开始15天内仍不能解决，双方应将争端提交湖州市仲裁委员会仲裁或直接向需方所在地的人民法院起诉；</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28.2如果提请仲裁，仲裁裁决书应为终局裁决，对双方均有约束力；</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28.3仲裁费用应由败诉方负担；</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28.4如果向人民法院起诉，在收到判决书后，如有异议，有异议方应在收到判决书后在法定时间内提出上诉，逾期未提出的，判决有法律效力，双方应遵照执行；</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28.5在仲裁或起诉期间，除进行仲裁或起诉的部分外，本合同其它部分应继续执行。</w:t>
      </w:r>
    </w:p>
    <w:p>
      <w:pPr>
        <w:spacing w:line="420" w:lineRule="exact"/>
        <w:rPr>
          <w:rFonts w:hint="eastAsia" w:ascii="仿宋" w:hAnsi="仿宋" w:eastAsia="仿宋" w:cs="仿宋"/>
          <w:b/>
          <w:bCs/>
          <w:sz w:val="28"/>
          <w:szCs w:val="28"/>
        </w:rPr>
      </w:pPr>
      <w:r>
        <w:rPr>
          <w:rFonts w:hint="eastAsia" w:ascii="仿宋" w:hAnsi="仿宋" w:eastAsia="仿宋" w:cs="仿宋"/>
          <w:b/>
          <w:bCs/>
          <w:sz w:val="28"/>
          <w:szCs w:val="28"/>
        </w:rPr>
        <w:t>29.转让或分包</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29.1本合同范围的货物，应由供方直接供应，不得转让他人供应；</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29.2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29.3本合同全部或部分的分包不能减轻供方承担的责任，供方仍须将分包人的任何行动、错误或疏忽当作是自己完成的并负全责；</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29.4在任何分包合同中，须注明分包人按分包合同的范围履行，在供方按本合同的履行终止时（不论任何原因），亦同时一并终止；</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29.5如有转让和未经需方同意的分包行为，需方有权给予终止合同。</w:t>
      </w:r>
    </w:p>
    <w:p>
      <w:pPr>
        <w:spacing w:line="420" w:lineRule="exact"/>
        <w:rPr>
          <w:rFonts w:hint="eastAsia" w:ascii="仿宋" w:hAnsi="仿宋" w:eastAsia="仿宋" w:cs="仿宋"/>
          <w:b/>
          <w:bCs/>
          <w:sz w:val="28"/>
          <w:szCs w:val="28"/>
        </w:rPr>
      </w:pPr>
      <w:r>
        <w:rPr>
          <w:rFonts w:hint="eastAsia" w:ascii="仿宋" w:hAnsi="仿宋" w:eastAsia="仿宋" w:cs="仿宋"/>
          <w:b/>
          <w:bCs/>
          <w:sz w:val="28"/>
          <w:szCs w:val="28"/>
        </w:rPr>
        <w:t>30.适用法律</w:t>
      </w:r>
    </w:p>
    <w:p>
      <w:pPr>
        <w:pStyle w:val="25"/>
        <w:spacing w:line="420" w:lineRule="exact"/>
        <w:ind w:firstLine="528"/>
        <w:rPr>
          <w:rFonts w:hint="eastAsia" w:ascii="仿宋" w:hAnsi="仿宋" w:eastAsia="仿宋" w:cs="仿宋"/>
          <w:sz w:val="28"/>
          <w:szCs w:val="28"/>
        </w:rPr>
      </w:pPr>
      <w:r>
        <w:rPr>
          <w:rFonts w:hint="eastAsia" w:ascii="仿宋" w:hAnsi="仿宋" w:eastAsia="仿宋" w:cs="仿宋"/>
          <w:sz w:val="28"/>
          <w:szCs w:val="28"/>
        </w:rPr>
        <w:t>合同适用法律有《中华人民共和国政府采购法》、《中华人民共和国合同法》、《中华人民共和国产品质量法》和浙江省有关条例等。</w:t>
      </w:r>
    </w:p>
    <w:p>
      <w:pPr>
        <w:spacing w:line="420" w:lineRule="exact"/>
        <w:rPr>
          <w:rFonts w:hint="eastAsia" w:ascii="仿宋" w:hAnsi="仿宋" w:eastAsia="仿宋" w:cs="仿宋"/>
          <w:b/>
          <w:bCs/>
          <w:sz w:val="28"/>
          <w:szCs w:val="28"/>
        </w:rPr>
      </w:pPr>
      <w:r>
        <w:rPr>
          <w:rFonts w:hint="eastAsia" w:ascii="仿宋" w:hAnsi="仿宋" w:eastAsia="仿宋" w:cs="仿宋"/>
          <w:b/>
          <w:bCs/>
          <w:sz w:val="28"/>
          <w:szCs w:val="28"/>
        </w:rPr>
        <w:t>31.合同生效及其他</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31.1本合同经双方法人及法定代表人签字盖章生效；</w:t>
      </w:r>
    </w:p>
    <w:p>
      <w:pPr>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31.2本合同一式四份，供、需方各执一份；湖州市财政局（市政府采购办）、集中采购机构各一份。</w:t>
      </w:r>
    </w:p>
    <w:p>
      <w:pPr>
        <w:spacing w:line="400" w:lineRule="exact"/>
        <w:rPr>
          <w:rFonts w:hint="eastAsia" w:ascii="仿宋" w:hAnsi="仿宋" w:eastAsia="仿宋" w:cs="仿宋"/>
          <w:sz w:val="28"/>
          <w:szCs w:val="28"/>
        </w:rPr>
      </w:pPr>
    </w:p>
    <w:p>
      <w:pPr>
        <w:pStyle w:val="31"/>
        <w:rPr>
          <w:rFonts w:hint="eastAsia" w:ascii="仿宋" w:hAnsi="仿宋" w:eastAsia="仿宋" w:cs="仿宋"/>
          <w:sz w:val="28"/>
          <w:szCs w:val="28"/>
        </w:rPr>
      </w:pPr>
    </w:p>
    <w:p>
      <w:pPr>
        <w:pStyle w:val="24"/>
        <w:rPr>
          <w:rFonts w:hint="eastAsia" w:ascii="仿宋" w:hAnsi="仿宋" w:eastAsia="仿宋" w:cs="仿宋"/>
          <w:sz w:val="28"/>
          <w:szCs w:val="28"/>
        </w:rPr>
      </w:pPr>
    </w:p>
    <w:p>
      <w:pPr>
        <w:pStyle w:val="31"/>
        <w:ind w:left="0" w:leftChars="0" w:firstLine="0" w:firstLineChars="0"/>
        <w:rPr>
          <w:rFonts w:hint="eastAsia" w:ascii="仿宋" w:hAnsi="仿宋" w:eastAsia="仿宋" w:cs="仿宋"/>
          <w:sz w:val="28"/>
          <w:szCs w:val="28"/>
        </w:rPr>
      </w:pPr>
    </w:p>
    <w:p>
      <w:pPr>
        <w:pStyle w:val="24"/>
        <w:rPr>
          <w:rFonts w:hint="eastAsia"/>
        </w:rPr>
      </w:pPr>
    </w:p>
    <w:p>
      <w:pPr>
        <w:pStyle w:val="3"/>
        <w:spacing w:line="240" w:lineRule="auto"/>
        <w:jc w:val="center"/>
        <w:rPr>
          <w:rFonts w:hint="eastAsia" w:ascii="仿宋" w:hAnsi="仿宋" w:eastAsia="仿宋" w:cs="仿宋"/>
          <w:b w:val="0"/>
          <w:bCs w:val="0"/>
          <w:sz w:val="28"/>
          <w:szCs w:val="28"/>
        </w:rPr>
      </w:pPr>
      <w:bookmarkStart w:id="52" w:name="_Toc36454325"/>
      <w:r>
        <w:rPr>
          <w:rFonts w:hint="eastAsia" w:ascii="仿宋" w:hAnsi="仿宋" w:eastAsia="仿宋" w:cs="仿宋"/>
          <w:sz w:val="28"/>
          <w:szCs w:val="28"/>
        </w:rPr>
        <w:t>第四章  投标文件的格式附件</w:t>
      </w:r>
      <w:bookmarkEnd w:id="52"/>
    </w:p>
    <w:p>
      <w:pPr>
        <w:snapToGrid w:val="0"/>
        <w:spacing w:before="120" w:beforeLines="50" w:after="50"/>
        <w:ind w:firstLine="550" w:firstLineChars="196"/>
        <w:rPr>
          <w:rFonts w:hint="eastAsia" w:ascii="仿宋" w:hAnsi="仿宋" w:eastAsia="仿宋" w:cs="仿宋"/>
          <w:sz w:val="28"/>
          <w:szCs w:val="28"/>
        </w:rPr>
      </w:pPr>
      <w:r>
        <w:rPr>
          <w:rFonts w:hint="eastAsia" w:ascii="仿宋" w:hAnsi="仿宋" w:eastAsia="仿宋" w:cs="仿宋"/>
          <w:b/>
          <w:bCs/>
          <w:kern w:val="44"/>
          <w:sz w:val="28"/>
          <w:szCs w:val="28"/>
        </w:rPr>
        <w:t>注：本章节内容提供部分投标文件格式，招标文件中有要求但未提供格式的，须由投标人根据招标文件的要求自行制作。</w:t>
      </w:r>
    </w:p>
    <w:p>
      <w:pPr>
        <w:snapToGrid w:val="0"/>
        <w:spacing w:before="50" w:after="120" w:afterLines="50"/>
        <w:jc w:val="left"/>
        <w:rPr>
          <w:rFonts w:hint="eastAsia" w:ascii="仿宋" w:hAnsi="仿宋" w:eastAsia="仿宋" w:cs="仿宋"/>
          <w:b/>
          <w:sz w:val="28"/>
          <w:szCs w:val="28"/>
        </w:rPr>
      </w:pPr>
      <w:r>
        <w:rPr>
          <w:rFonts w:hint="eastAsia" w:ascii="仿宋" w:hAnsi="仿宋" w:eastAsia="仿宋" w:cs="仿宋"/>
          <w:b/>
          <w:sz w:val="28"/>
          <w:szCs w:val="28"/>
        </w:rPr>
        <w:t>附件1：</w:t>
      </w: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投 标 声 明 书</w:t>
      </w:r>
    </w:p>
    <w:p>
      <w:pPr>
        <w:snapToGrid w:val="0"/>
        <w:spacing w:before="50" w:after="50"/>
        <w:jc w:val="center"/>
        <w:rPr>
          <w:rFonts w:hint="eastAsia" w:ascii="仿宋" w:hAnsi="仿宋" w:eastAsia="仿宋" w:cs="仿宋"/>
          <w:b/>
          <w:sz w:val="28"/>
          <w:szCs w:val="28"/>
        </w:rPr>
      </w:pPr>
    </w:p>
    <w:p>
      <w:pPr>
        <w:snapToGrid w:val="0"/>
        <w:spacing w:line="360" w:lineRule="auto"/>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致湖州市政府采购中心：</w:t>
      </w:r>
    </w:p>
    <w:p>
      <w:pPr>
        <w:snapToGrid w:val="0"/>
        <w:spacing w:line="360" w:lineRule="auto"/>
        <w:ind w:firstLine="560" w:firstLineChars="200"/>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u w:val="single"/>
        </w:rPr>
        <w:t xml:space="preserve">（投标人名称）               </w:t>
      </w:r>
      <w:r>
        <w:rPr>
          <w:rFonts w:hint="eastAsia" w:ascii="仿宋" w:hAnsi="仿宋" w:eastAsia="仿宋" w:cs="仿宋"/>
          <w:snapToGrid w:val="0"/>
          <w:kern w:val="0"/>
          <w:sz w:val="28"/>
          <w:szCs w:val="28"/>
        </w:rPr>
        <w:t>系中华人民共和国合法企业，经营地址</w:t>
      </w:r>
      <w:r>
        <w:rPr>
          <w:rFonts w:hint="eastAsia" w:ascii="仿宋" w:hAnsi="仿宋" w:eastAsia="仿宋" w:cs="仿宋"/>
          <w:snapToGrid w:val="0"/>
          <w:kern w:val="0"/>
          <w:sz w:val="28"/>
          <w:szCs w:val="28"/>
          <w:u w:val="single"/>
        </w:rPr>
        <w:t xml:space="preserve">                            </w:t>
      </w:r>
      <w:r>
        <w:rPr>
          <w:rFonts w:hint="eastAsia" w:ascii="仿宋" w:hAnsi="仿宋" w:eastAsia="仿宋" w:cs="仿宋"/>
          <w:snapToGrid w:val="0"/>
          <w:kern w:val="0"/>
          <w:sz w:val="28"/>
          <w:szCs w:val="28"/>
        </w:rPr>
        <w:t>。</w:t>
      </w:r>
    </w:p>
    <w:p>
      <w:pPr>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我</w:t>
      </w:r>
      <w:r>
        <w:rPr>
          <w:rFonts w:hint="eastAsia" w:ascii="仿宋" w:hAnsi="仿宋" w:eastAsia="仿宋" w:cs="仿宋"/>
          <w:snapToGrid w:val="0"/>
          <w:kern w:val="0"/>
          <w:sz w:val="28"/>
          <w:szCs w:val="28"/>
          <w:u w:val="single"/>
        </w:rPr>
        <w:t>（姓名）</w:t>
      </w:r>
      <w:r>
        <w:rPr>
          <w:rFonts w:hint="eastAsia" w:ascii="仿宋" w:hAnsi="仿宋" w:eastAsia="仿宋" w:cs="仿宋"/>
          <w:snapToGrid w:val="0"/>
          <w:kern w:val="0"/>
          <w:sz w:val="28"/>
          <w:szCs w:val="28"/>
        </w:rPr>
        <w:t>系</w:t>
      </w:r>
      <w:r>
        <w:rPr>
          <w:rFonts w:hint="eastAsia" w:ascii="仿宋" w:hAnsi="仿宋" w:eastAsia="仿宋" w:cs="仿宋"/>
          <w:snapToGrid w:val="0"/>
          <w:kern w:val="0"/>
          <w:sz w:val="28"/>
          <w:szCs w:val="28"/>
          <w:u w:val="single"/>
        </w:rPr>
        <w:t>（投标人名称）</w:t>
      </w:r>
      <w:r>
        <w:rPr>
          <w:rFonts w:hint="eastAsia" w:ascii="仿宋" w:hAnsi="仿宋" w:eastAsia="仿宋" w:cs="仿宋"/>
          <w:snapToGrid w:val="0"/>
          <w:kern w:val="0"/>
          <w:sz w:val="28"/>
          <w:szCs w:val="28"/>
        </w:rPr>
        <w:t>的法定代表人，我方愿意参加贵方组织的</w:t>
      </w:r>
      <w:r>
        <w:rPr>
          <w:rFonts w:hint="eastAsia" w:ascii="仿宋" w:hAnsi="仿宋" w:eastAsia="仿宋" w:cs="仿宋"/>
          <w:snapToGrid w:val="0"/>
          <w:kern w:val="0"/>
          <w:sz w:val="28"/>
          <w:szCs w:val="28"/>
          <w:u w:val="single"/>
        </w:rPr>
        <w:t>（招标项目名称）（编号：</w:t>
      </w:r>
      <w:r>
        <w:rPr>
          <w:rFonts w:hint="eastAsia" w:ascii="仿宋" w:hAnsi="仿宋" w:eastAsia="仿宋" w:cs="仿宋"/>
          <w:snapToGrid w:val="0"/>
          <w:kern w:val="0"/>
          <w:sz w:val="28"/>
          <w:szCs w:val="28"/>
          <w:u w:val="single"/>
          <w:lang w:eastAsia="zh-CN"/>
        </w:rPr>
        <w:t>HZGZ2022-49</w:t>
      </w:r>
      <w:r>
        <w:rPr>
          <w:rFonts w:hint="eastAsia" w:ascii="仿宋" w:hAnsi="仿宋" w:eastAsia="仿宋" w:cs="仿宋"/>
          <w:snapToGrid w:val="0"/>
          <w:kern w:val="0"/>
          <w:sz w:val="28"/>
          <w:szCs w:val="28"/>
          <w:u w:val="single"/>
        </w:rPr>
        <w:t>）</w:t>
      </w:r>
      <w:r>
        <w:rPr>
          <w:rFonts w:hint="eastAsia" w:ascii="仿宋" w:hAnsi="仿宋" w:eastAsia="仿宋" w:cs="仿宋"/>
          <w:snapToGrid w:val="0"/>
          <w:kern w:val="0"/>
          <w:sz w:val="28"/>
          <w:szCs w:val="28"/>
        </w:rPr>
        <w:t>的投标，为此，我方就本次投标有关事项郑重声明如下：</w:t>
      </w:r>
    </w:p>
    <w:p>
      <w:pPr>
        <w:snapToGrid w:val="0"/>
        <w:spacing w:line="360" w:lineRule="auto"/>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1、我方已详细审查全部招标文件，同意招标文件的各项要求。</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2、我方向贵方提交的所有投标文件、资料都是准确的和真实的。</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3、若中标，我方将按招标文件规定履行合同责任和义务。</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5、投标文件自开标日起有效期为120天。</w:t>
      </w:r>
    </w:p>
    <w:p>
      <w:pPr>
        <w:snapToGrid w:val="0"/>
        <w:spacing w:line="360" w:lineRule="auto"/>
        <w:ind w:firstLine="550" w:firstLineChars="196"/>
        <w:jc w:val="left"/>
        <w:rPr>
          <w:rFonts w:hint="eastAsia" w:ascii="仿宋" w:hAnsi="仿宋" w:eastAsia="仿宋" w:cs="仿宋"/>
          <w:b/>
          <w:sz w:val="28"/>
          <w:szCs w:val="28"/>
        </w:rPr>
      </w:pPr>
      <w:r>
        <w:rPr>
          <w:rFonts w:hint="eastAsia" w:ascii="仿宋" w:hAnsi="仿宋" w:eastAsia="仿宋" w:cs="仿宋"/>
          <w:b/>
          <w:sz w:val="28"/>
          <w:szCs w:val="28"/>
        </w:rPr>
        <w:t>6、</w:t>
      </w:r>
      <w:r>
        <w:rPr>
          <w:rFonts w:hint="eastAsia" w:ascii="仿宋" w:hAnsi="仿宋" w:eastAsia="仿宋" w:cs="仿宋"/>
          <w:b/>
          <w:sz w:val="28"/>
          <w:szCs w:val="28"/>
          <w:lang w:eastAsia="zh-CN"/>
        </w:rPr>
        <w:t>符合《中华人民共和国政府采购法》第二十二条：参加政府采购活动应当具备的条件</w:t>
      </w:r>
      <w:r>
        <w:rPr>
          <w:rFonts w:hint="eastAsia" w:ascii="仿宋" w:hAnsi="仿宋" w:eastAsia="仿宋" w:cs="仿宋"/>
          <w:b/>
          <w:sz w:val="28"/>
          <w:szCs w:val="28"/>
        </w:rPr>
        <w:t>；</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8、以上事项如有虚假或隐瞒，我方愿意承担一切后果，并不再寻求任何旨在减轻或免除法律责任的辩解。</w:t>
      </w:r>
    </w:p>
    <w:p>
      <w:pPr>
        <w:snapToGrid w:val="0"/>
        <w:ind w:right="600" w:firstLine="140" w:firstLineChars="50"/>
        <w:rPr>
          <w:rFonts w:hint="eastAsia" w:ascii="仿宋" w:hAnsi="仿宋" w:eastAsia="仿宋" w:cs="仿宋"/>
          <w:sz w:val="28"/>
          <w:szCs w:val="28"/>
        </w:rPr>
      </w:pPr>
    </w:p>
    <w:p>
      <w:pPr>
        <w:snapToGrid w:val="0"/>
        <w:ind w:right="600" w:firstLine="140" w:firstLineChars="50"/>
        <w:rPr>
          <w:rFonts w:hint="eastAsia" w:ascii="仿宋" w:hAnsi="仿宋" w:eastAsia="仿宋" w:cs="仿宋"/>
          <w:sz w:val="28"/>
          <w:szCs w:val="28"/>
          <w:u w:val="single"/>
        </w:rPr>
      </w:pPr>
      <w:r>
        <w:rPr>
          <w:rFonts w:hint="eastAsia" w:ascii="仿宋" w:hAnsi="仿宋" w:eastAsia="仿宋" w:cs="仿宋"/>
          <w:sz w:val="28"/>
          <w:szCs w:val="28"/>
        </w:rPr>
        <w:t>法定代表人签名（或签名章）：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p>
    <w:p>
      <w:pPr>
        <w:snapToGrid w:val="0"/>
        <w:ind w:firstLine="140" w:firstLineChars="50"/>
        <w:rPr>
          <w:rFonts w:hint="eastAsia" w:ascii="仿宋" w:hAnsi="仿宋" w:eastAsia="仿宋" w:cs="仿宋"/>
          <w:sz w:val="28"/>
          <w:szCs w:val="28"/>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br w:type="page"/>
      </w:r>
    </w:p>
    <w:p>
      <w:pPr>
        <w:pStyle w:val="7"/>
        <w:spacing w:line="500" w:lineRule="exact"/>
        <w:ind w:firstLine="0"/>
        <w:rPr>
          <w:rFonts w:hint="eastAsia" w:ascii="仿宋" w:hAnsi="仿宋" w:eastAsia="仿宋" w:cs="仿宋"/>
          <w:b/>
          <w:bCs/>
          <w:spacing w:val="24"/>
          <w:sz w:val="28"/>
          <w:szCs w:val="28"/>
        </w:rPr>
      </w:pPr>
      <w:r>
        <w:rPr>
          <w:rFonts w:hint="eastAsia" w:ascii="仿宋" w:hAnsi="仿宋" w:eastAsia="仿宋" w:cs="仿宋"/>
          <w:b/>
          <w:bCs/>
          <w:spacing w:val="24"/>
          <w:sz w:val="28"/>
          <w:szCs w:val="28"/>
        </w:rPr>
        <w:t>附件2：</w:t>
      </w: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法定代表人有效身份证明书</w:t>
      </w:r>
    </w:p>
    <w:p>
      <w:pPr>
        <w:pStyle w:val="7"/>
        <w:spacing w:line="500" w:lineRule="exact"/>
        <w:ind w:firstLine="513" w:firstLineChars="156"/>
        <w:jc w:val="center"/>
        <w:rPr>
          <w:rFonts w:hint="eastAsia" w:ascii="仿宋" w:hAnsi="仿宋" w:eastAsia="仿宋" w:cs="仿宋"/>
          <w:b/>
          <w:bCs/>
          <w:spacing w:val="24"/>
          <w:sz w:val="28"/>
          <w:szCs w:val="28"/>
        </w:rPr>
      </w:pPr>
    </w:p>
    <w:p>
      <w:pPr>
        <w:pStyle w:val="7"/>
        <w:spacing w:line="500" w:lineRule="exact"/>
        <w:ind w:firstLine="513" w:firstLineChars="156"/>
        <w:jc w:val="center"/>
        <w:rPr>
          <w:rFonts w:hint="eastAsia" w:ascii="仿宋" w:hAnsi="仿宋" w:eastAsia="仿宋" w:cs="仿宋"/>
          <w:b/>
          <w:bCs/>
          <w:spacing w:val="24"/>
          <w:sz w:val="28"/>
          <w:szCs w:val="28"/>
        </w:rPr>
      </w:pPr>
    </w:p>
    <w:p>
      <w:pPr>
        <w:pStyle w:val="7"/>
        <w:spacing w:line="500" w:lineRule="exact"/>
        <w:ind w:firstLine="1400" w:firstLineChars="500"/>
        <w:rPr>
          <w:rFonts w:hint="eastAsia" w:ascii="仿宋" w:hAnsi="仿宋" w:eastAsia="仿宋" w:cs="仿宋"/>
          <w:sz w:val="28"/>
          <w:szCs w:val="28"/>
        </w:rPr>
      </w:pPr>
      <w:r>
        <w:rPr>
          <w:rFonts w:hint="eastAsia" w:ascii="仿宋" w:hAnsi="仿宋" w:eastAsia="仿宋" w:cs="仿宋"/>
          <w:sz w:val="28"/>
          <w:szCs w:val="28"/>
          <w:u w:val="single"/>
        </w:rPr>
        <w:t>（姓名）</w:t>
      </w:r>
      <w:r>
        <w:rPr>
          <w:rFonts w:hint="eastAsia" w:ascii="仿宋" w:hAnsi="仿宋" w:eastAsia="仿宋" w:cs="仿宋"/>
          <w:sz w:val="28"/>
          <w:szCs w:val="28"/>
        </w:rPr>
        <w:t xml:space="preserve">是 </w:t>
      </w:r>
      <w:r>
        <w:rPr>
          <w:rFonts w:hint="eastAsia" w:ascii="仿宋" w:hAnsi="仿宋" w:eastAsia="仿宋" w:cs="仿宋"/>
          <w:sz w:val="28"/>
          <w:szCs w:val="28"/>
          <w:u w:val="single"/>
        </w:rPr>
        <w:t xml:space="preserve">                              </w:t>
      </w:r>
      <w:r>
        <w:rPr>
          <w:rFonts w:hint="eastAsia" w:ascii="仿宋" w:hAnsi="仿宋" w:eastAsia="仿宋" w:cs="仿宋"/>
          <w:sz w:val="28"/>
          <w:szCs w:val="28"/>
        </w:rPr>
        <w:t>（单位全称）</w:t>
      </w:r>
    </w:p>
    <w:p>
      <w:pPr>
        <w:pStyle w:val="7"/>
        <w:spacing w:line="500" w:lineRule="exact"/>
        <w:ind w:firstLine="436" w:firstLineChars="156"/>
        <w:rPr>
          <w:rFonts w:hint="eastAsia" w:ascii="仿宋" w:hAnsi="仿宋" w:eastAsia="仿宋" w:cs="仿宋"/>
          <w:sz w:val="28"/>
          <w:szCs w:val="28"/>
        </w:rPr>
      </w:pPr>
      <w:r>
        <w:rPr>
          <w:rFonts w:hint="eastAsia" w:ascii="仿宋" w:hAnsi="仿宋" w:eastAsia="仿宋" w:cs="仿宋"/>
          <w:sz w:val="28"/>
          <w:szCs w:val="28"/>
        </w:rPr>
        <w:t xml:space="preserve">的法定代表人，身份证号码为 </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7"/>
        <w:spacing w:line="500" w:lineRule="exact"/>
        <w:ind w:firstLine="436" w:firstLineChars="156"/>
        <w:rPr>
          <w:rFonts w:hint="eastAsia" w:ascii="仿宋" w:hAnsi="仿宋" w:eastAsia="仿宋" w:cs="仿宋"/>
          <w:sz w:val="28"/>
          <w:szCs w:val="28"/>
        </w:rPr>
      </w:pPr>
    </w:p>
    <w:p>
      <w:pPr>
        <w:pStyle w:val="7"/>
        <w:spacing w:line="500" w:lineRule="exact"/>
        <w:ind w:firstLine="436" w:firstLineChars="156"/>
        <w:rPr>
          <w:rFonts w:hint="eastAsia" w:ascii="仿宋" w:hAnsi="仿宋" w:eastAsia="仿宋" w:cs="仿宋"/>
          <w:sz w:val="28"/>
          <w:szCs w:val="28"/>
        </w:rPr>
      </w:pPr>
    </w:p>
    <w:p>
      <w:pPr>
        <w:pStyle w:val="7"/>
        <w:spacing w:line="500" w:lineRule="exact"/>
        <w:ind w:firstLine="436" w:firstLineChars="156"/>
        <w:rPr>
          <w:rFonts w:hint="eastAsia" w:ascii="仿宋" w:hAnsi="仿宋" w:eastAsia="仿宋" w:cs="仿宋"/>
          <w:sz w:val="28"/>
          <w:szCs w:val="28"/>
        </w:rPr>
      </w:pPr>
      <w:r>
        <w:rPr>
          <w:rFonts w:hint="eastAsia" w:ascii="仿宋" w:hAnsi="仿宋" w:eastAsia="仿宋" w:cs="仿宋"/>
          <w:sz w:val="28"/>
          <w:szCs w:val="28"/>
        </w:rPr>
        <w:t xml:space="preserve">    特此证明</w:t>
      </w:r>
    </w:p>
    <w:p>
      <w:pPr>
        <w:pStyle w:val="7"/>
        <w:spacing w:line="500" w:lineRule="exact"/>
        <w:ind w:firstLine="436" w:firstLineChars="156"/>
        <w:rPr>
          <w:rFonts w:hint="eastAsia" w:ascii="仿宋" w:hAnsi="仿宋" w:eastAsia="仿宋" w:cs="仿宋"/>
          <w:sz w:val="28"/>
          <w:szCs w:val="28"/>
        </w:rPr>
      </w:pPr>
    </w:p>
    <w:p>
      <w:pPr>
        <w:pStyle w:val="7"/>
        <w:spacing w:line="500" w:lineRule="exact"/>
        <w:ind w:firstLine="436" w:firstLineChars="156"/>
        <w:rPr>
          <w:rFonts w:hint="eastAsia" w:ascii="仿宋" w:hAnsi="仿宋" w:eastAsia="仿宋" w:cs="仿宋"/>
          <w:sz w:val="28"/>
          <w:szCs w:val="28"/>
        </w:rPr>
      </w:pPr>
    </w:p>
    <w:p>
      <w:pPr>
        <w:pStyle w:val="7"/>
        <w:spacing w:line="500" w:lineRule="exact"/>
        <w:ind w:firstLine="436" w:firstLineChars="156"/>
        <w:rPr>
          <w:rFonts w:hint="eastAsia" w:ascii="仿宋" w:hAnsi="仿宋" w:eastAsia="仿宋" w:cs="仿宋"/>
          <w:sz w:val="28"/>
          <w:szCs w:val="28"/>
        </w:rPr>
      </w:pPr>
    </w:p>
    <w:p>
      <w:pPr>
        <w:pStyle w:val="7"/>
        <w:spacing w:line="500" w:lineRule="exact"/>
        <w:ind w:firstLine="436" w:firstLineChars="156"/>
        <w:rPr>
          <w:rFonts w:hint="eastAsia" w:ascii="仿宋" w:hAnsi="仿宋" w:eastAsia="仿宋" w:cs="仿宋"/>
          <w:sz w:val="28"/>
          <w:szCs w:val="28"/>
        </w:rPr>
      </w:pPr>
    </w:p>
    <w:p>
      <w:pPr>
        <w:pStyle w:val="7"/>
        <w:spacing w:line="500" w:lineRule="exact"/>
        <w:ind w:firstLine="436" w:firstLineChars="156"/>
        <w:rPr>
          <w:rFonts w:hint="eastAsia" w:ascii="仿宋" w:hAnsi="仿宋" w:eastAsia="仿宋" w:cs="仿宋"/>
          <w:sz w:val="28"/>
          <w:szCs w:val="28"/>
        </w:rPr>
      </w:pPr>
      <w:r>
        <w:rPr>
          <w:rFonts w:hint="eastAsia" w:ascii="仿宋" w:hAnsi="仿宋" w:eastAsia="仿宋" w:cs="仿宋"/>
          <w:sz w:val="28"/>
          <w:szCs w:val="28"/>
        </w:rPr>
        <w:t xml:space="preserve">          投标人（电子签章）：</w:t>
      </w:r>
    </w:p>
    <w:p>
      <w:pPr>
        <w:pStyle w:val="7"/>
        <w:spacing w:line="500" w:lineRule="exact"/>
        <w:ind w:firstLine="436" w:firstLineChars="156"/>
        <w:rPr>
          <w:rFonts w:hint="eastAsia" w:ascii="仿宋" w:hAnsi="仿宋" w:eastAsia="仿宋" w:cs="仿宋"/>
          <w:sz w:val="28"/>
          <w:szCs w:val="28"/>
        </w:rPr>
      </w:pPr>
    </w:p>
    <w:p>
      <w:pPr>
        <w:pStyle w:val="7"/>
        <w:spacing w:line="500" w:lineRule="exact"/>
        <w:ind w:firstLine="1696" w:firstLineChars="606"/>
        <w:rPr>
          <w:rFonts w:hint="eastAsia" w:ascii="仿宋" w:hAnsi="仿宋" w:eastAsia="仿宋" w:cs="仿宋"/>
          <w:sz w:val="28"/>
          <w:szCs w:val="28"/>
        </w:rPr>
      </w:pPr>
      <w:r>
        <w:rPr>
          <w:rFonts w:hint="eastAsia" w:ascii="仿宋" w:hAnsi="仿宋" w:eastAsia="仿宋" w:cs="仿宋"/>
          <w:sz w:val="28"/>
          <w:szCs w:val="28"/>
        </w:rPr>
        <w:t>法定代表人或其授权代理人（签名或盖章）</w:t>
      </w:r>
    </w:p>
    <w:p>
      <w:pPr>
        <w:pStyle w:val="7"/>
        <w:spacing w:line="500" w:lineRule="exact"/>
        <w:ind w:firstLine="436" w:firstLineChars="156"/>
        <w:jc w:val="center"/>
        <w:rPr>
          <w:rFonts w:hint="eastAsia" w:ascii="仿宋" w:hAnsi="仿宋" w:eastAsia="仿宋" w:cs="仿宋"/>
          <w:sz w:val="28"/>
          <w:szCs w:val="28"/>
        </w:rPr>
      </w:pPr>
    </w:p>
    <w:p>
      <w:pPr>
        <w:pStyle w:val="7"/>
        <w:spacing w:line="500" w:lineRule="exact"/>
        <w:ind w:firstLine="436" w:firstLineChars="156"/>
        <w:rPr>
          <w:rFonts w:hint="eastAsia" w:ascii="仿宋" w:hAnsi="仿宋" w:eastAsia="仿宋" w:cs="仿宋"/>
          <w:sz w:val="28"/>
          <w:szCs w:val="28"/>
        </w:rPr>
      </w:pPr>
      <w:r>
        <w:rPr>
          <w:rFonts w:hint="eastAsia" w:ascii="仿宋" w:hAnsi="仿宋" w:eastAsia="仿宋" w:cs="仿宋"/>
          <w:sz w:val="28"/>
          <w:szCs w:val="28"/>
        </w:rPr>
        <w:t xml:space="preserve">              日期：    年   月   日</w:t>
      </w:r>
    </w:p>
    <w:p>
      <w:pPr>
        <w:pStyle w:val="7"/>
        <w:spacing w:line="500" w:lineRule="exact"/>
        <w:ind w:firstLine="436" w:firstLineChars="156"/>
        <w:jc w:val="center"/>
        <w:rPr>
          <w:rFonts w:hint="eastAsia" w:ascii="仿宋" w:hAnsi="仿宋" w:eastAsia="仿宋" w:cs="仿宋"/>
          <w:sz w:val="28"/>
          <w:szCs w:val="28"/>
        </w:rPr>
      </w:pPr>
    </w:p>
    <w:p>
      <w:pPr>
        <w:pStyle w:val="7"/>
        <w:spacing w:line="500" w:lineRule="exact"/>
        <w:ind w:firstLine="436" w:firstLineChars="156"/>
        <w:rPr>
          <w:rFonts w:hint="eastAsia" w:ascii="仿宋" w:hAnsi="仿宋" w:eastAsia="仿宋" w:cs="仿宋"/>
          <w:sz w:val="28"/>
          <w:szCs w:val="28"/>
        </w:rPr>
      </w:pPr>
      <w:r>
        <w:rPr>
          <w:rFonts w:hint="eastAsia" w:ascii="仿宋" w:hAnsi="仿宋" w:eastAsia="仿宋" w:cs="仿宋"/>
          <w:sz w:val="28"/>
          <w:szCs w:val="28"/>
        </w:rPr>
        <w:t>————————————————————-----------</w:t>
      </w:r>
    </w:p>
    <w:p>
      <w:pPr>
        <w:pStyle w:val="7"/>
        <w:spacing w:line="500" w:lineRule="exact"/>
        <w:ind w:firstLine="0"/>
        <w:rPr>
          <w:rFonts w:hint="eastAsia" w:ascii="仿宋" w:hAnsi="仿宋" w:eastAsia="仿宋" w:cs="仿宋"/>
          <w:sz w:val="28"/>
          <w:szCs w:val="28"/>
        </w:rPr>
      </w:pPr>
    </w:p>
    <w:p>
      <w:pPr>
        <w:pStyle w:val="7"/>
        <w:spacing w:line="500" w:lineRule="exact"/>
        <w:ind w:firstLine="436" w:firstLineChars="156"/>
        <w:jc w:val="center"/>
        <w:rPr>
          <w:rFonts w:hint="eastAsia" w:ascii="仿宋" w:hAnsi="仿宋" w:eastAsia="仿宋" w:cs="仿宋"/>
          <w:sz w:val="28"/>
          <w:szCs w:val="28"/>
        </w:rPr>
      </w:pPr>
      <w:r>
        <w:rPr>
          <w:rFonts w:hint="eastAsia" w:ascii="仿宋" w:hAnsi="仿宋" w:eastAsia="仿宋" w:cs="仿宋"/>
          <w:sz w:val="28"/>
          <w:szCs w:val="28"/>
        </w:rPr>
        <w:t>有效身份证明复印件粘贴处</w:t>
      </w:r>
    </w:p>
    <w:p>
      <w:pPr>
        <w:pStyle w:val="7"/>
        <w:spacing w:line="500" w:lineRule="exact"/>
        <w:ind w:firstLine="436" w:firstLineChars="156"/>
        <w:jc w:val="center"/>
        <w:rPr>
          <w:rFonts w:hint="eastAsia" w:ascii="仿宋" w:hAnsi="仿宋" w:eastAsia="仿宋" w:cs="仿宋"/>
          <w:sz w:val="28"/>
          <w:szCs w:val="28"/>
        </w:rPr>
      </w:pPr>
    </w:p>
    <w:p>
      <w:pPr>
        <w:pStyle w:val="7"/>
        <w:spacing w:line="500" w:lineRule="exact"/>
        <w:ind w:firstLine="436" w:firstLineChars="156"/>
        <w:jc w:val="center"/>
        <w:rPr>
          <w:rFonts w:hint="eastAsia" w:ascii="仿宋" w:hAnsi="仿宋" w:eastAsia="仿宋" w:cs="仿宋"/>
          <w:sz w:val="28"/>
          <w:szCs w:val="28"/>
        </w:rPr>
      </w:pPr>
    </w:p>
    <w:p>
      <w:pPr>
        <w:pStyle w:val="7"/>
        <w:spacing w:line="500" w:lineRule="exact"/>
        <w:ind w:firstLine="513" w:firstLineChars="156"/>
        <w:jc w:val="center"/>
        <w:rPr>
          <w:rFonts w:hint="eastAsia" w:ascii="仿宋" w:hAnsi="仿宋" w:eastAsia="仿宋" w:cs="仿宋"/>
          <w:b/>
          <w:bCs/>
          <w:spacing w:val="24"/>
          <w:sz w:val="28"/>
          <w:szCs w:val="28"/>
        </w:rPr>
      </w:pPr>
    </w:p>
    <w:p>
      <w:pPr>
        <w:pStyle w:val="7"/>
        <w:spacing w:line="500" w:lineRule="exact"/>
        <w:ind w:firstLine="513" w:firstLineChars="156"/>
        <w:jc w:val="center"/>
        <w:rPr>
          <w:rFonts w:hint="eastAsia" w:ascii="仿宋" w:hAnsi="仿宋" w:eastAsia="仿宋" w:cs="仿宋"/>
          <w:b/>
          <w:bCs/>
          <w:spacing w:val="24"/>
          <w:sz w:val="28"/>
          <w:szCs w:val="28"/>
        </w:rPr>
      </w:pPr>
    </w:p>
    <w:p>
      <w:pPr>
        <w:snapToGrid w:val="0"/>
        <w:spacing w:before="120" w:beforeLines="50" w:after="50" w:line="460" w:lineRule="exact"/>
        <w:rPr>
          <w:rFonts w:hint="eastAsia" w:ascii="仿宋" w:hAnsi="仿宋" w:eastAsia="仿宋" w:cs="仿宋"/>
          <w:sz w:val="28"/>
          <w:szCs w:val="28"/>
        </w:rPr>
      </w:pPr>
    </w:p>
    <w:p>
      <w:pPr>
        <w:snapToGrid w:val="0"/>
        <w:spacing w:before="120" w:beforeLines="50" w:after="50" w:line="460" w:lineRule="exact"/>
        <w:rPr>
          <w:rFonts w:hint="eastAsia" w:ascii="仿宋" w:hAnsi="仿宋" w:eastAsia="仿宋" w:cs="仿宋"/>
          <w:b/>
          <w:sz w:val="28"/>
          <w:szCs w:val="28"/>
        </w:rPr>
      </w:pPr>
      <w:r>
        <w:rPr>
          <w:rFonts w:hint="eastAsia" w:ascii="仿宋" w:hAnsi="仿宋" w:eastAsia="仿宋" w:cs="仿宋"/>
          <w:b/>
          <w:sz w:val="28"/>
          <w:szCs w:val="28"/>
        </w:rPr>
        <w:t>附件3：</w:t>
      </w: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napToGrid w:val="0"/>
        <w:spacing w:before="120" w:beforeLines="50" w:after="50"/>
        <w:jc w:val="center"/>
        <w:rPr>
          <w:rFonts w:hint="eastAsia" w:ascii="仿宋" w:hAnsi="仿宋" w:eastAsia="仿宋" w:cs="仿宋"/>
          <w:b/>
          <w:sz w:val="28"/>
          <w:szCs w:val="28"/>
        </w:rPr>
      </w:pPr>
    </w:p>
    <w:p>
      <w:pPr>
        <w:snapToGrid w:val="0"/>
        <w:spacing w:line="360" w:lineRule="auto"/>
        <w:rPr>
          <w:rFonts w:hint="eastAsia" w:ascii="仿宋" w:hAnsi="仿宋" w:eastAsia="仿宋" w:cs="仿宋"/>
          <w:b/>
          <w:bCs/>
          <w:sz w:val="28"/>
          <w:szCs w:val="28"/>
        </w:rPr>
      </w:pPr>
      <w:r>
        <w:rPr>
          <w:rFonts w:hint="eastAsia" w:ascii="仿宋" w:hAnsi="仿宋" w:eastAsia="仿宋" w:cs="仿宋"/>
          <w:bCs/>
          <w:sz w:val="28"/>
          <w:szCs w:val="28"/>
        </w:rPr>
        <w:t>湖州市政府采购中心：</w:t>
      </w:r>
    </w:p>
    <w:p>
      <w:pPr>
        <w:snapToGrid w:val="0"/>
        <w:spacing w:line="360" w:lineRule="auto"/>
        <w:ind w:firstLine="840" w:firstLineChars="300"/>
        <w:rPr>
          <w:rFonts w:hint="eastAsia" w:ascii="仿宋" w:hAnsi="仿宋" w:eastAsia="仿宋" w:cs="仿宋"/>
          <w:sz w:val="28"/>
          <w:szCs w:val="28"/>
          <w:u w:val="single"/>
        </w:rPr>
      </w:pPr>
      <w:r>
        <w:rPr>
          <w:rFonts w:hint="eastAsia" w:ascii="仿宋" w:hAnsi="仿宋" w:eastAsia="仿宋" w:cs="仿宋"/>
          <w:sz w:val="28"/>
          <w:szCs w:val="28"/>
        </w:rPr>
        <w:t>我</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（投标人名称）的法定代表人，现授权委托本单位在职职工 </w:t>
      </w:r>
      <w:r>
        <w:rPr>
          <w:rFonts w:hint="eastAsia" w:ascii="仿宋" w:hAnsi="仿宋" w:eastAsia="仿宋" w:cs="仿宋"/>
          <w:b/>
          <w:sz w:val="28"/>
          <w:szCs w:val="28"/>
        </w:rPr>
        <w:t xml:space="preserve">(提供个人在本单位缴纳社保的证明) </w:t>
      </w:r>
      <w:r>
        <w:rPr>
          <w:rFonts w:hint="eastAsia" w:ascii="仿宋" w:hAnsi="仿宋" w:eastAsia="仿宋" w:cs="仿宋"/>
          <w:b/>
          <w:sz w:val="28"/>
          <w:szCs w:val="28"/>
          <w:u w:val="single"/>
        </w:rPr>
        <w:t xml:space="preserve">   </w:t>
      </w:r>
      <w:r>
        <w:rPr>
          <w:rFonts w:hint="eastAsia" w:ascii="仿宋" w:hAnsi="仿宋" w:eastAsia="仿宋" w:cs="仿宋"/>
          <w:sz w:val="28"/>
          <w:szCs w:val="28"/>
          <w:u w:val="single"/>
        </w:rPr>
        <w:t xml:space="preserve"> </w:t>
      </w:r>
    </w:p>
    <w:p>
      <w:pPr>
        <w:snapToGrid w:val="0"/>
        <w:spacing w:line="360" w:lineRule="auto"/>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rPr>
        <w:t>（姓名）为授权代表，以我方的名义参加项目编号：</w:t>
      </w:r>
      <w:r>
        <w:rPr>
          <w:rFonts w:hint="eastAsia" w:ascii="仿宋" w:hAnsi="仿宋" w:eastAsia="仿宋" w:cs="仿宋"/>
          <w:sz w:val="28"/>
          <w:szCs w:val="28"/>
          <w:u w:val="single"/>
        </w:rPr>
        <w:t xml:space="preserve">           </w:t>
      </w: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r>
        <w:rPr>
          <w:rFonts w:hint="eastAsia" w:ascii="仿宋" w:hAnsi="仿宋" w:eastAsia="仿宋" w:cs="仿宋"/>
          <w:sz w:val="28"/>
          <w:szCs w:val="28"/>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在撤销授权的书面通知以前，本授权书一直有效。授权代表在授权书有效期内签署的所有文件不因授权的撤销而失效。</w:t>
      </w:r>
    </w:p>
    <w:p>
      <w:pPr>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授权代表无转委托权，特此委托。</w:t>
      </w:r>
    </w:p>
    <w:p>
      <w:pPr>
        <w:snapToGrid w:val="0"/>
        <w:spacing w:line="360" w:lineRule="auto"/>
        <w:ind w:firstLine="480"/>
        <w:rPr>
          <w:rFonts w:hint="eastAsia" w:ascii="仿宋" w:hAnsi="仿宋" w:eastAsia="仿宋" w:cs="仿宋"/>
          <w:sz w:val="28"/>
          <w:szCs w:val="28"/>
        </w:rPr>
      </w:pPr>
    </w:p>
    <w:p>
      <w:pPr>
        <w:snapToGrid w:val="0"/>
        <w:spacing w:before="120" w:beforeLines="50" w:after="50" w:line="460" w:lineRule="exact"/>
        <w:rPr>
          <w:rFonts w:hint="eastAsia" w:ascii="仿宋" w:hAnsi="仿宋" w:eastAsia="仿宋" w:cs="仿宋"/>
          <w:sz w:val="28"/>
          <w:szCs w:val="28"/>
        </w:rPr>
      </w:pPr>
      <w:r>
        <w:rPr>
          <w:rFonts w:hint="eastAsia" w:ascii="仿宋" w:hAnsi="仿宋" w:eastAsia="仿宋" w:cs="仿宋"/>
          <w:sz w:val="28"/>
          <w:szCs w:val="28"/>
        </w:rPr>
        <w:t>授权代表签名：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napToGrid w:val="0"/>
        <w:spacing w:before="120" w:beforeLines="50" w:after="50" w:line="460" w:lineRule="exact"/>
        <w:rPr>
          <w:rFonts w:hint="eastAsia" w:ascii="仿宋" w:hAnsi="仿宋" w:eastAsia="仿宋" w:cs="仿宋"/>
          <w:sz w:val="28"/>
          <w:szCs w:val="28"/>
        </w:rPr>
      </w:pPr>
      <w:r>
        <w:rPr>
          <w:rFonts w:hint="eastAsia" w:ascii="仿宋" w:hAnsi="仿宋" w:eastAsia="仿宋" w:cs="仿宋"/>
          <w:sz w:val="28"/>
          <w:szCs w:val="28"/>
        </w:rPr>
        <w:t>联系手机：</w:t>
      </w:r>
      <w:r>
        <w:rPr>
          <w:rFonts w:hint="eastAsia" w:ascii="仿宋" w:hAnsi="仿宋" w:eastAsia="仿宋" w:cs="仿宋"/>
          <w:sz w:val="28"/>
          <w:szCs w:val="28"/>
          <w:u w:val="single"/>
        </w:rPr>
        <w:t xml:space="preserve">              </w:t>
      </w:r>
      <w:r>
        <w:rPr>
          <w:rFonts w:hint="eastAsia" w:ascii="仿宋" w:hAnsi="仿宋" w:eastAsia="仿宋" w:cs="仿宋"/>
          <w:sz w:val="28"/>
          <w:szCs w:val="28"/>
        </w:rPr>
        <w:t>（开评标期间务必保持通畅，用以询标联系）</w:t>
      </w:r>
    </w:p>
    <w:p>
      <w:pPr>
        <w:snapToGrid w:val="0"/>
        <w:spacing w:before="120" w:beforeLines="50" w:after="50" w:line="460" w:lineRule="exact"/>
        <w:rPr>
          <w:rFonts w:hint="eastAsia" w:ascii="仿宋" w:hAnsi="仿宋" w:eastAsia="仿宋" w:cs="仿宋"/>
          <w:sz w:val="28"/>
          <w:szCs w:val="28"/>
        </w:rPr>
      </w:pPr>
      <w:r>
        <w:rPr>
          <w:rFonts w:hint="eastAsia" w:ascii="仿宋" w:hAnsi="仿宋" w:eastAsia="仿宋" w:cs="仿宋"/>
          <w:sz w:val="28"/>
          <w:szCs w:val="28"/>
        </w:rPr>
        <w:t>授权代表身份证号码：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napToGrid w:val="0"/>
        <w:spacing w:before="120" w:beforeLines="50" w:after="50" w:line="460" w:lineRule="exact"/>
        <w:rPr>
          <w:rFonts w:hint="eastAsia" w:ascii="仿宋" w:hAnsi="仿宋" w:eastAsia="仿宋" w:cs="仿宋"/>
          <w:sz w:val="28"/>
          <w:szCs w:val="28"/>
        </w:rPr>
      </w:pPr>
      <w:r>
        <w:rPr>
          <w:rFonts w:hint="eastAsia" w:ascii="仿宋" w:hAnsi="仿宋" w:eastAsia="仿宋" w:cs="仿宋"/>
          <w:sz w:val="28"/>
          <w:szCs w:val="28"/>
        </w:rPr>
        <w:t>法定代表人签名（或签名章）：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snapToGrid w:val="0"/>
        <w:spacing w:before="120" w:beforeLines="50" w:after="50" w:line="460" w:lineRule="exact"/>
        <w:rPr>
          <w:rFonts w:hint="eastAsia" w:ascii="仿宋" w:hAnsi="仿宋" w:eastAsia="仿宋" w:cs="仿宋"/>
          <w:sz w:val="28"/>
          <w:szCs w:val="28"/>
        </w:rPr>
      </w:pPr>
    </w:p>
    <w:p>
      <w:pPr>
        <w:snapToGrid w:val="0"/>
        <w:spacing w:before="120" w:beforeLines="50" w:after="50" w:line="460" w:lineRule="exact"/>
        <w:rPr>
          <w:rFonts w:hint="eastAsia" w:ascii="仿宋" w:hAnsi="仿宋" w:eastAsia="仿宋" w:cs="仿宋"/>
          <w:sz w:val="28"/>
          <w:szCs w:val="28"/>
          <w:u w:val="single"/>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  期：</w:t>
      </w:r>
      <w:r>
        <w:rPr>
          <w:rFonts w:hint="eastAsia" w:ascii="仿宋" w:hAnsi="仿宋" w:eastAsia="仿宋" w:cs="仿宋"/>
          <w:sz w:val="28"/>
          <w:szCs w:val="28"/>
          <w:u w:val="single"/>
        </w:rPr>
        <w:t xml:space="preserve">     </w:t>
      </w:r>
    </w:p>
    <w:p>
      <w:pPr>
        <w:pStyle w:val="7"/>
        <w:spacing w:line="500" w:lineRule="exact"/>
        <w:ind w:firstLine="436" w:firstLineChars="156"/>
        <w:rPr>
          <w:rFonts w:hint="eastAsia" w:ascii="仿宋" w:hAnsi="仿宋" w:eastAsia="仿宋" w:cs="仿宋"/>
          <w:sz w:val="28"/>
          <w:szCs w:val="28"/>
        </w:rPr>
      </w:pPr>
    </w:p>
    <w:p>
      <w:pPr>
        <w:pStyle w:val="7"/>
        <w:spacing w:line="500" w:lineRule="exact"/>
        <w:ind w:firstLine="436" w:firstLineChars="156"/>
        <w:rPr>
          <w:rFonts w:hint="eastAsia" w:ascii="仿宋" w:hAnsi="仿宋" w:eastAsia="仿宋" w:cs="仿宋"/>
          <w:sz w:val="28"/>
          <w:szCs w:val="28"/>
        </w:rPr>
      </w:pPr>
      <w:r>
        <w:rPr>
          <w:rFonts w:hint="eastAsia" w:ascii="仿宋" w:hAnsi="仿宋" w:eastAsia="仿宋" w:cs="仿宋"/>
          <w:sz w:val="28"/>
          <w:szCs w:val="28"/>
        </w:rPr>
        <w:t>————————————————————-----------</w:t>
      </w:r>
    </w:p>
    <w:p>
      <w:pPr>
        <w:snapToGrid w:val="0"/>
        <w:spacing w:before="120" w:beforeLines="50" w:after="50" w:line="460" w:lineRule="exact"/>
        <w:jc w:val="center"/>
        <w:rPr>
          <w:rFonts w:hint="eastAsia" w:ascii="仿宋" w:hAnsi="仿宋" w:eastAsia="仿宋" w:cs="仿宋"/>
          <w:sz w:val="28"/>
          <w:szCs w:val="28"/>
          <w:u w:val="single"/>
        </w:rPr>
      </w:pPr>
      <w:r>
        <w:rPr>
          <w:rFonts w:hint="eastAsia" w:ascii="仿宋" w:hAnsi="仿宋" w:eastAsia="仿宋" w:cs="仿宋"/>
          <w:sz w:val="28"/>
          <w:szCs w:val="28"/>
        </w:rPr>
        <w:t>有效身份证明复印件粘贴处</w:t>
      </w:r>
    </w:p>
    <w:p>
      <w:pPr>
        <w:snapToGrid w:val="0"/>
        <w:spacing w:before="120" w:beforeLines="50" w:after="50" w:line="460" w:lineRule="exact"/>
        <w:rPr>
          <w:rFonts w:hint="eastAsia" w:ascii="仿宋" w:hAnsi="仿宋" w:eastAsia="仿宋" w:cs="仿宋"/>
          <w:sz w:val="28"/>
          <w:szCs w:val="28"/>
          <w:u w:val="single"/>
        </w:rPr>
      </w:pPr>
    </w:p>
    <w:p>
      <w:pPr>
        <w:snapToGrid w:val="0"/>
        <w:spacing w:before="120" w:beforeLines="50" w:after="50" w:line="460" w:lineRule="exact"/>
        <w:rPr>
          <w:rFonts w:hint="eastAsia" w:ascii="仿宋" w:hAnsi="仿宋" w:eastAsia="仿宋" w:cs="仿宋"/>
          <w:sz w:val="28"/>
          <w:szCs w:val="28"/>
          <w:u w:val="single"/>
        </w:rPr>
      </w:pPr>
    </w:p>
    <w:p>
      <w:pPr>
        <w:snapToGrid w:val="0"/>
        <w:spacing w:before="50" w:after="50"/>
        <w:rPr>
          <w:rFonts w:hint="eastAsia" w:ascii="仿宋" w:hAnsi="仿宋" w:eastAsia="仿宋" w:cs="仿宋"/>
          <w:b/>
          <w:sz w:val="28"/>
          <w:szCs w:val="28"/>
        </w:rPr>
      </w:pPr>
      <w:r>
        <w:rPr>
          <w:rFonts w:hint="eastAsia" w:ascii="仿宋" w:hAnsi="仿宋" w:eastAsia="仿宋" w:cs="仿宋"/>
          <w:b/>
          <w:sz w:val="28"/>
          <w:szCs w:val="28"/>
        </w:rPr>
        <w:t>附件4：</w:t>
      </w: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评分索引表</w:t>
      </w:r>
    </w:p>
    <w:p>
      <w:pPr>
        <w:snapToGrid w:val="0"/>
        <w:spacing w:before="50"/>
        <w:jc w:val="center"/>
        <w:rPr>
          <w:rFonts w:hint="eastAsia" w:ascii="仿宋" w:hAnsi="仿宋" w:eastAsia="仿宋" w:cs="仿宋"/>
          <w:b/>
          <w:sz w:val="28"/>
          <w:szCs w:val="28"/>
        </w:rPr>
      </w:pPr>
    </w:p>
    <w:p>
      <w:pPr>
        <w:pStyle w:val="8"/>
        <w:snapToGrid w:val="0"/>
        <w:rPr>
          <w:rFonts w:hint="eastAsia" w:ascii="仿宋" w:hAnsi="仿宋" w:eastAsia="仿宋" w:cs="仿宋"/>
          <w:sz w:val="28"/>
          <w:szCs w:val="28"/>
          <w:u w:val="single"/>
        </w:rPr>
      </w:pPr>
      <w:r>
        <w:rPr>
          <w:rFonts w:hint="eastAsia" w:ascii="仿宋" w:hAnsi="仿宋" w:eastAsia="仿宋" w:cs="仿宋"/>
          <w:sz w:val="28"/>
          <w:szCs w:val="28"/>
        </w:rPr>
        <w:t>投标人全称（电子签章）：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标项：</w:t>
      </w:r>
      <w:r>
        <w:rPr>
          <w:rFonts w:hint="eastAsia" w:ascii="仿宋" w:hAnsi="仿宋" w:eastAsia="仿宋" w:cs="仿宋"/>
          <w:sz w:val="28"/>
          <w:szCs w:val="28"/>
          <w:u w:val="single"/>
        </w:rPr>
        <w:t xml:space="preserve">       </w:t>
      </w:r>
    </w:p>
    <w:tbl>
      <w:tblPr>
        <w:tblStyle w:val="32"/>
        <w:tblW w:w="87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8"/>
                <w:szCs w:val="28"/>
              </w:rPr>
            </w:pPr>
            <w:r>
              <w:rPr>
                <w:rFonts w:hint="eastAsia" w:ascii="仿宋" w:hAnsi="仿宋" w:eastAsia="仿宋" w:cs="仿宋"/>
                <w:sz w:val="28"/>
                <w:szCs w:val="28"/>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8"/>
                <w:szCs w:val="28"/>
              </w:rPr>
            </w:pPr>
            <w:r>
              <w:rPr>
                <w:rFonts w:hint="eastAsia" w:ascii="仿宋" w:hAnsi="仿宋" w:eastAsia="仿宋" w:cs="仿宋"/>
                <w:sz w:val="28"/>
                <w:szCs w:val="28"/>
              </w:rPr>
              <w:t>投标文件对应资料</w:t>
            </w:r>
          </w:p>
          <w:p>
            <w:pPr>
              <w:snapToGrid w:val="0"/>
              <w:spacing w:before="120" w:beforeLines="50"/>
              <w:jc w:val="center"/>
              <w:rPr>
                <w:rFonts w:hint="eastAsia" w:ascii="仿宋" w:hAnsi="仿宋" w:eastAsia="仿宋" w:cs="仿宋"/>
                <w:sz w:val="28"/>
                <w:szCs w:val="28"/>
              </w:rPr>
            </w:pPr>
            <w:r>
              <w:rPr>
                <w:rFonts w:hint="eastAsia" w:ascii="仿宋" w:hAnsi="仿宋" w:eastAsia="仿宋" w:cs="仿宋"/>
                <w:b/>
                <w:sz w:val="28"/>
                <w:szCs w:val="28"/>
              </w:rPr>
              <w:t>（请详细列明评分项中各小项）</w:t>
            </w: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jc w:val="center"/>
              <w:rPr>
                <w:rFonts w:hint="eastAsia" w:ascii="仿宋" w:hAnsi="仿宋" w:eastAsia="仿宋" w:cs="仿宋"/>
                <w:sz w:val="28"/>
                <w:szCs w:val="28"/>
              </w:rPr>
            </w:pPr>
            <w:r>
              <w:rPr>
                <w:rFonts w:hint="eastAsia" w:ascii="仿宋" w:hAnsi="仿宋" w:eastAsia="仿宋" w:cs="仿宋"/>
                <w:sz w:val="28"/>
                <w:szCs w:val="28"/>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 w:hAnsi="仿宋" w:eastAsia="仿宋" w:cs="仿宋"/>
                <w:sz w:val="28"/>
                <w:szCs w:val="28"/>
              </w:rPr>
            </w:pPr>
            <w:r>
              <w:rPr>
                <w:rFonts w:hint="eastAsia" w:ascii="仿宋" w:hAnsi="仿宋" w:eastAsia="仿宋" w:cs="仿宋"/>
                <w:sz w:val="28"/>
                <w:szCs w:val="28"/>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r>
              <w:rPr>
                <w:rFonts w:hint="eastAsia" w:ascii="仿宋" w:hAnsi="仿宋" w:eastAsia="仿宋" w:cs="仿宋"/>
                <w:sz w:val="28"/>
                <w:szCs w:val="28"/>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r>
              <w:rPr>
                <w:rFonts w:hint="eastAsia" w:ascii="仿宋" w:hAnsi="仿宋" w:eastAsia="仿宋" w:cs="仿宋"/>
                <w:sz w:val="28"/>
                <w:szCs w:val="28"/>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hint="eastAsia" w:ascii="仿宋" w:hAnsi="仿宋" w:eastAsia="仿宋" w:cs="仿宋"/>
                <w:sz w:val="28"/>
                <w:szCs w:val="28"/>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20" w:beforeLines="50"/>
              <w:rPr>
                <w:rFonts w:hint="eastAsia" w:ascii="仿宋" w:hAnsi="仿宋" w:eastAsia="仿宋" w:cs="仿宋"/>
                <w:sz w:val="28"/>
                <w:szCs w:val="28"/>
              </w:rPr>
            </w:pPr>
          </w:p>
        </w:tc>
      </w:tr>
    </w:tbl>
    <w:p>
      <w:pPr>
        <w:snapToGrid w:val="0"/>
        <w:spacing w:before="120" w:beforeLines="50"/>
        <w:jc w:val="left"/>
        <w:rPr>
          <w:rFonts w:hint="eastAsia" w:ascii="仿宋" w:hAnsi="仿宋" w:eastAsia="仿宋" w:cs="仿宋"/>
          <w:sz w:val="28"/>
          <w:szCs w:val="28"/>
          <w:u w:val="single"/>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p>
    <w:p>
      <w:pPr>
        <w:snapToGrid w:val="0"/>
        <w:spacing w:before="50" w:after="120" w:afterLines="50"/>
        <w:jc w:val="left"/>
        <w:rPr>
          <w:rFonts w:hint="eastAsia" w:ascii="仿宋" w:hAnsi="仿宋" w:eastAsia="仿宋" w:cs="仿宋"/>
          <w:sz w:val="28"/>
          <w:szCs w:val="28"/>
        </w:rPr>
      </w:pPr>
    </w:p>
    <w:p>
      <w:pPr>
        <w:snapToGrid w:val="0"/>
        <w:spacing w:before="50" w:after="120" w:afterLines="50"/>
        <w:jc w:val="left"/>
        <w:rPr>
          <w:rFonts w:hint="eastAsia" w:ascii="仿宋" w:hAnsi="仿宋" w:eastAsia="仿宋" w:cs="仿宋"/>
          <w:sz w:val="28"/>
          <w:szCs w:val="28"/>
        </w:rPr>
      </w:pPr>
    </w:p>
    <w:p>
      <w:pPr>
        <w:snapToGrid w:val="0"/>
        <w:spacing w:before="120" w:beforeLines="50" w:after="50" w:line="460" w:lineRule="exact"/>
        <w:rPr>
          <w:rFonts w:hint="eastAsia" w:ascii="仿宋" w:hAnsi="仿宋" w:eastAsia="仿宋" w:cs="仿宋"/>
          <w:sz w:val="28"/>
          <w:szCs w:val="28"/>
          <w:u w:val="single"/>
        </w:rPr>
      </w:pPr>
    </w:p>
    <w:p>
      <w:pPr>
        <w:snapToGrid w:val="0"/>
        <w:spacing w:before="120" w:beforeLines="50" w:after="50" w:line="460" w:lineRule="exact"/>
        <w:rPr>
          <w:rFonts w:hint="eastAsia" w:ascii="仿宋" w:hAnsi="仿宋" w:eastAsia="仿宋" w:cs="仿宋"/>
          <w:sz w:val="28"/>
          <w:szCs w:val="28"/>
          <w:u w:val="single"/>
        </w:rPr>
      </w:pPr>
    </w:p>
    <w:p>
      <w:pPr>
        <w:snapToGrid w:val="0"/>
        <w:spacing w:before="120" w:beforeLines="50" w:after="50" w:line="460" w:lineRule="exact"/>
        <w:rPr>
          <w:rFonts w:hint="eastAsia" w:ascii="仿宋" w:hAnsi="仿宋" w:eastAsia="仿宋" w:cs="仿宋"/>
          <w:sz w:val="28"/>
          <w:szCs w:val="28"/>
          <w:u w:val="single"/>
        </w:rPr>
        <w:sectPr>
          <w:headerReference r:id="rId8" w:type="default"/>
          <w:footerReference r:id="rId9" w:type="default"/>
          <w:footerReference r:id="rId10" w:type="even"/>
          <w:pgSz w:w="11906" w:h="16838"/>
          <w:pgMar w:top="1559" w:right="1531" w:bottom="471" w:left="1531" w:header="851" w:footer="851" w:gutter="0"/>
          <w:pgNumType w:chapStyle="1" w:chapSep="colon"/>
          <w:cols w:space="720" w:num="1"/>
          <w:docGrid w:linePitch="312" w:charSpace="0"/>
        </w:sect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附件5：</w:t>
      </w: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企业荣誉</w:t>
      </w:r>
    </w:p>
    <w:p>
      <w:pPr>
        <w:spacing w:line="360" w:lineRule="auto"/>
        <w:jc w:val="center"/>
        <w:rPr>
          <w:rFonts w:hint="eastAsia" w:ascii="仿宋" w:hAnsi="仿宋" w:eastAsia="仿宋" w:cs="仿宋"/>
          <w:spacing w:val="14"/>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投标人全称（电子签章）：           招标文件编号：</w:t>
      </w:r>
    </w:p>
    <w:tbl>
      <w:tblPr>
        <w:tblStyle w:val="32"/>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序号</w:t>
            </w:r>
          </w:p>
        </w:tc>
        <w:tc>
          <w:tcPr>
            <w:tcW w:w="1980" w:type="dxa"/>
            <w:vAlign w:val="center"/>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证书名称</w:t>
            </w:r>
          </w:p>
        </w:tc>
        <w:tc>
          <w:tcPr>
            <w:tcW w:w="1596" w:type="dxa"/>
            <w:vAlign w:val="center"/>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颁发机构</w:t>
            </w:r>
          </w:p>
        </w:tc>
        <w:tc>
          <w:tcPr>
            <w:tcW w:w="1980" w:type="dxa"/>
            <w:vAlign w:val="center"/>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颁发时间</w:t>
            </w:r>
          </w:p>
        </w:tc>
        <w:tc>
          <w:tcPr>
            <w:tcW w:w="2474" w:type="dxa"/>
            <w:vAlign w:val="center"/>
          </w:tcPr>
          <w:p>
            <w:pPr>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596"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2474" w:type="dxa"/>
          </w:tcPr>
          <w:p>
            <w:pPr>
              <w:spacing w:line="360" w:lineRule="auto"/>
              <w:rPr>
                <w:rFonts w:hint="eastAsia" w:ascii="仿宋" w:hAnsi="仿宋" w:eastAsia="仿宋" w:cs="仿宋"/>
                <w:bCs/>
                <w:sz w:val="28"/>
                <w:szCs w:val="28"/>
              </w:rPr>
            </w:pPr>
          </w:p>
        </w:tc>
      </w:tr>
    </w:tbl>
    <w:p>
      <w:pPr>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日期：     年  月  日</w:t>
      </w:r>
    </w:p>
    <w:p>
      <w:pPr>
        <w:spacing w:line="360" w:lineRule="auto"/>
        <w:ind w:left="840" w:hanging="980" w:hangingChars="350"/>
        <w:rPr>
          <w:rFonts w:hint="eastAsia" w:ascii="仿宋" w:hAnsi="仿宋" w:eastAsia="仿宋" w:cs="仿宋"/>
          <w:bCs/>
          <w:sz w:val="28"/>
          <w:szCs w:val="28"/>
        </w:rPr>
      </w:pPr>
      <w:r>
        <w:rPr>
          <w:rFonts w:hint="eastAsia" w:ascii="仿宋" w:hAnsi="仿宋" w:eastAsia="仿宋" w:cs="仿宋"/>
          <w:bCs/>
          <w:sz w:val="28"/>
          <w:szCs w:val="28"/>
        </w:rPr>
        <w:t>注：</w:t>
      </w:r>
      <w:r>
        <w:rPr>
          <w:rFonts w:hint="eastAsia" w:ascii="仿宋" w:hAnsi="仿宋" w:eastAsia="仿宋" w:cs="仿宋"/>
          <w:sz w:val="28"/>
          <w:szCs w:val="28"/>
        </w:rPr>
        <w:t>1、投标</w:t>
      </w:r>
      <w:r>
        <w:rPr>
          <w:rFonts w:hint="eastAsia" w:ascii="仿宋" w:hAnsi="仿宋" w:eastAsia="仿宋" w:cs="仿宋"/>
          <w:bCs/>
          <w:sz w:val="28"/>
          <w:szCs w:val="28"/>
        </w:rPr>
        <w:t>企业获得的荣誉证书是指2018年1月1日至今获得的荣誉证书(附荣誉证书复印件并加盖电子签章）；</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sz w:val="28"/>
          <w:szCs w:val="28"/>
        </w:rPr>
        <w:t>2、此表仅提供了表格形式，投标人应根据需要准备足够数量的表格来填写。</w:t>
      </w:r>
    </w:p>
    <w:p>
      <w:pPr>
        <w:spacing w:line="360" w:lineRule="auto"/>
        <w:rPr>
          <w:rFonts w:hint="eastAsia" w:ascii="仿宋" w:hAnsi="仿宋" w:eastAsia="仿宋" w:cs="仿宋"/>
          <w:b/>
          <w:bCs/>
          <w:spacing w:val="14"/>
          <w:sz w:val="28"/>
          <w:szCs w:val="28"/>
        </w:rPr>
      </w:pPr>
    </w:p>
    <w:p>
      <w:pPr>
        <w:spacing w:line="360" w:lineRule="auto"/>
        <w:rPr>
          <w:rFonts w:hint="eastAsia" w:ascii="仿宋" w:hAnsi="仿宋" w:eastAsia="仿宋" w:cs="仿宋"/>
          <w:b/>
          <w:bCs/>
          <w:spacing w:val="14"/>
          <w:sz w:val="28"/>
          <w:szCs w:val="28"/>
        </w:rPr>
      </w:pPr>
      <w:r>
        <w:rPr>
          <w:rFonts w:hint="eastAsia" w:ascii="仿宋" w:hAnsi="仿宋" w:eastAsia="仿宋" w:cs="仿宋"/>
          <w:b/>
          <w:bCs/>
          <w:spacing w:val="14"/>
          <w:sz w:val="28"/>
          <w:szCs w:val="28"/>
        </w:rPr>
        <w:t>附件6：</w:t>
      </w: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企业业绩</w:t>
      </w:r>
    </w:p>
    <w:p>
      <w:pPr>
        <w:spacing w:line="360" w:lineRule="auto"/>
        <w:jc w:val="right"/>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投标人全称（电子签章）：          招标文件编号：</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序号</w:t>
            </w:r>
          </w:p>
        </w:tc>
        <w:tc>
          <w:tcPr>
            <w:tcW w:w="198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使用方</w:t>
            </w:r>
          </w:p>
        </w:tc>
        <w:tc>
          <w:tcPr>
            <w:tcW w:w="144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合同金额</w:t>
            </w:r>
          </w:p>
          <w:p>
            <w:pPr>
              <w:jc w:val="center"/>
              <w:rPr>
                <w:rFonts w:hint="eastAsia" w:ascii="仿宋" w:hAnsi="仿宋" w:eastAsia="仿宋" w:cs="仿宋"/>
                <w:bCs/>
                <w:sz w:val="28"/>
                <w:szCs w:val="28"/>
              </w:rPr>
            </w:pPr>
            <w:r>
              <w:rPr>
                <w:rFonts w:hint="eastAsia" w:ascii="仿宋" w:hAnsi="仿宋" w:eastAsia="仿宋" w:cs="仿宋"/>
                <w:bCs/>
                <w:sz w:val="28"/>
                <w:szCs w:val="28"/>
              </w:rPr>
              <w:t>(人民币)</w:t>
            </w:r>
          </w:p>
        </w:tc>
        <w:tc>
          <w:tcPr>
            <w:tcW w:w="144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签订时间</w:t>
            </w:r>
          </w:p>
        </w:tc>
        <w:tc>
          <w:tcPr>
            <w:tcW w:w="1440"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使用方联系人</w:t>
            </w:r>
          </w:p>
        </w:tc>
        <w:tc>
          <w:tcPr>
            <w:tcW w:w="1574" w:type="dxa"/>
            <w:vAlign w:val="center"/>
          </w:tcPr>
          <w:p>
            <w:pPr>
              <w:jc w:val="center"/>
              <w:rPr>
                <w:rFonts w:hint="eastAsia" w:ascii="仿宋" w:hAnsi="仿宋" w:eastAsia="仿宋" w:cs="仿宋"/>
                <w:bCs/>
                <w:sz w:val="28"/>
                <w:szCs w:val="28"/>
              </w:rPr>
            </w:pPr>
            <w:r>
              <w:rPr>
                <w:rFonts w:hint="eastAsia" w:ascii="仿宋" w:hAnsi="仿宋" w:eastAsia="仿宋" w:cs="仿宋"/>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hint="eastAsia" w:ascii="仿宋" w:hAnsi="仿宋" w:eastAsia="仿宋" w:cs="仿宋"/>
                <w:bCs/>
                <w:sz w:val="28"/>
                <w:szCs w:val="28"/>
              </w:rPr>
            </w:pPr>
          </w:p>
        </w:tc>
        <w:tc>
          <w:tcPr>
            <w:tcW w:w="198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440" w:type="dxa"/>
          </w:tcPr>
          <w:p>
            <w:pPr>
              <w:spacing w:line="360" w:lineRule="auto"/>
              <w:rPr>
                <w:rFonts w:hint="eastAsia" w:ascii="仿宋" w:hAnsi="仿宋" w:eastAsia="仿宋" w:cs="仿宋"/>
                <w:bCs/>
                <w:sz w:val="28"/>
                <w:szCs w:val="28"/>
              </w:rPr>
            </w:pPr>
          </w:p>
        </w:tc>
        <w:tc>
          <w:tcPr>
            <w:tcW w:w="1574" w:type="dxa"/>
          </w:tcPr>
          <w:p>
            <w:pPr>
              <w:spacing w:line="360" w:lineRule="auto"/>
              <w:rPr>
                <w:rFonts w:hint="eastAsia" w:ascii="仿宋" w:hAnsi="仿宋" w:eastAsia="仿宋" w:cs="仿宋"/>
                <w:bCs/>
                <w:sz w:val="28"/>
                <w:szCs w:val="28"/>
              </w:rPr>
            </w:pPr>
          </w:p>
        </w:tc>
      </w:tr>
    </w:tbl>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日期：    年   月  日</w:t>
      </w:r>
    </w:p>
    <w:p>
      <w:pPr>
        <w:spacing w:line="360" w:lineRule="auto"/>
        <w:ind w:left="720" w:hanging="840" w:hangingChars="300"/>
        <w:rPr>
          <w:rFonts w:hint="eastAsia" w:ascii="仿宋" w:hAnsi="仿宋" w:eastAsia="仿宋" w:cs="仿宋"/>
          <w:bCs/>
          <w:sz w:val="28"/>
          <w:szCs w:val="28"/>
        </w:rPr>
      </w:pPr>
      <w:r>
        <w:rPr>
          <w:rFonts w:hint="eastAsia" w:ascii="仿宋" w:hAnsi="仿宋" w:eastAsia="仿宋" w:cs="仿宋"/>
          <w:sz w:val="28"/>
          <w:szCs w:val="28"/>
        </w:rPr>
        <w:t>注：1、</w:t>
      </w:r>
      <w:r>
        <w:rPr>
          <w:rFonts w:hint="eastAsia" w:ascii="仿宋" w:hAnsi="仿宋" w:eastAsia="仿宋" w:cs="仿宋"/>
          <w:bCs/>
          <w:sz w:val="28"/>
          <w:szCs w:val="28"/>
        </w:rPr>
        <w:t>企业业绩是指投标人2018年1月1日至今采购货物（设备）已签署的项目合同(附合同复印件并加盖电子签章）；</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2、此表仅提供了表格形式，投标人应根据需要准备足够数量的表格来填写。</w:t>
      </w:r>
    </w:p>
    <w:p>
      <w:pPr>
        <w:pStyle w:val="7"/>
        <w:spacing w:line="500" w:lineRule="exact"/>
        <w:ind w:firstLine="0"/>
        <w:rPr>
          <w:rFonts w:hint="eastAsia" w:ascii="仿宋" w:hAnsi="仿宋" w:eastAsia="仿宋" w:cs="仿宋"/>
          <w:b/>
          <w:bCs/>
          <w:color w:val="auto"/>
          <w:sz w:val="28"/>
          <w:szCs w:val="28"/>
        </w:rPr>
      </w:pPr>
      <w:r>
        <w:rPr>
          <w:rFonts w:hint="eastAsia" w:ascii="仿宋" w:hAnsi="仿宋" w:eastAsia="仿宋" w:cs="仿宋"/>
          <w:b/>
          <w:color w:val="auto"/>
          <w:sz w:val="28"/>
          <w:szCs w:val="28"/>
        </w:rPr>
        <w:t>附件7：</w:t>
      </w:r>
      <w:r>
        <w:rPr>
          <w:rFonts w:hint="eastAsia" w:ascii="仿宋" w:hAnsi="仿宋" w:eastAsia="仿宋" w:cs="仿宋"/>
          <w:color w:val="auto"/>
          <w:sz w:val="28"/>
          <w:szCs w:val="28"/>
        </w:rPr>
        <w:t xml:space="preserve"> </w:t>
      </w:r>
    </w:p>
    <w:p>
      <w:pPr>
        <w:snapToGrid w:val="0"/>
        <w:spacing w:before="50" w:after="5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商务条款偏离表</w:t>
      </w: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投标人全称（电子签章）：           招标文件编号：</w:t>
      </w:r>
    </w:p>
    <w:tbl>
      <w:tblPr>
        <w:tblStyle w:val="32"/>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560" w:firstLineChars="200"/>
              <w:rPr>
                <w:rFonts w:hint="eastAsia" w:ascii="仿宋" w:hAnsi="仿宋" w:eastAsia="仿宋" w:cs="仿宋"/>
                <w:color w:val="auto"/>
                <w:sz w:val="28"/>
                <w:szCs w:val="28"/>
              </w:rPr>
            </w:pPr>
          </w:p>
        </w:tc>
      </w:tr>
    </w:tbl>
    <w:p>
      <w:pPr>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日期：    年  月  日</w:t>
      </w:r>
    </w:p>
    <w:p>
      <w:pPr>
        <w:rPr>
          <w:rFonts w:hint="eastAsia" w:ascii="仿宋" w:hAnsi="仿宋" w:eastAsia="仿宋" w:cs="仿宋"/>
          <w:color w:val="auto"/>
          <w:sz w:val="28"/>
          <w:szCs w:val="28"/>
        </w:rPr>
      </w:pPr>
    </w:p>
    <w:p>
      <w:pPr>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注：此表仅提供了表格形式，投标人应根据需要准备足够数量的表格来填写。</w:t>
      </w:r>
    </w:p>
    <w:p>
      <w:pPr>
        <w:jc w:val="left"/>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8</w:t>
      </w:r>
      <w:r>
        <w:rPr>
          <w:rFonts w:hint="eastAsia" w:ascii="仿宋" w:hAnsi="仿宋" w:eastAsia="仿宋" w:cs="仿宋"/>
          <w:b/>
          <w:sz w:val="28"/>
          <w:szCs w:val="28"/>
        </w:rPr>
        <w:t>：</w:t>
      </w:r>
    </w:p>
    <w:p>
      <w:pPr>
        <w:snapToGrid w:val="0"/>
        <w:spacing w:before="50" w:after="50"/>
        <w:jc w:val="center"/>
        <w:rPr>
          <w:rFonts w:hint="eastAsia" w:ascii="仿宋" w:hAnsi="仿宋" w:eastAsia="仿宋" w:cs="仿宋"/>
          <w:b/>
          <w:sz w:val="28"/>
          <w:szCs w:val="28"/>
        </w:rPr>
      </w:pP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开标一览表（报价表）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xml:space="preserve">投标人全称（电子签章）：           招标文件编号：          </w:t>
      </w:r>
    </w:p>
    <w:tbl>
      <w:tblPr>
        <w:tblStyle w:val="32"/>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投标项目名称</w:t>
            </w:r>
          </w:p>
        </w:tc>
        <w:tc>
          <w:tcPr>
            <w:tcW w:w="5760" w:type="dxa"/>
            <w:vAlign w:val="center"/>
          </w:tcPr>
          <w:p>
            <w:pPr>
              <w:spacing w:line="500" w:lineRule="exact"/>
              <w:jc w:val="center"/>
              <w:rPr>
                <w:rFonts w:hint="eastAsia" w:ascii="仿宋" w:hAnsi="仿宋" w:eastAsia="仿宋" w:cs="仿宋"/>
                <w:b/>
                <w:sz w:val="28"/>
                <w:szCs w:val="28"/>
              </w:rPr>
            </w:pPr>
          </w:p>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投标有效期</w:t>
            </w:r>
          </w:p>
        </w:tc>
        <w:tc>
          <w:tcPr>
            <w:tcW w:w="576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0" w:hRule="atLeast"/>
        </w:trPr>
        <w:tc>
          <w:tcPr>
            <w:tcW w:w="2417" w:type="dxa"/>
            <w:tcBorders>
              <w:top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b/>
                <w:bCs/>
                <w:spacing w:val="14"/>
                <w:sz w:val="28"/>
                <w:szCs w:val="28"/>
              </w:rPr>
              <w:t>投标优惠比率（%）</w:t>
            </w:r>
          </w:p>
          <w:p>
            <w:pPr>
              <w:jc w:val="center"/>
              <w:rPr>
                <w:rFonts w:hint="eastAsia" w:ascii="仿宋" w:hAnsi="仿宋" w:eastAsia="仿宋" w:cs="仿宋"/>
                <w:sz w:val="28"/>
                <w:szCs w:val="28"/>
              </w:rPr>
            </w:pPr>
          </w:p>
        </w:tc>
        <w:tc>
          <w:tcPr>
            <w:tcW w:w="5760" w:type="dxa"/>
            <w:vAlign w:val="center"/>
          </w:tcPr>
          <w:p>
            <w:pPr>
              <w:jc w:val="center"/>
              <w:rPr>
                <w:rFonts w:hint="eastAsia" w:ascii="仿宋" w:hAnsi="仿宋" w:eastAsia="仿宋" w:cs="仿宋"/>
                <w:sz w:val="28"/>
                <w:szCs w:val="28"/>
              </w:rPr>
            </w:pPr>
          </w:p>
        </w:tc>
      </w:tr>
    </w:tbl>
    <w:p>
      <w:pPr>
        <w:rPr>
          <w:rFonts w:hint="eastAsia" w:ascii="仿宋" w:hAnsi="仿宋" w:eastAsia="仿宋" w:cs="仿宋"/>
          <w:sz w:val="28"/>
          <w:szCs w:val="28"/>
        </w:rPr>
      </w:pPr>
    </w:p>
    <w:p>
      <w:pPr>
        <w:rPr>
          <w:rFonts w:hint="eastAsia" w:ascii="仿宋" w:hAnsi="仿宋" w:eastAsia="仿宋" w:cs="仿宋"/>
          <w:sz w:val="28"/>
          <w:szCs w:val="28"/>
        </w:rPr>
      </w:pPr>
    </w:p>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 xml:space="preserve">                                日期：    年  月  日</w:t>
      </w:r>
    </w:p>
    <w:p>
      <w:pPr>
        <w:spacing w:line="500" w:lineRule="exact"/>
        <w:jc w:val="center"/>
        <w:rPr>
          <w:rFonts w:hint="eastAsia" w:ascii="仿宋" w:hAnsi="仿宋" w:eastAsia="仿宋" w:cs="仿宋"/>
          <w:sz w:val="28"/>
          <w:szCs w:val="28"/>
        </w:rPr>
      </w:pPr>
    </w:p>
    <w:p>
      <w:pPr>
        <w:spacing w:line="500" w:lineRule="exact"/>
        <w:jc w:val="center"/>
        <w:rPr>
          <w:rFonts w:hint="eastAsia" w:ascii="仿宋" w:hAnsi="仿宋" w:eastAsia="仿宋" w:cs="仿宋"/>
          <w:sz w:val="28"/>
          <w:szCs w:val="28"/>
        </w:rPr>
      </w:pPr>
    </w:p>
    <w:p>
      <w:pPr>
        <w:spacing w:line="500" w:lineRule="exact"/>
        <w:rPr>
          <w:rFonts w:hint="eastAsia" w:ascii="仿宋" w:hAnsi="仿宋" w:eastAsia="仿宋" w:cs="仿宋"/>
          <w:b/>
          <w:bCs/>
          <w:spacing w:val="14"/>
          <w:sz w:val="28"/>
          <w:szCs w:val="28"/>
        </w:rPr>
      </w:pPr>
    </w:p>
    <w:p>
      <w:pPr>
        <w:spacing w:line="500" w:lineRule="exact"/>
        <w:rPr>
          <w:rFonts w:hint="eastAsia" w:ascii="仿宋" w:hAnsi="仿宋" w:eastAsia="仿宋" w:cs="仿宋"/>
          <w:b/>
          <w:bCs/>
          <w:spacing w:val="14"/>
          <w:sz w:val="28"/>
          <w:szCs w:val="28"/>
        </w:rPr>
        <w:sectPr>
          <w:pgSz w:w="11906" w:h="16838"/>
          <w:pgMar w:top="1440" w:right="1797" w:bottom="1440" w:left="1797" w:header="851" w:footer="992" w:gutter="0"/>
          <w:cols w:space="425" w:num="1"/>
          <w:docGrid w:linePitch="312" w:charSpace="0"/>
        </w:sectPr>
      </w:pPr>
    </w:p>
    <w:p>
      <w:pPr>
        <w:rPr>
          <w:rFonts w:hint="eastAsia" w:ascii="仿宋" w:hAnsi="仿宋" w:eastAsia="仿宋" w:cs="仿宋"/>
          <w:b/>
          <w:color w:val="000000"/>
          <w:sz w:val="28"/>
          <w:szCs w:val="28"/>
        </w:rPr>
      </w:pPr>
      <w:r>
        <w:rPr>
          <w:rFonts w:hint="eastAsia" w:ascii="仿宋" w:hAnsi="仿宋" w:eastAsia="仿宋" w:cs="仿宋"/>
          <w:b/>
          <w:color w:val="000000"/>
          <w:sz w:val="28"/>
          <w:szCs w:val="28"/>
        </w:rPr>
        <w:t>附件</w:t>
      </w:r>
      <w:r>
        <w:rPr>
          <w:rFonts w:hint="eastAsia" w:ascii="仿宋" w:hAnsi="仿宋" w:eastAsia="仿宋" w:cs="仿宋"/>
          <w:b/>
          <w:color w:val="000000"/>
          <w:sz w:val="28"/>
          <w:szCs w:val="28"/>
          <w:lang w:val="en-US" w:eastAsia="zh-CN"/>
        </w:rPr>
        <w:t>9</w:t>
      </w:r>
      <w:r>
        <w:rPr>
          <w:rFonts w:hint="eastAsia" w:ascii="仿宋" w:hAnsi="仿宋" w:eastAsia="仿宋" w:cs="仿宋"/>
          <w:b/>
          <w:color w:val="000000"/>
          <w:sz w:val="28"/>
          <w:szCs w:val="28"/>
        </w:rPr>
        <w:t>：</w:t>
      </w:r>
    </w:p>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中小企业声明函(</w:t>
      </w:r>
      <w:r>
        <w:rPr>
          <w:rFonts w:hint="eastAsia" w:ascii="仿宋" w:hAnsi="仿宋" w:eastAsia="仿宋" w:cs="仿宋"/>
          <w:b/>
          <w:color w:val="000000"/>
          <w:sz w:val="28"/>
          <w:szCs w:val="28"/>
          <w:lang w:eastAsia="zh-CN"/>
        </w:rPr>
        <w:t>服务</w:t>
      </w:r>
      <w:r>
        <w:rPr>
          <w:rFonts w:hint="eastAsia" w:ascii="仿宋" w:hAnsi="仿宋" w:eastAsia="仿宋" w:cs="仿宋"/>
          <w:b/>
          <w:color w:val="000000"/>
          <w:sz w:val="28"/>
          <w:szCs w:val="28"/>
        </w:rPr>
        <w:t>)</w:t>
      </w:r>
    </w:p>
    <w:p>
      <w:pPr>
        <w:jc w:val="center"/>
        <w:rPr>
          <w:rFonts w:hint="eastAsia" w:ascii="仿宋" w:hAnsi="仿宋" w:eastAsia="仿宋" w:cs="仿宋"/>
          <w:sz w:val="28"/>
          <w:szCs w:val="28"/>
        </w:rPr>
      </w:pPr>
    </w:p>
    <w:p>
      <w:pPr>
        <w:spacing w:line="480" w:lineRule="exact"/>
        <w:ind w:firstLine="555"/>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本公司（联合体）郑重声明，根据《政府采购促进中小企业发展管理办法》（财库（2020)46号)的规定，本公司（联合体)参加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采购活动，提供的货物全部由符合政策要求的中小企业制造。相关企</w:t>
      </w:r>
      <w:r>
        <w:rPr>
          <w:rFonts w:hint="eastAsia" w:ascii="仿宋" w:hAnsi="仿宋" w:eastAsia="仿宋" w:cs="仿宋"/>
          <w:color w:val="000000" w:themeColor="text1"/>
          <w:sz w:val="28"/>
          <w:szCs w:val="28"/>
          <w14:textFill>
            <w14:solidFill>
              <w14:schemeClr w14:val="tx1"/>
            </w14:solidFill>
          </w14:textFill>
        </w:rPr>
        <w:t>业（含联合体中的中小企业、签订分包意向</w:t>
      </w:r>
    </w:p>
    <w:p>
      <w:pPr>
        <w:spacing w:line="480" w:lineRule="exact"/>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协议的中小企业）的具体情</w:t>
      </w:r>
      <w:r>
        <w:rPr>
          <w:rFonts w:hint="eastAsia" w:ascii="仿宋" w:hAnsi="仿宋" w:eastAsia="仿宋" w:cs="仿宋"/>
          <w:sz w:val="28"/>
          <w:szCs w:val="28"/>
        </w:rPr>
        <w:t>况如下：</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pPr>
        <w:spacing w:line="480" w:lineRule="exact"/>
        <w:ind w:firstLine="570"/>
        <w:jc w:val="center"/>
        <w:rPr>
          <w:rFonts w:hint="eastAsia"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（标的名称）</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sz w:val="28"/>
          <w:szCs w:val="28"/>
          <w:u w:val="single"/>
        </w:rPr>
        <w:t>（中型企业、小型企业、微型企</w:t>
      </w:r>
    </w:p>
    <w:p>
      <w:pPr>
        <w:spacing w:line="480" w:lineRule="exact"/>
        <w:rPr>
          <w:rFonts w:hint="eastAsia" w:ascii="仿宋" w:hAnsi="仿宋" w:eastAsia="仿宋" w:cs="仿宋"/>
          <w:sz w:val="28"/>
          <w:szCs w:val="28"/>
        </w:rPr>
      </w:pPr>
      <w:r>
        <w:rPr>
          <w:rFonts w:hint="eastAsia" w:ascii="仿宋" w:hAnsi="仿宋" w:eastAsia="仿宋" w:cs="仿宋"/>
          <w:sz w:val="28"/>
          <w:szCs w:val="28"/>
          <w:u w:val="single"/>
        </w:rPr>
        <w:t>业）</w:t>
      </w:r>
      <w:r>
        <w:rPr>
          <w:rFonts w:hint="eastAsia" w:ascii="仿宋" w:hAnsi="仿宋" w:eastAsia="仿宋" w:cs="仿宋"/>
          <w:sz w:val="28"/>
          <w:szCs w:val="28"/>
        </w:rPr>
        <w:t>；</w:t>
      </w:r>
    </w:p>
    <w:p>
      <w:pPr>
        <w:spacing w:line="48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480" w:lineRule="exact"/>
        <w:ind w:firstLine="555"/>
        <w:jc w:val="center"/>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w:t>
      </w:r>
    </w:p>
    <w:p>
      <w:pPr>
        <w:spacing w:line="480" w:lineRule="exact"/>
        <w:rPr>
          <w:rFonts w:hint="eastAsia" w:ascii="仿宋" w:hAnsi="仿宋" w:eastAsia="仿宋" w:cs="仿宋"/>
          <w:sz w:val="28"/>
          <w:szCs w:val="28"/>
        </w:rPr>
      </w:pPr>
      <w:r>
        <w:rPr>
          <w:rFonts w:hint="eastAsia" w:ascii="仿宋" w:hAnsi="仿宋" w:eastAsia="仿宋" w:cs="仿宋"/>
          <w:sz w:val="28"/>
          <w:szCs w:val="28"/>
        </w:rPr>
        <w:t>的情形，也不存在与大企业的负贵人为同一人的情形。</w:t>
      </w:r>
    </w:p>
    <w:p>
      <w:pPr>
        <w:spacing w:line="480" w:lineRule="exact"/>
        <w:ind w:firstLine="36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spacing w:line="480" w:lineRule="exact"/>
        <w:ind w:firstLine="360"/>
        <w:rPr>
          <w:rFonts w:hint="eastAsia" w:ascii="仿宋" w:hAnsi="仿宋" w:eastAsia="仿宋" w:cs="仿宋"/>
          <w:sz w:val="28"/>
          <w:szCs w:val="28"/>
        </w:rPr>
      </w:pPr>
    </w:p>
    <w:p>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 xml:space="preserve">      企业名称（电子签章）：</w:t>
      </w:r>
    </w:p>
    <w:p>
      <w:pPr>
        <w:jc w:val="center"/>
        <w:rPr>
          <w:rFonts w:hint="eastAsia" w:ascii="仿宋" w:hAnsi="仿宋" w:eastAsia="仿宋" w:cs="仿宋"/>
          <w:b/>
          <w:sz w:val="28"/>
          <w:szCs w:val="28"/>
        </w:rPr>
      </w:pPr>
      <w:r>
        <w:rPr>
          <w:rFonts w:hint="eastAsia" w:ascii="仿宋" w:hAnsi="仿宋" w:eastAsia="仿宋" w:cs="仿宋"/>
          <w:sz w:val="28"/>
          <w:szCs w:val="28"/>
        </w:rPr>
        <w:t xml:space="preserve">               日期：</w:t>
      </w:r>
    </w:p>
    <w:p>
      <w:pPr>
        <w:jc w:val="center"/>
        <w:rPr>
          <w:rFonts w:hint="eastAsia" w:ascii="仿宋" w:hAnsi="仿宋" w:eastAsia="仿宋" w:cs="仿宋"/>
          <w:b/>
          <w:color w:val="000000"/>
          <w:sz w:val="28"/>
          <w:szCs w:val="28"/>
        </w:rPr>
      </w:pPr>
    </w:p>
    <w:p>
      <w:pPr>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注：1、中小企业划型标准详见</w:t>
      </w:r>
      <w:r>
        <w:rPr>
          <w:rFonts w:hint="eastAsia" w:ascii="仿宋" w:hAnsi="仿宋" w:eastAsia="仿宋" w:cs="仿宋"/>
          <w:b/>
          <w:sz w:val="28"/>
          <w:szCs w:val="28"/>
        </w:rPr>
        <w:t>《关于印发中小企业划型标准规定的通知》工信部联企业[2011]300号文件。</w:t>
      </w:r>
    </w:p>
    <w:p>
      <w:pPr>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2、本声明函必须填写完整，如有缺项漏项的，不予认可。</w:t>
      </w:r>
    </w:p>
    <w:p>
      <w:pPr>
        <w:jc w:val="center"/>
        <w:rPr>
          <w:rFonts w:hint="eastAsia" w:ascii="仿宋" w:hAnsi="仿宋" w:eastAsia="仿宋" w:cs="仿宋"/>
          <w:b/>
          <w:color w:val="000000"/>
          <w:sz w:val="28"/>
          <w:szCs w:val="28"/>
        </w:rPr>
      </w:pPr>
    </w:p>
    <w:p>
      <w:pPr>
        <w:jc w:val="center"/>
        <w:rPr>
          <w:rFonts w:hint="eastAsia" w:ascii="仿宋" w:hAnsi="仿宋" w:eastAsia="仿宋" w:cs="仿宋"/>
          <w:b/>
          <w:color w:val="000000"/>
          <w:sz w:val="28"/>
          <w:szCs w:val="28"/>
        </w:rPr>
      </w:pPr>
    </w:p>
    <w:p>
      <w:pPr>
        <w:jc w:val="center"/>
        <w:rPr>
          <w:rFonts w:hint="eastAsia" w:ascii="仿宋" w:hAnsi="仿宋" w:eastAsia="仿宋" w:cs="仿宋"/>
          <w:b/>
          <w:color w:val="000000"/>
          <w:sz w:val="28"/>
          <w:szCs w:val="28"/>
        </w:rPr>
      </w:pPr>
    </w:p>
    <w:p>
      <w:pPr>
        <w:snapToGrid w:val="0"/>
        <w:spacing w:before="50" w:after="50"/>
        <w:rPr>
          <w:rFonts w:hint="eastAsia" w:ascii="仿宋" w:hAnsi="仿宋" w:eastAsia="仿宋" w:cs="仿宋"/>
          <w:b/>
          <w:sz w:val="28"/>
          <w:szCs w:val="28"/>
        </w:rPr>
      </w:pPr>
      <w:bookmarkStart w:id="53" w:name="OLE_LINK13"/>
      <w:bookmarkStart w:id="54" w:name="OLE_LINK14"/>
      <w:r>
        <w:rPr>
          <w:rFonts w:hint="eastAsia" w:ascii="仿宋" w:hAnsi="仿宋" w:eastAsia="仿宋" w:cs="仿宋"/>
          <w:b/>
          <w:sz w:val="28"/>
          <w:szCs w:val="28"/>
        </w:rPr>
        <w:t>附件1</w:t>
      </w:r>
      <w:r>
        <w:rPr>
          <w:rFonts w:hint="eastAsia" w:ascii="仿宋" w:hAnsi="仿宋" w:eastAsia="仿宋" w:cs="仿宋"/>
          <w:b/>
          <w:sz w:val="28"/>
          <w:szCs w:val="28"/>
          <w:lang w:val="en-US" w:eastAsia="zh-CN"/>
        </w:rPr>
        <w:t>0</w:t>
      </w:r>
      <w:r>
        <w:rPr>
          <w:rFonts w:hint="eastAsia" w:ascii="仿宋" w:hAnsi="仿宋" w:eastAsia="仿宋" w:cs="仿宋"/>
          <w:b/>
          <w:sz w:val="28"/>
          <w:szCs w:val="28"/>
        </w:rPr>
        <w:t>：</w:t>
      </w:r>
    </w:p>
    <w:p>
      <w:pPr>
        <w:snapToGrid w:val="0"/>
        <w:spacing w:before="50" w:after="50"/>
        <w:jc w:val="center"/>
        <w:rPr>
          <w:rFonts w:hint="eastAsia" w:ascii="仿宋" w:hAnsi="仿宋" w:eastAsia="仿宋" w:cs="仿宋"/>
          <w:b/>
          <w:sz w:val="28"/>
          <w:szCs w:val="28"/>
        </w:rPr>
      </w:pPr>
    </w:p>
    <w:p>
      <w:pPr>
        <w:snapToGrid w:val="0"/>
        <w:spacing w:before="50" w:after="50"/>
        <w:jc w:val="center"/>
        <w:rPr>
          <w:rFonts w:hint="eastAsia" w:ascii="仿宋" w:hAnsi="仿宋" w:eastAsia="仿宋" w:cs="仿宋"/>
          <w:b/>
          <w:sz w:val="28"/>
          <w:szCs w:val="28"/>
        </w:rPr>
      </w:pPr>
      <w:r>
        <w:rPr>
          <w:rFonts w:hint="eastAsia" w:ascii="仿宋" w:hAnsi="仿宋" w:eastAsia="仿宋" w:cs="仿宋"/>
          <w:b/>
          <w:sz w:val="28"/>
          <w:szCs w:val="28"/>
        </w:rPr>
        <w:t>残疾人福利性单位声明函</w:t>
      </w:r>
    </w:p>
    <w:bookmarkEnd w:id="53"/>
    <w:bookmarkEnd w:id="54"/>
    <w:p>
      <w:pPr>
        <w:spacing w:line="588" w:lineRule="exact"/>
        <w:rPr>
          <w:rFonts w:hint="eastAsia" w:ascii="仿宋" w:hAnsi="仿宋" w:eastAsia="仿宋" w:cs="仿宋"/>
          <w:b/>
          <w:spacing w:val="6"/>
          <w:sz w:val="28"/>
          <w:szCs w:val="28"/>
        </w:rPr>
      </w:pP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snapToGrid w:val="0"/>
        <w:spacing w:line="360" w:lineRule="auto"/>
        <w:ind w:firstLine="560" w:firstLineChars="200"/>
        <w:rPr>
          <w:rFonts w:hint="eastAsia" w:ascii="仿宋" w:hAnsi="仿宋" w:eastAsia="仿宋" w:cs="仿宋"/>
          <w:sz w:val="28"/>
          <w:szCs w:val="28"/>
        </w:rPr>
      </w:pPr>
    </w:p>
    <w:p>
      <w:pPr>
        <w:spacing w:line="588" w:lineRule="exact"/>
        <w:ind w:firstLine="584" w:firstLineChars="200"/>
        <w:rPr>
          <w:rFonts w:hint="eastAsia" w:ascii="仿宋" w:hAnsi="仿宋" w:eastAsia="仿宋" w:cs="仿宋"/>
          <w:spacing w:val="6"/>
          <w:sz w:val="28"/>
          <w:szCs w:val="28"/>
        </w:rPr>
      </w:pPr>
    </w:p>
    <w:p>
      <w:pPr>
        <w:snapToGrid w:val="0"/>
        <w:spacing w:line="360" w:lineRule="auto"/>
        <w:ind w:firstLine="584" w:firstLineChars="200"/>
        <w:jc w:val="right"/>
        <w:rPr>
          <w:rFonts w:hint="eastAsia" w:ascii="仿宋" w:hAnsi="仿宋" w:eastAsia="仿宋" w:cs="仿宋"/>
          <w:sz w:val="28"/>
          <w:szCs w:val="28"/>
        </w:rPr>
      </w:pP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单位名称（电子签章）：</w:t>
      </w:r>
    </w:p>
    <w:p>
      <w:pPr>
        <w:snapToGrid w:val="0"/>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       日  期：</w:t>
      </w: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ind w:firstLine="2782" w:firstLineChars="990"/>
        <w:rPr>
          <w:rFonts w:hint="eastAsia" w:ascii="仿宋" w:hAnsi="仿宋" w:eastAsia="仿宋" w:cs="仿宋"/>
          <w:b/>
          <w:bCs/>
          <w:sz w:val="28"/>
          <w:szCs w:val="28"/>
        </w:rPr>
      </w:pPr>
    </w:p>
    <w:p>
      <w:pPr>
        <w:tabs>
          <w:tab w:val="left" w:pos="465"/>
        </w:tabs>
        <w:rPr>
          <w:rFonts w:hint="eastAsia" w:ascii="仿宋" w:hAnsi="仿宋" w:eastAsia="仿宋" w:cs="仿宋"/>
          <w:b/>
          <w:bCs/>
          <w:sz w:val="28"/>
          <w:szCs w:val="28"/>
        </w:rPr>
      </w:pPr>
    </w:p>
    <w:p>
      <w:pPr>
        <w:pStyle w:val="3"/>
        <w:spacing w:line="520" w:lineRule="exact"/>
        <w:jc w:val="center"/>
        <w:rPr>
          <w:rFonts w:hint="eastAsia" w:ascii="仿宋" w:hAnsi="仿宋" w:eastAsia="仿宋" w:cs="仿宋"/>
          <w:b/>
          <w:bCs w:val="0"/>
          <w:sz w:val="28"/>
          <w:szCs w:val="28"/>
        </w:rPr>
      </w:pPr>
      <w:bookmarkStart w:id="55" w:name="_Toc36454326"/>
      <w:r>
        <w:rPr>
          <w:rFonts w:hint="eastAsia" w:ascii="仿宋" w:hAnsi="仿宋" w:eastAsia="仿宋" w:cs="仿宋"/>
          <w:b/>
          <w:bCs w:val="0"/>
          <w:sz w:val="28"/>
          <w:szCs w:val="28"/>
        </w:rPr>
        <w:t>第五章  评标办法及标准</w:t>
      </w:r>
      <w:bookmarkEnd w:id="55"/>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1.评标依据</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1.1《中华人民共和国政府采购法》；</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1.2《政府采购货物和服务招标投标管理办法》（财政部87号令）、《中华人民共和国政府采购法实施条例》等；</w:t>
      </w:r>
    </w:p>
    <w:p>
      <w:pPr>
        <w:spacing w:line="440" w:lineRule="exact"/>
        <w:ind w:left="600"/>
        <w:rPr>
          <w:rFonts w:hint="eastAsia" w:ascii="仿宋" w:hAnsi="仿宋" w:eastAsia="仿宋" w:cs="仿宋"/>
          <w:sz w:val="28"/>
          <w:szCs w:val="28"/>
        </w:rPr>
      </w:pPr>
      <w:r>
        <w:rPr>
          <w:rFonts w:hint="eastAsia" w:ascii="仿宋" w:hAnsi="仿宋" w:eastAsia="仿宋" w:cs="仿宋"/>
          <w:sz w:val="28"/>
          <w:szCs w:val="28"/>
        </w:rPr>
        <w:t>1.3 本项目招标文件。</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2.评标原则</w:t>
      </w:r>
    </w:p>
    <w:p>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2.1公开、公平、公正、科学合理评标；</w:t>
      </w:r>
    </w:p>
    <w:p>
      <w:pPr>
        <w:spacing w:line="440" w:lineRule="exact"/>
        <w:ind w:firstLine="600"/>
        <w:rPr>
          <w:rFonts w:hint="eastAsia" w:ascii="仿宋" w:hAnsi="仿宋" w:eastAsia="仿宋" w:cs="仿宋"/>
          <w:sz w:val="28"/>
          <w:szCs w:val="28"/>
        </w:rPr>
      </w:pPr>
      <w:r>
        <w:rPr>
          <w:rFonts w:hint="eastAsia" w:ascii="仿宋" w:hAnsi="仿宋" w:eastAsia="仿宋" w:cs="仿宋"/>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spacing w:line="440" w:lineRule="exact"/>
        <w:ind w:firstLine="600"/>
        <w:rPr>
          <w:rFonts w:hint="eastAsia" w:ascii="仿宋" w:hAnsi="仿宋" w:eastAsia="仿宋" w:cs="仿宋"/>
          <w:sz w:val="28"/>
          <w:szCs w:val="28"/>
        </w:rPr>
      </w:pPr>
      <w:r>
        <w:rPr>
          <w:rFonts w:hint="eastAsia" w:ascii="仿宋" w:hAnsi="仿宋" w:eastAsia="仿宋" w:cs="仿宋"/>
          <w:sz w:val="28"/>
          <w:szCs w:val="28"/>
        </w:rPr>
        <w:t>2.3参加评标的人员应严格遵守国家有关保密的法律、法规和规定，并接受有关部门的监督；</w:t>
      </w:r>
    </w:p>
    <w:p>
      <w:pPr>
        <w:spacing w:line="440" w:lineRule="exact"/>
        <w:ind w:firstLine="600"/>
        <w:rPr>
          <w:rFonts w:hint="eastAsia" w:ascii="仿宋" w:hAnsi="仿宋" w:eastAsia="仿宋" w:cs="仿宋"/>
          <w:sz w:val="28"/>
          <w:szCs w:val="28"/>
        </w:rPr>
      </w:pPr>
      <w:r>
        <w:rPr>
          <w:rFonts w:hint="eastAsia" w:ascii="仿宋" w:hAnsi="仿宋" w:eastAsia="仿宋" w:cs="仿宋"/>
          <w:sz w:val="28"/>
          <w:szCs w:val="28"/>
        </w:rPr>
        <w:t>2.4根据法律法规规定，参加评标的有关人员应对整个评标、定标过程保密，不得泄露；</w:t>
      </w:r>
    </w:p>
    <w:p>
      <w:pPr>
        <w:spacing w:line="440" w:lineRule="exact"/>
        <w:ind w:left="600"/>
        <w:rPr>
          <w:rFonts w:hint="eastAsia" w:ascii="仿宋" w:hAnsi="仿宋" w:eastAsia="仿宋" w:cs="仿宋"/>
          <w:sz w:val="28"/>
          <w:szCs w:val="28"/>
        </w:rPr>
      </w:pPr>
      <w:r>
        <w:rPr>
          <w:rFonts w:hint="eastAsia" w:ascii="仿宋" w:hAnsi="仿宋" w:eastAsia="仿宋" w:cs="仿宋"/>
          <w:sz w:val="28"/>
          <w:szCs w:val="28"/>
        </w:rPr>
        <w:t>2.5评标委员会成员（以下简称评委）应按规定的程序评标；</w:t>
      </w:r>
    </w:p>
    <w:p>
      <w:pPr>
        <w:spacing w:line="440" w:lineRule="exact"/>
        <w:ind w:firstLine="570"/>
        <w:rPr>
          <w:rFonts w:hint="eastAsia" w:ascii="仿宋" w:hAnsi="仿宋" w:eastAsia="仿宋" w:cs="仿宋"/>
          <w:sz w:val="28"/>
          <w:szCs w:val="28"/>
        </w:rPr>
      </w:pPr>
      <w:r>
        <w:rPr>
          <w:rFonts w:hint="eastAsia" w:ascii="仿宋" w:hAnsi="仿宋" w:eastAsia="仿宋" w:cs="仿宋"/>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2.7评标委员会将对确定为实质上响应招标文件要求的投标文件进行比较评审。</w:t>
      </w:r>
    </w:p>
    <w:p>
      <w:pPr>
        <w:spacing w:line="440" w:lineRule="exact"/>
        <w:rPr>
          <w:rFonts w:hint="eastAsia" w:ascii="仿宋" w:hAnsi="仿宋" w:eastAsia="仿宋" w:cs="仿宋"/>
          <w:sz w:val="28"/>
          <w:szCs w:val="28"/>
        </w:rPr>
      </w:pPr>
      <w:r>
        <w:rPr>
          <w:rFonts w:hint="eastAsia" w:ascii="仿宋" w:hAnsi="仿宋" w:eastAsia="仿宋" w:cs="仿宋"/>
          <w:sz w:val="28"/>
          <w:szCs w:val="28"/>
        </w:rPr>
        <w:t xml:space="preserve">    2.8投标人对评委施加影响的任何行为，都将被取消中标资格。</w:t>
      </w:r>
    </w:p>
    <w:p>
      <w:pPr>
        <w:pStyle w:val="18"/>
        <w:numPr>
          <w:ilvl w:val="0"/>
          <w:numId w:val="3"/>
        </w:numPr>
        <w:spacing w:line="44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评标方法：综合评分法</w:t>
      </w:r>
    </w:p>
    <w:p>
      <w:pPr>
        <w:pStyle w:val="18"/>
        <w:spacing w:line="44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本项目采用综合评分法。评标总分值由价格分、商务技术分（商务得分+技术得分）组成，总分值100分。在本项目中价格（投标报价）分为</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0分</w:t>
      </w:r>
      <w:r>
        <w:rPr>
          <w:rFonts w:hint="eastAsia" w:ascii="仿宋" w:hAnsi="仿宋" w:eastAsia="仿宋" w:cs="仿宋"/>
          <w:bCs/>
          <w:sz w:val="28"/>
          <w:szCs w:val="28"/>
        </w:rPr>
        <w:t>；商务技术分为</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0分</w:t>
      </w:r>
      <w:r>
        <w:rPr>
          <w:rFonts w:hint="eastAsia" w:ascii="仿宋" w:hAnsi="仿宋" w:eastAsia="仿宋" w:cs="仿宋"/>
          <w:bCs/>
          <w:sz w:val="28"/>
          <w:szCs w:val="28"/>
        </w:rPr>
        <w:t>。评标委员会将根据投标文件满足招标文件实质性要求前提下，按照投标报价、</w:t>
      </w:r>
      <w:r>
        <w:rPr>
          <w:rFonts w:hint="eastAsia" w:ascii="仿宋" w:hAnsi="仿宋" w:eastAsia="仿宋" w:cs="仿宋"/>
          <w:bCs/>
          <w:spacing w:val="14"/>
          <w:sz w:val="28"/>
          <w:szCs w:val="28"/>
        </w:rPr>
        <w:t>投标文件质量</w:t>
      </w:r>
      <w:r>
        <w:rPr>
          <w:rFonts w:hint="eastAsia" w:ascii="仿宋" w:hAnsi="仿宋" w:eastAsia="仿宋" w:cs="仿宋"/>
          <w:bCs/>
          <w:sz w:val="28"/>
          <w:szCs w:val="28"/>
        </w:rPr>
        <w:t>、企业荣誉与业绩、企业信誉、企业质量环保管理等认证证书、投标货物技术性能、投标项目实施方案、售后服务承诺、政策分等进行综合评估,</w:t>
      </w:r>
      <w:r>
        <w:rPr>
          <w:rFonts w:hint="eastAsia" w:ascii="仿宋" w:hAnsi="仿宋" w:eastAsia="仿宋" w:cs="仿宋"/>
          <w:b/>
          <w:bCs/>
          <w:sz w:val="28"/>
          <w:szCs w:val="28"/>
        </w:rPr>
        <w:t>在对各评委分值汇总时，以算术平均值为各投标人得分,</w:t>
      </w:r>
      <w:r>
        <w:rPr>
          <w:rFonts w:hint="eastAsia" w:ascii="仿宋" w:hAnsi="仿宋" w:eastAsia="仿宋" w:cs="仿宋"/>
          <w:bCs/>
          <w:sz w:val="28"/>
          <w:szCs w:val="28"/>
        </w:rPr>
        <w:t>以评标最终得分最高的投标人为第一中标候选供应商。</w:t>
      </w:r>
    </w:p>
    <w:p>
      <w:pPr>
        <w:spacing w:line="440" w:lineRule="exact"/>
        <w:jc w:val="left"/>
        <w:rPr>
          <w:rFonts w:hint="eastAsia" w:ascii="仿宋" w:hAnsi="仿宋" w:eastAsia="仿宋" w:cs="仿宋"/>
          <w:b/>
          <w:bCs/>
          <w:spacing w:val="14"/>
          <w:sz w:val="28"/>
          <w:szCs w:val="28"/>
        </w:rPr>
      </w:pPr>
      <w:r>
        <w:rPr>
          <w:rFonts w:hint="eastAsia" w:ascii="仿宋" w:hAnsi="仿宋" w:eastAsia="仿宋" w:cs="仿宋"/>
          <w:b/>
          <w:bCs/>
          <w:spacing w:val="14"/>
          <w:sz w:val="28"/>
          <w:szCs w:val="28"/>
        </w:rPr>
        <w:t>3.1价格分：</w:t>
      </w:r>
      <w:r>
        <w:rPr>
          <w:rFonts w:hint="eastAsia" w:ascii="仿宋" w:hAnsi="仿宋" w:eastAsia="仿宋" w:cs="仿宋"/>
          <w:b/>
          <w:bCs/>
          <w:spacing w:val="14"/>
          <w:sz w:val="28"/>
          <w:szCs w:val="28"/>
          <w:lang w:val="en-US" w:eastAsia="zh-CN"/>
        </w:rPr>
        <w:t>2</w:t>
      </w:r>
      <w:r>
        <w:rPr>
          <w:rFonts w:hint="eastAsia" w:ascii="仿宋" w:hAnsi="仿宋" w:eastAsia="仿宋" w:cs="仿宋"/>
          <w:b/>
          <w:bCs/>
          <w:spacing w:val="14"/>
          <w:sz w:val="28"/>
          <w:szCs w:val="28"/>
        </w:rPr>
        <w:t>0分</w:t>
      </w:r>
    </w:p>
    <w:p>
      <w:pPr>
        <w:spacing w:line="440" w:lineRule="exact"/>
        <w:ind w:firstLine="616" w:firstLineChars="200"/>
        <w:jc w:val="left"/>
        <w:rPr>
          <w:rFonts w:ascii="仿宋" w:hAnsi="仿宋" w:eastAsia="仿宋"/>
          <w:spacing w:val="14"/>
          <w:sz w:val="28"/>
          <w:szCs w:val="28"/>
        </w:rPr>
      </w:pPr>
      <w:r>
        <w:rPr>
          <w:rFonts w:hint="eastAsia" w:ascii="仿宋" w:hAnsi="仿宋" w:eastAsia="仿宋" w:cs="仿宋"/>
          <w:spacing w:val="14"/>
          <w:sz w:val="28"/>
          <w:szCs w:val="28"/>
        </w:rPr>
        <w:t>3.1.1</w:t>
      </w:r>
      <w:r>
        <w:rPr>
          <w:rFonts w:hint="eastAsia" w:ascii="仿宋" w:hAnsi="仿宋" w:eastAsia="仿宋"/>
          <w:spacing w:val="14"/>
          <w:sz w:val="28"/>
          <w:szCs w:val="28"/>
          <w:lang w:val="en-US" w:eastAsia="zh-CN"/>
        </w:rPr>
        <w:t>在最高限价基础上，</w:t>
      </w:r>
      <w:r>
        <w:rPr>
          <w:rFonts w:hint="eastAsia" w:ascii="仿宋" w:hAnsi="仿宋" w:eastAsia="仿宋" w:cs="仿宋"/>
          <w:spacing w:val="14"/>
          <w:sz w:val="28"/>
          <w:szCs w:val="28"/>
        </w:rPr>
        <w:t>以总体有效投标优惠比率（%）最高的投标报价为评标基准价，</w:t>
      </w:r>
      <w:r>
        <w:rPr>
          <w:rFonts w:hint="eastAsia" w:ascii="仿宋" w:hAnsi="仿宋" w:eastAsia="仿宋"/>
          <w:spacing w:val="14"/>
          <w:sz w:val="28"/>
          <w:szCs w:val="28"/>
        </w:rPr>
        <w:t>其价格分为</w:t>
      </w:r>
      <w:r>
        <w:rPr>
          <w:rFonts w:hint="eastAsia" w:ascii="仿宋" w:hAnsi="仿宋" w:eastAsia="仿宋"/>
          <w:spacing w:val="14"/>
          <w:sz w:val="28"/>
          <w:szCs w:val="28"/>
          <w:lang w:val="en-US" w:eastAsia="zh-CN"/>
        </w:rPr>
        <w:t>20</w:t>
      </w:r>
      <w:r>
        <w:rPr>
          <w:rFonts w:hint="eastAsia" w:ascii="仿宋" w:hAnsi="仿宋" w:eastAsia="仿宋"/>
          <w:spacing w:val="14"/>
          <w:sz w:val="28"/>
          <w:szCs w:val="28"/>
        </w:rPr>
        <w:t>分。其他</w:t>
      </w:r>
      <w:r>
        <w:rPr>
          <w:rFonts w:hint="eastAsia" w:ascii="仿宋" w:hAnsi="仿宋" w:eastAsia="仿宋"/>
          <w:spacing w:val="14"/>
          <w:sz w:val="28"/>
          <w:szCs w:val="28"/>
          <w:lang w:eastAsia="zh-CN"/>
        </w:rPr>
        <w:t>供应商</w:t>
      </w:r>
      <w:r>
        <w:rPr>
          <w:rFonts w:hint="eastAsia" w:ascii="仿宋" w:hAnsi="仿宋" w:eastAsia="仿宋"/>
          <w:spacing w:val="14"/>
          <w:sz w:val="28"/>
          <w:szCs w:val="28"/>
        </w:rPr>
        <w:t>的报价分按照下列公式计算：</w:t>
      </w:r>
    </w:p>
    <w:p>
      <w:pPr>
        <w:spacing w:line="440" w:lineRule="exact"/>
        <w:ind w:firstLine="616" w:firstLineChars="200"/>
        <w:jc w:val="left"/>
        <w:rPr>
          <w:rFonts w:hint="eastAsia" w:ascii="仿宋" w:hAnsi="仿宋" w:eastAsia="仿宋"/>
          <w:spacing w:val="14"/>
          <w:sz w:val="28"/>
          <w:szCs w:val="28"/>
          <w:lang w:val="en-US" w:eastAsia="zh-CN"/>
        </w:rPr>
      </w:pPr>
      <w:r>
        <w:rPr>
          <w:rFonts w:hint="eastAsia" w:ascii="仿宋" w:hAnsi="仿宋" w:eastAsia="仿宋" w:cs="仿宋"/>
          <w:spacing w:val="14"/>
          <w:sz w:val="28"/>
          <w:szCs w:val="28"/>
        </w:rPr>
        <w:t>投标报价得分=投标优惠比率（%）/评标基准价优惠比率（%）×20</w:t>
      </w:r>
    </w:p>
    <w:p>
      <w:pPr>
        <w:spacing w:line="440" w:lineRule="exact"/>
        <w:ind w:firstLine="616" w:firstLineChars="200"/>
        <w:rPr>
          <w:rFonts w:hint="eastAsia" w:ascii="仿宋" w:hAnsi="仿宋" w:eastAsia="仿宋" w:cs="仿宋"/>
          <w:spacing w:val="14"/>
          <w:sz w:val="28"/>
          <w:szCs w:val="28"/>
        </w:rPr>
      </w:pPr>
      <w:r>
        <w:rPr>
          <w:rFonts w:hint="eastAsia" w:ascii="仿宋" w:hAnsi="仿宋" w:eastAsia="仿宋" w:cs="仿宋"/>
          <w:spacing w:val="14"/>
          <w:sz w:val="28"/>
          <w:szCs w:val="28"/>
        </w:rPr>
        <w:t>3.1.2评标委员会在评审时发现供应商的响应报价明细有一项高于最高限价的将作为无效响应处理；</w:t>
      </w:r>
    </w:p>
    <w:p>
      <w:pPr>
        <w:spacing w:line="44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40" w:lineRule="exact"/>
        <w:ind w:firstLine="562" w:firstLineChars="200"/>
        <w:rPr>
          <w:rFonts w:hint="eastAsia" w:ascii="仿宋" w:hAnsi="仿宋" w:eastAsia="仿宋" w:cs="仿宋"/>
          <w:b/>
          <w:snapToGrid w:val="0"/>
          <w:sz w:val="28"/>
          <w:szCs w:val="28"/>
        </w:rPr>
      </w:pPr>
      <w:r>
        <w:rPr>
          <w:rFonts w:hint="eastAsia" w:ascii="仿宋" w:hAnsi="仿宋" w:eastAsia="仿宋" w:cs="仿宋"/>
          <w:b/>
          <w:snapToGrid w:val="0"/>
          <w:sz w:val="28"/>
          <w:szCs w:val="28"/>
        </w:rPr>
        <w:t>二分之一以上的评委认为供应商报价明显高于市场平均价的将作为无效投标处理；</w:t>
      </w:r>
    </w:p>
    <w:p>
      <w:pPr>
        <w:spacing w:line="4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3.1.</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line="440" w:lineRule="exact"/>
        <w:ind w:firstLine="0" w:firstLineChars="0"/>
        <w:rPr>
          <w:rFonts w:hint="eastAsia" w:ascii="仿宋" w:hAnsi="仿宋" w:eastAsia="仿宋" w:cs="仿宋"/>
          <w:b/>
          <w:bCs/>
          <w:sz w:val="28"/>
          <w:szCs w:val="28"/>
        </w:rPr>
      </w:pPr>
      <w:r>
        <w:rPr>
          <w:rFonts w:hint="eastAsia" w:ascii="仿宋" w:hAnsi="仿宋" w:eastAsia="仿宋" w:cs="仿宋"/>
          <w:b/>
          <w:bCs/>
          <w:sz w:val="28"/>
          <w:szCs w:val="28"/>
        </w:rPr>
        <w:t>3.2 商务技术分：</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t>0分</w:t>
      </w:r>
    </w:p>
    <w:tbl>
      <w:tblPr>
        <w:tblStyle w:val="32"/>
        <w:tblW w:w="10004" w:type="dxa"/>
        <w:tblInd w:w="-9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05"/>
        <w:gridCol w:w="1290"/>
        <w:gridCol w:w="620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005" w:type="dxa"/>
            <w:noWrap/>
          </w:tcPr>
          <w:p>
            <w:pPr>
              <w:jc w:val="center"/>
              <w:rPr>
                <w:rFonts w:hint="eastAsia" w:ascii="仿宋" w:hAnsi="仿宋" w:eastAsia="仿宋" w:cs="仿宋"/>
                <w:sz w:val="28"/>
                <w:szCs w:val="28"/>
              </w:rPr>
            </w:pPr>
            <w:r>
              <w:rPr>
                <w:rFonts w:hint="eastAsia" w:ascii="仿宋" w:hAnsi="仿宋" w:eastAsia="仿宋" w:cs="仿宋"/>
                <w:sz w:val="28"/>
                <w:szCs w:val="28"/>
              </w:rPr>
              <w:t>评分</w:t>
            </w:r>
          </w:p>
          <w:p>
            <w:pPr>
              <w:jc w:val="center"/>
              <w:rPr>
                <w:rFonts w:hint="eastAsia" w:ascii="仿宋" w:hAnsi="仿宋" w:eastAsia="仿宋" w:cs="仿宋"/>
                <w:sz w:val="28"/>
                <w:szCs w:val="28"/>
              </w:rPr>
            </w:pPr>
            <w:r>
              <w:rPr>
                <w:rFonts w:hint="eastAsia" w:ascii="仿宋" w:hAnsi="仿宋" w:eastAsia="仿宋" w:cs="仿宋"/>
                <w:sz w:val="28"/>
                <w:szCs w:val="28"/>
              </w:rPr>
              <w:t>因素</w:t>
            </w:r>
          </w:p>
        </w:tc>
        <w:tc>
          <w:tcPr>
            <w:tcW w:w="1290"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评分项</w:t>
            </w:r>
          </w:p>
        </w:tc>
        <w:tc>
          <w:tcPr>
            <w:tcW w:w="6205"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评分细则</w:t>
            </w:r>
          </w:p>
        </w:tc>
        <w:tc>
          <w:tcPr>
            <w:tcW w:w="709"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005"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主观</w:t>
            </w:r>
          </w:p>
        </w:tc>
        <w:tc>
          <w:tcPr>
            <w:tcW w:w="1290"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响应文</w:t>
            </w:r>
          </w:p>
          <w:p>
            <w:pPr>
              <w:jc w:val="center"/>
              <w:rPr>
                <w:rFonts w:hint="eastAsia" w:ascii="仿宋" w:hAnsi="仿宋" w:eastAsia="仿宋" w:cs="仿宋"/>
                <w:sz w:val="28"/>
                <w:szCs w:val="28"/>
              </w:rPr>
            </w:pPr>
            <w:r>
              <w:rPr>
                <w:rFonts w:hint="eastAsia" w:ascii="仿宋" w:hAnsi="仿宋" w:eastAsia="仿宋" w:cs="仿宋"/>
                <w:sz w:val="28"/>
                <w:szCs w:val="28"/>
              </w:rPr>
              <w:t>件质量</w:t>
            </w: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rPr>
              <w:t>响应文件内容按磋商文件要求编制完整的得0-0.5分；响应文件按照电子交易客户端关联点的要求进行关联的情况，0-0.5分；</w:t>
            </w:r>
          </w:p>
        </w:tc>
        <w:tc>
          <w:tcPr>
            <w:tcW w:w="709"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1005"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客观</w:t>
            </w:r>
          </w:p>
        </w:tc>
        <w:tc>
          <w:tcPr>
            <w:tcW w:w="1290"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企业</w:t>
            </w:r>
          </w:p>
          <w:p>
            <w:pPr>
              <w:jc w:val="center"/>
              <w:rPr>
                <w:rFonts w:hint="eastAsia" w:ascii="仿宋" w:hAnsi="仿宋" w:eastAsia="仿宋" w:cs="仿宋"/>
                <w:sz w:val="28"/>
                <w:szCs w:val="28"/>
              </w:rPr>
            </w:pPr>
            <w:r>
              <w:rPr>
                <w:rFonts w:hint="eastAsia" w:ascii="仿宋" w:hAnsi="仿宋" w:eastAsia="仿宋" w:cs="仿宋"/>
                <w:sz w:val="28"/>
                <w:szCs w:val="28"/>
              </w:rPr>
              <w:t>业绩</w:t>
            </w: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rPr>
              <w:t>根据供应商提供的自2020年1月1日起至磋商截止日前（以合同签订时间为准）具有类似地市级政务云灾备服务相关的成功案例项目，每提供一份有效合同复印件得1分，最高不超过2分。</w:t>
            </w:r>
          </w:p>
          <w:p>
            <w:pPr>
              <w:rPr>
                <w:rFonts w:hint="eastAsia" w:ascii="仿宋" w:hAnsi="仿宋" w:eastAsia="仿宋" w:cs="仿宋"/>
                <w:sz w:val="28"/>
                <w:szCs w:val="28"/>
              </w:rPr>
            </w:pPr>
            <w:r>
              <w:rPr>
                <w:rFonts w:hint="eastAsia" w:ascii="仿宋" w:hAnsi="仿宋" w:eastAsia="仿宋" w:cs="仿宋"/>
                <w:sz w:val="28"/>
                <w:szCs w:val="28"/>
              </w:rPr>
              <w:t>需提供合同复印件（提供合同复印件相关页，能体现日期、金额、双方签字等），否则不得分。</w:t>
            </w:r>
          </w:p>
        </w:tc>
        <w:tc>
          <w:tcPr>
            <w:tcW w:w="709"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vMerge w:val="restart"/>
            <w:noWrap/>
            <w:vAlign w:val="center"/>
          </w:tcPr>
          <w:p>
            <w:pPr>
              <w:jc w:val="center"/>
              <w:rPr>
                <w:rFonts w:hint="eastAsia" w:ascii="仿宋" w:hAnsi="仿宋" w:eastAsia="仿宋" w:cs="仿宋"/>
                <w:sz w:val="28"/>
                <w:szCs w:val="28"/>
                <w:lang w:val="en"/>
              </w:rPr>
            </w:pPr>
            <w:r>
              <w:rPr>
                <w:rFonts w:hint="eastAsia" w:ascii="仿宋" w:hAnsi="仿宋" w:eastAsia="仿宋" w:cs="仿宋"/>
                <w:sz w:val="28"/>
                <w:szCs w:val="28"/>
                <w:lang w:val="en"/>
              </w:rPr>
              <w:t>33.</w:t>
            </w:r>
          </w:p>
        </w:tc>
        <w:tc>
          <w:tcPr>
            <w:tcW w:w="1005"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客观</w:t>
            </w:r>
          </w:p>
        </w:tc>
        <w:tc>
          <w:tcPr>
            <w:tcW w:w="1290"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企业</w:t>
            </w:r>
          </w:p>
          <w:p>
            <w:pPr>
              <w:jc w:val="center"/>
              <w:rPr>
                <w:rFonts w:hint="eastAsia" w:ascii="仿宋" w:hAnsi="仿宋" w:eastAsia="仿宋" w:cs="仿宋"/>
                <w:sz w:val="28"/>
                <w:szCs w:val="28"/>
              </w:rPr>
            </w:pPr>
            <w:r>
              <w:rPr>
                <w:rFonts w:hint="eastAsia" w:ascii="仿宋" w:hAnsi="仿宋" w:eastAsia="仿宋" w:cs="仿宋"/>
                <w:sz w:val="28"/>
                <w:szCs w:val="28"/>
              </w:rPr>
              <w:t>认证</w:t>
            </w: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lang w:val="en"/>
              </w:rPr>
              <w:t>3</w:t>
            </w:r>
            <w:r>
              <w:rPr>
                <w:rFonts w:hint="eastAsia" w:ascii="仿宋" w:hAnsi="仿宋" w:eastAsia="仿宋" w:cs="仿宋"/>
                <w:sz w:val="28"/>
                <w:szCs w:val="28"/>
              </w:rPr>
              <w:t>.1、供应商具备有效质量管理体系认证证书的得1分；</w:t>
            </w:r>
          </w:p>
        </w:tc>
        <w:tc>
          <w:tcPr>
            <w:tcW w:w="709"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noWrap/>
            <w:vAlign w:val="center"/>
          </w:tcPr>
          <w:p>
            <w:pPr>
              <w:jc w:val="center"/>
              <w:rPr>
                <w:rFonts w:hint="eastAsia" w:ascii="仿宋" w:hAnsi="仿宋" w:eastAsia="仿宋" w:cs="仿宋"/>
                <w:sz w:val="28"/>
                <w:szCs w:val="28"/>
                <w:lang w:val="en"/>
              </w:rPr>
            </w:pPr>
          </w:p>
        </w:tc>
        <w:tc>
          <w:tcPr>
            <w:tcW w:w="1005" w:type="dxa"/>
            <w:vMerge w:val="continue"/>
            <w:noWrap/>
            <w:vAlign w:val="center"/>
          </w:tcPr>
          <w:p>
            <w:pPr>
              <w:jc w:val="center"/>
              <w:rPr>
                <w:rFonts w:hint="eastAsia" w:ascii="仿宋" w:hAnsi="仿宋" w:eastAsia="仿宋" w:cs="仿宋"/>
                <w:sz w:val="28"/>
                <w:szCs w:val="28"/>
              </w:rPr>
            </w:pPr>
          </w:p>
        </w:tc>
        <w:tc>
          <w:tcPr>
            <w:tcW w:w="1290" w:type="dxa"/>
            <w:vMerge w:val="continue"/>
            <w:noWrap/>
            <w:vAlign w:val="center"/>
          </w:tcPr>
          <w:p>
            <w:pPr>
              <w:jc w:val="center"/>
              <w:rPr>
                <w:rFonts w:hint="eastAsia" w:ascii="仿宋" w:hAnsi="仿宋" w:eastAsia="仿宋" w:cs="仿宋"/>
                <w:sz w:val="28"/>
                <w:szCs w:val="28"/>
              </w:rPr>
            </w:pPr>
          </w:p>
        </w:tc>
        <w:tc>
          <w:tcPr>
            <w:tcW w:w="6205" w:type="dxa"/>
            <w:noWrap/>
            <w:vAlign w:val="center"/>
          </w:tcPr>
          <w:p>
            <w:pPr>
              <w:rPr>
                <w:rFonts w:hint="eastAsia" w:ascii="仿宋" w:hAnsi="仿宋" w:eastAsia="仿宋" w:cs="仿宋"/>
                <w:sz w:val="28"/>
                <w:szCs w:val="28"/>
                <w:lang w:val="en"/>
              </w:rPr>
            </w:pPr>
            <w:r>
              <w:rPr>
                <w:rFonts w:hint="eastAsia" w:ascii="仿宋" w:hAnsi="仿宋" w:eastAsia="仿宋" w:cs="仿宋"/>
                <w:sz w:val="28"/>
                <w:szCs w:val="28"/>
                <w:lang w:val="en"/>
              </w:rPr>
              <w:t>3</w:t>
            </w:r>
            <w:r>
              <w:rPr>
                <w:rFonts w:hint="eastAsia" w:ascii="仿宋" w:hAnsi="仿宋" w:eastAsia="仿宋" w:cs="仿宋"/>
                <w:sz w:val="28"/>
                <w:szCs w:val="28"/>
              </w:rPr>
              <w:t>.2、供应商具有国家高新技术企业证书的得1分；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noWrap/>
            <w:vAlign w:val="center"/>
          </w:tcPr>
          <w:p>
            <w:pPr>
              <w:jc w:val="center"/>
              <w:rPr>
                <w:rFonts w:hint="eastAsia" w:ascii="仿宋" w:hAnsi="仿宋" w:eastAsia="仿宋" w:cs="仿宋"/>
                <w:sz w:val="28"/>
                <w:szCs w:val="28"/>
                <w:lang w:val="en"/>
              </w:rPr>
            </w:pPr>
          </w:p>
        </w:tc>
        <w:tc>
          <w:tcPr>
            <w:tcW w:w="1005" w:type="dxa"/>
            <w:vMerge w:val="continue"/>
            <w:noWrap/>
            <w:vAlign w:val="center"/>
          </w:tcPr>
          <w:p>
            <w:pPr>
              <w:jc w:val="center"/>
              <w:rPr>
                <w:rFonts w:hint="eastAsia" w:ascii="仿宋" w:hAnsi="仿宋" w:eastAsia="仿宋" w:cs="仿宋"/>
                <w:sz w:val="28"/>
                <w:szCs w:val="28"/>
              </w:rPr>
            </w:pPr>
          </w:p>
        </w:tc>
        <w:tc>
          <w:tcPr>
            <w:tcW w:w="1290" w:type="dxa"/>
            <w:vMerge w:val="continue"/>
            <w:noWrap/>
            <w:vAlign w:val="center"/>
          </w:tcPr>
          <w:p>
            <w:pPr>
              <w:jc w:val="center"/>
              <w:rPr>
                <w:rFonts w:hint="eastAsia" w:ascii="仿宋" w:hAnsi="仿宋" w:eastAsia="仿宋" w:cs="仿宋"/>
                <w:sz w:val="28"/>
                <w:szCs w:val="28"/>
              </w:rPr>
            </w:pP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rPr>
              <w:t>3.3、供应商具有“重复数据删除系统”软件著作权登记证书的得1分；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noWrap/>
            <w:vAlign w:val="center"/>
          </w:tcPr>
          <w:p>
            <w:pPr>
              <w:jc w:val="center"/>
              <w:rPr>
                <w:rFonts w:hint="eastAsia" w:ascii="仿宋" w:hAnsi="仿宋" w:eastAsia="仿宋" w:cs="仿宋"/>
                <w:sz w:val="28"/>
                <w:szCs w:val="28"/>
                <w:lang w:val="en"/>
              </w:rPr>
            </w:pPr>
          </w:p>
        </w:tc>
        <w:tc>
          <w:tcPr>
            <w:tcW w:w="1005" w:type="dxa"/>
            <w:vMerge w:val="continue"/>
            <w:noWrap/>
            <w:vAlign w:val="center"/>
          </w:tcPr>
          <w:p>
            <w:pPr>
              <w:jc w:val="center"/>
              <w:rPr>
                <w:rFonts w:hint="eastAsia" w:ascii="仿宋" w:hAnsi="仿宋" w:eastAsia="仿宋" w:cs="仿宋"/>
                <w:sz w:val="28"/>
                <w:szCs w:val="28"/>
              </w:rPr>
            </w:pPr>
          </w:p>
        </w:tc>
        <w:tc>
          <w:tcPr>
            <w:tcW w:w="1290" w:type="dxa"/>
            <w:vMerge w:val="continue"/>
            <w:noWrap/>
            <w:vAlign w:val="center"/>
          </w:tcPr>
          <w:p>
            <w:pPr>
              <w:jc w:val="center"/>
              <w:rPr>
                <w:rFonts w:hint="eastAsia" w:ascii="仿宋" w:hAnsi="仿宋" w:eastAsia="仿宋" w:cs="仿宋"/>
                <w:sz w:val="28"/>
                <w:szCs w:val="28"/>
              </w:rPr>
            </w:pPr>
          </w:p>
        </w:tc>
        <w:tc>
          <w:tcPr>
            <w:tcW w:w="6205" w:type="dxa"/>
            <w:noWrap/>
            <w:vAlign w:val="center"/>
          </w:tcPr>
          <w:p>
            <w:pPr>
              <w:rPr>
                <w:rFonts w:hint="eastAsia" w:ascii="仿宋" w:hAnsi="仿宋" w:eastAsia="仿宋" w:cs="仿宋"/>
                <w:sz w:val="28"/>
                <w:szCs w:val="28"/>
                <w:lang w:val="en"/>
              </w:rPr>
            </w:pPr>
            <w:r>
              <w:rPr>
                <w:rFonts w:hint="eastAsia" w:ascii="仿宋" w:hAnsi="仿宋" w:eastAsia="仿宋" w:cs="仿宋"/>
                <w:sz w:val="28"/>
                <w:szCs w:val="28"/>
                <w:lang w:val="en"/>
              </w:rPr>
              <w:t>3.4、</w:t>
            </w:r>
            <w:r>
              <w:rPr>
                <w:rFonts w:hint="eastAsia" w:ascii="仿宋" w:hAnsi="仿宋" w:eastAsia="仿宋" w:cs="仿宋"/>
                <w:sz w:val="28"/>
                <w:szCs w:val="28"/>
              </w:rPr>
              <w:t>供应商具有“RDS数据库平台复制备份系统”软件著作权证书的得1分；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5" w:type="dxa"/>
            <w:vMerge w:val="continue"/>
            <w:noWrap/>
            <w:vAlign w:val="center"/>
          </w:tcPr>
          <w:p>
            <w:pPr>
              <w:jc w:val="center"/>
              <w:rPr>
                <w:rFonts w:hint="eastAsia" w:ascii="仿宋" w:hAnsi="仿宋" w:eastAsia="仿宋" w:cs="仿宋"/>
                <w:sz w:val="28"/>
                <w:szCs w:val="28"/>
                <w:lang w:val="en"/>
              </w:rPr>
            </w:pPr>
          </w:p>
        </w:tc>
        <w:tc>
          <w:tcPr>
            <w:tcW w:w="1005" w:type="dxa"/>
            <w:vMerge w:val="continue"/>
            <w:noWrap/>
            <w:vAlign w:val="center"/>
          </w:tcPr>
          <w:p>
            <w:pPr>
              <w:jc w:val="center"/>
              <w:rPr>
                <w:rFonts w:hint="eastAsia" w:ascii="仿宋" w:hAnsi="仿宋" w:eastAsia="仿宋" w:cs="仿宋"/>
                <w:sz w:val="28"/>
                <w:szCs w:val="28"/>
              </w:rPr>
            </w:pPr>
          </w:p>
        </w:tc>
        <w:tc>
          <w:tcPr>
            <w:tcW w:w="1290" w:type="dxa"/>
            <w:vMerge w:val="continue"/>
            <w:noWrap/>
            <w:vAlign w:val="center"/>
          </w:tcPr>
          <w:p>
            <w:pPr>
              <w:jc w:val="center"/>
              <w:rPr>
                <w:rFonts w:hint="eastAsia" w:ascii="仿宋" w:hAnsi="仿宋" w:eastAsia="仿宋" w:cs="仿宋"/>
                <w:sz w:val="28"/>
                <w:szCs w:val="28"/>
              </w:rPr>
            </w:pPr>
          </w:p>
        </w:tc>
        <w:tc>
          <w:tcPr>
            <w:tcW w:w="6205" w:type="dxa"/>
            <w:noWrap/>
            <w:vAlign w:val="center"/>
          </w:tcPr>
          <w:p>
            <w:pPr>
              <w:rPr>
                <w:rFonts w:hint="eastAsia" w:ascii="仿宋" w:hAnsi="仿宋" w:eastAsia="仿宋" w:cs="仿宋"/>
                <w:sz w:val="28"/>
                <w:szCs w:val="28"/>
                <w:lang w:val="en"/>
              </w:rPr>
            </w:pPr>
            <w:r>
              <w:rPr>
                <w:rFonts w:hint="eastAsia" w:ascii="仿宋" w:hAnsi="仿宋" w:eastAsia="仿宋" w:cs="仿宋"/>
                <w:sz w:val="28"/>
                <w:szCs w:val="28"/>
                <w:lang w:val="en"/>
              </w:rPr>
              <w:t>3.5、</w:t>
            </w:r>
            <w:r>
              <w:rPr>
                <w:rFonts w:hint="eastAsia" w:ascii="仿宋" w:hAnsi="仿宋" w:eastAsia="仿宋" w:cs="仿宋"/>
                <w:sz w:val="28"/>
                <w:szCs w:val="28"/>
              </w:rPr>
              <w:t>供应商具有“Mongodb数据库灾备系统”软件著作权登记证书的得1分；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noWrap/>
            <w:vAlign w:val="center"/>
          </w:tcPr>
          <w:p>
            <w:pPr>
              <w:jc w:val="center"/>
              <w:rPr>
                <w:rFonts w:hint="eastAsia" w:ascii="仿宋" w:hAnsi="仿宋" w:eastAsia="仿宋" w:cs="仿宋"/>
                <w:sz w:val="28"/>
                <w:szCs w:val="28"/>
                <w:lang w:val="en"/>
              </w:rPr>
            </w:pPr>
          </w:p>
        </w:tc>
        <w:tc>
          <w:tcPr>
            <w:tcW w:w="1005" w:type="dxa"/>
            <w:vMerge w:val="continue"/>
            <w:noWrap/>
            <w:vAlign w:val="center"/>
          </w:tcPr>
          <w:p>
            <w:pPr>
              <w:jc w:val="center"/>
              <w:rPr>
                <w:rFonts w:hint="eastAsia" w:ascii="仿宋" w:hAnsi="仿宋" w:eastAsia="仿宋" w:cs="仿宋"/>
                <w:sz w:val="28"/>
                <w:szCs w:val="28"/>
              </w:rPr>
            </w:pPr>
          </w:p>
        </w:tc>
        <w:tc>
          <w:tcPr>
            <w:tcW w:w="1290" w:type="dxa"/>
            <w:vMerge w:val="continue"/>
            <w:noWrap/>
            <w:vAlign w:val="center"/>
          </w:tcPr>
          <w:p>
            <w:pPr>
              <w:jc w:val="center"/>
              <w:rPr>
                <w:rFonts w:hint="eastAsia" w:ascii="仿宋" w:hAnsi="仿宋" w:eastAsia="仿宋" w:cs="仿宋"/>
                <w:sz w:val="28"/>
                <w:szCs w:val="28"/>
              </w:rPr>
            </w:pPr>
          </w:p>
        </w:tc>
        <w:tc>
          <w:tcPr>
            <w:tcW w:w="6205" w:type="dxa"/>
            <w:noWrap/>
            <w:vAlign w:val="center"/>
          </w:tcPr>
          <w:p>
            <w:pPr>
              <w:rPr>
                <w:rFonts w:hint="eastAsia" w:ascii="仿宋" w:hAnsi="仿宋" w:eastAsia="仿宋" w:cs="仿宋"/>
                <w:sz w:val="28"/>
                <w:szCs w:val="28"/>
                <w:lang w:val="en"/>
              </w:rPr>
            </w:pPr>
            <w:r>
              <w:rPr>
                <w:rFonts w:hint="eastAsia" w:ascii="仿宋" w:hAnsi="仿宋" w:eastAsia="仿宋" w:cs="仿宋"/>
                <w:sz w:val="28"/>
                <w:szCs w:val="28"/>
                <w:lang w:val="en"/>
              </w:rPr>
              <w:t>3.6、供应商具有“PostgreSQL数据库灾备系统”</w:t>
            </w:r>
            <w:r>
              <w:rPr>
                <w:rFonts w:hint="eastAsia" w:ascii="仿宋" w:hAnsi="仿宋" w:eastAsia="仿宋" w:cs="仿宋"/>
                <w:sz w:val="28"/>
                <w:szCs w:val="28"/>
              </w:rPr>
              <w:t xml:space="preserve"> 软件著作权登记证书的得1分；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noWrap/>
            <w:vAlign w:val="center"/>
          </w:tcPr>
          <w:p>
            <w:pPr>
              <w:jc w:val="center"/>
              <w:rPr>
                <w:rFonts w:hint="eastAsia" w:ascii="仿宋" w:hAnsi="仿宋" w:eastAsia="仿宋" w:cs="仿宋"/>
                <w:sz w:val="28"/>
                <w:szCs w:val="28"/>
                <w:lang w:val="en"/>
              </w:rPr>
            </w:pPr>
          </w:p>
        </w:tc>
        <w:tc>
          <w:tcPr>
            <w:tcW w:w="1005" w:type="dxa"/>
            <w:vMerge w:val="continue"/>
            <w:noWrap/>
            <w:vAlign w:val="center"/>
          </w:tcPr>
          <w:p>
            <w:pPr>
              <w:jc w:val="center"/>
              <w:rPr>
                <w:rFonts w:hint="eastAsia" w:ascii="仿宋" w:hAnsi="仿宋" w:eastAsia="仿宋" w:cs="仿宋"/>
                <w:sz w:val="28"/>
                <w:szCs w:val="28"/>
              </w:rPr>
            </w:pPr>
          </w:p>
        </w:tc>
        <w:tc>
          <w:tcPr>
            <w:tcW w:w="1290" w:type="dxa"/>
            <w:vMerge w:val="continue"/>
            <w:noWrap/>
            <w:vAlign w:val="center"/>
          </w:tcPr>
          <w:p>
            <w:pPr>
              <w:jc w:val="center"/>
              <w:rPr>
                <w:rFonts w:hint="eastAsia" w:ascii="仿宋" w:hAnsi="仿宋" w:eastAsia="仿宋" w:cs="仿宋"/>
                <w:sz w:val="28"/>
                <w:szCs w:val="28"/>
              </w:rPr>
            </w:pPr>
          </w:p>
        </w:tc>
        <w:tc>
          <w:tcPr>
            <w:tcW w:w="6205" w:type="dxa"/>
            <w:noWrap/>
            <w:vAlign w:val="center"/>
          </w:tcPr>
          <w:p>
            <w:pPr>
              <w:rPr>
                <w:rFonts w:hint="eastAsia" w:ascii="仿宋" w:hAnsi="仿宋" w:eastAsia="仿宋" w:cs="仿宋"/>
                <w:sz w:val="28"/>
                <w:szCs w:val="28"/>
                <w:lang w:val="en"/>
              </w:rPr>
            </w:pPr>
            <w:r>
              <w:rPr>
                <w:rFonts w:hint="eastAsia" w:ascii="仿宋" w:hAnsi="仿宋" w:eastAsia="仿宋" w:cs="仿宋"/>
                <w:sz w:val="28"/>
                <w:szCs w:val="28"/>
                <w:lang w:val="en"/>
              </w:rPr>
              <w:t>3.7、供应商具备“灾备运维监控告警系统”</w:t>
            </w:r>
            <w:r>
              <w:rPr>
                <w:rFonts w:hint="eastAsia" w:ascii="仿宋" w:hAnsi="仿宋" w:eastAsia="仿宋" w:cs="仿宋"/>
                <w:sz w:val="28"/>
                <w:szCs w:val="28"/>
              </w:rPr>
              <w:t xml:space="preserve"> 软件著作权登记证书的得1分；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95" w:type="dxa"/>
            <w:vMerge w:val="continue"/>
            <w:noWrap/>
            <w:vAlign w:val="center"/>
          </w:tcPr>
          <w:p>
            <w:pPr>
              <w:jc w:val="center"/>
              <w:rPr>
                <w:rFonts w:hint="eastAsia" w:ascii="仿宋" w:hAnsi="仿宋" w:eastAsia="仿宋" w:cs="仿宋"/>
                <w:sz w:val="28"/>
                <w:szCs w:val="28"/>
              </w:rPr>
            </w:pPr>
          </w:p>
        </w:tc>
        <w:tc>
          <w:tcPr>
            <w:tcW w:w="1005" w:type="dxa"/>
            <w:vMerge w:val="continue"/>
            <w:noWrap/>
          </w:tcPr>
          <w:p>
            <w:pPr>
              <w:jc w:val="center"/>
              <w:rPr>
                <w:rFonts w:hint="eastAsia" w:ascii="仿宋" w:hAnsi="仿宋" w:eastAsia="仿宋" w:cs="仿宋"/>
                <w:sz w:val="28"/>
                <w:szCs w:val="28"/>
              </w:rPr>
            </w:pPr>
          </w:p>
        </w:tc>
        <w:tc>
          <w:tcPr>
            <w:tcW w:w="1290" w:type="dxa"/>
            <w:vMerge w:val="continue"/>
            <w:noWrap/>
            <w:vAlign w:val="center"/>
          </w:tcPr>
          <w:p>
            <w:pPr>
              <w:jc w:val="center"/>
              <w:rPr>
                <w:rFonts w:hint="eastAsia" w:ascii="仿宋" w:hAnsi="仿宋" w:eastAsia="仿宋" w:cs="仿宋"/>
                <w:sz w:val="28"/>
                <w:szCs w:val="28"/>
              </w:rPr>
            </w:pPr>
          </w:p>
        </w:tc>
        <w:tc>
          <w:tcPr>
            <w:tcW w:w="6205" w:type="dxa"/>
            <w:noWrap/>
            <w:vAlign w:val="center"/>
          </w:tcPr>
          <w:p>
            <w:pPr>
              <w:rPr>
                <w:rFonts w:hint="eastAsia" w:ascii="仿宋" w:hAnsi="仿宋" w:eastAsia="仿宋" w:cs="仿宋"/>
                <w:bCs/>
                <w:sz w:val="28"/>
                <w:szCs w:val="28"/>
              </w:rPr>
            </w:pPr>
            <w:r>
              <w:rPr>
                <w:rFonts w:hint="eastAsia" w:ascii="仿宋" w:hAnsi="仿宋" w:eastAsia="仿宋" w:cs="仿宋"/>
                <w:bCs/>
                <w:spacing w:val="14"/>
                <w:sz w:val="28"/>
                <w:szCs w:val="28"/>
              </w:rPr>
              <w:t>提供证书复印件并加盖供应商公章</w:t>
            </w:r>
            <w:r>
              <w:rPr>
                <w:rFonts w:hint="eastAsia" w:ascii="仿宋" w:hAnsi="仿宋" w:eastAsia="仿宋" w:cs="仿宋"/>
                <w:bCs/>
                <w:sz w:val="28"/>
                <w:szCs w:val="28"/>
              </w:rPr>
              <w:t>，以上证书未提供不得分</w:t>
            </w:r>
            <w:r>
              <w:rPr>
                <w:rFonts w:hint="eastAsia" w:ascii="仿宋" w:hAnsi="仿宋" w:eastAsia="仿宋" w:cs="仿宋"/>
                <w:bCs/>
                <w:spacing w:val="14"/>
                <w:sz w:val="28"/>
                <w:szCs w:val="28"/>
              </w:rPr>
              <w:t>。</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95" w:type="dxa"/>
            <w:noWrap/>
            <w:vAlign w:val="center"/>
          </w:tcPr>
          <w:p>
            <w:pPr>
              <w:jc w:val="center"/>
              <w:rPr>
                <w:rFonts w:hint="eastAsia" w:ascii="仿宋" w:hAnsi="仿宋" w:eastAsia="仿宋" w:cs="仿宋"/>
                <w:sz w:val="28"/>
                <w:szCs w:val="28"/>
                <w:lang w:val="en"/>
              </w:rPr>
            </w:pPr>
            <w:r>
              <w:rPr>
                <w:rFonts w:hint="eastAsia" w:ascii="仿宋" w:hAnsi="仿宋" w:eastAsia="仿宋" w:cs="仿宋"/>
                <w:sz w:val="28"/>
                <w:szCs w:val="28"/>
                <w:lang w:val="en"/>
              </w:rPr>
              <w:t>4</w:t>
            </w:r>
          </w:p>
        </w:tc>
        <w:tc>
          <w:tcPr>
            <w:tcW w:w="1005"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主观</w:t>
            </w:r>
          </w:p>
        </w:tc>
        <w:tc>
          <w:tcPr>
            <w:tcW w:w="1290"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投标服务技术能力</w:t>
            </w: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rPr>
              <w:t xml:space="preserve">4.1、响应招标文件要求的服务技术要求的得30分； </w:t>
            </w:r>
          </w:p>
          <w:p>
            <w:pPr>
              <w:rPr>
                <w:rFonts w:hint="eastAsia" w:ascii="仿宋" w:hAnsi="仿宋" w:eastAsia="仿宋" w:cs="仿宋"/>
                <w:spacing w:val="14"/>
                <w:sz w:val="28"/>
                <w:szCs w:val="28"/>
              </w:rPr>
            </w:pPr>
            <w:r>
              <w:rPr>
                <w:rFonts w:hint="eastAsia" w:ascii="仿宋" w:hAnsi="仿宋" w:eastAsia="仿宋" w:cs="仿宋"/>
                <w:sz w:val="28"/>
                <w:szCs w:val="28"/>
              </w:rPr>
              <w:t>4.2、低于招标文件要求的服务技术要求的给予逐项适当减分（非实质性偏离，第二章中未标注“★”的条款），“▲ ”为重点项，每低于此项扣2分，其他每低于一项扣1分。</w:t>
            </w:r>
          </w:p>
        </w:tc>
        <w:tc>
          <w:tcPr>
            <w:tcW w:w="709" w:type="dxa"/>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95" w:type="dxa"/>
            <w:vMerge w:val="restart"/>
            <w:noWrap/>
            <w:vAlign w:val="center"/>
          </w:tcPr>
          <w:p>
            <w:pPr>
              <w:jc w:val="center"/>
              <w:rPr>
                <w:rFonts w:hint="eastAsia" w:ascii="仿宋" w:hAnsi="仿宋" w:eastAsia="仿宋" w:cs="仿宋"/>
                <w:sz w:val="28"/>
                <w:szCs w:val="28"/>
                <w:lang w:val="en"/>
              </w:rPr>
            </w:pPr>
            <w:r>
              <w:rPr>
                <w:rFonts w:hint="eastAsia" w:ascii="仿宋" w:hAnsi="仿宋" w:eastAsia="仿宋" w:cs="仿宋"/>
                <w:sz w:val="28"/>
                <w:szCs w:val="28"/>
                <w:lang w:val="en"/>
              </w:rPr>
              <w:t>5</w:t>
            </w:r>
          </w:p>
        </w:tc>
        <w:tc>
          <w:tcPr>
            <w:tcW w:w="1005"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主观</w:t>
            </w:r>
          </w:p>
        </w:tc>
        <w:tc>
          <w:tcPr>
            <w:tcW w:w="1290"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项目实施方案</w:t>
            </w: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rPr>
              <w:t>5.1、系统设计与技术方案（共5分）</w:t>
            </w:r>
          </w:p>
          <w:p>
            <w:pPr>
              <w:rPr>
                <w:rFonts w:hint="eastAsia" w:ascii="仿宋" w:hAnsi="仿宋" w:eastAsia="仿宋" w:cs="仿宋"/>
                <w:sz w:val="28"/>
                <w:szCs w:val="28"/>
              </w:rPr>
            </w:pPr>
            <w:r>
              <w:rPr>
                <w:rFonts w:hint="eastAsia" w:ascii="仿宋" w:hAnsi="仿宋" w:eastAsia="仿宋" w:cs="仿宋"/>
                <w:sz w:val="28"/>
                <w:szCs w:val="28"/>
              </w:rPr>
              <w:t>综合判断投标文件：系统总体设计思路及技术架构合理、先进；系统功能结构及描述清楚、完善；云灾备资源服务管理和展现技术方案；实现政务云灾备的总体设计；与现有灾备服务平台的整体设计（需提供拓扑图）；（优秀得4-5分，良好得2-3分，一般得0-1分。</w:t>
            </w:r>
          </w:p>
        </w:tc>
        <w:tc>
          <w:tcPr>
            <w:tcW w:w="709"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95" w:type="dxa"/>
            <w:vMerge w:val="continue"/>
            <w:noWrap/>
            <w:vAlign w:val="center"/>
          </w:tcPr>
          <w:p>
            <w:pPr>
              <w:jc w:val="center"/>
              <w:rPr>
                <w:rFonts w:hint="eastAsia" w:ascii="仿宋" w:hAnsi="仿宋" w:eastAsia="仿宋" w:cs="仿宋"/>
                <w:sz w:val="28"/>
                <w:szCs w:val="28"/>
                <w:lang w:val="en"/>
              </w:rPr>
            </w:pPr>
          </w:p>
        </w:tc>
        <w:tc>
          <w:tcPr>
            <w:tcW w:w="1005" w:type="dxa"/>
            <w:vMerge w:val="continue"/>
            <w:noWrap/>
            <w:vAlign w:val="center"/>
          </w:tcPr>
          <w:p>
            <w:pPr>
              <w:jc w:val="center"/>
              <w:rPr>
                <w:rFonts w:hint="eastAsia" w:ascii="仿宋" w:hAnsi="仿宋" w:eastAsia="仿宋" w:cs="仿宋"/>
                <w:sz w:val="28"/>
                <w:szCs w:val="28"/>
              </w:rPr>
            </w:pPr>
          </w:p>
        </w:tc>
        <w:tc>
          <w:tcPr>
            <w:tcW w:w="1290" w:type="dxa"/>
            <w:vMerge w:val="continue"/>
            <w:noWrap/>
            <w:vAlign w:val="center"/>
          </w:tcPr>
          <w:p>
            <w:pPr>
              <w:jc w:val="center"/>
              <w:rPr>
                <w:rFonts w:hint="eastAsia" w:ascii="仿宋" w:hAnsi="仿宋" w:eastAsia="仿宋" w:cs="仿宋"/>
                <w:sz w:val="28"/>
                <w:szCs w:val="28"/>
              </w:rPr>
            </w:pP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rPr>
              <w:t>5.2、项目服务方案（共6分）</w:t>
            </w:r>
          </w:p>
          <w:p>
            <w:pPr>
              <w:rPr>
                <w:rFonts w:hint="eastAsia" w:ascii="仿宋" w:hAnsi="仿宋" w:eastAsia="仿宋" w:cs="仿宋"/>
                <w:sz w:val="28"/>
                <w:szCs w:val="28"/>
              </w:rPr>
            </w:pPr>
            <w:r>
              <w:rPr>
                <w:rFonts w:hint="eastAsia" w:ascii="仿宋" w:hAnsi="仿宋" w:eastAsia="仿宋" w:cs="仿宋"/>
                <w:sz w:val="28"/>
                <w:szCs w:val="28"/>
              </w:rPr>
              <w:t>1综合比较供应商针对本项目建设背景、需求的理解，理解准确到位的得2－3分；基本合理、完善的得0.5－1分；不合理、不完善的不得分。</w:t>
            </w:r>
          </w:p>
          <w:p>
            <w:pPr>
              <w:rPr>
                <w:rFonts w:hint="eastAsia" w:ascii="仿宋" w:hAnsi="仿宋" w:eastAsia="仿宋" w:cs="仿宋"/>
                <w:sz w:val="28"/>
                <w:szCs w:val="28"/>
              </w:rPr>
            </w:pPr>
            <w:r>
              <w:rPr>
                <w:rFonts w:hint="eastAsia" w:ascii="仿宋" w:hAnsi="仿宋" w:eastAsia="仿宋" w:cs="仿宋"/>
                <w:sz w:val="28"/>
                <w:szCs w:val="28"/>
              </w:rPr>
              <w:t>2、项目服务方案整体设计内容科学、合理、可靠、有针对性的得 2－3分；基本科学、合理、可靠的得0.5－1分；不科学、不合理的不得分。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95" w:type="dxa"/>
            <w:vMerge w:val="restart"/>
            <w:shd w:val="clear" w:color="auto" w:fill="FFFFFF"/>
            <w:noWrap/>
            <w:vAlign w:val="center"/>
          </w:tcPr>
          <w:p>
            <w:pPr>
              <w:jc w:val="center"/>
              <w:rPr>
                <w:rFonts w:hint="eastAsia" w:ascii="仿宋" w:hAnsi="仿宋" w:eastAsia="仿宋" w:cs="仿宋"/>
                <w:sz w:val="28"/>
                <w:szCs w:val="28"/>
                <w:lang w:val="en"/>
              </w:rPr>
            </w:pPr>
            <w:r>
              <w:rPr>
                <w:rFonts w:hint="eastAsia" w:ascii="仿宋" w:hAnsi="仿宋" w:eastAsia="仿宋" w:cs="仿宋"/>
                <w:sz w:val="28"/>
                <w:szCs w:val="28"/>
                <w:lang w:val="en"/>
              </w:rPr>
              <w:t>6</w:t>
            </w:r>
          </w:p>
        </w:tc>
        <w:tc>
          <w:tcPr>
            <w:tcW w:w="1005" w:type="dxa"/>
            <w:vMerge w:val="restart"/>
            <w:shd w:val="clear" w:color="auto" w:fill="FFFFFF"/>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客观</w:t>
            </w:r>
          </w:p>
        </w:tc>
        <w:tc>
          <w:tcPr>
            <w:tcW w:w="1290" w:type="dxa"/>
            <w:vMerge w:val="restart"/>
            <w:shd w:val="clear" w:color="auto" w:fill="FFFFFF"/>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服务人员</w:t>
            </w:r>
          </w:p>
          <w:p>
            <w:pPr>
              <w:jc w:val="center"/>
              <w:rPr>
                <w:rFonts w:hint="eastAsia" w:ascii="仿宋" w:hAnsi="仿宋" w:eastAsia="仿宋" w:cs="仿宋"/>
                <w:color w:val="FF0000"/>
                <w:sz w:val="28"/>
                <w:szCs w:val="28"/>
              </w:rPr>
            </w:pPr>
            <w:r>
              <w:rPr>
                <w:rFonts w:hint="eastAsia" w:ascii="仿宋" w:hAnsi="仿宋" w:eastAsia="仿宋" w:cs="仿宋"/>
                <w:sz w:val="28"/>
                <w:szCs w:val="28"/>
              </w:rPr>
              <w:t>配备</w:t>
            </w:r>
          </w:p>
        </w:tc>
        <w:tc>
          <w:tcPr>
            <w:tcW w:w="6205" w:type="dxa"/>
            <w:shd w:val="clear" w:color="auto" w:fill="FFFFFF"/>
            <w:noWrap/>
          </w:tcPr>
          <w:p>
            <w:pPr>
              <w:rPr>
                <w:rFonts w:hint="eastAsia" w:ascii="仿宋" w:hAnsi="仿宋" w:eastAsia="仿宋" w:cs="仿宋"/>
                <w:color w:val="FF0000"/>
                <w:sz w:val="28"/>
                <w:szCs w:val="28"/>
              </w:rPr>
            </w:pPr>
            <w:r>
              <w:rPr>
                <w:rFonts w:hint="eastAsia" w:ascii="仿宋" w:hAnsi="仿宋" w:eastAsia="仿宋" w:cs="仿宋"/>
                <w:sz w:val="28"/>
                <w:szCs w:val="28"/>
              </w:rPr>
              <w:t>6.1、供应商服务团队在本项目应配备1名项目负责人。项目负责人具有5年及以上本单位相关工作经验的1分。须提供在职5年的社保证明并加盖公章，否则不得分。</w:t>
            </w:r>
          </w:p>
        </w:tc>
        <w:tc>
          <w:tcPr>
            <w:tcW w:w="709" w:type="dxa"/>
            <w:vMerge w:val="restart"/>
            <w:shd w:val="clear" w:color="auto" w:fill="FFFFFF"/>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795" w:type="dxa"/>
            <w:vMerge w:val="continue"/>
            <w:shd w:val="clear" w:color="auto" w:fill="FFFFFF"/>
            <w:noWrap/>
            <w:vAlign w:val="center"/>
          </w:tcPr>
          <w:p>
            <w:pPr>
              <w:jc w:val="center"/>
              <w:rPr>
                <w:rFonts w:hint="eastAsia" w:ascii="仿宋" w:hAnsi="仿宋" w:eastAsia="仿宋" w:cs="仿宋"/>
                <w:sz w:val="28"/>
                <w:szCs w:val="28"/>
                <w:lang w:val="en"/>
              </w:rPr>
            </w:pPr>
          </w:p>
        </w:tc>
        <w:tc>
          <w:tcPr>
            <w:tcW w:w="1005" w:type="dxa"/>
            <w:vMerge w:val="continue"/>
            <w:shd w:val="clear" w:color="auto" w:fill="FFFFFF"/>
            <w:noWrap/>
            <w:vAlign w:val="center"/>
          </w:tcPr>
          <w:p>
            <w:pPr>
              <w:jc w:val="center"/>
              <w:rPr>
                <w:rFonts w:hint="eastAsia" w:ascii="仿宋" w:hAnsi="仿宋" w:eastAsia="仿宋" w:cs="仿宋"/>
                <w:sz w:val="28"/>
                <w:szCs w:val="28"/>
              </w:rPr>
            </w:pPr>
          </w:p>
        </w:tc>
        <w:tc>
          <w:tcPr>
            <w:tcW w:w="1290" w:type="dxa"/>
            <w:vMerge w:val="continue"/>
            <w:shd w:val="clear" w:color="auto" w:fill="FFFFFF"/>
            <w:noWrap/>
            <w:vAlign w:val="center"/>
          </w:tcPr>
          <w:p>
            <w:pPr>
              <w:jc w:val="center"/>
              <w:rPr>
                <w:rFonts w:hint="eastAsia" w:ascii="仿宋" w:hAnsi="仿宋" w:eastAsia="仿宋" w:cs="仿宋"/>
                <w:color w:val="FF0000"/>
                <w:sz w:val="28"/>
                <w:szCs w:val="28"/>
              </w:rPr>
            </w:pPr>
          </w:p>
        </w:tc>
        <w:tc>
          <w:tcPr>
            <w:tcW w:w="6205" w:type="dxa"/>
            <w:shd w:val="clear" w:color="auto" w:fill="FFFFFF"/>
            <w:noWrap/>
          </w:tcPr>
          <w:p>
            <w:pPr>
              <w:rPr>
                <w:rFonts w:hint="eastAsia" w:ascii="仿宋" w:hAnsi="仿宋" w:eastAsia="仿宋" w:cs="仿宋"/>
                <w:color w:val="FF0000"/>
                <w:sz w:val="28"/>
                <w:szCs w:val="28"/>
              </w:rPr>
            </w:pPr>
            <w:r>
              <w:rPr>
                <w:rFonts w:hint="eastAsia" w:ascii="仿宋" w:hAnsi="仿宋" w:eastAsia="仿宋" w:cs="仿宋"/>
                <w:sz w:val="28"/>
                <w:szCs w:val="28"/>
              </w:rPr>
              <w:t>6.2、供应商在本项目应配备不少于5人（含项目负责人）的项目实施团队。团队成员具备全面综合的系统设计、实施、维护和灾备建设能力的得2分，除项目负责人外，团队中其他人员须提供近3个月的社保缴纳证明并加盖公章，否则不得分。</w:t>
            </w:r>
          </w:p>
        </w:tc>
        <w:tc>
          <w:tcPr>
            <w:tcW w:w="709" w:type="dxa"/>
            <w:vMerge w:val="continue"/>
            <w:shd w:val="clear" w:color="auto" w:fill="FFFFFF"/>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95" w:type="dxa"/>
            <w:vMerge w:val="restart"/>
            <w:shd w:val="clear" w:color="auto" w:fill="auto"/>
            <w:noWrap/>
            <w:vAlign w:val="center"/>
          </w:tcPr>
          <w:p>
            <w:pPr>
              <w:jc w:val="center"/>
              <w:rPr>
                <w:rFonts w:hint="eastAsia" w:ascii="仿宋" w:hAnsi="仿宋" w:eastAsia="仿宋" w:cs="仿宋"/>
                <w:sz w:val="28"/>
                <w:szCs w:val="28"/>
                <w:lang w:val="en"/>
              </w:rPr>
            </w:pPr>
            <w:r>
              <w:rPr>
                <w:rFonts w:hint="eastAsia" w:ascii="仿宋" w:hAnsi="仿宋" w:eastAsia="仿宋" w:cs="仿宋"/>
                <w:sz w:val="28"/>
                <w:szCs w:val="28"/>
                <w:lang w:val="en"/>
              </w:rPr>
              <w:t>7</w:t>
            </w:r>
          </w:p>
        </w:tc>
        <w:tc>
          <w:tcPr>
            <w:tcW w:w="1005" w:type="dxa"/>
            <w:vMerge w:val="restart"/>
            <w:shd w:val="clear" w:color="auto" w:fill="auto"/>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客观</w:t>
            </w:r>
          </w:p>
        </w:tc>
        <w:tc>
          <w:tcPr>
            <w:tcW w:w="1290" w:type="dxa"/>
            <w:vMerge w:val="restart"/>
            <w:shd w:val="clear" w:color="auto" w:fill="auto"/>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服务平台能力和安全性</w:t>
            </w:r>
          </w:p>
        </w:tc>
        <w:tc>
          <w:tcPr>
            <w:tcW w:w="6205" w:type="dxa"/>
            <w:shd w:val="clear" w:color="auto" w:fill="FFFFFF"/>
            <w:noWrap/>
            <w:vAlign w:val="center"/>
          </w:tcPr>
          <w:p>
            <w:pPr>
              <w:rPr>
                <w:rFonts w:hint="eastAsia" w:ascii="仿宋" w:hAnsi="仿宋" w:eastAsia="仿宋" w:cs="仿宋"/>
                <w:sz w:val="28"/>
                <w:szCs w:val="28"/>
              </w:rPr>
            </w:pPr>
            <w:r>
              <w:rPr>
                <w:rFonts w:hint="eastAsia" w:ascii="仿宋" w:hAnsi="仿宋" w:eastAsia="仿宋" w:cs="仿宋"/>
                <w:sz w:val="28"/>
                <w:szCs w:val="28"/>
              </w:rPr>
              <w:t>7.1、供应商或供应商所提供的云灾备服务平台单用户具有700+ECS部署案例的得2分，须提供实际运行截图证明并加盖公章，否则不得分。</w:t>
            </w:r>
          </w:p>
        </w:tc>
        <w:tc>
          <w:tcPr>
            <w:tcW w:w="709"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95" w:type="dxa"/>
            <w:vMerge w:val="continue"/>
            <w:shd w:val="clear" w:color="auto" w:fill="auto"/>
            <w:noWrap/>
            <w:vAlign w:val="center"/>
          </w:tcPr>
          <w:p>
            <w:pPr>
              <w:jc w:val="center"/>
              <w:rPr>
                <w:rFonts w:hint="eastAsia" w:ascii="仿宋" w:hAnsi="仿宋" w:eastAsia="仿宋" w:cs="仿宋"/>
                <w:sz w:val="28"/>
                <w:szCs w:val="28"/>
              </w:rPr>
            </w:pPr>
          </w:p>
        </w:tc>
        <w:tc>
          <w:tcPr>
            <w:tcW w:w="1005" w:type="dxa"/>
            <w:vMerge w:val="continue"/>
            <w:shd w:val="clear" w:color="auto" w:fill="auto"/>
            <w:noWrap/>
          </w:tcPr>
          <w:p>
            <w:pPr>
              <w:jc w:val="center"/>
              <w:rPr>
                <w:rFonts w:hint="eastAsia" w:ascii="仿宋" w:hAnsi="仿宋" w:eastAsia="仿宋" w:cs="仿宋"/>
                <w:sz w:val="28"/>
                <w:szCs w:val="28"/>
              </w:rPr>
            </w:pPr>
          </w:p>
        </w:tc>
        <w:tc>
          <w:tcPr>
            <w:tcW w:w="1290" w:type="dxa"/>
            <w:vMerge w:val="continue"/>
            <w:shd w:val="clear" w:color="auto" w:fill="auto"/>
            <w:noWrap/>
            <w:vAlign w:val="center"/>
          </w:tcPr>
          <w:p>
            <w:pPr>
              <w:jc w:val="center"/>
              <w:rPr>
                <w:rFonts w:hint="eastAsia" w:ascii="仿宋" w:hAnsi="仿宋" w:eastAsia="仿宋" w:cs="仿宋"/>
                <w:sz w:val="28"/>
                <w:szCs w:val="28"/>
              </w:rPr>
            </w:pPr>
          </w:p>
        </w:tc>
        <w:tc>
          <w:tcPr>
            <w:tcW w:w="6205" w:type="dxa"/>
            <w:shd w:val="clear" w:color="auto" w:fill="FFFFFF"/>
            <w:noWrap/>
            <w:vAlign w:val="center"/>
          </w:tcPr>
          <w:p>
            <w:pPr>
              <w:rPr>
                <w:rFonts w:hint="eastAsia" w:ascii="仿宋" w:hAnsi="仿宋" w:eastAsia="仿宋" w:cs="仿宋"/>
                <w:sz w:val="28"/>
                <w:szCs w:val="28"/>
              </w:rPr>
            </w:pPr>
            <w:r>
              <w:rPr>
                <w:rFonts w:hint="eastAsia" w:ascii="仿宋" w:hAnsi="仿宋" w:eastAsia="仿宋" w:cs="仿宋"/>
                <w:sz w:val="28"/>
                <w:szCs w:val="28"/>
              </w:rPr>
              <w:t>7.2、供应商或供应商所提供的云灾备服务平台具有ECS、RDS、OSS等实时、定时备份功能的得2分，须提供相关证明材料并加盖公章，否则不得分。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95" w:type="dxa"/>
            <w:vMerge w:val="continue"/>
            <w:shd w:val="clear" w:color="auto" w:fill="auto"/>
            <w:noWrap/>
            <w:vAlign w:val="center"/>
          </w:tcPr>
          <w:p>
            <w:pPr>
              <w:jc w:val="center"/>
              <w:rPr>
                <w:rFonts w:hint="eastAsia" w:ascii="仿宋" w:hAnsi="仿宋" w:eastAsia="仿宋" w:cs="仿宋"/>
                <w:sz w:val="28"/>
                <w:szCs w:val="28"/>
              </w:rPr>
            </w:pPr>
          </w:p>
        </w:tc>
        <w:tc>
          <w:tcPr>
            <w:tcW w:w="1005" w:type="dxa"/>
            <w:vMerge w:val="continue"/>
            <w:shd w:val="clear" w:color="auto" w:fill="auto"/>
            <w:noWrap/>
          </w:tcPr>
          <w:p>
            <w:pPr>
              <w:jc w:val="center"/>
              <w:rPr>
                <w:rFonts w:hint="eastAsia" w:ascii="仿宋" w:hAnsi="仿宋" w:eastAsia="仿宋" w:cs="仿宋"/>
                <w:sz w:val="28"/>
                <w:szCs w:val="28"/>
              </w:rPr>
            </w:pPr>
          </w:p>
        </w:tc>
        <w:tc>
          <w:tcPr>
            <w:tcW w:w="1290" w:type="dxa"/>
            <w:vMerge w:val="continue"/>
            <w:shd w:val="clear" w:color="auto" w:fill="auto"/>
            <w:noWrap/>
            <w:vAlign w:val="center"/>
          </w:tcPr>
          <w:p>
            <w:pPr>
              <w:jc w:val="center"/>
              <w:rPr>
                <w:rFonts w:hint="eastAsia" w:ascii="仿宋" w:hAnsi="仿宋" w:eastAsia="仿宋" w:cs="仿宋"/>
                <w:sz w:val="28"/>
                <w:szCs w:val="28"/>
              </w:rPr>
            </w:pPr>
          </w:p>
        </w:tc>
        <w:tc>
          <w:tcPr>
            <w:tcW w:w="6205" w:type="dxa"/>
            <w:shd w:val="clear" w:color="auto" w:fill="FFFFFF"/>
            <w:noWrap/>
            <w:vAlign w:val="center"/>
          </w:tcPr>
          <w:p>
            <w:pPr>
              <w:rPr>
                <w:rFonts w:hint="eastAsia" w:ascii="仿宋" w:hAnsi="仿宋" w:eastAsia="仿宋" w:cs="仿宋"/>
                <w:sz w:val="28"/>
                <w:szCs w:val="28"/>
              </w:rPr>
            </w:pPr>
            <w:r>
              <w:rPr>
                <w:rFonts w:hint="eastAsia" w:ascii="仿宋" w:hAnsi="仿宋" w:eastAsia="仿宋" w:cs="仿宋"/>
                <w:sz w:val="28"/>
                <w:szCs w:val="28"/>
                <w:lang w:val="en"/>
              </w:rPr>
              <w:t>7</w:t>
            </w:r>
            <w:r>
              <w:rPr>
                <w:rFonts w:hint="eastAsia" w:ascii="仿宋" w:hAnsi="仿宋" w:eastAsia="仿宋" w:cs="仿宋"/>
                <w:sz w:val="28"/>
                <w:szCs w:val="28"/>
              </w:rPr>
              <w:t>.3、供应商或供应商所提供的云灾备服务平台在浙江省内有地级市政务云异备份成功实施案例，每提供一个案例的得1分，最高不超过3分，须提供相关证明材料（政务云异地备份任务界面截图、浙江省异地灾备中心OSS资源情况截图）并加盖厂家公章，否则不得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95" w:type="dxa"/>
            <w:vMerge w:val="continue"/>
            <w:shd w:val="clear" w:color="auto" w:fill="auto"/>
            <w:noWrap/>
            <w:vAlign w:val="center"/>
          </w:tcPr>
          <w:p>
            <w:pPr>
              <w:jc w:val="center"/>
              <w:rPr>
                <w:rFonts w:hint="eastAsia" w:ascii="仿宋" w:hAnsi="仿宋" w:eastAsia="仿宋" w:cs="仿宋"/>
                <w:sz w:val="28"/>
                <w:szCs w:val="28"/>
              </w:rPr>
            </w:pPr>
          </w:p>
        </w:tc>
        <w:tc>
          <w:tcPr>
            <w:tcW w:w="1005" w:type="dxa"/>
            <w:vMerge w:val="continue"/>
            <w:shd w:val="clear" w:color="auto" w:fill="auto"/>
            <w:noWrap/>
          </w:tcPr>
          <w:p>
            <w:pPr>
              <w:jc w:val="center"/>
              <w:rPr>
                <w:rFonts w:hint="eastAsia" w:ascii="仿宋" w:hAnsi="仿宋" w:eastAsia="仿宋" w:cs="仿宋"/>
                <w:sz w:val="28"/>
                <w:szCs w:val="28"/>
              </w:rPr>
            </w:pPr>
          </w:p>
        </w:tc>
        <w:tc>
          <w:tcPr>
            <w:tcW w:w="1290" w:type="dxa"/>
            <w:vMerge w:val="continue"/>
            <w:shd w:val="clear" w:color="auto" w:fill="auto"/>
            <w:noWrap/>
            <w:vAlign w:val="center"/>
          </w:tcPr>
          <w:p>
            <w:pPr>
              <w:jc w:val="center"/>
              <w:rPr>
                <w:rFonts w:hint="eastAsia" w:ascii="仿宋" w:hAnsi="仿宋" w:eastAsia="仿宋" w:cs="仿宋"/>
                <w:sz w:val="28"/>
                <w:szCs w:val="28"/>
              </w:rPr>
            </w:pPr>
          </w:p>
        </w:tc>
        <w:tc>
          <w:tcPr>
            <w:tcW w:w="6205" w:type="dxa"/>
            <w:shd w:val="clear" w:color="auto" w:fill="FFFFFF"/>
            <w:noWrap/>
            <w:vAlign w:val="center"/>
          </w:tcPr>
          <w:p>
            <w:pPr>
              <w:rPr>
                <w:rFonts w:hint="eastAsia" w:ascii="仿宋" w:hAnsi="仿宋" w:eastAsia="仿宋" w:cs="仿宋"/>
                <w:sz w:val="28"/>
                <w:szCs w:val="28"/>
                <w:lang w:val="en"/>
              </w:rPr>
            </w:pPr>
            <w:r>
              <w:rPr>
                <w:rFonts w:hint="eastAsia" w:ascii="仿宋" w:hAnsi="仿宋" w:eastAsia="仿宋" w:cs="仿宋"/>
                <w:sz w:val="28"/>
                <w:szCs w:val="28"/>
                <w:lang w:val="en"/>
              </w:rPr>
              <w:t>7.4、</w:t>
            </w:r>
            <w:r>
              <w:rPr>
                <w:rFonts w:hint="eastAsia" w:ascii="仿宋" w:hAnsi="仿宋" w:eastAsia="仿宋" w:cs="仿宋"/>
                <w:sz w:val="28"/>
                <w:szCs w:val="28"/>
              </w:rPr>
              <w:t>供应商或供应商所提供的云灾备服务平台内置安全防护机制，平台内部具备自主研发的防火墙系统、数据加密安全系统、数据综合分析服务系统等安全防护机制的得3分，须提供“防火墙系统”、“数据加密安全系统”、“数据综合分析服务系统”等软件著作权登记证书复印件并加盖公章，提供不全或不提供则不得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95" w:type="dxa"/>
            <w:vMerge w:val="restart"/>
            <w:noWrap/>
            <w:vAlign w:val="center"/>
          </w:tcPr>
          <w:p>
            <w:pPr>
              <w:jc w:val="center"/>
              <w:rPr>
                <w:rFonts w:hint="eastAsia" w:ascii="仿宋" w:hAnsi="仿宋" w:eastAsia="仿宋" w:cs="仿宋"/>
                <w:sz w:val="28"/>
                <w:szCs w:val="28"/>
                <w:lang w:val="en"/>
              </w:rPr>
            </w:pPr>
            <w:r>
              <w:rPr>
                <w:rFonts w:hint="eastAsia" w:ascii="仿宋" w:hAnsi="仿宋" w:eastAsia="仿宋" w:cs="仿宋"/>
                <w:sz w:val="28"/>
                <w:szCs w:val="28"/>
                <w:lang w:val="en"/>
              </w:rPr>
              <w:t>8</w:t>
            </w:r>
          </w:p>
        </w:tc>
        <w:tc>
          <w:tcPr>
            <w:tcW w:w="1005"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主观</w:t>
            </w:r>
          </w:p>
        </w:tc>
        <w:tc>
          <w:tcPr>
            <w:tcW w:w="1290"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服务平台功能演示</w:t>
            </w: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rPr>
              <w:t>8.1、提供块级整机备份和文件级整机备份功能演示。演示成功得2分。</w:t>
            </w:r>
          </w:p>
        </w:tc>
        <w:tc>
          <w:tcPr>
            <w:tcW w:w="709"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95" w:type="dxa"/>
            <w:vMerge w:val="continue"/>
            <w:noWrap/>
            <w:vAlign w:val="center"/>
          </w:tcPr>
          <w:p>
            <w:pPr>
              <w:jc w:val="center"/>
              <w:rPr>
                <w:rFonts w:hint="eastAsia" w:ascii="仿宋" w:hAnsi="仿宋" w:eastAsia="仿宋" w:cs="仿宋"/>
                <w:sz w:val="28"/>
                <w:szCs w:val="28"/>
                <w:lang w:val="en"/>
              </w:rPr>
            </w:pPr>
          </w:p>
        </w:tc>
        <w:tc>
          <w:tcPr>
            <w:tcW w:w="1005" w:type="dxa"/>
            <w:vMerge w:val="continue"/>
            <w:noWrap/>
            <w:vAlign w:val="center"/>
          </w:tcPr>
          <w:p>
            <w:pPr>
              <w:jc w:val="center"/>
              <w:rPr>
                <w:rFonts w:hint="eastAsia" w:ascii="仿宋" w:hAnsi="仿宋" w:eastAsia="仿宋" w:cs="仿宋"/>
                <w:sz w:val="28"/>
                <w:szCs w:val="28"/>
              </w:rPr>
            </w:pPr>
          </w:p>
        </w:tc>
        <w:tc>
          <w:tcPr>
            <w:tcW w:w="1290" w:type="dxa"/>
            <w:vMerge w:val="continue"/>
            <w:noWrap/>
            <w:vAlign w:val="center"/>
          </w:tcPr>
          <w:p>
            <w:pPr>
              <w:jc w:val="center"/>
              <w:rPr>
                <w:rFonts w:hint="eastAsia" w:ascii="仿宋" w:hAnsi="仿宋" w:eastAsia="仿宋" w:cs="仿宋"/>
                <w:sz w:val="28"/>
                <w:szCs w:val="28"/>
              </w:rPr>
            </w:pP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rPr>
              <w:t>8.2、提供RDS数据库DDL和DML备份效果演示。演示成功得2分。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95" w:type="dxa"/>
            <w:vMerge w:val="continue"/>
            <w:noWrap/>
            <w:vAlign w:val="center"/>
          </w:tcPr>
          <w:p>
            <w:pPr>
              <w:jc w:val="center"/>
              <w:rPr>
                <w:rFonts w:hint="eastAsia" w:ascii="仿宋" w:hAnsi="仿宋" w:eastAsia="仿宋" w:cs="仿宋"/>
                <w:sz w:val="28"/>
                <w:szCs w:val="28"/>
                <w:lang w:val="en"/>
              </w:rPr>
            </w:pPr>
          </w:p>
        </w:tc>
        <w:tc>
          <w:tcPr>
            <w:tcW w:w="1005" w:type="dxa"/>
            <w:vMerge w:val="continue"/>
            <w:noWrap/>
            <w:vAlign w:val="center"/>
          </w:tcPr>
          <w:p>
            <w:pPr>
              <w:jc w:val="center"/>
              <w:rPr>
                <w:rFonts w:hint="eastAsia" w:ascii="仿宋" w:hAnsi="仿宋" w:eastAsia="仿宋" w:cs="仿宋"/>
                <w:sz w:val="28"/>
                <w:szCs w:val="28"/>
              </w:rPr>
            </w:pPr>
          </w:p>
        </w:tc>
        <w:tc>
          <w:tcPr>
            <w:tcW w:w="1290" w:type="dxa"/>
            <w:vMerge w:val="continue"/>
            <w:noWrap/>
            <w:vAlign w:val="center"/>
          </w:tcPr>
          <w:p>
            <w:pPr>
              <w:jc w:val="center"/>
              <w:rPr>
                <w:rFonts w:hint="eastAsia" w:ascii="仿宋" w:hAnsi="仿宋" w:eastAsia="仿宋" w:cs="仿宋"/>
                <w:sz w:val="28"/>
                <w:szCs w:val="28"/>
              </w:rPr>
            </w:pP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rPr>
              <w:t>8.3、提供即时、循环和计划任务等多种模式计划任务演示。演示成功得2分。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95" w:type="dxa"/>
            <w:vMerge w:val="continue"/>
            <w:noWrap/>
            <w:vAlign w:val="center"/>
          </w:tcPr>
          <w:p>
            <w:pPr>
              <w:jc w:val="center"/>
              <w:rPr>
                <w:rFonts w:hint="eastAsia" w:ascii="仿宋" w:hAnsi="仿宋" w:eastAsia="仿宋" w:cs="仿宋"/>
                <w:sz w:val="28"/>
                <w:szCs w:val="28"/>
                <w:lang w:val="en"/>
              </w:rPr>
            </w:pPr>
          </w:p>
        </w:tc>
        <w:tc>
          <w:tcPr>
            <w:tcW w:w="1005" w:type="dxa"/>
            <w:vMerge w:val="continue"/>
            <w:noWrap/>
            <w:vAlign w:val="center"/>
          </w:tcPr>
          <w:p>
            <w:pPr>
              <w:jc w:val="center"/>
              <w:rPr>
                <w:rFonts w:hint="eastAsia" w:ascii="仿宋" w:hAnsi="仿宋" w:eastAsia="仿宋" w:cs="仿宋"/>
                <w:sz w:val="28"/>
                <w:szCs w:val="28"/>
              </w:rPr>
            </w:pPr>
          </w:p>
        </w:tc>
        <w:tc>
          <w:tcPr>
            <w:tcW w:w="1290" w:type="dxa"/>
            <w:vMerge w:val="continue"/>
            <w:noWrap/>
            <w:vAlign w:val="center"/>
          </w:tcPr>
          <w:p>
            <w:pPr>
              <w:jc w:val="center"/>
              <w:rPr>
                <w:rFonts w:hint="eastAsia" w:ascii="仿宋" w:hAnsi="仿宋" w:eastAsia="仿宋" w:cs="仿宋"/>
                <w:sz w:val="28"/>
                <w:szCs w:val="28"/>
              </w:rPr>
            </w:pP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rPr>
              <w:t>8.4、提供自定义任务链演示，可以定义任务顺序和自定义执行任务类型。演示成功得2分。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5" w:type="dxa"/>
            <w:vMerge w:val="continue"/>
            <w:noWrap/>
            <w:vAlign w:val="center"/>
          </w:tcPr>
          <w:p>
            <w:pPr>
              <w:jc w:val="center"/>
              <w:rPr>
                <w:rFonts w:hint="eastAsia" w:ascii="仿宋" w:hAnsi="仿宋" w:eastAsia="仿宋" w:cs="仿宋"/>
                <w:sz w:val="28"/>
                <w:szCs w:val="28"/>
                <w:lang w:val="en"/>
              </w:rPr>
            </w:pPr>
          </w:p>
        </w:tc>
        <w:tc>
          <w:tcPr>
            <w:tcW w:w="1005" w:type="dxa"/>
            <w:vMerge w:val="continue"/>
            <w:noWrap/>
            <w:vAlign w:val="center"/>
          </w:tcPr>
          <w:p>
            <w:pPr>
              <w:jc w:val="center"/>
              <w:rPr>
                <w:rFonts w:hint="eastAsia" w:ascii="仿宋" w:hAnsi="仿宋" w:eastAsia="仿宋" w:cs="仿宋"/>
                <w:sz w:val="28"/>
                <w:szCs w:val="28"/>
              </w:rPr>
            </w:pPr>
          </w:p>
        </w:tc>
        <w:tc>
          <w:tcPr>
            <w:tcW w:w="1290" w:type="dxa"/>
            <w:vMerge w:val="continue"/>
            <w:noWrap/>
            <w:vAlign w:val="center"/>
          </w:tcPr>
          <w:p>
            <w:pPr>
              <w:jc w:val="center"/>
              <w:rPr>
                <w:rFonts w:hint="eastAsia" w:ascii="仿宋" w:hAnsi="仿宋" w:eastAsia="仿宋" w:cs="仿宋"/>
                <w:sz w:val="28"/>
                <w:szCs w:val="28"/>
              </w:rPr>
            </w:pP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rPr>
              <w:t>8.5、提供可直接在信创云备份管理系统页面创建任何第三方备份命令的计划任务和在管理页面手动停止第三方备份命令备份任务的演示。演示成功得2分。</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5" w:type="dxa"/>
            <w:vMerge w:val="continue"/>
            <w:noWrap/>
            <w:vAlign w:val="center"/>
          </w:tcPr>
          <w:p>
            <w:pPr>
              <w:jc w:val="center"/>
              <w:rPr>
                <w:rFonts w:hint="eastAsia" w:ascii="仿宋" w:hAnsi="仿宋" w:eastAsia="仿宋" w:cs="仿宋"/>
                <w:sz w:val="28"/>
                <w:szCs w:val="28"/>
                <w:lang w:val="en"/>
              </w:rPr>
            </w:pPr>
          </w:p>
        </w:tc>
        <w:tc>
          <w:tcPr>
            <w:tcW w:w="1005" w:type="dxa"/>
            <w:vMerge w:val="continue"/>
            <w:noWrap/>
            <w:vAlign w:val="center"/>
          </w:tcPr>
          <w:p>
            <w:pPr>
              <w:jc w:val="center"/>
              <w:rPr>
                <w:rFonts w:hint="eastAsia" w:ascii="仿宋" w:hAnsi="仿宋" w:eastAsia="仿宋" w:cs="仿宋"/>
                <w:sz w:val="28"/>
                <w:szCs w:val="28"/>
              </w:rPr>
            </w:pPr>
          </w:p>
        </w:tc>
        <w:tc>
          <w:tcPr>
            <w:tcW w:w="1290" w:type="dxa"/>
            <w:vMerge w:val="continue"/>
            <w:noWrap/>
            <w:vAlign w:val="center"/>
          </w:tcPr>
          <w:p>
            <w:pPr>
              <w:jc w:val="center"/>
              <w:rPr>
                <w:rFonts w:hint="eastAsia" w:ascii="仿宋" w:hAnsi="仿宋" w:eastAsia="仿宋" w:cs="仿宋"/>
                <w:sz w:val="28"/>
                <w:szCs w:val="28"/>
              </w:rPr>
            </w:pP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rPr>
              <w:t>以上功能演示可由供应商或供应商所提供的灾备服务平台厂商自行准备演示所需要的环境进行演示。</w:t>
            </w:r>
          </w:p>
        </w:tc>
        <w:tc>
          <w:tcPr>
            <w:tcW w:w="709" w:type="dxa"/>
            <w:vMerge w:val="continue"/>
            <w:noWrap/>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95"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
              </w:rPr>
              <w:t>9</w:t>
            </w:r>
          </w:p>
        </w:tc>
        <w:tc>
          <w:tcPr>
            <w:tcW w:w="1005"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主观</w:t>
            </w:r>
          </w:p>
        </w:tc>
        <w:tc>
          <w:tcPr>
            <w:tcW w:w="1290"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服务运维能力</w:t>
            </w:r>
          </w:p>
        </w:tc>
        <w:tc>
          <w:tcPr>
            <w:tcW w:w="6205" w:type="dxa"/>
            <w:noWrap/>
            <w:vAlign w:val="center"/>
          </w:tcPr>
          <w:p>
            <w:pPr>
              <w:rPr>
                <w:rFonts w:hint="eastAsia" w:ascii="仿宋" w:hAnsi="仿宋" w:eastAsia="仿宋" w:cs="仿宋"/>
                <w:sz w:val="28"/>
                <w:szCs w:val="28"/>
              </w:rPr>
            </w:pPr>
            <w:r>
              <w:rPr>
                <w:rFonts w:hint="eastAsia" w:ascii="仿宋" w:hAnsi="仿宋" w:eastAsia="仿宋" w:cs="仿宋"/>
                <w:sz w:val="28"/>
                <w:szCs w:val="28"/>
              </w:rPr>
              <w:t>9.1、提供服务运维方案，方案全面周到得2分，不全面得1分，不提供不得分。</w:t>
            </w:r>
          </w:p>
        </w:tc>
        <w:tc>
          <w:tcPr>
            <w:tcW w:w="709" w:type="dxa"/>
            <w:vMerge w:val="restart"/>
            <w:noWrap/>
            <w:vAlign w:val="center"/>
          </w:tcPr>
          <w:p>
            <w:pPr>
              <w:jc w:val="center"/>
              <w:rPr>
                <w:rFonts w:hint="eastAsia" w:ascii="仿宋" w:hAnsi="仿宋" w:eastAsia="仿宋" w:cs="仿宋"/>
                <w:sz w:val="28"/>
                <w:szCs w:val="28"/>
              </w:rPr>
            </w:pPr>
            <w:r>
              <w:rPr>
                <w:rFonts w:hint="eastAsia" w:ascii="仿宋" w:hAnsi="仿宋" w:eastAsia="仿宋" w:cs="仿宋"/>
                <w:sz w:val="28"/>
                <w:szCs w:val="28"/>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5" w:type="dxa"/>
            <w:vMerge w:val="continue"/>
            <w:noWrap/>
            <w:vAlign w:val="center"/>
          </w:tcPr>
          <w:p>
            <w:pPr>
              <w:jc w:val="center"/>
            </w:pPr>
          </w:p>
        </w:tc>
        <w:tc>
          <w:tcPr>
            <w:tcW w:w="1005" w:type="dxa"/>
            <w:vMerge w:val="continue"/>
            <w:noWrap/>
          </w:tcPr>
          <w:p>
            <w:pPr>
              <w:jc w:val="center"/>
            </w:pPr>
          </w:p>
        </w:tc>
        <w:tc>
          <w:tcPr>
            <w:tcW w:w="1290" w:type="dxa"/>
            <w:vMerge w:val="continue"/>
            <w:noWrap/>
            <w:vAlign w:val="center"/>
          </w:tcPr>
          <w:p>
            <w:pPr>
              <w:jc w:val="center"/>
            </w:pPr>
          </w:p>
        </w:tc>
        <w:tc>
          <w:tcPr>
            <w:tcW w:w="6205" w:type="dxa"/>
            <w:noWrap/>
            <w:vAlign w:val="center"/>
          </w:tcPr>
          <w:p>
            <w:r>
              <w:rPr>
                <w:rFonts w:hint="eastAsia" w:ascii="仿宋" w:hAnsi="仿宋" w:eastAsia="仿宋" w:cs="仿宋"/>
                <w:sz w:val="28"/>
                <w:szCs w:val="28"/>
              </w:rPr>
              <w:t>9.2、供应商在项目所在地拥有驻场技术支持服务人员的得3分（须提供驻场技术人员身份证复印件、联系方式及近3个月的社保缴纳证明等证明材料，并加盖公章）；在本地设立技术支持服务机构的得1分（须提供详细的网点营业执照复印件、联系人、联系方式等证明材料并加盖公章）；未按要求提供相关证明材料的不得分。</w:t>
            </w:r>
          </w:p>
        </w:tc>
        <w:tc>
          <w:tcPr>
            <w:tcW w:w="709" w:type="dxa"/>
            <w:vMerge w:val="continue"/>
            <w:noWrap/>
            <w:vAlign w:val="center"/>
          </w:tcPr>
          <w:p>
            <w:pPr>
              <w:jc w:val="center"/>
            </w:pPr>
          </w:p>
        </w:tc>
      </w:tr>
    </w:tbl>
    <w:p>
      <w:pPr>
        <w:pStyle w:val="31"/>
        <w:ind w:firstLine="0" w:firstLineChars="0"/>
        <w:rPr>
          <w:rFonts w:hint="eastAsia" w:ascii="仿宋" w:hAnsi="仿宋" w:eastAsia="仿宋" w:cs="仿宋"/>
          <w:sz w:val="28"/>
          <w:szCs w:val="28"/>
        </w:rPr>
      </w:pPr>
    </w:p>
    <w:p>
      <w:pPr>
        <w:spacing w:line="440" w:lineRule="exact"/>
        <w:ind w:firstLine="550" w:firstLineChars="196"/>
        <w:rPr>
          <w:rFonts w:hint="eastAsia" w:ascii="仿宋" w:hAnsi="仿宋" w:eastAsia="仿宋" w:cs="仿宋"/>
          <w:b/>
          <w:bCs/>
          <w:sz w:val="28"/>
          <w:szCs w:val="28"/>
        </w:rPr>
      </w:pPr>
      <w:r>
        <w:rPr>
          <w:rFonts w:hint="eastAsia" w:ascii="仿宋" w:hAnsi="仿宋" w:eastAsia="仿宋" w:cs="仿宋"/>
          <w:b/>
          <w:bCs/>
          <w:sz w:val="28"/>
          <w:szCs w:val="28"/>
        </w:rPr>
        <w:t>价格部分、商务技术部分各项得分保留小数点后二位小数，第三位四舍五入。</w:t>
      </w:r>
    </w:p>
    <w:p>
      <w:pPr>
        <w:spacing w:line="440" w:lineRule="exact"/>
        <w:rPr>
          <w:rFonts w:hint="eastAsia" w:ascii="仿宋" w:hAnsi="仿宋" w:eastAsia="仿宋" w:cs="仿宋"/>
          <w:b/>
          <w:bCs/>
          <w:spacing w:val="14"/>
          <w:sz w:val="28"/>
          <w:szCs w:val="28"/>
        </w:rPr>
      </w:pPr>
      <w:r>
        <w:rPr>
          <w:rFonts w:hint="eastAsia" w:ascii="仿宋" w:hAnsi="仿宋" w:eastAsia="仿宋" w:cs="仿宋"/>
          <w:b/>
          <w:bCs/>
          <w:spacing w:val="14"/>
          <w:sz w:val="28"/>
          <w:szCs w:val="28"/>
        </w:rPr>
        <w:t>5.评标程序与方法</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5.1对通过资格性检查的投标人进行</w:t>
      </w:r>
      <w:r>
        <w:rPr>
          <w:rFonts w:hint="eastAsia" w:ascii="仿宋" w:hAnsi="仿宋" w:eastAsia="仿宋" w:cs="仿宋"/>
          <w:bCs/>
          <w:sz w:val="28"/>
          <w:szCs w:val="28"/>
        </w:rPr>
        <w:t>符合性</w:t>
      </w:r>
      <w:r>
        <w:rPr>
          <w:rFonts w:hint="eastAsia" w:ascii="仿宋" w:hAnsi="仿宋" w:eastAsia="仿宋" w:cs="仿宋"/>
          <w:sz w:val="28"/>
          <w:szCs w:val="28"/>
        </w:rPr>
        <w:t>检查。依据招标文件的规定，从投标文件的有效性、完整性和对招标文件的响应程度进行审查，以确定是否对招标文件的实质性要求做出响应。</w:t>
      </w:r>
    </w:p>
    <w:p>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5.2澄清有关问题。对投标文件中含义不明确、同类问题表述不一致或者有明显文字和计算错误的内容，评标委员会可要求投标人做出必要的澄清、说明。投标人的说明或者澄清应当采用数据电文形式，加盖单位电子签章，并不得超出投标文件的范围或者改变投标文件的实质性内容。</w:t>
      </w:r>
    </w:p>
    <w:p>
      <w:pPr>
        <w:spacing w:line="440" w:lineRule="exact"/>
        <w:ind w:firstLine="560" w:firstLineChars="200"/>
        <w:rPr>
          <w:rFonts w:hint="default" w:ascii="仿宋" w:hAnsi="仿宋" w:eastAsia="仿宋" w:cs="仿宋"/>
          <w:spacing w:val="-4"/>
          <w:sz w:val="28"/>
          <w:szCs w:val="28"/>
          <w:lang w:val="en-US" w:eastAsia="zh-CN"/>
        </w:rPr>
      </w:pPr>
      <w:r>
        <w:rPr>
          <w:rFonts w:hint="eastAsia" w:ascii="仿宋" w:hAnsi="仿宋" w:eastAsia="仿宋" w:cs="仿宋"/>
          <w:sz w:val="28"/>
          <w:szCs w:val="28"/>
        </w:rPr>
        <w:t>5.3</w:t>
      </w:r>
      <w:r>
        <w:rPr>
          <w:rFonts w:hint="eastAsia" w:ascii="仿宋" w:hAnsi="仿宋" w:eastAsia="仿宋" w:cs="仿宋"/>
          <w:spacing w:val="-4"/>
          <w:sz w:val="28"/>
          <w:szCs w:val="28"/>
        </w:rPr>
        <w:t>比较与评价。评标委员会按上述规定的评标内容和标准，对资格性检查和符合性检查合格的投标文件进行综合比较与独立评分。</w:t>
      </w:r>
      <w:r>
        <w:rPr>
          <w:rFonts w:hint="eastAsia" w:ascii="仿宋" w:hAnsi="仿宋" w:eastAsia="仿宋" w:cs="仿宋"/>
          <w:spacing w:val="-4"/>
          <w:sz w:val="28"/>
          <w:szCs w:val="28"/>
          <w:lang w:eastAsia="zh-CN"/>
        </w:rPr>
        <w:t>评委个人主观打分偏离所有评审小组成员主观打分平均值</w:t>
      </w:r>
      <w:r>
        <w:rPr>
          <w:rFonts w:hint="eastAsia" w:ascii="仿宋" w:hAnsi="仿宋" w:eastAsia="仿宋" w:cs="仿宋"/>
          <w:spacing w:val="-4"/>
          <w:sz w:val="28"/>
          <w:szCs w:val="28"/>
          <w:lang w:val="en-US" w:eastAsia="zh-CN"/>
        </w:rPr>
        <w:t>30%（含）以上的，由评审委员会启动评分畸高、畸低行为认定程序，限制专家自由裁量权。</w:t>
      </w:r>
    </w:p>
    <w:p>
      <w:pPr>
        <w:spacing w:line="440" w:lineRule="exact"/>
        <w:ind w:firstLine="600"/>
        <w:rPr>
          <w:rFonts w:hint="eastAsia" w:ascii="仿宋" w:hAnsi="仿宋" w:eastAsia="仿宋" w:cs="仿宋"/>
          <w:sz w:val="28"/>
          <w:szCs w:val="28"/>
        </w:rPr>
      </w:pPr>
      <w:r>
        <w:rPr>
          <w:rFonts w:hint="eastAsia" w:ascii="仿宋" w:hAnsi="仿宋" w:eastAsia="仿宋" w:cs="仿宋"/>
          <w:sz w:val="28"/>
          <w:szCs w:val="28"/>
        </w:rPr>
        <w:t>5.4推荐中标候选供应商名单。按各评委评出的最终得分由高到低顺序排列，推荐1名中标候选供应商（如最终得分相同的，按投标报价由低到高顺序排列;最终得分且投标报价相同的，按技术指标优劣顺序排列）。</w:t>
      </w:r>
    </w:p>
    <w:p>
      <w:pPr>
        <w:spacing w:line="440" w:lineRule="exact"/>
        <w:rPr>
          <w:rFonts w:hint="eastAsia" w:ascii="仿宋" w:hAnsi="仿宋" w:eastAsia="仿宋" w:cs="仿宋"/>
          <w:b/>
          <w:bCs/>
          <w:sz w:val="28"/>
          <w:szCs w:val="28"/>
        </w:rPr>
      </w:pPr>
      <w:r>
        <w:rPr>
          <w:rFonts w:hint="eastAsia" w:ascii="仿宋" w:hAnsi="仿宋" w:eastAsia="仿宋" w:cs="仿宋"/>
          <w:b/>
          <w:bCs/>
          <w:sz w:val="28"/>
          <w:szCs w:val="28"/>
        </w:rPr>
        <w:t>6.监督管理</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本项目在湖州市财政局监督下进行。</w:t>
      </w:r>
    </w:p>
    <w:p>
      <w:pPr>
        <w:spacing w:line="500" w:lineRule="exact"/>
        <w:ind w:firstLine="560" w:firstLineChars="200"/>
        <w:rPr>
          <w:rFonts w:hint="eastAsia" w:ascii="仿宋" w:hAnsi="仿宋" w:eastAsia="仿宋" w:cs="仿宋"/>
          <w:sz w:val="28"/>
          <w:szCs w:val="28"/>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1"/>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20</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55</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68783"/>
    </w:sdtPr>
    <w:sdtContent>
      <w:sdt>
        <w:sdtPr>
          <w:id w:val="98381352"/>
        </w:sdtPr>
        <w:sdtContent>
          <w:p>
            <w:pPr>
              <w:pStyle w:val="20"/>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26</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 xml:space="preserve">NUMPAGES</w:instrText>
            </w:r>
            <w:r>
              <w:rPr>
                <w:bCs/>
              </w:rPr>
              <w:fldChar w:fldCharType="separate"/>
            </w:r>
            <w:r>
              <w:rPr>
                <w:bCs/>
              </w:rPr>
              <w:t>55</w:t>
            </w:r>
            <w:r>
              <w:rPr>
                <w:bCs/>
              </w:rPr>
              <w:fldChar w:fldCharType="end"/>
            </w:r>
            <w:r>
              <w:rPr>
                <w:rFonts w:hint="eastAsia"/>
                <w:bCs/>
              </w:rPr>
              <w:t xml:space="preserve"> 页</w:t>
            </w:r>
          </w:p>
        </w:sdtContent>
      </w:sdt>
    </w:sdtContent>
  </w:sdt>
  <w:p>
    <w:pPr>
      <w:pStyle w:val="2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6"/>
      </w:rPr>
    </w:pPr>
    <w:r>
      <w:fldChar w:fldCharType="begin"/>
    </w:r>
    <w:r>
      <w:rPr>
        <w:rStyle w:val="36"/>
      </w:rPr>
      <w:instrText xml:space="preserve">PAGE  </w:instrText>
    </w:r>
    <w:r>
      <w:fldChar w:fldCharType="end"/>
    </w:r>
  </w:p>
  <w:p>
    <w:pPr>
      <w:pStyle w:val="2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EFF24"/>
    <w:multiLevelType w:val="singleLevel"/>
    <w:tmpl w:val="FF1EFF24"/>
    <w:lvl w:ilvl="0" w:tentative="0">
      <w:start w:val="3"/>
      <w:numFmt w:val="decimal"/>
      <w:lvlText w:val="%1."/>
      <w:lvlJc w:val="left"/>
      <w:pPr>
        <w:tabs>
          <w:tab w:val="left" w:pos="312"/>
        </w:tabs>
      </w:pPr>
    </w:lvl>
  </w:abstractNum>
  <w:abstractNum w:abstractNumId="1">
    <w:nsid w:val="12D8238E"/>
    <w:multiLevelType w:val="multilevel"/>
    <w:tmpl w:val="12D8238E"/>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B36067"/>
    <w:multiLevelType w:val="multilevel"/>
    <w:tmpl w:val="4EB36067"/>
    <w:lvl w:ilvl="0" w:tentative="0">
      <w:start w:val="1"/>
      <w:numFmt w:val="chineseCountingThousand"/>
      <w:suff w:val="space"/>
      <w:lvlText w:val="第%1章"/>
      <w:lvlJc w:val="left"/>
      <w:pPr>
        <w:ind w:left="0" w:firstLine="0"/>
      </w:pPr>
      <w:rPr>
        <w:rFonts w:hint="eastAsia"/>
        <w:b/>
        <w:i w:val="0"/>
        <w:spacing w:val="0"/>
      </w:rPr>
    </w:lvl>
    <w:lvl w:ilvl="1" w:tentative="0">
      <w:start w:val="1"/>
      <w:numFmt w:val="decimal"/>
      <w:isLgl/>
      <w:suff w:val="space"/>
      <w:lvlText w:val="%1.%2"/>
      <w:lvlJc w:val="left"/>
      <w:pPr>
        <w:ind w:left="0" w:firstLine="0"/>
      </w:pPr>
      <w:rPr>
        <w:rFonts w:hint="eastAsia"/>
      </w:rPr>
    </w:lvl>
    <w:lvl w:ilvl="2" w:tentative="0">
      <w:start w:val="1"/>
      <w:numFmt w:val="decimal"/>
      <w:pStyle w:val="5"/>
      <w:isLgl/>
      <w:suff w:val="space"/>
      <w:lvlText w:val="%1.%2.%3"/>
      <w:lvlJc w:val="left"/>
      <w:pPr>
        <w:ind w:left="851"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1134"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OGIwZDUyOGViZjVjN2QyMmRmZGYwMjQ3ZGY1MzAifQ=="/>
  </w:docVars>
  <w:rsids>
    <w:rsidRoot w:val="00172A27"/>
    <w:rsid w:val="00000A61"/>
    <w:rsid w:val="00000E8C"/>
    <w:rsid w:val="00001CC3"/>
    <w:rsid w:val="00004C58"/>
    <w:rsid w:val="0000575F"/>
    <w:rsid w:val="00005A44"/>
    <w:rsid w:val="0001075D"/>
    <w:rsid w:val="00010E1D"/>
    <w:rsid w:val="0001135A"/>
    <w:rsid w:val="00011AEC"/>
    <w:rsid w:val="00011DA5"/>
    <w:rsid w:val="0001231C"/>
    <w:rsid w:val="00012CED"/>
    <w:rsid w:val="0001407D"/>
    <w:rsid w:val="000146AD"/>
    <w:rsid w:val="00015A55"/>
    <w:rsid w:val="00016254"/>
    <w:rsid w:val="00017723"/>
    <w:rsid w:val="00020A06"/>
    <w:rsid w:val="00020B09"/>
    <w:rsid w:val="00020D9D"/>
    <w:rsid w:val="00020F3E"/>
    <w:rsid w:val="000220A9"/>
    <w:rsid w:val="0002425C"/>
    <w:rsid w:val="00024367"/>
    <w:rsid w:val="00024CA1"/>
    <w:rsid w:val="000261C4"/>
    <w:rsid w:val="00027010"/>
    <w:rsid w:val="00027862"/>
    <w:rsid w:val="00027FAC"/>
    <w:rsid w:val="0003010F"/>
    <w:rsid w:val="00030DFB"/>
    <w:rsid w:val="0003218E"/>
    <w:rsid w:val="00032BFF"/>
    <w:rsid w:val="00035CE2"/>
    <w:rsid w:val="00036DE4"/>
    <w:rsid w:val="00037CBC"/>
    <w:rsid w:val="0004066C"/>
    <w:rsid w:val="000425DC"/>
    <w:rsid w:val="00044E45"/>
    <w:rsid w:val="00047912"/>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E81"/>
    <w:rsid w:val="000646B2"/>
    <w:rsid w:val="000647A2"/>
    <w:rsid w:val="00065CA6"/>
    <w:rsid w:val="00065DBE"/>
    <w:rsid w:val="00066E83"/>
    <w:rsid w:val="0006757E"/>
    <w:rsid w:val="00071054"/>
    <w:rsid w:val="00072DDE"/>
    <w:rsid w:val="000730CE"/>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9759E"/>
    <w:rsid w:val="000A10B3"/>
    <w:rsid w:val="000A174A"/>
    <w:rsid w:val="000A28BD"/>
    <w:rsid w:val="000A2D29"/>
    <w:rsid w:val="000A3A34"/>
    <w:rsid w:val="000A3E7F"/>
    <w:rsid w:val="000A5249"/>
    <w:rsid w:val="000A6426"/>
    <w:rsid w:val="000B1A2F"/>
    <w:rsid w:val="000B27AA"/>
    <w:rsid w:val="000B2AF4"/>
    <w:rsid w:val="000B4459"/>
    <w:rsid w:val="000B4B44"/>
    <w:rsid w:val="000B5858"/>
    <w:rsid w:val="000B593B"/>
    <w:rsid w:val="000B7966"/>
    <w:rsid w:val="000C13AA"/>
    <w:rsid w:val="000C150C"/>
    <w:rsid w:val="000C203F"/>
    <w:rsid w:val="000C3C20"/>
    <w:rsid w:val="000C4C55"/>
    <w:rsid w:val="000C5310"/>
    <w:rsid w:val="000C5D02"/>
    <w:rsid w:val="000C6CAC"/>
    <w:rsid w:val="000D0B69"/>
    <w:rsid w:val="000D3084"/>
    <w:rsid w:val="000D3258"/>
    <w:rsid w:val="000D3B78"/>
    <w:rsid w:val="000D454E"/>
    <w:rsid w:val="000D59B9"/>
    <w:rsid w:val="000D6A2E"/>
    <w:rsid w:val="000E193D"/>
    <w:rsid w:val="000E20AD"/>
    <w:rsid w:val="000E2BE1"/>
    <w:rsid w:val="000E2F05"/>
    <w:rsid w:val="000E42CC"/>
    <w:rsid w:val="000E6EDA"/>
    <w:rsid w:val="000E71D7"/>
    <w:rsid w:val="000F16EA"/>
    <w:rsid w:val="000F2757"/>
    <w:rsid w:val="000F30D3"/>
    <w:rsid w:val="000F343C"/>
    <w:rsid w:val="000F3F4F"/>
    <w:rsid w:val="000F4129"/>
    <w:rsid w:val="000F4DFF"/>
    <w:rsid w:val="000F6CB2"/>
    <w:rsid w:val="001020B4"/>
    <w:rsid w:val="00103DE9"/>
    <w:rsid w:val="0010491A"/>
    <w:rsid w:val="00106A43"/>
    <w:rsid w:val="00106A99"/>
    <w:rsid w:val="00107093"/>
    <w:rsid w:val="00112371"/>
    <w:rsid w:val="00112EB9"/>
    <w:rsid w:val="00112EF3"/>
    <w:rsid w:val="00114348"/>
    <w:rsid w:val="001165F5"/>
    <w:rsid w:val="00116964"/>
    <w:rsid w:val="00117546"/>
    <w:rsid w:val="0012001C"/>
    <w:rsid w:val="0012089D"/>
    <w:rsid w:val="00120F80"/>
    <w:rsid w:val="001229F6"/>
    <w:rsid w:val="00123F3B"/>
    <w:rsid w:val="0012496A"/>
    <w:rsid w:val="00124D0F"/>
    <w:rsid w:val="0012626E"/>
    <w:rsid w:val="0012698E"/>
    <w:rsid w:val="001269A4"/>
    <w:rsid w:val="001270B5"/>
    <w:rsid w:val="00127312"/>
    <w:rsid w:val="001276E2"/>
    <w:rsid w:val="00127CB9"/>
    <w:rsid w:val="00127D76"/>
    <w:rsid w:val="001302DB"/>
    <w:rsid w:val="00131470"/>
    <w:rsid w:val="00132F78"/>
    <w:rsid w:val="00132FC5"/>
    <w:rsid w:val="001331F7"/>
    <w:rsid w:val="00133B3F"/>
    <w:rsid w:val="001346BD"/>
    <w:rsid w:val="00136677"/>
    <w:rsid w:val="0013744B"/>
    <w:rsid w:val="001401D3"/>
    <w:rsid w:val="00142A4C"/>
    <w:rsid w:val="00143B5B"/>
    <w:rsid w:val="00144046"/>
    <w:rsid w:val="001441D9"/>
    <w:rsid w:val="00144E75"/>
    <w:rsid w:val="00147CBC"/>
    <w:rsid w:val="0015150E"/>
    <w:rsid w:val="0015258E"/>
    <w:rsid w:val="00153209"/>
    <w:rsid w:val="0015397B"/>
    <w:rsid w:val="00153D3D"/>
    <w:rsid w:val="0015467E"/>
    <w:rsid w:val="00157357"/>
    <w:rsid w:val="00157C71"/>
    <w:rsid w:val="00161C99"/>
    <w:rsid w:val="00162A2F"/>
    <w:rsid w:val="00162E7E"/>
    <w:rsid w:val="00163C1D"/>
    <w:rsid w:val="00166905"/>
    <w:rsid w:val="001673CB"/>
    <w:rsid w:val="001713A8"/>
    <w:rsid w:val="001719E6"/>
    <w:rsid w:val="0017290F"/>
    <w:rsid w:val="00172A27"/>
    <w:rsid w:val="0017439E"/>
    <w:rsid w:val="001753BE"/>
    <w:rsid w:val="00180761"/>
    <w:rsid w:val="001812F9"/>
    <w:rsid w:val="00184B13"/>
    <w:rsid w:val="00186799"/>
    <w:rsid w:val="001870EA"/>
    <w:rsid w:val="0018782E"/>
    <w:rsid w:val="001929B7"/>
    <w:rsid w:val="00192F52"/>
    <w:rsid w:val="0019405C"/>
    <w:rsid w:val="00194422"/>
    <w:rsid w:val="00194E3B"/>
    <w:rsid w:val="00196507"/>
    <w:rsid w:val="0019657E"/>
    <w:rsid w:val="001965C1"/>
    <w:rsid w:val="001977B5"/>
    <w:rsid w:val="001A03C5"/>
    <w:rsid w:val="001A1145"/>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5D75"/>
    <w:rsid w:val="001C6E8B"/>
    <w:rsid w:val="001D07FD"/>
    <w:rsid w:val="001D095E"/>
    <w:rsid w:val="001D1C12"/>
    <w:rsid w:val="001D1D47"/>
    <w:rsid w:val="001D3BA7"/>
    <w:rsid w:val="001D41A7"/>
    <w:rsid w:val="001D5291"/>
    <w:rsid w:val="001D6A24"/>
    <w:rsid w:val="001D6A78"/>
    <w:rsid w:val="001D6CBC"/>
    <w:rsid w:val="001D748B"/>
    <w:rsid w:val="001D7EB2"/>
    <w:rsid w:val="001E1124"/>
    <w:rsid w:val="001E1FE1"/>
    <w:rsid w:val="001E3272"/>
    <w:rsid w:val="001E3E19"/>
    <w:rsid w:val="001E4340"/>
    <w:rsid w:val="001E5DED"/>
    <w:rsid w:val="001E7B2C"/>
    <w:rsid w:val="001F2002"/>
    <w:rsid w:val="001F47FF"/>
    <w:rsid w:val="001F4AC5"/>
    <w:rsid w:val="001F4CB3"/>
    <w:rsid w:val="001F52B2"/>
    <w:rsid w:val="001F63CB"/>
    <w:rsid w:val="001F6662"/>
    <w:rsid w:val="001F73C4"/>
    <w:rsid w:val="002006CE"/>
    <w:rsid w:val="002037A2"/>
    <w:rsid w:val="00203BB8"/>
    <w:rsid w:val="002046AC"/>
    <w:rsid w:val="00206677"/>
    <w:rsid w:val="002069B6"/>
    <w:rsid w:val="00206F73"/>
    <w:rsid w:val="0020731E"/>
    <w:rsid w:val="0020739C"/>
    <w:rsid w:val="0020767E"/>
    <w:rsid w:val="002079FB"/>
    <w:rsid w:val="002107D5"/>
    <w:rsid w:val="00211320"/>
    <w:rsid w:val="002117FF"/>
    <w:rsid w:val="00212A8E"/>
    <w:rsid w:val="00214C4D"/>
    <w:rsid w:val="00216870"/>
    <w:rsid w:val="002206B7"/>
    <w:rsid w:val="0022179C"/>
    <w:rsid w:val="00223114"/>
    <w:rsid w:val="00226CF6"/>
    <w:rsid w:val="00227546"/>
    <w:rsid w:val="00233E1C"/>
    <w:rsid w:val="00233F78"/>
    <w:rsid w:val="00234CE4"/>
    <w:rsid w:val="0023642F"/>
    <w:rsid w:val="00236F01"/>
    <w:rsid w:val="00240CC1"/>
    <w:rsid w:val="00242127"/>
    <w:rsid w:val="00243A08"/>
    <w:rsid w:val="002459E6"/>
    <w:rsid w:val="00245BA7"/>
    <w:rsid w:val="00246AC8"/>
    <w:rsid w:val="00246D47"/>
    <w:rsid w:val="00251444"/>
    <w:rsid w:val="002519C5"/>
    <w:rsid w:val="00252279"/>
    <w:rsid w:val="002522DC"/>
    <w:rsid w:val="00253FDD"/>
    <w:rsid w:val="00254AA2"/>
    <w:rsid w:val="002553CF"/>
    <w:rsid w:val="00255DC8"/>
    <w:rsid w:val="0026068E"/>
    <w:rsid w:val="00261BC1"/>
    <w:rsid w:val="00262506"/>
    <w:rsid w:val="00262827"/>
    <w:rsid w:val="002650DB"/>
    <w:rsid w:val="00265D73"/>
    <w:rsid w:val="002665E7"/>
    <w:rsid w:val="00270E6D"/>
    <w:rsid w:val="00271460"/>
    <w:rsid w:val="00271C10"/>
    <w:rsid w:val="002724E4"/>
    <w:rsid w:val="00273905"/>
    <w:rsid w:val="00273A46"/>
    <w:rsid w:val="00273B25"/>
    <w:rsid w:val="00275273"/>
    <w:rsid w:val="00276C48"/>
    <w:rsid w:val="002770A0"/>
    <w:rsid w:val="00281272"/>
    <w:rsid w:val="00282BFB"/>
    <w:rsid w:val="00283E8A"/>
    <w:rsid w:val="00285638"/>
    <w:rsid w:val="00286859"/>
    <w:rsid w:val="00287C79"/>
    <w:rsid w:val="00290489"/>
    <w:rsid w:val="002911E5"/>
    <w:rsid w:val="002913D9"/>
    <w:rsid w:val="002919BD"/>
    <w:rsid w:val="002931AC"/>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A0D"/>
    <w:rsid w:val="002C46A1"/>
    <w:rsid w:val="002C644C"/>
    <w:rsid w:val="002C77E5"/>
    <w:rsid w:val="002C7992"/>
    <w:rsid w:val="002D01F9"/>
    <w:rsid w:val="002D0BAA"/>
    <w:rsid w:val="002D2A33"/>
    <w:rsid w:val="002D39F0"/>
    <w:rsid w:val="002D3C57"/>
    <w:rsid w:val="002D3EC4"/>
    <w:rsid w:val="002D43F5"/>
    <w:rsid w:val="002D57FD"/>
    <w:rsid w:val="002D630A"/>
    <w:rsid w:val="002D6599"/>
    <w:rsid w:val="002E0535"/>
    <w:rsid w:val="002E0719"/>
    <w:rsid w:val="002E2747"/>
    <w:rsid w:val="002F0D70"/>
    <w:rsid w:val="002F129C"/>
    <w:rsid w:val="002F1621"/>
    <w:rsid w:val="002F1E3C"/>
    <w:rsid w:val="002F2CF6"/>
    <w:rsid w:val="002F4161"/>
    <w:rsid w:val="002F4B1A"/>
    <w:rsid w:val="002F583C"/>
    <w:rsid w:val="002F76E9"/>
    <w:rsid w:val="003007FA"/>
    <w:rsid w:val="0030167C"/>
    <w:rsid w:val="00302294"/>
    <w:rsid w:val="00302483"/>
    <w:rsid w:val="00302609"/>
    <w:rsid w:val="00303091"/>
    <w:rsid w:val="00303C7E"/>
    <w:rsid w:val="0030545C"/>
    <w:rsid w:val="00306366"/>
    <w:rsid w:val="00306A54"/>
    <w:rsid w:val="00310FDC"/>
    <w:rsid w:val="003118D1"/>
    <w:rsid w:val="003121BA"/>
    <w:rsid w:val="00313767"/>
    <w:rsid w:val="003143B9"/>
    <w:rsid w:val="00315E96"/>
    <w:rsid w:val="00316638"/>
    <w:rsid w:val="003168D9"/>
    <w:rsid w:val="00317B3D"/>
    <w:rsid w:val="00320FC8"/>
    <w:rsid w:val="00321260"/>
    <w:rsid w:val="00322E62"/>
    <w:rsid w:val="00323664"/>
    <w:rsid w:val="00324756"/>
    <w:rsid w:val="00324BA5"/>
    <w:rsid w:val="00325578"/>
    <w:rsid w:val="00326796"/>
    <w:rsid w:val="00326BEF"/>
    <w:rsid w:val="0032718B"/>
    <w:rsid w:val="00330255"/>
    <w:rsid w:val="00330966"/>
    <w:rsid w:val="00332D7F"/>
    <w:rsid w:val="00334125"/>
    <w:rsid w:val="00337B3E"/>
    <w:rsid w:val="00337E98"/>
    <w:rsid w:val="00340F0C"/>
    <w:rsid w:val="00341BD9"/>
    <w:rsid w:val="0034297D"/>
    <w:rsid w:val="00342BAD"/>
    <w:rsid w:val="0034405F"/>
    <w:rsid w:val="003440B8"/>
    <w:rsid w:val="00345451"/>
    <w:rsid w:val="00345572"/>
    <w:rsid w:val="00346005"/>
    <w:rsid w:val="003466BD"/>
    <w:rsid w:val="00346A37"/>
    <w:rsid w:val="00347779"/>
    <w:rsid w:val="00354BF8"/>
    <w:rsid w:val="00355592"/>
    <w:rsid w:val="0035677A"/>
    <w:rsid w:val="0035697D"/>
    <w:rsid w:val="00356CAB"/>
    <w:rsid w:val="00356CCC"/>
    <w:rsid w:val="00356F16"/>
    <w:rsid w:val="00361172"/>
    <w:rsid w:val="00361894"/>
    <w:rsid w:val="00363A36"/>
    <w:rsid w:val="003643EA"/>
    <w:rsid w:val="00364940"/>
    <w:rsid w:val="00364A01"/>
    <w:rsid w:val="00364CF4"/>
    <w:rsid w:val="00372082"/>
    <w:rsid w:val="003728C7"/>
    <w:rsid w:val="003733D8"/>
    <w:rsid w:val="00373F8E"/>
    <w:rsid w:val="003748AB"/>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855"/>
    <w:rsid w:val="00396E1D"/>
    <w:rsid w:val="00396F8B"/>
    <w:rsid w:val="00397E0F"/>
    <w:rsid w:val="003A160A"/>
    <w:rsid w:val="003A334B"/>
    <w:rsid w:val="003A3EFB"/>
    <w:rsid w:val="003A43C5"/>
    <w:rsid w:val="003A6AC8"/>
    <w:rsid w:val="003A6D34"/>
    <w:rsid w:val="003A7512"/>
    <w:rsid w:val="003B2383"/>
    <w:rsid w:val="003B2570"/>
    <w:rsid w:val="003B2972"/>
    <w:rsid w:val="003B2D91"/>
    <w:rsid w:val="003B4034"/>
    <w:rsid w:val="003B4E90"/>
    <w:rsid w:val="003B63B4"/>
    <w:rsid w:val="003B7539"/>
    <w:rsid w:val="003C045C"/>
    <w:rsid w:val="003C0898"/>
    <w:rsid w:val="003C0B88"/>
    <w:rsid w:val="003C165E"/>
    <w:rsid w:val="003C20F8"/>
    <w:rsid w:val="003C21F2"/>
    <w:rsid w:val="003C3332"/>
    <w:rsid w:val="003C3E5F"/>
    <w:rsid w:val="003C3F5E"/>
    <w:rsid w:val="003C46A0"/>
    <w:rsid w:val="003C6399"/>
    <w:rsid w:val="003C6974"/>
    <w:rsid w:val="003C7C37"/>
    <w:rsid w:val="003D0302"/>
    <w:rsid w:val="003D102E"/>
    <w:rsid w:val="003D296E"/>
    <w:rsid w:val="003D2F80"/>
    <w:rsid w:val="003D3C34"/>
    <w:rsid w:val="003D3E27"/>
    <w:rsid w:val="003D496B"/>
    <w:rsid w:val="003D703A"/>
    <w:rsid w:val="003E11CD"/>
    <w:rsid w:val="003E380F"/>
    <w:rsid w:val="003E4555"/>
    <w:rsid w:val="003E6F3F"/>
    <w:rsid w:val="003F1572"/>
    <w:rsid w:val="003F321F"/>
    <w:rsid w:val="003F33EC"/>
    <w:rsid w:val="003F38B8"/>
    <w:rsid w:val="003F395F"/>
    <w:rsid w:val="003F3998"/>
    <w:rsid w:val="003F4EAD"/>
    <w:rsid w:val="004004C2"/>
    <w:rsid w:val="00400666"/>
    <w:rsid w:val="004012AB"/>
    <w:rsid w:val="004014F3"/>
    <w:rsid w:val="00401AB9"/>
    <w:rsid w:val="00401F21"/>
    <w:rsid w:val="004026C6"/>
    <w:rsid w:val="00403B52"/>
    <w:rsid w:val="004046D2"/>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128D"/>
    <w:rsid w:val="00432078"/>
    <w:rsid w:val="00432228"/>
    <w:rsid w:val="0043387A"/>
    <w:rsid w:val="00433ED8"/>
    <w:rsid w:val="00434056"/>
    <w:rsid w:val="00436529"/>
    <w:rsid w:val="00440061"/>
    <w:rsid w:val="00440A97"/>
    <w:rsid w:val="00441F71"/>
    <w:rsid w:val="00442937"/>
    <w:rsid w:val="00442BA0"/>
    <w:rsid w:val="00443171"/>
    <w:rsid w:val="0044360C"/>
    <w:rsid w:val="00443E66"/>
    <w:rsid w:val="004446A6"/>
    <w:rsid w:val="00444F6C"/>
    <w:rsid w:val="0045225B"/>
    <w:rsid w:val="004525D1"/>
    <w:rsid w:val="00452D91"/>
    <w:rsid w:val="00452DB2"/>
    <w:rsid w:val="004559A0"/>
    <w:rsid w:val="00460101"/>
    <w:rsid w:val="00460BF1"/>
    <w:rsid w:val="00462455"/>
    <w:rsid w:val="00462637"/>
    <w:rsid w:val="0046321D"/>
    <w:rsid w:val="00463236"/>
    <w:rsid w:val="00463CE1"/>
    <w:rsid w:val="00466F8E"/>
    <w:rsid w:val="0047177E"/>
    <w:rsid w:val="00473D99"/>
    <w:rsid w:val="0047448F"/>
    <w:rsid w:val="00474893"/>
    <w:rsid w:val="00475645"/>
    <w:rsid w:val="004760A3"/>
    <w:rsid w:val="00480AA8"/>
    <w:rsid w:val="0048283C"/>
    <w:rsid w:val="00484B0F"/>
    <w:rsid w:val="00484D66"/>
    <w:rsid w:val="00484DCE"/>
    <w:rsid w:val="00485B6F"/>
    <w:rsid w:val="0048682A"/>
    <w:rsid w:val="00486B7F"/>
    <w:rsid w:val="00490797"/>
    <w:rsid w:val="0049184C"/>
    <w:rsid w:val="00492CF7"/>
    <w:rsid w:val="00492E80"/>
    <w:rsid w:val="004944F4"/>
    <w:rsid w:val="00495EAD"/>
    <w:rsid w:val="00496066"/>
    <w:rsid w:val="00497FF6"/>
    <w:rsid w:val="004A07E0"/>
    <w:rsid w:val="004A2BE2"/>
    <w:rsid w:val="004A432E"/>
    <w:rsid w:val="004A5502"/>
    <w:rsid w:val="004A5DCF"/>
    <w:rsid w:val="004A602E"/>
    <w:rsid w:val="004A62A5"/>
    <w:rsid w:val="004A6D8E"/>
    <w:rsid w:val="004B1991"/>
    <w:rsid w:val="004B221F"/>
    <w:rsid w:val="004B4ED4"/>
    <w:rsid w:val="004B5486"/>
    <w:rsid w:val="004B5A94"/>
    <w:rsid w:val="004B675F"/>
    <w:rsid w:val="004B70B4"/>
    <w:rsid w:val="004B7B30"/>
    <w:rsid w:val="004B7C55"/>
    <w:rsid w:val="004C117B"/>
    <w:rsid w:val="004C2338"/>
    <w:rsid w:val="004C25BD"/>
    <w:rsid w:val="004C2851"/>
    <w:rsid w:val="004C2A99"/>
    <w:rsid w:val="004C5083"/>
    <w:rsid w:val="004C62AB"/>
    <w:rsid w:val="004C7B99"/>
    <w:rsid w:val="004C7C5B"/>
    <w:rsid w:val="004C7FE1"/>
    <w:rsid w:val="004D2337"/>
    <w:rsid w:val="004D3573"/>
    <w:rsid w:val="004D4763"/>
    <w:rsid w:val="004D4881"/>
    <w:rsid w:val="004D4947"/>
    <w:rsid w:val="004D4F4E"/>
    <w:rsid w:val="004D5EB2"/>
    <w:rsid w:val="004D75B9"/>
    <w:rsid w:val="004D7A1B"/>
    <w:rsid w:val="004E005A"/>
    <w:rsid w:val="004E0A1A"/>
    <w:rsid w:val="004E0B13"/>
    <w:rsid w:val="004E31E8"/>
    <w:rsid w:val="004E3500"/>
    <w:rsid w:val="004E425E"/>
    <w:rsid w:val="004E454E"/>
    <w:rsid w:val="004E5030"/>
    <w:rsid w:val="004E5038"/>
    <w:rsid w:val="004E5B45"/>
    <w:rsid w:val="004E7C21"/>
    <w:rsid w:val="004F1756"/>
    <w:rsid w:val="004F197A"/>
    <w:rsid w:val="004F3B69"/>
    <w:rsid w:val="004F3ED9"/>
    <w:rsid w:val="004F46F1"/>
    <w:rsid w:val="004F494C"/>
    <w:rsid w:val="004F59D1"/>
    <w:rsid w:val="004F5EFD"/>
    <w:rsid w:val="00500418"/>
    <w:rsid w:val="00501119"/>
    <w:rsid w:val="00503720"/>
    <w:rsid w:val="005037C2"/>
    <w:rsid w:val="0050431B"/>
    <w:rsid w:val="0050576D"/>
    <w:rsid w:val="005077D2"/>
    <w:rsid w:val="00512631"/>
    <w:rsid w:val="00512E2A"/>
    <w:rsid w:val="00514F3C"/>
    <w:rsid w:val="005155A5"/>
    <w:rsid w:val="00516E97"/>
    <w:rsid w:val="0052036D"/>
    <w:rsid w:val="00520833"/>
    <w:rsid w:val="00520852"/>
    <w:rsid w:val="00521A78"/>
    <w:rsid w:val="0052249F"/>
    <w:rsid w:val="005231F3"/>
    <w:rsid w:val="00530F2E"/>
    <w:rsid w:val="0053189D"/>
    <w:rsid w:val="00531FA2"/>
    <w:rsid w:val="00532E23"/>
    <w:rsid w:val="00534C86"/>
    <w:rsid w:val="005354C5"/>
    <w:rsid w:val="005354F4"/>
    <w:rsid w:val="005375ED"/>
    <w:rsid w:val="00541184"/>
    <w:rsid w:val="005417F6"/>
    <w:rsid w:val="00542430"/>
    <w:rsid w:val="00542876"/>
    <w:rsid w:val="00543CC6"/>
    <w:rsid w:val="005443C5"/>
    <w:rsid w:val="0054530F"/>
    <w:rsid w:val="00545E4C"/>
    <w:rsid w:val="00546714"/>
    <w:rsid w:val="00546F59"/>
    <w:rsid w:val="00547568"/>
    <w:rsid w:val="00547CF3"/>
    <w:rsid w:val="005507E6"/>
    <w:rsid w:val="00551A96"/>
    <w:rsid w:val="00551FF2"/>
    <w:rsid w:val="0055388E"/>
    <w:rsid w:val="005573AF"/>
    <w:rsid w:val="00561212"/>
    <w:rsid w:val="005623E4"/>
    <w:rsid w:val="00567B36"/>
    <w:rsid w:val="005704B8"/>
    <w:rsid w:val="005717F9"/>
    <w:rsid w:val="005726E7"/>
    <w:rsid w:val="00574BC3"/>
    <w:rsid w:val="00575874"/>
    <w:rsid w:val="00575AE5"/>
    <w:rsid w:val="00576282"/>
    <w:rsid w:val="0057785A"/>
    <w:rsid w:val="00577FDC"/>
    <w:rsid w:val="00580EB5"/>
    <w:rsid w:val="0058119F"/>
    <w:rsid w:val="005825B6"/>
    <w:rsid w:val="00583B4F"/>
    <w:rsid w:val="00585B2B"/>
    <w:rsid w:val="005878A5"/>
    <w:rsid w:val="005902FC"/>
    <w:rsid w:val="005918B1"/>
    <w:rsid w:val="005922C1"/>
    <w:rsid w:val="00592576"/>
    <w:rsid w:val="005927E2"/>
    <w:rsid w:val="00593369"/>
    <w:rsid w:val="0059380E"/>
    <w:rsid w:val="00596452"/>
    <w:rsid w:val="0059657C"/>
    <w:rsid w:val="005978D8"/>
    <w:rsid w:val="005A233C"/>
    <w:rsid w:val="005A295C"/>
    <w:rsid w:val="005A2DCB"/>
    <w:rsid w:val="005A3284"/>
    <w:rsid w:val="005A38B6"/>
    <w:rsid w:val="005A43FD"/>
    <w:rsid w:val="005A50E6"/>
    <w:rsid w:val="005A55FB"/>
    <w:rsid w:val="005A5A88"/>
    <w:rsid w:val="005A6F4A"/>
    <w:rsid w:val="005B2620"/>
    <w:rsid w:val="005B2EAB"/>
    <w:rsid w:val="005B5126"/>
    <w:rsid w:val="005B5CD5"/>
    <w:rsid w:val="005C0777"/>
    <w:rsid w:val="005C20E5"/>
    <w:rsid w:val="005C235E"/>
    <w:rsid w:val="005C26FD"/>
    <w:rsid w:val="005C4C69"/>
    <w:rsid w:val="005C4D52"/>
    <w:rsid w:val="005C58D2"/>
    <w:rsid w:val="005C65DB"/>
    <w:rsid w:val="005C689A"/>
    <w:rsid w:val="005D04F0"/>
    <w:rsid w:val="005D2CE2"/>
    <w:rsid w:val="005D2DB4"/>
    <w:rsid w:val="005D442D"/>
    <w:rsid w:val="005D4837"/>
    <w:rsid w:val="005E267A"/>
    <w:rsid w:val="005E3509"/>
    <w:rsid w:val="005E4C54"/>
    <w:rsid w:val="005E5B74"/>
    <w:rsid w:val="005E5D24"/>
    <w:rsid w:val="005E7EEA"/>
    <w:rsid w:val="005F11C5"/>
    <w:rsid w:val="005F134A"/>
    <w:rsid w:val="005F2267"/>
    <w:rsid w:val="005F369C"/>
    <w:rsid w:val="005F46AA"/>
    <w:rsid w:val="005F5ADA"/>
    <w:rsid w:val="00601550"/>
    <w:rsid w:val="006020EE"/>
    <w:rsid w:val="0060296E"/>
    <w:rsid w:val="00604159"/>
    <w:rsid w:val="00604598"/>
    <w:rsid w:val="006067B4"/>
    <w:rsid w:val="00606A1B"/>
    <w:rsid w:val="006117A0"/>
    <w:rsid w:val="00612BD5"/>
    <w:rsid w:val="0061530D"/>
    <w:rsid w:val="006160C5"/>
    <w:rsid w:val="00616BFB"/>
    <w:rsid w:val="006170FB"/>
    <w:rsid w:val="00620569"/>
    <w:rsid w:val="006211E7"/>
    <w:rsid w:val="006228E8"/>
    <w:rsid w:val="00624B91"/>
    <w:rsid w:val="00624FAF"/>
    <w:rsid w:val="00626DBE"/>
    <w:rsid w:val="00630A6F"/>
    <w:rsid w:val="00632382"/>
    <w:rsid w:val="00633A50"/>
    <w:rsid w:val="00633B07"/>
    <w:rsid w:val="006349CB"/>
    <w:rsid w:val="006368BA"/>
    <w:rsid w:val="00637489"/>
    <w:rsid w:val="00637810"/>
    <w:rsid w:val="00640E46"/>
    <w:rsid w:val="006410EF"/>
    <w:rsid w:val="0064156C"/>
    <w:rsid w:val="006422AE"/>
    <w:rsid w:val="0064233E"/>
    <w:rsid w:val="0064470C"/>
    <w:rsid w:val="00645265"/>
    <w:rsid w:val="006516BB"/>
    <w:rsid w:val="0065191D"/>
    <w:rsid w:val="00651990"/>
    <w:rsid w:val="0065276F"/>
    <w:rsid w:val="006552A9"/>
    <w:rsid w:val="00655CE9"/>
    <w:rsid w:val="00657034"/>
    <w:rsid w:val="00657230"/>
    <w:rsid w:val="006574D6"/>
    <w:rsid w:val="00660CF0"/>
    <w:rsid w:val="00660F53"/>
    <w:rsid w:val="0066160B"/>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38"/>
    <w:rsid w:val="00671D33"/>
    <w:rsid w:val="00672CA0"/>
    <w:rsid w:val="00674ED7"/>
    <w:rsid w:val="00676487"/>
    <w:rsid w:val="00676552"/>
    <w:rsid w:val="006771CD"/>
    <w:rsid w:val="006800D0"/>
    <w:rsid w:val="00682B8F"/>
    <w:rsid w:val="00682F0F"/>
    <w:rsid w:val="00683857"/>
    <w:rsid w:val="00685294"/>
    <w:rsid w:val="006852C5"/>
    <w:rsid w:val="006870B3"/>
    <w:rsid w:val="00687496"/>
    <w:rsid w:val="0068792F"/>
    <w:rsid w:val="00691640"/>
    <w:rsid w:val="0069239C"/>
    <w:rsid w:val="0069254E"/>
    <w:rsid w:val="006930E3"/>
    <w:rsid w:val="00694BB8"/>
    <w:rsid w:val="00694E04"/>
    <w:rsid w:val="00694F0C"/>
    <w:rsid w:val="00696F27"/>
    <w:rsid w:val="00697700"/>
    <w:rsid w:val="00697DEE"/>
    <w:rsid w:val="00697F50"/>
    <w:rsid w:val="006A2A19"/>
    <w:rsid w:val="006A3CC4"/>
    <w:rsid w:val="006A4ED9"/>
    <w:rsid w:val="006A66A7"/>
    <w:rsid w:val="006A7009"/>
    <w:rsid w:val="006A7418"/>
    <w:rsid w:val="006A7C90"/>
    <w:rsid w:val="006B08CA"/>
    <w:rsid w:val="006B1F7E"/>
    <w:rsid w:val="006B2E69"/>
    <w:rsid w:val="006B6B2C"/>
    <w:rsid w:val="006C0CAA"/>
    <w:rsid w:val="006C2552"/>
    <w:rsid w:val="006C27F3"/>
    <w:rsid w:val="006C2D83"/>
    <w:rsid w:val="006C31BA"/>
    <w:rsid w:val="006C3F0C"/>
    <w:rsid w:val="006C473F"/>
    <w:rsid w:val="006C7A1F"/>
    <w:rsid w:val="006D083B"/>
    <w:rsid w:val="006D0A2F"/>
    <w:rsid w:val="006D0D39"/>
    <w:rsid w:val="006D0EBA"/>
    <w:rsid w:val="006D1186"/>
    <w:rsid w:val="006D226C"/>
    <w:rsid w:val="006D242A"/>
    <w:rsid w:val="006D29D2"/>
    <w:rsid w:val="006D4CA9"/>
    <w:rsid w:val="006D5326"/>
    <w:rsid w:val="006D6E83"/>
    <w:rsid w:val="006D77D6"/>
    <w:rsid w:val="006D794F"/>
    <w:rsid w:val="006E0232"/>
    <w:rsid w:val="006E21FB"/>
    <w:rsid w:val="006E3ED4"/>
    <w:rsid w:val="006E5560"/>
    <w:rsid w:val="006E628B"/>
    <w:rsid w:val="006E66CC"/>
    <w:rsid w:val="006E725C"/>
    <w:rsid w:val="006F12DE"/>
    <w:rsid w:val="006F131A"/>
    <w:rsid w:val="006F34EC"/>
    <w:rsid w:val="006F48DA"/>
    <w:rsid w:val="006F4DF3"/>
    <w:rsid w:val="006F59A1"/>
    <w:rsid w:val="006F68C8"/>
    <w:rsid w:val="006F6EB5"/>
    <w:rsid w:val="006F7DA5"/>
    <w:rsid w:val="007009C5"/>
    <w:rsid w:val="0070119A"/>
    <w:rsid w:val="00702F63"/>
    <w:rsid w:val="00703CAE"/>
    <w:rsid w:val="00705511"/>
    <w:rsid w:val="00706228"/>
    <w:rsid w:val="00706259"/>
    <w:rsid w:val="00706A8E"/>
    <w:rsid w:val="0070784B"/>
    <w:rsid w:val="00710ACE"/>
    <w:rsid w:val="00710B99"/>
    <w:rsid w:val="00712BE0"/>
    <w:rsid w:val="007149B3"/>
    <w:rsid w:val="00714F6A"/>
    <w:rsid w:val="00715036"/>
    <w:rsid w:val="007153C9"/>
    <w:rsid w:val="00715880"/>
    <w:rsid w:val="00715C4A"/>
    <w:rsid w:val="0071669E"/>
    <w:rsid w:val="00720096"/>
    <w:rsid w:val="00720401"/>
    <w:rsid w:val="007204B8"/>
    <w:rsid w:val="0072082C"/>
    <w:rsid w:val="0072162E"/>
    <w:rsid w:val="007230DE"/>
    <w:rsid w:val="00723F69"/>
    <w:rsid w:val="0072617F"/>
    <w:rsid w:val="00726B9B"/>
    <w:rsid w:val="007271D7"/>
    <w:rsid w:val="007314B0"/>
    <w:rsid w:val="0073158B"/>
    <w:rsid w:val="0073220B"/>
    <w:rsid w:val="00733934"/>
    <w:rsid w:val="0073724F"/>
    <w:rsid w:val="00740AA6"/>
    <w:rsid w:val="0074189D"/>
    <w:rsid w:val="00742480"/>
    <w:rsid w:val="007430D7"/>
    <w:rsid w:val="00743DD4"/>
    <w:rsid w:val="007447DE"/>
    <w:rsid w:val="00744D63"/>
    <w:rsid w:val="00745981"/>
    <w:rsid w:val="007460AF"/>
    <w:rsid w:val="00747184"/>
    <w:rsid w:val="007472C3"/>
    <w:rsid w:val="0074781A"/>
    <w:rsid w:val="007479DE"/>
    <w:rsid w:val="00750CDD"/>
    <w:rsid w:val="00751A3A"/>
    <w:rsid w:val="007540E2"/>
    <w:rsid w:val="007541AC"/>
    <w:rsid w:val="007543C7"/>
    <w:rsid w:val="0075489B"/>
    <w:rsid w:val="00754E6C"/>
    <w:rsid w:val="007615C1"/>
    <w:rsid w:val="0076257D"/>
    <w:rsid w:val="00762A70"/>
    <w:rsid w:val="007645FA"/>
    <w:rsid w:val="00765194"/>
    <w:rsid w:val="00765827"/>
    <w:rsid w:val="00766AE9"/>
    <w:rsid w:val="00770A3B"/>
    <w:rsid w:val="00771D9B"/>
    <w:rsid w:val="00772137"/>
    <w:rsid w:val="007722EC"/>
    <w:rsid w:val="00773B75"/>
    <w:rsid w:val="0077661B"/>
    <w:rsid w:val="0077687B"/>
    <w:rsid w:val="00777AD8"/>
    <w:rsid w:val="00780B40"/>
    <w:rsid w:val="00781D7B"/>
    <w:rsid w:val="00782D69"/>
    <w:rsid w:val="00784518"/>
    <w:rsid w:val="00784B34"/>
    <w:rsid w:val="00786959"/>
    <w:rsid w:val="00787B3B"/>
    <w:rsid w:val="00791268"/>
    <w:rsid w:val="00792991"/>
    <w:rsid w:val="00792F25"/>
    <w:rsid w:val="007958CF"/>
    <w:rsid w:val="00796A40"/>
    <w:rsid w:val="00796DF2"/>
    <w:rsid w:val="00796F30"/>
    <w:rsid w:val="00797BAC"/>
    <w:rsid w:val="007A1FB1"/>
    <w:rsid w:val="007A71A1"/>
    <w:rsid w:val="007A7B71"/>
    <w:rsid w:val="007A7E1C"/>
    <w:rsid w:val="007B0774"/>
    <w:rsid w:val="007B07E2"/>
    <w:rsid w:val="007B0EF0"/>
    <w:rsid w:val="007B11B9"/>
    <w:rsid w:val="007B210A"/>
    <w:rsid w:val="007B2124"/>
    <w:rsid w:val="007B2CB4"/>
    <w:rsid w:val="007B36D5"/>
    <w:rsid w:val="007B3DA6"/>
    <w:rsid w:val="007B528F"/>
    <w:rsid w:val="007C0BE5"/>
    <w:rsid w:val="007C13B2"/>
    <w:rsid w:val="007C1BC0"/>
    <w:rsid w:val="007C3856"/>
    <w:rsid w:val="007C3C41"/>
    <w:rsid w:val="007C4130"/>
    <w:rsid w:val="007C46A9"/>
    <w:rsid w:val="007C5D5D"/>
    <w:rsid w:val="007C616F"/>
    <w:rsid w:val="007C6A68"/>
    <w:rsid w:val="007C6C89"/>
    <w:rsid w:val="007C6FE5"/>
    <w:rsid w:val="007C76F0"/>
    <w:rsid w:val="007D0398"/>
    <w:rsid w:val="007D1DE2"/>
    <w:rsid w:val="007D2E1E"/>
    <w:rsid w:val="007D3CB5"/>
    <w:rsid w:val="007E122A"/>
    <w:rsid w:val="007E267B"/>
    <w:rsid w:val="007E2BF4"/>
    <w:rsid w:val="007E3422"/>
    <w:rsid w:val="007E39A4"/>
    <w:rsid w:val="007E4404"/>
    <w:rsid w:val="007E5BD6"/>
    <w:rsid w:val="007F000E"/>
    <w:rsid w:val="007F0D35"/>
    <w:rsid w:val="007F1102"/>
    <w:rsid w:val="007F2AC3"/>
    <w:rsid w:val="007F2D0D"/>
    <w:rsid w:val="007F33CE"/>
    <w:rsid w:val="007F3DD5"/>
    <w:rsid w:val="007F4617"/>
    <w:rsid w:val="007F6BCA"/>
    <w:rsid w:val="007F751F"/>
    <w:rsid w:val="007F7F1B"/>
    <w:rsid w:val="008007DC"/>
    <w:rsid w:val="00800CCE"/>
    <w:rsid w:val="00801D66"/>
    <w:rsid w:val="00802EEA"/>
    <w:rsid w:val="00803726"/>
    <w:rsid w:val="008063DC"/>
    <w:rsid w:val="00807422"/>
    <w:rsid w:val="00807EFF"/>
    <w:rsid w:val="00811F70"/>
    <w:rsid w:val="0081246A"/>
    <w:rsid w:val="00812A9F"/>
    <w:rsid w:val="00812FB7"/>
    <w:rsid w:val="00814704"/>
    <w:rsid w:val="00815E68"/>
    <w:rsid w:val="00816083"/>
    <w:rsid w:val="00816E1F"/>
    <w:rsid w:val="00817445"/>
    <w:rsid w:val="00817BCE"/>
    <w:rsid w:val="008203F2"/>
    <w:rsid w:val="00820434"/>
    <w:rsid w:val="00820CEE"/>
    <w:rsid w:val="00821976"/>
    <w:rsid w:val="00821C1D"/>
    <w:rsid w:val="008230BF"/>
    <w:rsid w:val="0082336C"/>
    <w:rsid w:val="008241A5"/>
    <w:rsid w:val="0082460A"/>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BF6"/>
    <w:rsid w:val="00844DC6"/>
    <w:rsid w:val="008457E7"/>
    <w:rsid w:val="00846B3B"/>
    <w:rsid w:val="008470DC"/>
    <w:rsid w:val="008477B5"/>
    <w:rsid w:val="00852B86"/>
    <w:rsid w:val="00853578"/>
    <w:rsid w:val="008544DA"/>
    <w:rsid w:val="008549B4"/>
    <w:rsid w:val="00855498"/>
    <w:rsid w:val="00856176"/>
    <w:rsid w:val="00856673"/>
    <w:rsid w:val="008567BC"/>
    <w:rsid w:val="00860AB9"/>
    <w:rsid w:val="0086356B"/>
    <w:rsid w:val="00864841"/>
    <w:rsid w:val="00864876"/>
    <w:rsid w:val="00864DE0"/>
    <w:rsid w:val="008658DC"/>
    <w:rsid w:val="00865C5E"/>
    <w:rsid w:val="008673A1"/>
    <w:rsid w:val="0087049A"/>
    <w:rsid w:val="00870F25"/>
    <w:rsid w:val="00871FEA"/>
    <w:rsid w:val="00872618"/>
    <w:rsid w:val="008727DF"/>
    <w:rsid w:val="00872B03"/>
    <w:rsid w:val="00875455"/>
    <w:rsid w:val="008756BB"/>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3619"/>
    <w:rsid w:val="00885FE6"/>
    <w:rsid w:val="00886CC1"/>
    <w:rsid w:val="0088789D"/>
    <w:rsid w:val="00890B08"/>
    <w:rsid w:val="00890CFA"/>
    <w:rsid w:val="00891454"/>
    <w:rsid w:val="00892636"/>
    <w:rsid w:val="0089357D"/>
    <w:rsid w:val="00893B1E"/>
    <w:rsid w:val="008950C2"/>
    <w:rsid w:val="00896273"/>
    <w:rsid w:val="00896ADD"/>
    <w:rsid w:val="008970DE"/>
    <w:rsid w:val="008979BB"/>
    <w:rsid w:val="008A0EC2"/>
    <w:rsid w:val="008A1D09"/>
    <w:rsid w:val="008A3444"/>
    <w:rsid w:val="008A4274"/>
    <w:rsid w:val="008A5689"/>
    <w:rsid w:val="008A60A4"/>
    <w:rsid w:val="008A61F6"/>
    <w:rsid w:val="008A6E13"/>
    <w:rsid w:val="008B2120"/>
    <w:rsid w:val="008B2681"/>
    <w:rsid w:val="008B38F8"/>
    <w:rsid w:val="008B44AF"/>
    <w:rsid w:val="008B4EAB"/>
    <w:rsid w:val="008B60A2"/>
    <w:rsid w:val="008B6FCA"/>
    <w:rsid w:val="008C02AB"/>
    <w:rsid w:val="008C02C0"/>
    <w:rsid w:val="008C1B43"/>
    <w:rsid w:val="008C1F00"/>
    <w:rsid w:val="008C43E1"/>
    <w:rsid w:val="008C4503"/>
    <w:rsid w:val="008C5B62"/>
    <w:rsid w:val="008C7FA4"/>
    <w:rsid w:val="008D124B"/>
    <w:rsid w:val="008D14B5"/>
    <w:rsid w:val="008D20DC"/>
    <w:rsid w:val="008D34A9"/>
    <w:rsid w:val="008D4CDA"/>
    <w:rsid w:val="008D4F40"/>
    <w:rsid w:val="008D57FD"/>
    <w:rsid w:val="008D6357"/>
    <w:rsid w:val="008D6B04"/>
    <w:rsid w:val="008D6CDB"/>
    <w:rsid w:val="008E0F50"/>
    <w:rsid w:val="008E125D"/>
    <w:rsid w:val="008E1BDC"/>
    <w:rsid w:val="008E2590"/>
    <w:rsid w:val="008E2BF0"/>
    <w:rsid w:val="008E6055"/>
    <w:rsid w:val="008F0F31"/>
    <w:rsid w:val="008F1C25"/>
    <w:rsid w:val="008F1C6B"/>
    <w:rsid w:val="008F26B4"/>
    <w:rsid w:val="008F2AFA"/>
    <w:rsid w:val="008F64A7"/>
    <w:rsid w:val="008F7144"/>
    <w:rsid w:val="008F771A"/>
    <w:rsid w:val="008F7EC6"/>
    <w:rsid w:val="00900067"/>
    <w:rsid w:val="0090124E"/>
    <w:rsid w:val="00901E27"/>
    <w:rsid w:val="00901EBB"/>
    <w:rsid w:val="00903826"/>
    <w:rsid w:val="00904ADF"/>
    <w:rsid w:val="00906A57"/>
    <w:rsid w:val="00906ACF"/>
    <w:rsid w:val="00911561"/>
    <w:rsid w:val="00911ED2"/>
    <w:rsid w:val="00911FD6"/>
    <w:rsid w:val="0091243E"/>
    <w:rsid w:val="009135E0"/>
    <w:rsid w:val="00913B6F"/>
    <w:rsid w:val="00913BD4"/>
    <w:rsid w:val="0091755F"/>
    <w:rsid w:val="00917743"/>
    <w:rsid w:val="00917AF9"/>
    <w:rsid w:val="009244E1"/>
    <w:rsid w:val="00926344"/>
    <w:rsid w:val="009268D7"/>
    <w:rsid w:val="00926A73"/>
    <w:rsid w:val="00926C40"/>
    <w:rsid w:val="00927D54"/>
    <w:rsid w:val="00930144"/>
    <w:rsid w:val="00930CCA"/>
    <w:rsid w:val="00933145"/>
    <w:rsid w:val="00934049"/>
    <w:rsid w:val="00934876"/>
    <w:rsid w:val="0093525D"/>
    <w:rsid w:val="00935687"/>
    <w:rsid w:val="00935CB6"/>
    <w:rsid w:val="0093611E"/>
    <w:rsid w:val="00936B36"/>
    <w:rsid w:val="00936BE0"/>
    <w:rsid w:val="009378F9"/>
    <w:rsid w:val="00941DE6"/>
    <w:rsid w:val="00943F25"/>
    <w:rsid w:val="00944011"/>
    <w:rsid w:val="009451EB"/>
    <w:rsid w:val="009468A0"/>
    <w:rsid w:val="009477B8"/>
    <w:rsid w:val="00950F36"/>
    <w:rsid w:val="00951753"/>
    <w:rsid w:val="0095198C"/>
    <w:rsid w:val="00951EF1"/>
    <w:rsid w:val="00952739"/>
    <w:rsid w:val="009564A6"/>
    <w:rsid w:val="00956681"/>
    <w:rsid w:val="00957829"/>
    <w:rsid w:val="00957C8D"/>
    <w:rsid w:val="00957E7C"/>
    <w:rsid w:val="0096058C"/>
    <w:rsid w:val="009606E9"/>
    <w:rsid w:val="00961085"/>
    <w:rsid w:val="00961241"/>
    <w:rsid w:val="009639D4"/>
    <w:rsid w:val="00964FF9"/>
    <w:rsid w:val="00965001"/>
    <w:rsid w:val="00966428"/>
    <w:rsid w:val="0096773A"/>
    <w:rsid w:val="00970141"/>
    <w:rsid w:val="00970A2D"/>
    <w:rsid w:val="00970DD1"/>
    <w:rsid w:val="00971E55"/>
    <w:rsid w:val="00974922"/>
    <w:rsid w:val="009776D2"/>
    <w:rsid w:val="009776ED"/>
    <w:rsid w:val="00977728"/>
    <w:rsid w:val="00980577"/>
    <w:rsid w:val="00980E75"/>
    <w:rsid w:val="00983CEA"/>
    <w:rsid w:val="00985D28"/>
    <w:rsid w:val="00986758"/>
    <w:rsid w:val="00986CA7"/>
    <w:rsid w:val="00991857"/>
    <w:rsid w:val="00991D10"/>
    <w:rsid w:val="00996438"/>
    <w:rsid w:val="00997746"/>
    <w:rsid w:val="00997C21"/>
    <w:rsid w:val="009A0A43"/>
    <w:rsid w:val="009A1B23"/>
    <w:rsid w:val="009A2294"/>
    <w:rsid w:val="009A35C0"/>
    <w:rsid w:val="009A6301"/>
    <w:rsid w:val="009A6357"/>
    <w:rsid w:val="009A6485"/>
    <w:rsid w:val="009B06F5"/>
    <w:rsid w:val="009B172A"/>
    <w:rsid w:val="009B2936"/>
    <w:rsid w:val="009B337C"/>
    <w:rsid w:val="009B33C1"/>
    <w:rsid w:val="009B3F70"/>
    <w:rsid w:val="009B46AD"/>
    <w:rsid w:val="009C034B"/>
    <w:rsid w:val="009C20F2"/>
    <w:rsid w:val="009C24D3"/>
    <w:rsid w:val="009C3163"/>
    <w:rsid w:val="009C34B2"/>
    <w:rsid w:val="009C475A"/>
    <w:rsid w:val="009C5DEC"/>
    <w:rsid w:val="009C6B61"/>
    <w:rsid w:val="009D004B"/>
    <w:rsid w:val="009D02D9"/>
    <w:rsid w:val="009D2124"/>
    <w:rsid w:val="009D2E34"/>
    <w:rsid w:val="009D2F2F"/>
    <w:rsid w:val="009D38DE"/>
    <w:rsid w:val="009D3F69"/>
    <w:rsid w:val="009D4BE6"/>
    <w:rsid w:val="009D5EF1"/>
    <w:rsid w:val="009D69D1"/>
    <w:rsid w:val="009D6B8C"/>
    <w:rsid w:val="009D7EE7"/>
    <w:rsid w:val="009E0345"/>
    <w:rsid w:val="009E147E"/>
    <w:rsid w:val="009E2D52"/>
    <w:rsid w:val="009E34C1"/>
    <w:rsid w:val="009E3613"/>
    <w:rsid w:val="009E58B9"/>
    <w:rsid w:val="009E6637"/>
    <w:rsid w:val="009E6E4F"/>
    <w:rsid w:val="009E70D9"/>
    <w:rsid w:val="009E7CBF"/>
    <w:rsid w:val="009F1551"/>
    <w:rsid w:val="009F1755"/>
    <w:rsid w:val="009F367A"/>
    <w:rsid w:val="009F36E5"/>
    <w:rsid w:val="009F39DA"/>
    <w:rsid w:val="009F5D65"/>
    <w:rsid w:val="00A021DF"/>
    <w:rsid w:val="00A03308"/>
    <w:rsid w:val="00A054A4"/>
    <w:rsid w:val="00A10735"/>
    <w:rsid w:val="00A10C7D"/>
    <w:rsid w:val="00A1226A"/>
    <w:rsid w:val="00A12E63"/>
    <w:rsid w:val="00A14453"/>
    <w:rsid w:val="00A154A2"/>
    <w:rsid w:val="00A16EB7"/>
    <w:rsid w:val="00A21508"/>
    <w:rsid w:val="00A215B1"/>
    <w:rsid w:val="00A221BB"/>
    <w:rsid w:val="00A224DD"/>
    <w:rsid w:val="00A23A0A"/>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26E9"/>
    <w:rsid w:val="00A42BF4"/>
    <w:rsid w:val="00A4394A"/>
    <w:rsid w:val="00A45D4E"/>
    <w:rsid w:val="00A4694E"/>
    <w:rsid w:val="00A51940"/>
    <w:rsid w:val="00A51E76"/>
    <w:rsid w:val="00A541CE"/>
    <w:rsid w:val="00A57BD0"/>
    <w:rsid w:val="00A6155D"/>
    <w:rsid w:val="00A64423"/>
    <w:rsid w:val="00A65098"/>
    <w:rsid w:val="00A6559F"/>
    <w:rsid w:val="00A663BE"/>
    <w:rsid w:val="00A67D00"/>
    <w:rsid w:val="00A70F2F"/>
    <w:rsid w:val="00A716C3"/>
    <w:rsid w:val="00A719FA"/>
    <w:rsid w:val="00A7209B"/>
    <w:rsid w:val="00A74136"/>
    <w:rsid w:val="00A744FA"/>
    <w:rsid w:val="00A773C5"/>
    <w:rsid w:val="00A7775B"/>
    <w:rsid w:val="00A8078C"/>
    <w:rsid w:val="00A82B1A"/>
    <w:rsid w:val="00A82DF3"/>
    <w:rsid w:val="00A848B8"/>
    <w:rsid w:val="00A84AD0"/>
    <w:rsid w:val="00A8507C"/>
    <w:rsid w:val="00A86262"/>
    <w:rsid w:val="00A87AAF"/>
    <w:rsid w:val="00A913E5"/>
    <w:rsid w:val="00A91C6F"/>
    <w:rsid w:val="00A93C0B"/>
    <w:rsid w:val="00A95666"/>
    <w:rsid w:val="00A96638"/>
    <w:rsid w:val="00A97007"/>
    <w:rsid w:val="00A973CE"/>
    <w:rsid w:val="00A97608"/>
    <w:rsid w:val="00A97B43"/>
    <w:rsid w:val="00A97E9C"/>
    <w:rsid w:val="00AA0624"/>
    <w:rsid w:val="00AA0891"/>
    <w:rsid w:val="00AA1D7E"/>
    <w:rsid w:val="00AA26CC"/>
    <w:rsid w:val="00AA27EC"/>
    <w:rsid w:val="00AA328D"/>
    <w:rsid w:val="00AA3CD2"/>
    <w:rsid w:val="00AA5BB3"/>
    <w:rsid w:val="00AA79B4"/>
    <w:rsid w:val="00AA7A9D"/>
    <w:rsid w:val="00AA7C55"/>
    <w:rsid w:val="00AB065D"/>
    <w:rsid w:val="00AB1060"/>
    <w:rsid w:val="00AB2079"/>
    <w:rsid w:val="00AB300B"/>
    <w:rsid w:val="00AB3604"/>
    <w:rsid w:val="00AB52E7"/>
    <w:rsid w:val="00AB6187"/>
    <w:rsid w:val="00AB7ABA"/>
    <w:rsid w:val="00AC0910"/>
    <w:rsid w:val="00AC0F19"/>
    <w:rsid w:val="00AC1683"/>
    <w:rsid w:val="00AC18EA"/>
    <w:rsid w:val="00AC1E5B"/>
    <w:rsid w:val="00AC3BA0"/>
    <w:rsid w:val="00AC3C6B"/>
    <w:rsid w:val="00AC3CBA"/>
    <w:rsid w:val="00AC5CA4"/>
    <w:rsid w:val="00AC5E3E"/>
    <w:rsid w:val="00AC6520"/>
    <w:rsid w:val="00AC7487"/>
    <w:rsid w:val="00AD0436"/>
    <w:rsid w:val="00AD0A67"/>
    <w:rsid w:val="00AD0DEC"/>
    <w:rsid w:val="00AD1763"/>
    <w:rsid w:val="00AD27B4"/>
    <w:rsid w:val="00AD2F22"/>
    <w:rsid w:val="00AD42DC"/>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69E0"/>
    <w:rsid w:val="00AF7119"/>
    <w:rsid w:val="00AF7536"/>
    <w:rsid w:val="00AF7A66"/>
    <w:rsid w:val="00B00076"/>
    <w:rsid w:val="00B0106E"/>
    <w:rsid w:val="00B01618"/>
    <w:rsid w:val="00B01A9E"/>
    <w:rsid w:val="00B01EA1"/>
    <w:rsid w:val="00B02067"/>
    <w:rsid w:val="00B020E7"/>
    <w:rsid w:val="00B0257E"/>
    <w:rsid w:val="00B029D9"/>
    <w:rsid w:val="00B041D8"/>
    <w:rsid w:val="00B04B91"/>
    <w:rsid w:val="00B059E7"/>
    <w:rsid w:val="00B07269"/>
    <w:rsid w:val="00B07EA6"/>
    <w:rsid w:val="00B10606"/>
    <w:rsid w:val="00B13309"/>
    <w:rsid w:val="00B136FB"/>
    <w:rsid w:val="00B13F22"/>
    <w:rsid w:val="00B16172"/>
    <w:rsid w:val="00B20A3A"/>
    <w:rsid w:val="00B20C20"/>
    <w:rsid w:val="00B20FD0"/>
    <w:rsid w:val="00B228ED"/>
    <w:rsid w:val="00B247E3"/>
    <w:rsid w:val="00B249FA"/>
    <w:rsid w:val="00B31118"/>
    <w:rsid w:val="00B321D8"/>
    <w:rsid w:val="00B33648"/>
    <w:rsid w:val="00B33831"/>
    <w:rsid w:val="00B34458"/>
    <w:rsid w:val="00B35003"/>
    <w:rsid w:val="00B3563D"/>
    <w:rsid w:val="00B419EC"/>
    <w:rsid w:val="00B41E4C"/>
    <w:rsid w:val="00B42BEC"/>
    <w:rsid w:val="00B42C8C"/>
    <w:rsid w:val="00B43AB7"/>
    <w:rsid w:val="00B4532F"/>
    <w:rsid w:val="00B45DA2"/>
    <w:rsid w:val="00B4736F"/>
    <w:rsid w:val="00B501DA"/>
    <w:rsid w:val="00B51B82"/>
    <w:rsid w:val="00B52039"/>
    <w:rsid w:val="00B529D8"/>
    <w:rsid w:val="00B52C51"/>
    <w:rsid w:val="00B5347C"/>
    <w:rsid w:val="00B55237"/>
    <w:rsid w:val="00B57CFC"/>
    <w:rsid w:val="00B60593"/>
    <w:rsid w:val="00B619B7"/>
    <w:rsid w:val="00B61A43"/>
    <w:rsid w:val="00B64DF7"/>
    <w:rsid w:val="00B678C9"/>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671E"/>
    <w:rsid w:val="00B97988"/>
    <w:rsid w:val="00B97B5A"/>
    <w:rsid w:val="00BA0535"/>
    <w:rsid w:val="00BA2364"/>
    <w:rsid w:val="00BA46D9"/>
    <w:rsid w:val="00BA5FA2"/>
    <w:rsid w:val="00BB057B"/>
    <w:rsid w:val="00BB20E8"/>
    <w:rsid w:val="00BB317C"/>
    <w:rsid w:val="00BB4FB5"/>
    <w:rsid w:val="00BB555F"/>
    <w:rsid w:val="00BB5810"/>
    <w:rsid w:val="00BB5F70"/>
    <w:rsid w:val="00BC087C"/>
    <w:rsid w:val="00BC156F"/>
    <w:rsid w:val="00BC2A53"/>
    <w:rsid w:val="00BC3716"/>
    <w:rsid w:val="00BC42BE"/>
    <w:rsid w:val="00BC5F03"/>
    <w:rsid w:val="00BC617D"/>
    <w:rsid w:val="00BD128D"/>
    <w:rsid w:val="00BD2859"/>
    <w:rsid w:val="00BD3F81"/>
    <w:rsid w:val="00BD3FB9"/>
    <w:rsid w:val="00BD602D"/>
    <w:rsid w:val="00BD6711"/>
    <w:rsid w:val="00BD7229"/>
    <w:rsid w:val="00BD7EA9"/>
    <w:rsid w:val="00BE008F"/>
    <w:rsid w:val="00BE03EE"/>
    <w:rsid w:val="00BE0B8E"/>
    <w:rsid w:val="00BE437E"/>
    <w:rsid w:val="00BE4533"/>
    <w:rsid w:val="00BE4CB9"/>
    <w:rsid w:val="00BE4D2A"/>
    <w:rsid w:val="00BE6434"/>
    <w:rsid w:val="00BF027C"/>
    <w:rsid w:val="00BF0CC2"/>
    <w:rsid w:val="00BF2DD1"/>
    <w:rsid w:val="00BF5790"/>
    <w:rsid w:val="00BF7A13"/>
    <w:rsid w:val="00BF7CF6"/>
    <w:rsid w:val="00BF7DBE"/>
    <w:rsid w:val="00C0058E"/>
    <w:rsid w:val="00C00BB7"/>
    <w:rsid w:val="00C00CFB"/>
    <w:rsid w:val="00C02136"/>
    <w:rsid w:val="00C03BD6"/>
    <w:rsid w:val="00C06AFD"/>
    <w:rsid w:val="00C06FA9"/>
    <w:rsid w:val="00C0786A"/>
    <w:rsid w:val="00C07904"/>
    <w:rsid w:val="00C07E00"/>
    <w:rsid w:val="00C10979"/>
    <w:rsid w:val="00C10D22"/>
    <w:rsid w:val="00C10DBE"/>
    <w:rsid w:val="00C10EB2"/>
    <w:rsid w:val="00C1160E"/>
    <w:rsid w:val="00C12AEF"/>
    <w:rsid w:val="00C131B9"/>
    <w:rsid w:val="00C13401"/>
    <w:rsid w:val="00C142F8"/>
    <w:rsid w:val="00C15022"/>
    <w:rsid w:val="00C1692D"/>
    <w:rsid w:val="00C17376"/>
    <w:rsid w:val="00C20BE5"/>
    <w:rsid w:val="00C213C1"/>
    <w:rsid w:val="00C2204E"/>
    <w:rsid w:val="00C22ED9"/>
    <w:rsid w:val="00C2321A"/>
    <w:rsid w:val="00C24BBB"/>
    <w:rsid w:val="00C24F1F"/>
    <w:rsid w:val="00C25F41"/>
    <w:rsid w:val="00C263FD"/>
    <w:rsid w:val="00C267B7"/>
    <w:rsid w:val="00C3007A"/>
    <w:rsid w:val="00C300A8"/>
    <w:rsid w:val="00C31BB0"/>
    <w:rsid w:val="00C3372A"/>
    <w:rsid w:val="00C3673A"/>
    <w:rsid w:val="00C37378"/>
    <w:rsid w:val="00C401BB"/>
    <w:rsid w:val="00C40214"/>
    <w:rsid w:val="00C40EAA"/>
    <w:rsid w:val="00C40EB2"/>
    <w:rsid w:val="00C40F72"/>
    <w:rsid w:val="00C414C2"/>
    <w:rsid w:val="00C417D2"/>
    <w:rsid w:val="00C41E1C"/>
    <w:rsid w:val="00C42591"/>
    <w:rsid w:val="00C43D86"/>
    <w:rsid w:val="00C44A6C"/>
    <w:rsid w:val="00C45EB6"/>
    <w:rsid w:val="00C47AA1"/>
    <w:rsid w:val="00C5092A"/>
    <w:rsid w:val="00C51685"/>
    <w:rsid w:val="00C51E68"/>
    <w:rsid w:val="00C52B57"/>
    <w:rsid w:val="00C5560A"/>
    <w:rsid w:val="00C5563C"/>
    <w:rsid w:val="00C557EE"/>
    <w:rsid w:val="00C55C89"/>
    <w:rsid w:val="00C562B3"/>
    <w:rsid w:val="00C57B86"/>
    <w:rsid w:val="00C61F25"/>
    <w:rsid w:val="00C62F34"/>
    <w:rsid w:val="00C65804"/>
    <w:rsid w:val="00C66CB9"/>
    <w:rsid w:val="00C66DA4"/>
    <w:rsid w:val="00C67680"/>
    <w:rsid w:val="00C70BEC"/>
    <w:rsid w:val="00C714FC"/>
    <w:rsid w:val="00C7660A"/>
    <w:rsid w:val="00C76701"/>
    <w:rsid w:val="00C76855"/>
    <w:rsid w:val="00C774EB"/>
    <w:rsid w:val="00C81448"/>
    <w:rsid w:val="00C8186B"/>
    <w:rsid w:val="00C8532A"/>
    <w:rsid w:val="00C85B31"/>
    <w:rsid w:val="00C869B1"/>
    <w:rsid w:val="00C936C4"/>
    <w:rsid w:val="00C93D1B"/>
    <w:rsid w:val="00C949CF"/>
    <w:rsid w:val="00C97018"/>
    <w:rsid w:val="00C97AB3"/>
    <w:rsid w:val="00C97ADC"/>
    <w:rsid w:val="00CA00A5"/>
    <w:rsid w:val="00CA019F"/>
    <w:rsid w:val="00CA1EA6"/>
    <w:rsid w:val="00CA2D7D"/>
    <w:rsid w:val="00CA37A2"/>
    <w:rsid w:val="00CA45B1"/>
    <w:rsid w:val="00CA68D9"/>
    <w:rsid w:val="00CA6A05"/>
    <w:rsid w:val="00CA7C63"/>
    <w:rsid w:val="00CB0819"/>
    <w:rsid w:val="00CB0CBF"/>
    <w:rsid w:val="00CB0D45"/>
    <w:rsid w:val="00CB15C0"/>
    <w:rsid w:val="00CB1F76"/>
    <w:rsid w:val="00CB50C9"/>
    <w:rsid w:val="00CB5186"/>
    <w:rsid w:val="00CB552C"/>
    <w:rsid w:val="00CB5EB1"/>
    <w:rsid w:val="00CB64AF"/>
    <w:rsid w:val="00CC1408"/>
    <w:rsid w:val="00CC2E54"/>
    <w:rsid w:val="00CC4636"/>
    <w:rsid w:val="00CC47CE"/>
    <w:rsid w:val="00CC628E"/>
    <w:rsid w:val="00CC6FCF"/>
    <w:rsid w:val="00CD04FF"/>
    <w:rsid w:val="00CD068C"/>
    <w:rsid w:val="00CD1B4C"/>
    <w:rsid w:val="00CD1BAA"/>
    <w:rsid w:val="00CD3D7E"/>
    <w:rsid w:val="00CD3F51"/>
    <w:rsid w:val="00CD45CA"/>
    <w:rsid w:val="00CD7123"/>
    <w:rsid w:val="00CD776D"/>
    <w:rsid w:val="00CE04E0"/>
    <w:rsid w:val="00CE06A9"/>
    <w:rsid w:val="00CE0E97"/>
    <w:rsid w:val="00CE175C"/>
    <w:rsid w:val="00CE2D6A"/>
    <w:rsid w:val="00CE32A6"/>
    <w:rsid w:val="00CE571D"/>
    <w:rsid w:val="00CE6735"/>
    <w:rsid w:val="00CE6E3D"/>
    <w:rsid w:val="00CF04C4"/>
    <w:rsid w:val="00CF0A01"/>
    <w:rsid w:val="00CF10F6"/>
    <w:rsid w:val="00CF2167"/>
    <w:rsid w:val="00CF2621"/>
    <w:rsid w:val="00CF2BAF"/>
    <w:rsid w:val="00CF373D"/>
    <w:rsid w:val="00CF4002"/>
    <w:rsid w:val="00CF5437"/>
    <w:rsid w:val="00CF5F95"/>
    <w:rsid w:val="00CF68B1"/>
    <w:rsid w:val="00D002CA"/>
    <w:rsid w:val="00D00425"/>
    <w:rsid w:val="00D00B72"/>
    <w:rsid w:val="00D00D89"/>
    <w:rsid w:val="00D01839"/>
    <w:rsid w:val="00D019A8"/>
    <w:rsid w:val="00D02EC7"/>
    <w:rsid w:val="00D07021"/>
    <w:rsid w:val="00D072CB"/>
    <w:rsid w:val="00D107D7"/>
    <w:rsid w:val="00D11337"/>
    <w:rsid w:val="00D11558"/>
    <w:rsid w:val="00D11B63"/>
    <w:rsid w:val="00D129BC"/>
    <w:rsid w:val="00D1353C"/>
    <w:rsid w:val="00D162B5"/>
    <w:rsid w:val="00D1714E"/>
    <w:rsid w:val="00D174C6"/>
    <w:rsid w:val="00D23015"/>
    <w:rsid w:val="00D24AB8"/>
    <w:rsid w:val="00D26719"/>
    <w:rsid w:val="00D27701"/>
    <w:rsid w:val="00D27804"/>
    <w:rsid w:val="00D3069D"/>
    <w:rsid w:val="00D30A5C"/>
    <w:rsid w:val="00D3188E"/>
    <w:rsid w:val="00D31DC8"/>
    <w:rsid w:val="00D31EDC"/>
    <w:rsid w:val="00D32300"/>
    <w:rsid w:val="00D3291D"/>
    <w:rsid w:val="00D33EF2"/>
    <w:rsid w:val="00D35BCB"/>
    <w:rsid w:val="00D36054"/>
    <w:rsid w:val="00D40D2C"/>
    <w:rsid w:val="00D42DED"/>
    <w:rsid w:val="00D435A5"/>
    <w:rsid w:val="00D441A6"/>
    <w:rsid w:val="00D44425"/>
    <w:rsid w:val="00D44C0F"/>
    <w:rsid w:val="00D44DA1"/>
    <w:rsid w:val="00D4618D"/>
    <w:rsid w:val="00D46399"/>
    <w:rsid w:val="00D471FF"/>
    <w:rsid w:val="00D4733B"/>
    <w:rsid w:val="00D476DC"/>
    <w:rsid w:val="00D502AA"/>
    <w:rsid w:val="00D50C37"/>
    <w:rsid w:val="00D51737"/>
    <w:rsid w:val="00D53F9F"/>
    <w:rsid w:val="00D54087"/>
    <w:rsid w:val="00D5410F"/>
    <w:rsid w:val="00D5655E"/>
    <w:rsid w:val="00D6008E"/>
    <w:rsid w:val="00D60B5F"/>
    <w:rsid w:val="00D62155"/>
    <w:rsid w:val="00D63A43"/>
    <w:rsid w:val="00D66681"/>
    <w:rsid w:val="00D723AB"/>
    <w:rsid w:val="00D76186"/>
    <w:rsid w:val="00D76A0A"/>
    <w:rsid w:val="00D77001"/>
    <w:rsid w:val="00D77510"/>
    <w:rsid w:val="00D7798F"/>
    <w:rsid w:val="00D77CB3"/>
    <w:rsid w:val="00D82077"/>
    <w:rsid w:val="00D82209"/>
    <w:rsid w:val="00D82C98"/>
    <w:rsid w:val="00D82FC3"/>
    <w:rsid w:val="00D84B8F"/>
    <w:rsid w:val="00D8554B"/>
    <w:rsid w:val="00D87011"/>
    <w:rsid w:val="00D9076A"/>
    <w:rsid w:val="00D9270C"/>
    <w:rsid w:val="00D942D3"/>
    <w:rsid w:val="00D9433D"/>
    <w:rsid w:val="00D948D0"/>
    <w:rsid w:val="00D94AF2"/>
    <w:rsid w:val="00D94E1D"/>
    <w:rsid w:val="00D97730"/>
    <w:rsid w:val="00D978E1"/>
    <w:rsid w:val="00D97DE3"/>
    <w:rsid w:val="00DA0D9A"/>
    <w:rsid w:val="00DA1C5F"/>
    <w:rsid w:val="00DA22F1"/>
    <w:rsid w:val="00DA37BE"/>
    <w:rsid w:val="00DA3E2B"/>
    <w:rsid w:val="00DA46F5"/>
    <w:rsid w:val="00DA4FD3"/>
    <w:rsid w:val="00DA54CB"/>
    <w:rsid w:val="00DA695E"/>
    <w:rsid w:val="00DA7555"/>
    <w:rsid w:val="00DA79BE"/>
    <w:rsid w:val="00DB0773"/>
    <w:rsid w:val="00DB226B"/>
    <w:rsid w:val="00DB2A06"/>
    <w:rsid w:val="00DB2A6D"/>
    <w:rsid w:val="00DB40A2"/>
    <w:rsid w:val="00DB49E0"/>
    <w:rsid w:val="00DB4D4D"/>
    <w:rsid w:val="00DB6113"/>
    <w:rsid w:val="00DB61A2"/>
    <w:rsid w:val="00DB74E7"/>
    <w:rsid w:val="00DB775B"/>
    <w:rsid w:val="00DB7DB0"/>
    <w:rsid w:val="00DC4F01"/>
    <w:rsid w:val="00DC62D4"/>
    <w:rsid w:val="00DC6CFB"/>
    <w:rsid w:val="00DC6EAA"/>
    <w:rsid w:val="00DD1198"/>
    <w:rsid w:val="00DD24D6"/>
    <w:rsid w:val="00DD29B9"/>
    <w:rsid w:val="00DD5031"/>
    <w:rsid w:val="00DD6367"/>
    <w:rsid w:val="00DD63CD"/>
    <w:rsid w:val="00DE09A5"/>
    <w:rsid w:val="00DE0F7F"/>
    <w:rsid w:val="00DE339B"/>
    <w:rsid w:val="00DE3C15"/>
    <w:rsid w:val="00DE53EE"/>
    <w:rsid w:val="00DE6A3C"/>
    <w:rsid w:val="00DF0639"/>
    <w:rsid w:val="00DF3237"/>
    <w:rsid w:val="00DF3CCE"/>
    <w:rsid w:val="00DF3FDB"/>
    <w:rsid w:val="00DF5555"/>
    <w:rsid w:val="00DF6083"/>
    <w:rsid w:val="00DF6A9B"/>
    <w:rsid w:val="00DF78DF"/>
    <w:rsid w:val="00DF7E44"/>
    <w:rsid w:val="00E002AD"/>
    <w:rsid w:val="00E013BD"/>
    <w:rsid w:val="00E01FFB"/>
    <w:rsid w:val="00E038A7"/>
    <w:rsid w:val="00E06B0A"/>
    <w:rsid w:val="00E07ED7"/>
    <w:rsid w:val="00E07FEC"/>
    <w:rsid w:val="00E114B5"/>
    <w:rsid w:val="00E115AF"/>
    <w:rsid w:val="00E11859"/>
    <w:rsid w:val="00E118E4"/>
    <w:rsid w:val="00E11AB2"/>
    <w:rsid w:val="00E13E60"/>
    <w:rsid w:val="00E14B17"/>
    <w:rsid w:val="00E2005F"/>
    <w:rsid w:val="00E2048E"/>
    <w:rsid w:val="00E22132"/>
    <w:rsid w:val="00E24339"/>
    <w:rsid w:val="00E24669"/>
    <w:rsid w:val="00E24B52"/>
    <w:rsid w:val="00E255CA"/>
    <w:rsid w:val="00E26BFF"/>
    <w:rsid w:val="00E27832"/>
    <w:rsid w:val="00E309FE"/>
    <w:rsid w:val="00E3123D"/>
    <w:rsid w:val="00E34DE1"/>
    <w:rsid w:val="00E363D8"/>
    <w:rsid w:val="00E36B8C"/>
    <w:rsid w:val="00E370A9"/>
    <w:rsid w:val="00E37355"/>
    <w:rsid w:val="00E4039C"/>
    <w:rsid w:val="00E414CA"/>
    <w:rsid w:val="00E42021"/>
    <w:rsid w:val="00E433CE"/>
    <w:rsid w:val="00E43564"/>
    <w:rsid w:val="00E43BBB"/>
    <w:rsid w:val="00E43C6A"/>
    <w:rsid w:val="00E44040"/>
    <w:rsid w:val="00E44260"/>
    <w:rsid w:val="00E45C1C"/>
    <w:rsid w:val="00E4617D"/>
    <w:rsid w:val="00E461FB"/>
    <w:rsid w:val="00E51138"/>
    <w:rsid w:val="00E5121E"/>
    <w:rsid w:val="00E5180A"/>
    <w:rsid w:val="00E51F97"/>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0A34"/>
    <w:rsid w:val="00E71888"/>
    <w:rsid w:val="00E71A80"/>
    <w:rsid w:val="00E740C7"/>
    <w:rsid w:val="00E74AA4"/>
    <w:rsid w:val="00E74EE5"/>
    <w:rsid w:val="00E754AC"/>
    <w:rsid w:val="00E75C83"/>
    <w:rsid w:val="00E762BE"/>
    <w:rsid w:val="00E76379"/>
    <w:rsid w:val="00E76AE8"/>
    <w:rsid w:val="00E76FC1"/>
    <w:rsid w:val="00E7770E"/>
    <w:rsid w:val="00E800FF"/>
    <w:rsid w:val="00E80ABB"/>
    <w:rsid w:val="00E81ADF"/>
    <w:rsid w:val="00E8227F"/>
    <w:rsid w:val="00E82528"/>
    <w:rsid w:val="00E83924"/>
    <w:rsid w:val="00E84044"/>
    <w:rsid w:val="00E853F6"/>
    <w:rsid w:val="00E854DF"/>
    <w:rsid w:val="00E85A8D"/>
    <w:rsid w:val="00E86403"/>
    <w:rsid w:val="00E86518"/>
    <w:rsid w:val="00E903CC"/>
    <w:rsid w:val="00E90E6A"/>
    <w:rsid w:val="00E92E44"/>
    <w:rsid w:val="00E92EB5"/>
    <w:rsid w:val="00E940B0"/>
    <w:rsid w:val="00E96D39"/>
    <w:rsid w:val="00E97C9F"/>
    <w:rsid w:val="00EA0662"/>
    <w:rsid w:val="00EA22EF"/>
    <w:rsid w:val="00EA2DEB"/>
    <w:rsid w:val="00EA3E9F"/>
    <w:rsid w:val="00EA3FD8"/>
    <w:rsid w:val="00EA4CCF"/>
    <w:rsid w:val="00EA749C"/>
    <w:rsid w:val="00EB0966"/>
    <w:rsid w:val="00EB3754"/>
    <w:rsid w:val="00EB3E4A"/>
    <w:rsid w:val="00EB4FCA"/>
    <w:rsid w:val="00EB55B7"/>
    <w:rsid w:val="00EB59D3"/>
    <w:rsid w:val="00EB5FE9"/>
    <w:rsid w:val="00EB631F"/>
    <w:rsid w:val="00EB6CC9"/>
    <w:rsid w:val="00EB7B3A"/>
    <w:rsid w:val="00EC11EF"/>
    <w:rsid w:val="00EC2950"/>
    <w:rsid w:val="00EC2D62"/>
    <w:rsid w:val="00EC4036"/>
    <w:rsid w:val="00EC427F"/>
    <w:rsid w:val="00EC430C"/>
    <w:rsid w:val="00EC524B"/>
    <w:rsid w:val="00ED04C6"/>
    <w:rsid w:val="00ED12B5"/>
    <w:rsid w:val="00ED15F5"/>
    <w:rsid w:val="00ED1D2B"/>
    <w:rsid w:val="00ED2C73"/>
    <w:rsid w:val="00ED2CE5"/>
    <w:rsid w:val="00ED3C60"/>
    <w:rsid w:val="00ED3FAC"/>
    <w:rsid w:val="00ED53DF"/>
    <w:rsid w:val="00ED6BAC"/>
    <w:rsid w:val="00EE2537"/>
    <w:rsid w:val="00EE42AE"/>
    <w:rsid w:val="00EE4479"/>
    <w:rsid w:val="00EE4E87"/>
    <w:rsid w:val="00EE52BF"/>
    <w:rsid w:val="00EE6878"/>
    <w:rsid w:val="00EE7E58"/>
    <w:rsid w:val="00EF1719"/>
    <w:rsid w:val="00EF2109"/>
    <w:rsid w:val="00EF24D4"/>
    <w:rsid w:val="00EF3298"/>
    <w:rsid w:val="00EF511D"/>
    <w:rsid w:val="00EF5435"/>
    <w:rsid w:val="00EF7421"/>
    <w:rsid w:val="00EF752B"/>
    <w:rsid w:val="00F007CE"/>
    <w:rsid w:val="00F00A3B"/>
    <w:rsid w:val="00F00CE3"/>
    <w:rsid w:val="00F01E3B"/>
    <w:rsid w:val="00F05DD8"/>
    <w:rsid w:val="00F10342"/>
    <w:rsid w:val="00F10541"/>
    <w:rsid w:val="00F10E72"/>
    <w:rsid w:val="00F1553C"/>
    <w:rsid w:val="00F1568C"/>
    <w:rsid w:val="00F16877"/>
    <w:rsid w:val="00F16F13"/>
    <w:rsid w:val="00F17A3F"/>
    <w:rsid w:val="00F2089B"/>
    <w:rsid w:val="00F20A35"/>
    <w:rsid w:val="00F20ACC"/>
    <w:rsid w:val="00F21398"/>
    <w:rsid w:val="00F21CE2"/>
    <w:rsid w:val="00F220B3"/>
    <w:rsid w:val="00F22E8C"/>
    <w:rsid w:val="00F2565F"/>
    <w:rsid w:val="00F2718C"/>
    <w:rsid w:val="00F27CAD"/>
    <w:rsid w:val="00F27CE2"/>
    <w:rsid w:val="00F30950"/>
    <w:rsid w:val="00F309D1"/>
    <w:rsid w:val="00F3128F"/>
    <w:rsid w:val="00F312ED"/>
    <w:rsid w:val="00F32B6C"/>
    <w:rsid w:val="00F34506"/>
    <w:rsid w:val="00F3460B"/>
    <w:rsid w:val="00F34B80"/>
    <w:rsid w:val="00F354D6"/>
    <w:rsid w:val="00F35A22"/>
    <w:rsid w:val="00F3708A"/>
    <w:rsid w:val="00F37926"/>
    <w:rsid w:val="00F4041D"/>
    <w:rsid w:val="00F40FF1"/>
    <w:rsid w:val="00F41F0F"/>
    <w:rsid w:val="00F423FA"/>
    <w:rsid w:val="00F4253A"/>
    <w:rsid w:val="00F45D37"/>
    <w:rsid w:val="00F4650D"/>
    <w:rsid w:val="00F502DA"/>
    <w:rsid w:val="00F50ED3"/>
    <w:rsid w:val="00F511E7"/>
    <w:rsid w:val="00F51F3C"/>
    <w:rsid w:val="00F52389"/>
    <w:rsid w:val="00F5260D"/>
    <w:rsid w:val="00F5302B"/>
    <w:rsid w:val="00F53397"/>
    <w:rsid w:val="00F53F53"/>
    <w:rsid w:val="00F55047"/>
    <w:rsid w:val="00F553D3"/>
    <w:rsid w:val="00F5580E"/>
    <w:rsid w:val="00F56845"/>
    <w:rsid w:val="00F6036F"/>
    <w:rsid w:val="00F60AF4"/>
    <w:rsid w:val="00F61094"/>
    <w:rsid w:val="00F618F8"/>
    <w:rsid w:val="00F61EB1"/>
    <w:rsid w:val="00F61FFC"/>
    <w:rsid w:val="00F6202A"/>
    <w:rsid w:val="00F62C76"/>
    <w:rsid w:val="00F64918"/>
    <w:rsid w:val="00F652CC"/>
    <w:rsid w:val="00F65360"/>
    <w:rsid w:val="00F65C8D"/>
    <w:rsid w:val="00F6641E"/>
    <w:rsid w:val="00F6708A"/>
    <w:rsid w:val="00F677C6"/>
    <w:rsid w:val="00F67B77"/>
    <w:rsid w:val="00F73686"/>
    <w:rsid w:val="00F74C97"/>
    <w:rsid w:val="00F75890"/>
    <w:rsid w:val="00F7760A"/>
    <w:rsid w:val="00F776F7"/>
    <w:rsid w:val="00F77848"/>
    <w:rsid w:val="00F80B4D"/>
    <w:rsid w:val="00F813F4"/>
    <w:rsid w:val="00F81441"/>
    <w:rsid w:val="00F82E4B"/>
    <w:rsid w:val="00F83C39"/>
    <w:rsid w:val="00F83F9D"/>
    <w:rsid w:val="00F842E3"/>
    <w:rsid w:val="00F8449B"/>
    <w:rsid w:val="00F84C93"/>
    <w:rsid w:val="00F87967"/>
    <w:rsid w:val="00F87B8B"/>
    <w:rsid w:val="00F91B18"/>
    <w:rsid w:val="00F9204F"/>
    <w:rsid w:val="00F922A2"/>
    <w:rsid w:val="00F9237D"/>
    <w:rsid w:val="00F92A8D"/>
    <w:rsid w:val="00F93390"/>
    <w:rsid w:val="00F94647"/>
    <w:rsid w:val="00F96467"/>
    <w:rsid w:val="00F967D2"/>
    <w:rsid w:val="00F9695E"/>
    <w:rsid w:val="00FA1780"/>
    <w:rsid w:val="00FA39DF"/>
    <w:rsid w:val="00FA4773"/>
    <w:rsid w:val="00FA4E6E"/>
    <w:rsid w:val="00FA5436"/>
    <w:rsid w:val="00FA58E4"/>
    <w:rsid w:val="00FA61EC"/>
    <w:rsid w:val="00FA6396"/>
    <w:rsid w:val="00FA654D"/>
    <w:rsid w:val="00FA6ACF"/>
    <w:rsid w:val="00FA72F4"/>
    <w:rsid w:val="00FA7464"/>
    <w:rsid w:val="00FB007B"/>
    <w:rsid w:val="00FB089E"/>
    <w:rsid w:val="00FB19DE"/>
    <w:rsid w:val="00FB2554"/>
    <w:rsid w:val="00FB653B"/>
    <w:rsid w:val="00FB6E2F"/>
    <w:rsid w:val="00FB70F3"/>
    <w:rsid w:val="00FC02B8"/>
    <w:rsid w:val="00FC19D6"/>
    <w:rsid w:val="00FC2208"/>
    <w:rsid w:val="00FC2538"/>
    <w:rsid w:val="00FC3791"/>
    <w:rsid w:val="00FC5082"/>
    <w:rsid w:val="00FC5156"/>
    <w:rsid w:val="00FC5604"/>
    <w:rsid w:val="00FC584B"/>
    <w:rsid w:val="00FC74E7"/>
    <w:rsid w:val="00FC7FF9"/>
    <w:rsid w:val="00FD0B03"/>
    <w:rsid w:val="00FD0FCD"/>
    <w:rsid w:val="00FD1BFE"/>
    <w:rsid w:val="00FD2187"/>
    <w:rsid w:val="00FD2749"/>
    <w:rsid w:val="00FD2A3F"/>
    <w:rsid w:val="00FD2AA5"/>
    <w:rsid w:val="00FD5C09"/>
    <w:rsid w:val="00FD6772"/>
    <w:rsid w:val="00FE0460"/>
    <w:rsid w:val="00FE0634"/>
    <w:rsid w:val="00FE0789"/>
    <w:rsid w:val="00FE1741"/>
    <w:rsid w:val="00FE251E"/>
    <w:rsid w:val="00FE2831"/>
    <w:rsid w:val="00FE3640"/>
    <w:rsid w:val="00FE46D3"/>
    <w:rsid w:val="00FE60FE"/>
    <w:rsid w:val="00FE6142"/>
    <w:rsid w:val="00FE6958"/>
    <w:rsid w:val="00FF0C25"/>
    <w:rsid w:val="00FF14A3"/>
    <w:rsid w:val="00FF21E4"/>
    <w:rsid w:val="00FF354F"/>
    <w:rsid w:val="00FF5025"/>
    <w:rsid w:val="00FF5C9D"/>
    <w:rsid w:val="00FF6EFE"/>
    <w:rsid w:val="00FF6F3B"/>
    <w:rsid w:val="01066359"/>
    <w:rsid w:val="01133700"/>
    <w:rsid w:val="019165A7"/>
    <w:rsid w:val="02E3763A"/>
    <w:rsid w:val="03CDAA36"/>
    <w:rsid w:val="03EA7FC2"/>
    <w:rsid w:val="059A08B5"/>
    <w:rsid w:val="06EA1EAA"/>
    <w:rsid w:val="06F92A94"/>
    <w:rsid w:val="07125F5D"/>
    <w:rsid w:val="07156016"/>
    <w:rsid w:val="079E421C"/>
    <w:rsid w:val="07A40243"/>
    <w:rsid w:val="08A52894"/>
    <w:rsid w:val="08F877B2"/>
    <w:rsid w:val="0B6D4F8E"/>
    <w:rsid w:val="0BB068C4"/>
    <w:rsid w:val="0BD16649"/>
    <w:rsid w:val="0BD77A1C"/>
    <w:rsid w:val="0D0B7C15"/>
    <w:rsid w:val="0D2759EA"/>
    <w:rsid w:val="0D4613A0"/>
    <w:rsid w:val="0D5142FA"/>
    <w:rsid w:val="0E667B0F"/>
    <w:rsid w:val="0EAB7C77"/>
    <w:rsid w:val="0EBF602F"/>
    <w:rsid w:val="0F02049B"/>
    <w:rsid w:val="0F223DF5"/>
    <w:rsid w:val="10A4667A"/>
    <w:rsid w:val="10CD6114"/>
    <w:rsid w:val="11E53FD3"/>
    <w:rsid w:val="12E2141C"/>
    <w:rsid w:val="12E461C9"/>
    <w:rsid w:val="13A52C7B"/>
    <w:rsid w:val="14A541E2"/>
    <w:rsid w:val="14E96317"/>
    <w:rsid w:val="16233FB9"/>
    <w:rsid w:val="1652230F"/>
    <w:rsid w:val="1679D03C"/>
    <w:rsid w:val="16C90F79"/>
    <w:rsid w:val="16F760E1"/>
    <w:rsid w:val="17FB4426"/>
    <w:rsid w:val="17FF73FA"/>
    <w:rsid w:val="1834380F"/>
    <w:rsid w:val="183F5D7D"/>
    <w:rsid w:val="188626E1"/>
    <w:rsid w:val="188D062F"/>
    <w:rsid w:val="189D32E6"/>
    <w:rsid w:val="18B15020"/>
    <w:rsid w:val="18EE3BF9"/>
    <w:rsid w:val="195FA7C6"/>
    <w:rsid w:val="197D4306"/>
    <w:rsid w:val="198464B8"/>
    <w:rsid w:val="19AD1818"/>
    <w:rsid w:val="1AD21A71"/>
    <w:rsid w:val="1AFF064A"/>
    <w:rsid w:val="1B464139"/>
    <w:rsid w:val="1B5C6CA2"/>
    <w:rsid w:val="1B815792"/>
    <w:rsid w:val="1BCC3392"/>
    <w:rsid w:val="1C02000E"/>
    <w:rsid w:val="1C1527EF"/>
    <w:rsid w:val="1C376DEB"/>
    <w:rsid w:val="1C3C5DA9"/>
    <w:rsid w:val="1C3FD069"/>
    <w:rsid w:val="1CBF7B25"/>
    <w:rsid w:val="1CDA63F0"/>
    <w:rsid w:val="1D814759"/>
    <w:rsid w:val="1D8D1A27"/>
    <w:rsid w:val="1DEFC6D6"/>
    <w:rsid w:val="1E694820"/>
    <w:rsid w:val="1F2F1703"/>
    <w:rsid w:val="1F6F0FAD"/>
    <w:rsid w:val="1FB5F711"/>
    <w:rsid w:val="215521EE"/>
    <w:rsid w:val="2159105B"/>
    <w:rsid w:val="216B0A11"/>
    <w:rsid w:val="218867EF"/>
    <w:rsid w:val="225C5E14"/>
    <w:rsid w:val="22CF052E"/>
    <w:rsid w:val="233A3E53"/>
    <w:rsid w:val="234C0B21"/>
    <w:rsid w:val="23A7139E"/>
    <w:rsid w:val="23B87D44"/>
    <w:rsid w:val="23C40697"/>
    <w:rsid w:val="23E304C1"/>
    <w:rsid w:val="24734990"/>
    <w:rsid w:val="24CD7912"/>
    <w:rsid w:val="260D4DDB"/>
    <w:rsid w:val="26164E0A"/>
    <w:rsid w:val="26B175B2"/>
    <w:rsid w:val="26F53BCE"/>
    <w:rsid w:val="26F7CB0C"/>
    <w:rsid w:val="26FCED7C"/>
    <w:rsid w:val="277D0479"/>
    <w:rsid w:val="281610E5"/>
    <w:rsid w:val="286232E1"/>
    <w:rsid w:val="286958CC"/>
    <w:rsid w:val="28BA3037"/>
    <w:rsid w:val="2948054F"/>
    <w:rsid w:val="29564F26"/>
    <w:rsid w:val="295F5542"/>
    <w:rsid w:val="2961687A"/>
    <w:rsid w:val="29756490"/>
    <w:rsid w:val="2A507B46"/>
    <w:rsid w:val="2A577527"/>
    <w:rsid w:val="2A8D2F66"/>
    <w:rsid w:val="2B55434F"/>
    <w:rsid w:val="2BF13513"/>
    <w:rsid w:val="2C1D56D6"/>
    <w:rsid w:val="2CB741EC"/>
    <w:rsid w:val="2DAF5570"/>
    <w:rsid w:val="2DCC15CF"/>
    <w:rsid w:val="2DEE2F51"/>
    <w:rsid w:val="2F0E362D"/>
    <w:rsid w:val="2F31401A"/>
    <w:rsid w:val="2F7E59EF"/>
    <w:rsid w:val="2FA55F7F"/>
    <w:rsid w:val="2FB2285C"/>
    <w:rsid w:val="2FC43EC1"/>
    <w:rsid w:val="2FFEB2E6"/>
    <w:rsid w:val="31466222"/>
    <w:rsid w:val="31901DDD"/>
    <w:rsid w:val="324A0271"/>
    <w:rsid w:val="327F1430"/>
    <w:rsid w:val="32864DB1"/>
    <w:rsid w:val="32FB6057"/>
    <w:rsid w:val="33886EBD"/>
    <w:rsid w:val="33FCCA0A"/>
    <w:rsid w:val="3565470A"/>
    <w:rsid w:val="35D2187E"/>
    <w:rsid w:val="36062EA2"/>
    <w:rsid w:val="36B4742B"/>
    <w:rsid w:val="36F75539"/>
    <w:rsid w:val="36FB9139"/>
    <w:rsid w:val="37BC6661"/>
    <w:rsid w:val="37F66A4F"/>
    <w:rsid w:val="37FB2775"/>
    <w:rsid w:val="380F4517"/>
    <w:rsid w:val="38536197"/>
    <w:rsid w:val="390309AD"/>
    <w:rsid w:val="39ED990C"/>
    <w:rsid w:val="3B6FA8CC"/>
    <w:rsid w:val="3BB14E11"/>
    <w:rsid w:val="3C3D1317"/>
    <w:rsid w:val="3C656DC6"/>
    <w:rsid w:val="3CD0586A"/>
    <w:rsid w:val="3D0E7D29"/>
    <w:rsid w:val="3D179B8B"/>
    <w:rsid w:val="3D3E437F"/>
    <w:rsid w:val="3D3F1996"/>
    <w:rsid w:val="3D8B2795"/>
    <w:rsid w:val="3DD5126B"/>
    <w:rsid w:val="3E7A0B33"/>
    <w:rsid w:val="3E9BCA02"/>
    <w:rsid w:val="3E9E0570"/>
    <w:rsid w:val="3EE6528E"/>
    <w:rsid w:val="3EFB9FC1"/>
    <w:rsid w:val="3EFCD703"/>
    <w:rsid w:val="3EFFC537"/>
    <w:rsid w:val="3F28071B"/>
    <w:rsid w:val="3F5D1D06"/>
    <w:rsid w:val="3F6E189C"/>
    <w:rsid w:val="3F7F9013"/>
    <w:rsid w:val="3F8EE13E"/>
    <w:rsid w:val="3FBCC615"/>
    <w:rsid w:val="3FDFC31D"/>
    <w:rsid w:val="3FEF2A6B"/>
    <w:rsid w:val="3FFFF28C"/>
    <w:rsid w:val="40045CCB"/>
    <w:rsid w:val="40317F03"/>
    <w:rsid w:val="405F39EA"/>
    <w:rsid w:val="413542E7"/>
    <w:rsid w:val="41366F80"/>
    <w:rsid w:val="41D879EF"/>
    <w:rsid w:val="42460039"/>
    <w:rsid w:val="424F326E"/>
    <w:rsid w:val="428F456B"/>
    <w:rsid w:val="459C6F06"/>
    <w:rsid w:val="45A07ADC"/>
    <w:rsid w:val="468E48B0"/>
    <w:rsid w:val="46C876BF"/>
    <w:rsid w:val="46D93D23"/>
    <w:rsid w:val="470A78E3"/>
    <w:rsid w:val="47DDE2D5"/>
    <w:rsid w:val="48D107CF"/>
    <w:rsid w:val="48F14395"/>
    <w:rsid w:val="496656D8"/>
    <w:rsid w:val="4A46377C"/>
    <w:rsid w:val="4A985531"/>
    <w:rsid w:val="4B507199"/>
    <w:rsid w:val="4B543A80"/>
    <w:rsid w:val="4B5A6D19"/>
    <w:rsid w:val="4B9E3483"/>
    <w:rsid w:val="4BE41488"/>
    <w:rsid w:val="4C1E3D32"/>
    <w:rsid w:val="4C49601A"/>
    <w:rsid w:val="4C585AB4"/>
    <w:rsid w:val="4C6C4B57"/>
    <w:rsid w:val="4D613184"/>
    <w:rsid w:val="4DDED1F7"/>
    <w:rsid w:val="4E2F43C1"/>
    <w:rsid w:val="4EDD6510"/>
    <w:rsid w:val="4EF20DA9"/>
    <w:rsid w:val="4F56661D"/>
    <w:rsid w:val="4F7F0BF9"/>
    <w:rsid w:val="4F7F3F92"/>
    <w:rsid w:val="4FB7135A"/>
    <w:rsid w:val="4FB73198"/>
    <w:rsid w:val="4FFE7132"/>
    <w:rsid w:val="501554AB"/>
    <w:rsid w:val="50425A08"/>
    <w:rsid w:val="50516DE7"/>
    <w:rsid w:val="50C3437D"/>
    <w:rsid w:val="514316E9"/>
    <w:rsid w:val="515B351A"/>
    <w:rsid w:val="516253C4"/>
    <w:rsid w:val="519B5C7E"/>
    <w:rsid w:val="52CF1070"/>
    <w:rsid w:val="52E40C56"/>
    <w:rsid w:val="533C31C2"/>
    <w:rsid w:val="5357DA30"/>
    <w:rsid w:val="54471BD3"/>
    <w:rsid w:val="5572776B"/>
    <w:rsid w:val="55A52E77"/>
    <w:rsid w:val="572EB7CC"/>
    <w:rsid w:val="573A3AB9"/>
    <w:rsid w:val="574E2FD2"/>
    <w:rsid w:val="5752403E"/>
    <w:rsid w:val="577D9CD7"/>
    <w:rsid w:val="57BABE06"/>
    <w:rsid w:val="57BD6213"/>
    <w:rsid w:val="57BF6AEA"/>
    <w:rsid w:val="57FB8EB6"/>
    <w:rsid w:val="58255E64"/>
    <w:rsid w:val="583E418F"/>
    <w:rsid w:val="58CF0608"/>
    <w:rsid w:val="5A4A3313"/>
    <w:rsid w:val="5A6E0410"/>
    <w:rsid w:val="5A6E3C3C"/>
    <w:rsid w:val="5AFD4E02"/>
    <w:rsid w:val="5B5D738C"/>
    <w:rsid w:val="5BBA678C"/>
    <w:rsid w:val="5BBFB391"/>
    <w:rsid w:val="5BE262AB"/>
    <w:rsid w:val="5BFBF413"/>
    <w:rsid w:val="5BFD15A6"/>
    <w:rsid w:val="5C580EB9"/>
    <w:rsid w:val="5C9B255D"/>
    <w:rsid w:val="5CC77DB7"/>
    <w:rsid w:val="5D7E836A"/>
    <w:rsid w:val="5DBE3A88"/>
    <w:rsid w:val="5DFCEED7"/>
    <w:rsid w:val="5E134195"/>
    <w:rsid w:val="5E57056A"/>
    <w:rsid w:val="5F4D1084"/>
    <w:rsid w:val="5F574931"/>
    <w:rsid w:val="5F653392"/>
    <w:rsid w:val="5F9F0E1C"/>
    <w:rsid w:val="5FA70236"/>
    <w:rsid w:val="5FC51D93"/>
    <w:rsid w:val="5FDEE6FC"/>
    <w:rsid w:val="5FEBF471"/>
    <w:rsid w:val="5FF60C0D"/>
    <w:rsid w:val="5FFDC3F8"/>
    <w:rsid w:val="5FFF25DC"/>
    <w:rsid w:val="6017063D"/>
    <w:rsid w:val="6068003C"/>
    <w:rsid w:val="60AF5C2B"/>
    <w:rsid w:val="60E55FC6"/>
    <w:rsid w:val="612453EE"/>
    <w:rsid w:val="613A000F"/>
    <w:rsid w:val="615024CA"/>
    <w:rsid w:val="61563DF9"/>
    <w:rsid w:val="61867B96"/>
    <w:rsid w:val="61BD3992"/>
    <w:rsid w:val="61C22899"/>
    <w:rsid w:val="61DD4B79"/>
    <w:rsid w:val="627111A7"/>
    <w:rsid w:val="627A79CB"/>
    <w:rsid w:val="62B801B0"/>
    <w:rsid w:val="63261E26"/>
    <w:rsid w:val="635748C3"/>
    <w:rsid w:val="639FA7B5"/>
    <w:rsid w:val="63D14A88"/>
    <w:rsid w:val="63D34862"/>
    <w:rsid w:val="63EE8392"/>
    <w:rsid w:val="63F110B9"/>
    <w:rsid w:val="64A26573"/>
    <w:rsid w:val="65B640BD"/>
    <w:rsid w:val="65CB5B13"/>
    <w:rsid w:val="65F986C6"/>
    <w:rsid w:val="665BFF06"/>
    <w:rsid w:val="67FA92D6"/>
    <w:rsid w:val="67FFB8BD"/>
    <w:rsid w:val="681E4F9A"/>
    <w:rsid w:val="68416194"/>
    <w:rsid w:val="687541B2"/>
    <w:rsid w:val="68D8699F"/>
    <w:rsid w:val="69446BC9"/>
    <w:rsid w:val="69F707E9"/>
    <w:rsid w:val="6A156404"/>
    <w:rsid w:val="6A1915B2"/>
    <w:rsid w:val="6A910C4D"/>
    <w:rsid w:val="6AF02D0E"/>
    <w:rsid w:val="6B7FEFCA"/>
    <w:rsid w:val="6B9760D8"/>
    <w:rsid w:val="6BD7C85E"/>
    <w:rsid w:val="6BD7CF89"/>
    <w:rsid w:val="6BDF9CA4"/>
    <w:rsid w:val="6BE20784"/>
    <w:rsid w:val="6BEE3CC9"/>
    <w:rsid w:val="6BFB4EC8"/>
    <w:rsid w:val="6C1508DF"/>
    <w:rsid w:val="6C23442F"/>
    <w:rsid w:val="6C527581"/>
    <w:rsid w:val="6C76B483"/>
    <w:rsid w:val="6C7B109E"/>
    <w:rsid w:val="6C9375A4"/>
    <w:rsid w:val="6CAD18ED"/>
    <w:rsid w:val="6CD2D8AC"/>
    <w:rsid w:val="6D478248"/>
    <w:rsid w:val="6D6B15AD"/>
    <w:rsid w:val="6DF37D4F"/>
    <w:rsid w:val="6DF744B2"/>
    <w:rsid w:val="6DFF8EEF"/>
    <w:rsid w:val="6E4118B0"/>
    <w:rsid w:val="6ED635EB"/>
    <w:rsid w:val="6EF16D72"/>
    <w:rsid w:val="6EF7634F"/>
    <w:rsid w:val="6EFEE687"/>
    <w:rsid w:val="6F110FC5"/>
    <w:rsid w:val="6F196179"/>
    <w:rsid w:val="6F7FC052"/>
    <w:rsid w:val="6FB94D60"/>
    <w:rsid w:val="6FD62B1F"/>
    <w:rsid w:val="6FDBAC7B"/>
    <w:rsid w:val="6FF02573"/>
    <w:rsid w:val="6FFC21AB"/>
    <w:rsid w:val="6FFE919A"/>
    <w:rsid w:val="6FFF9A7F"/>
    <w:rsid w:val="70330A9B"/>
    <w:rsid w:val="70A77661"/>
    <w:rsid w:val="70D63EAD"/>
    <w:rsid w:val="70E04962"/>
    <w:rsid w:val="71261F83"/>
    <w:rsid w:val="71BB3216"/>
    <w:rsid w:val="71F75DEA"/>
    <w:rsid w:val="720B2AD6"/>
    <w:rsid w:val="72997A96"/>
    <w:rsid w:val="729D5A9E"/>
    <w:rsid w:val="72F60C61"/>
    <w:rsid w:val="72F9BCEA"/>
    <w:rsid w:val="72FC846D"/>
    <w:rsid w:val="734E4A03"/>
    <w:rsid w:val="73FC6EC7"/>
    <w:rsid w:val="73FD774E"/>
    <w:rsid w:val="73FF0B75"/>
    <w:rsid w:val="73FF6476"/>
    <w:rsid w:val="73FF7B6F"/>
    <w:rsid w:val="74C1280E"/>
    <w:rsid w:val="75295BE7"/>
    <w:rsid w:val="75658274"/>
    <w:rsid w:val="75782D22"/>
    <w:rsid w:val="757E1972"/>
    <w:rsid w:val="75936B43"/>
    <w:rsid w:val="759F35D1"/>
    <w:rsid w:val="75EA00C2"/>
    <w:rsid w:val="76185B41"/>
    <w:rsid w:val="763D62D4"/>
    <w:rsid w:val="767B43A9"/>
    <w:rsid w:val="76CD3C9B"/>
    <w:rsid w:val="76DA244C"/>
    <w:rsid w:val="76F45F27"/>
    <w:rsid w:val="77167A98"/>
    <w:rsid w:val="77350BFF"/>
    <w:rsid w:val="774320FF"/>
    <w:rsid w:val="775E9DDD"/>
    <w:rsid w:val="778A0F8C"/>
    <w:rsid w:val="77AF8CD8"/>
    <w:rsid w:val="77B293B7"/>
    <w:rsid w:val="77BA49C6"/>
    <w:rsid w:val="77F76CD8"/>
    <w:rsid w:val="77FE33BD"/>
    <w:rsid w:val="77FE7847"/>
    <w:rsid w:val="78651B87"/>
    <w:rsid w:val="78837099"/>
    <w:rsid w:val="78CFF4F4"/>
    <w:rsid w:val="79987ADD"/>
    <w:rsid w:val="79B500A9"/>
    <w:rsid w:val="79D32E61"/>
    <w:rsid w:val="79D35795"/>
    <w:rsid w:val="79E58F9D"/>
    <w:rsid w:val="79FBB935"/>
    <w:rsid w:val="79FFB6B4"/>
    <w:rsid w:val="7A35787F"/>
    <w:rsid w:val="7AF77906"/>
    <w:rsid w:val="7AFF74AD"/>
    <w:rsid w:val="7AFFC2D7"/>
    <w:rsid w:val="7B292135"/>
    <w:rsid w:val="7B393532"/>
    <w:rsid w:val="7B3FDE96"/>
    <w:rsid w:val="7B53326B"/>
    <w:rsid w:val="7B7B0E04"/>
    <w:rsid w:val="7B7D9BC7"/>
    <w:rsid w:val="7B7F26E7"/>
    <w:rsid w:val="7B8DFF11"/>
    <w:rsid w:val="7B996353"/>
    <w:rsid w:val="7B9F4FAC"/>
    <w:rsid w:val="7BA63AF9"/>
    <w:rsid w:val="7BBB2AC0"/>
    <w:rsid w:val="7BC041D3"/>
    <w:rsid w:val="7BEE0E3F"/>
    <w:rsid w:val="7BFF9EE3"/>
    <w:rsid w:val="7BFFB6BD"/>
    <w:rsid w:val="7C881148"/>
    <w:rsid w:val="7CC60E88"/>
    <w:rsid w:val="7CEADDA1"/>
    <w:rsid w:val="7CF85E9B"/>
    <w:rsid w:val="7CFDA063"/>
    <w:rsid w:val="7D142DAC"/>
    <w:rsid w:val="7D5A7A3D"/>
    <w:rsid w:val="7D8EA7BA"/>
    <w:rsid w:val="7DAAC17A"/>
    <w:rsid w:val="7DAEE00C"/>
    <w:rsid w:val="7DDF0426"/>
    <w:rsid w:val="7DFC2CCB"/>
    <w:rsid w:val="7DFE299C"/>
    <w:rsid w:val="7DFED5B2"/>
    <w:rsid w:val="7DFF9470"/>
    <w:rsid w:val="7E17C650"/>
    <w:rsid w:val="7E63C76D"/>
    <w:rsid w:val="7E7389F9"/>
    <w:rsid w:val="7E7F492A"/>
    <w:rsid w:val="7EDDE468"/>
    <w:rsid w:val="7EDF26C6"/>
    <w:rsid w:val="7EE8047A"/>
    <w:rsid w:val="7EFE3903"/>
    <w:rsid w:val="7F1172CE"/>
    <w:rsid w:val="7F1E629A"/>
    <w:rsid w:val="7F2F0A6A"/>
    <w:rsid w:val="7F3D17A5"/>
    <w:rsid w:val="7F4B1D9D"/>
    <w:rsid w:val="7F5D1E37"/>
    <w:rsid w:val="7F751424"/>
    <w:rsid w:val="7F7FEE4D"/>
    <w:rsid w:val="7F7FFF6B"/>
    <w:rsid w:val="7FAD948A"/>
    <w:rsid w:val="7FCE6114"/>
    <w:rsid w:val="7FCEAE6D"/>
    <w:rsid w:val="7FCEF902"/>
    <w:rsid w:val="7FDAE848"/>
    <w:rsid w:val="7FDF7633"/>
    <w:rsid w:val="7FEDD813"/>
    <w:rsid w:val="7FEF3261"/>
    <w:rsid w:val="7FEFC8EA"/>
    <w:rsid w:val="7FFB720A"/>
    <w:rsid w:val="7FFB8CD6"/>
    <w:rsid w:val="7FFB9918"/>
    <w:rsid w:val="7FFDA6E7"/>
    <w:rsid w:val="7FFEB48B"/>
    <w:rsid w:val="7FFF1D6D"/>
    <w:rsid w:val="7FFFE6B2"/>
    <w:rsid w:val="8BFF8E14"/>
    <w:rsid w:val="95748ADD"/>
    <w:rsid w:val="976F37C1"/>
    <w:rsid w:val="97FAD1EE"/>
    <w:rsid w:val="9BBF8D15"/>
    <w:rsid w:val="9D937E89"/>
    <w:rsid w:val="9DB8B022"/>
    <w:rsid w:val="9DDFA266"/>
    <w:rsid w:val="9F3DFB85"/>
    <w:rsid w:val="9F7B2C90"/>
    <w:rsid w:val="9FFBE7F1"/>
    <w:rsid w:val="A63F9B8B"/>
    <w:rsid w:val="A7E5A158"/>
    <w:rsid w:val="AB97F0EC"/>
    <w:rsid w:val="AB9F4FB5"/>
    <w:rsid w:val="ABFDBE38"/>
    <w:rsid w:val="AE6BCF78"/>
    <w:rsid w:val="AFDF882A"/>
    <w:rsid w:val="AFEF91B2"/>
    <w:rsid w:val="B1FB138E"/>
    <w:rsid w:val="B67D59D0"/>
    <w:rsid w:val="B6FDD982"/>
    <w:rsid w:val="B6FFEBBD"/>
    <w:rsid w:val="B7D77C8D"/>
    <w:rsid w:val="B7DD90B1"/>
    <w:rsid w:val="BA7B23C6"/>
    <w:rsid w:val="BADF4915"/>
    <w:rsid w:val="BB5FC936"/>
    <w:rsid w:val="BB7727AA"/>
    <w:rsid w:val="BBCD6D58"/>
    <w:rsid w:val="BBEE7899"/>
    <w:rsid w:val="BC2BCD0E"/>
    <w:rsid w:val="BD2F5AC0"/>
    <w:rsid w:val="BDEDC0B2"/>
    <w:rsid w:val="BDFFBC2D"/>
    <w:rsid w:val="BF073A71"/>
    <w:rsid w:val="BF8FC32B"/>
    <w:rsid w:val="BFCD7786"/>
    <w:rsid w:val="BFDF9AEA"/>
    <w:rsid w:val="BFFF0D2F"/>
    <w:rsid w:val="BFFF574C"/>
    <w:rsid w:val="C0BFBD3C"/>
    <w:rsid w:val="C34F9853"/>
    <w:rsid w:val="C387C4C3"/>
    <w:rsid w:val="C5FA185C"/>
    <w:rsid w:val="C5FF471B"/>
    <w:rsid w:val="C7FB6F9B"/>
    <w:rsid w:val="CA2B30B5"/>
    <w:rsid w:val="CB5CFE19"/>
    <w:rsid w:val="CDEFC422"/>
    <w:rsid w:val="CEE0B8B2"/>
    <w:rsid w:val="CF71F5C8"/>
    <w:rsid w:val="CFACAC30"/>
    <w:rsid w:val="CFFFD82C"/>
    <w:rsid w:val="D1EF24BD"/>
    <w:rsid w:val="D2630A82"/>
    <w:rsid w:val="D5EF0D32"/>
    <w:rsid w:val="D5F64390"/>
    <w:rsid w:val="D5FFC8E6"/>
    <w:rsid w:val="D97F097F"/>
    <w:rsid w:val="D9EB0E18"/>
    <w:rsid w:val="D9F60553"/>
    <w:rsid w:val="DAB79669"/>
    <w:rsid w:val="DAB907CA"/>
    <w:rsid w:val="DAFB0E0C"/>
    <w:rsid w:val="DBB777FE"/>
    <w:rsid w:val="DBC49791"/>
    <w:rsid w:val="DBE9B462"/>
    <w:rsid w:val="DBFF4D23"/>
    <w:rsid w:val="DBFFE2BD"/>
    <w:rsid w:val="DEFB2E38"/>
    <w:rsid w:val="DF47C653"/>
    <w:rsid w:val="DFEF34AD"/>
    <w:rsid w:val="DFFD7940"/>
    <w:rsid w:val="DFFE4B2D"/>
    <w:rsid w:val="E1DA9ABC"/>
    <w:rsid w:val="E1FE556F"/>
    <w:rsid w:val="E5FEFA93"/>
    <w:rsid w:val="E6EC4282"/>
    <w:rsid w:val="E6FF8EB9"/>
    <w:rsid w:val="E79F6C0D"/>
    <w:rsid w:val="E7D76492"/>
    <w:rsid w:val="E9BF2D3C"/>
    <w:rsid w:val="EB7DA18F"/>
    <w:rsid w:val="EB979F84"/>
    <w:rsid w:val="EBB1645C"/>
    <w:rsid w:val="EBFE9FD6"/>
    <w:rsid w:val="EDB72023"/>
    <w:rsid w:val="EDDF5B87"/>
    <w:rsid w:val="EDF7085C"/>
    <w:rsid w:val="EDF70AD1"/>
    <w:rsid w:val="EE6F9AFF"/>
    <w:rsid w:val="EEFE397B"/>
    <w:rsid w:val="EF1B177D"/>
    <w:rsid w:val="EFBC0CB1"/>
    <w:rsid w:val="EFDA5BE2"/>
    <w:rsid w:val="EFFD5EE6"/>
    <w:rsid w:val="F0FFDC01"/>
    <w:rsid w:val="F32F1D78"/>
    <w:rsid w:val="F3D20B74"/>
    <w:rsid w:val="F5B6A37E"/>
    <w:rsid w:val="F5FFB10E"/>
    <w:rsid w:val="F66593CB"/>
    <w:rsid w:val="F7A2F81E"/>
    <w:rsid w:val="F7BB4BB2"/>
    <w:rsid w:val="F7BF5FF3"/>
    <w:rsid w:val="F7F3DD9D"/>
    <w:rsid w:val="F7FD9895"/>
    <w:rsid w:val="F7FFFA75"/>
    <w:rsid w:val="F8F389C9"/>
    <w:rsid w:val="F9D7A8FE"/>
    <w:rsid w:val="F9DF2179"/>
    <w:rsid w:val="FA5AB82F"/>
    <w:rsid w:val="FAEFD810"/>
    <w:rsid w:val="FAFC4B7B"/>
    <w:rsid w:val="FB7D31EA"/>
    <w:rsid w:val="FBB93422"/>
    <w:rsid w:val="FBBFCC4A"/>
    <w:rsid w:val="FBF6CA5A"/>
    <w:rsid w:val="FBFBF037"/>
    <w:rsid w:val="FBFE4E79"/>
    <w:rsid w:val="FBFF084B"/>
    <w:rsid w:val="FBFFC234"/>
    <w:rsid w:val="FD13FEDE"/>
    <w:rsid w:val="FD361F9C"/>
    <w:rsid w:val="FD3DAF5D"/>
    <w:rsid w:val="FD7FF82C"/>
    <w:rsid w:val="FDDF32F3"/>
    <w:rsid w:val="FDEF346B"/>
    <w:rsid w:val="FDFDCF05"/>
    <w:rsid w:val="FDFF08DA"/>
    <w:rsid w:val="FDFFB659"/>
    <w:rsid w:val="FE2FF28B"/>
    <w:rsid w:val="FE55B9D0"/>
    <w:rsid w:val="FEEF96D5"/>
    <w:rsid w:val="FEFA7BD6"/>
    <w:rsid w:val="FEFD670D"/>
    <w:rsid w:val="FF1FB705"/>
    <w:rsid w:val="FF764952"/>
    <w:rsid w:val="FF7F0546"/>
    <w:rsid w:val="FF7FC7D9"/>
    <w:rsid w:val="FFA700A1"/>
    <w:rsid w:val="FFC9C8FA"/>
    <w:rsid w:val="FFCE78B0"/>
    <w:rsid w:val="FFD43084"/>
    <w:rsid w:val="FFD7028C"/>
    <w:rsid w:val="FFDA9C8D"/>
    <w:rsid w:val="FFDDC919"/>
    <w:rsid w:val="FFEF4089"/>
    <w:rsid w:val="FFF7006C"/>
    <w:rsid w:val="FFF7D867"/>
    <w:rsid w:val="FFF7EA5D"/>
    <w:rsid w:val="FFF94640"/>
    <w:rsid w:val="FFFA035F"/>
    <w:rsid w:val="FFFB01A9"/>
    <w:rsid w:val="FFFBE591"/>
    <w:rsid w:val="FFFDF18A"/>
    <w:rsid w:val="FFFE9F83"/>
    <w:rsid w:val="FFFF3F96"/>
    <w:rsid w:val="FFFFC4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numPr>
        <w:ilvl w:val="2"/>
        <w:numId w:val="1"/>
      </w:numPr>
      <w:spacing w:before="120" w:after="120" w:line="360" w:lineRule="auto"/>
      <w:ind w:left="993"/>
      <w:outlineLvl w:val="2"/>
    </w:pPr>
    <w:rPr>
      <w:rFonts w:ascii="Calibri" w:hAnsi="Calibri" w:eastAsia="黑体" w:cs="Times New Roman"/>
      <w:b/>
      <w:bCs/>
      <w:kern w:val="2"/>
      <w:sz w:val="32"/>
      <w:szCs w:val="3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Theme="minorHAnsi" w:hAnsiTheme="minorHAnsi"/>
      <w:sz w:val="18"/>
      <w:szCs w:val="18"/>
    </w:rPr>
  </w:style>
  <w:style w:type="paragraph" w:styleId="7">
    <w:name w:val="Normal Indent"/>
    <w:basedOn w:val="1"/>
    <w:qFormat/>
    <w:uiPriority w:val="0"/>
    <w:pPr>
      <w:ind w:firstLine="420"/>
    </w:pPr>
    <w:rPr>
      <w:szCs w:val="20"/>
    </w:rPr>
  </w:style>
  <w:style w:type="paragraph" w:styleId="8">
    <w:name w:val="caption"/>
    <w:basedOn w:val="1"/>
    <w:next w:val="1"/>
    <w:link w:val="56"/>
    <w:qFormat/>
    <w:uiPriority w:val="0"/>
    <w:pPr>
      <w:spacing w:before="152" w:after="160"/>
    </w:pPr>
    <w:rPr>
      <w:rFonts w:ascii="Arial" w:hAnsi="Arial" w:eastAsia="黑体" w:cs="Arial"/>
      <w:kern w:val="0"/>
      <w:sz w:val="20"/>
      <w:szCs w:val="20"/>
    </w:rPr>
  </w:style>
  <w:style w:type="paragraph" w:styleId="9">
    <w:name w:val="annotation text"/>
    <w:basedOn w:val="1"/>
    <w:qFormat/>
    <w:uiPriority w:val="0"/>
    <w:pPr>
      <w:jc w:val="left"/>
    </w:pPr>
  </w:style>
  <w:style w:type="paragraph" w:styleId="10">
    <w:name w:val="Body Text"/>
    <w:basedOn w:val="1"/>
    <w:next w:val="11"/>
    <w:qFormat/>
    <w:uiPriority w:val="0"/>
    <w:pPr>
      <w:spacing w:line="520" w:lineRule="exact"/>
      <w:jc w:val="center"/>
    </w:pPr>
    <w:rPr>
      <w:rFonts w:eastAsia="黑体"/>
      <w:color w:val="FF0000"/>
      <w:sz w:val="44"/>
    </w:rPr>
  </w:style>
  <w:style w:type="paragraph" w:customStyle="1" w:styleId="11">
    <w:name w:val="Default"/>
    <w:next w:val="1"/>
    <w:qFormat/>
    <w:uiPriority w:val="0"/>
    <w:pPr>
      <w:widowControl w:val="0"/>
      <w:autoSpaceDE w:val="0"/>
      <w:autoSpaceDN w:val="0"/>
      <w:adjustRightInd w:val="0"/>
    </w:pPr>
    <w:rPr>
      <w:rFonts w:ascii="微软雅黑" w:hAnsi="Calibri" w:eastAsia="微软雅黑" w:cs="Times New Roman"/>
      <w:color w:val="000000"/>
      <w:sz w:val="24"/>
      <w:szCs w:val="24"/>
      <w:lang w:val="en-US" w:eastAsia="zh-CN" w:bidi="ar-SA"/>
    </w:rPr>
  </w:style>
  <w:style w:type="paragraph" w:styleId="12">
    <w:name w:val="Body Text Indent"/>
    <w:basedOn w:val="1"/>
    <w:link w:val="42"/>
    <w:qFormat/>
    <w:uiPriority w:val="99"/>
    <w:pPr>
      <w:spacing w:line="360" w:lineRule="auto"/>
      <w:ind w:firstLine="600" w:firstLineChars="200"/>
    </w:pPr>
    <w:rPr>
      <w:rFonts w:ascii="仿宋_GB2312" w:hAnsi="宋体" w:eastAsia="仿宋_GB2312"/>
      <w:sz w:val="30"/>
    </w:rPr>
  </w:style>
  <w:style w:type="paragraph" w:styleId="13">
    <w:name w:val="toc 5"/>
    <w:basedOn w:val="1"/>
    <w:next w:val="1"/>
    <w:qFormat/>
    <w:uiPriority w:val="0"/>
    <w:pPr>
      <w:ind w:left="840"/>
      <w:jc w:val="left"/>
    </w:pPr>
    <w:rPr>
      <w:rFonts w:asciiTheme="minorHAnsi" w:hAnsiTheme="minorHAnsi"/>
      <w:sz w:val="18"/>
      <w:szCs w:val="18"/>
    </w:rPr>
  </w:style>
  <w:style w:type="paragraph" w:styleId="14">
    <w:name w:val="toc 3"/>
    <w:basedOn w:val="1"/>
    <w:next w:val="1"/>
    <w:qFormat/>
    <w:uiPriority w:val="0"/>
    <w:pPr>
      <w:ind w:left="420"/>
      <w:jc w:val="left"/>
    </w:pPr>
    <w:rPr>
      <w:rFonts w:asciiTheme="minorHAnsi" w:hAnsiTheme="minorHAnsi"/>
      <w:i/>
      <w:iCs/>
      <w:sz w:val="20"/>
      <w:szCs w:val="20"/>
    </w:rPr>
  </w:style>
  <w:style w:type="paragraph" w:styleId="15">
    <w:name w:val="Plain Text"/>
    <w:basedOn w:val="1"/>
    <w:link w:val="46"/>
    <w:qFormat/>
    <w:uiPriority w:val="99"/>
    <w:pPr>
      <w:spacing w:beforeLines="50" w:afterLines="50" w:line="400" w:lineRule="exact"/>
    </w:pPr>
    <w:rPr>
      <w:rFonts w:ascii="宋体" w:hAnsi="Courier New"/>
      <w:sz w:val="24"/>
    </w:rPr>
  </w:style>
  <w:style w:type="paragraph" w:styleId="16">
    <w:name w:val="toc 8"/>
    <w:basedOn w:val="1"/>
    <w:next w:val="1"/>
    <w:qFormat/>
    <w:uiPriority w:val="0"/>
    <w:pPr>
      <w:ind w:left="1470"/>
      <w:jc w:val="left"/>
    </w:pPr>
    <w:rPr>
      <w:rFonts w:asciiTheme="minorHAnsi" w:hAnsiTheme="minorHAnsi"/>
      <w:sz w:val="18"/>
      <w:szCs w:val="18"/>
    </w:rPr>
  </w:style>
  <w:style w:type="paragraph" w:styleId="17">
    <w:name w:val="Date"/>
    <w:basedOn w:val="1"/>
    <w:next w:val="1"/>
    <w:link w:val="52"/>
    <w:qFormat/>
    <w:uiPriority w:val="0"/>
    <w:pPr>
      <w:ind w:left="100" w:leftChars="2500"/>
    </w:pPr>
    <w:rPr>
      <w:rFonts w:ascii="仿宋_GB2312" w:hAnsi="宋体" w:eastAsia="仿宋_GB2312"/>
      <w:sz w:val="30"/>
    </w:rPr>
  </w:style>
  <w:style w:type="paragraph" w:styleId="18">
    <w:name w:val="Body Text Indent 2"/>
    <w:basedOn w:val="1"/>
    <w:link w:val="51"/>
    <w:qFormat/>
    <w:uiPriority w:val="0"/>
    <w:pPr>
      <w:spacing w:line="320" w:lineRule="atLeast"/>
      <w:ind w:firstLine="600" w:firstLineChars="250"/>
    </w:pPr>
    <w:rPr>
      <w:rFonts w:ascii="宋体" w:hAnsi="宋体"/>
      <w:sz w:val="24"/>
    </w:rPr>
  </w:style>
  <w:style w:type="paragraph" w:styleId="19">
    <w:name w:val="Balloon Text"/>
    <w:basedOn w:val="1"/>
    <w:link w:val="48"/>
    <w:qFormat/>
    <w:uiPriority w:val="0"/>
    <w:rPr>
      <w:sz w:val="18"/>
      <w:szCs w:val="18"/>
    </w:rPr>
  </w:style>
  <w:style w:type="paragraph" w:styleId="20">
    <w:name w:val="footer"/>
    <w:basedOn w:val="1"/>
    <w:link w:val="41"/>
    <w:qFormat/>
    <w:uiPriority w:val="99"/>
    <w:pPr>
      <w:tabs>
        <w:tab w:val="center" w:pos="4153"/>
        <w:tab w:val="right" w:pos="8306"/>
      </w:tabs>
      <w:snapToGrid w:val="0"/>
      <w:jc w:val="left"/>
    </w:pPr>
    <w:rPr>
      <w:sz w:val="18"/>
      <w:szCs w:val="18"/>
    </w:rPr>
  </w:style>
  <w:style w:type="paragraph" w:styleId="21">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heme="minorHAnsi" w:hAnsiTheme="minorHAnsi"/>
      <w:b/>
      <w:bCs/>
      <w:caps/>
      <w:sz w:val="20"/>
      <w:szCs w:val="20"/>
    </w:rPr>
  </w:style>
  <w:style w:type="paragraph" w:styleId="23">
    <w:name w:val="toc 4"/>
    <w:basedOn w:val="1"/>
    <w:next w:val="1"/>
    <w:qFormat/>
    <w:uiPriority w:val="0"/>
    <w:pPr>
      <w:ind w:left="630"/>
      <w:jc w:val="left"/>
    </w:pPr>
    <w:rPr>
      <w:rFonts w:asciiTheme="minorHAnsi" w:hAnsiTheme="minorHAnsi"/>
      <w:sz w:val="18"/>
      <w:szCs w:val="18"/>
    </w:rPr>
  </w:style>
  <w:style w:type="paragraph" w:styleId="24">
    <w:name w:val="toc 6"/>
    <w:basedOn w:val="1"/>
    <w:next w:val="1"/>
    <w:qFormat/>
    <w:uiPriority w:val="0"/>
    <w:pPr>
      <w:ind w:left="1050"/>
      <w:jc w:val="left"/>
    </w:pPr>
    <w:rPr>
      <w:rFonts w:asciiTheme="minorHAnsi" w:hAnsiTheme="minorHAnsi"/>
      <w:sz w:val="18"/>
      <w:szCs w:val="18"/>
    </w:rPr>
  </w:style>
  <w:style w:type="paragraph" w:styleId="25">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26">
    <w:name w:val="toc 2"/>
    <w:basedOn w:val="1"/>
    <w:next w:val="1"/>
    <w:qFormat/>
    <w:uiPriority w:val="39"/>
    <w:pPr>
      <w:ind w:left="210"/>
      <w:jc w:val="left"/>
    </w:pPr>
    <w:rPr>
      <w:rFonts w:asciiTheme="minorHAnsi" w:hAnsiTheme="minorHAnsi"/>
      <w:smallCaps/>
      <w:sz w:val="20"/>
      <w:szCs w:val="20"/>
    </w:rPr>
  </w:style>
  <w:style w:type="paragraph" w:styleId="27">
    <w:name w:val="toc 9"/>
    <w:basedOn w:val="1"/>
    <w:next w:val="1"/>
    <w:qFormat/>
    <w:uiPriority w:val="0"/>
    <w:pPr>
      <w:ind w:left="1680"/>
      <w:jc w:val="left"/>
    </w:pPr>
    <w:rPr>
      <w:rFonts w:asciiTheme="minorHAnsi" w:hAnsiTheme="minorHAnsi"/>
      <w:sz w:val="18"/>
      <w:szCs w:val="18"/>
    </w:rPr>
  </w:style>
  <w:style w:type="paragraph" w:styleId="28">
    <w:name w:val="Body Text 2"/>
    <w:basedOn w:val="1"/>
    <w:link w:val="53"/>
    <w:qFormat/>
    <w:uiPriority w:val="0"/>
    <w:pPr>
      <w:spacing w:after="120" w:line="480" w:lineRule="auto"/>
    </w:p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Body Text First Indent"/>
    <w:basedOn w:val="10"/>
    <w:next w:val="24"/>
    <w:qFormat/>
    <w:uiPriority w:val="99"/>
    <w:pPr>
      <w:spacing w:after="120" w:line="240" w:lineRule="auto"/>
      <w:ind w:firstLine="420" w:firstLineChars="100"/>
      <w:jc w:val="both"/>
    </w:pPr>
    <w:rPr>
      <w:rFonts w:eastAsia="宋体"/>
      <w:color w:val="auto"/>
      <w:sz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basedOn w:val="34"/>
    <w:qFormat/>
    <w:uiPriority w:val="0"/>
    <w:rPr>
      <w:i/>
    </w:rPr>
  </w:style>
  <w:style w:type="character" w:styleId="39">
    <w:name w:val="Hyperlink"/>
    <w:qFormat/>
    <w:uiPriority w:val="99"/>
    <w:rPr>
      <w:color w:val="0000FF"/>
      <w:u w:val="single"/>
    </w:rPr>
  </w:style>
  <w:style w:type="paragraph" w:customStyle="1" w:styleId="40">
    <w:name w:val="表格文字"/>
    <w:basedOn w:val="1"/>
    <w:next w:val="10"/>
    <w:qFormat/>
    <w:uiPriority w:val="0"/>
    <w:pPr>
      <w:adjustRightInd w:val="0"/>
      <w:spacing w:line="420" w:lineRule="atLeast"/>
      <w:jc w:val="left"/>
      <w:textAlignment w:val="baseline"/>
    </w:pPr>
    <w:rPr>
      <w:kern w:val="0"/>
      <w:szCs w:val="21"/>
    </w:rPr>
  </w:style>
  <w:style w:type="character" w:customStyle="1" w:styleId="41">
    <w:name w:val="页脚 字符"/>
    <w:link w:val="20"/>
    <w:qFormat/>
    <w:uiPriority w:val="99"/>
    <w:rPr>
      <w:kern w:val="2"/>
      <w:sz w:val="18"/>
      <w:szCs w:val="18"/>
    </w:rPr>
  </w:style>
  <w:style w:type="character" w:customStyle="1" w:styleId="42">
    <w:name w:val="正文文本缩进 字符"/>
    <w:link w:val="12"/>
    <w:qFormat/>
    <w:uiPriority w:val="99"/>
    <w:rPr>
      <w:rFonts w:ascii="仿宋_GB2312" w:hAnsi="宋体" w:eastAsia="仿宋_GB2312"/>
      <w:kern w:val="2"/>
      <w:sz w:val="30"/>
      <w:szCs w:val="24"/>
      <w:lang w:val="en-US" w:eastAsia="zh-CN" w:bidi="ar-SA"/>
    </w:rPr>
  </w:style>
  <w:style w:type="character" w:customStyle="1" w:styleId="43">
    <w:name w:val="ptb181"/>
    <w:qFormat/>
    <w:uiPriority w:val="0"/>
    <w:rPr>
      <w:rFonts w:hint="default" w:ascii="Verdana" w:hAnsi="Verdana"/>
      <w:b/>
      <w:bCs/>
      <w:color w:val="000000"/>
      <w:sz w:val="27"/>
      <w:szCs w:val="27"/>
    </w:rPr>
  </w:style>
  <w:style w:type="paragraph" w:customStyle="1" w:styleId="44">
    <w:name w:val="Char"/>
    <w:basedOn w:val="1"/>
    <w:qFormat/>
    <w:uiPriority w:val="0"/>
    <w:rPr>
      <w:rFonts w:ascii="仿宋_GB2312" w:eastAsia="仿宋_GB2312"/>
      <w:b/>
      <w:sz w:val="32"/>
      <w:szCs w:val="32"/>
    </w:rPr>
  </w:style>
  <w:style w:type="character" w:customStyle="1" w:styleId="45">
    <w:name w:val="页眉 字符"/>
    <w:link w:val="21"/>
    <w:qFormat/>
    <w:uiPriority w:val="0"/>
    <w:rPr>
      <w:kern w:val="2"/>
      <w:sz w:val="18"/>
      <w:szCs w:val="18"/>
    </w:rPr>
  </w:style>
  <w:style w:type="character" w:customStyle="1" w:styleId="46">
    <w:name w:val="纯文本 字符1"/>
    <w:link w:val="15"/>
    <w:qFormat/>
    <w:uiPriority w:val="0"/>
    <w:rPr>
      <w:rFonts w:ascii="宋体" w:hAnsi="Courier New"/>
      <w:kern w:val="2"/>
      <w:sz w:val="24"/>
      <w:szCs w:val="24"/>
    </w:rPr>
  </w:style>
  <w:style w:type="paragraph" w:customStyle="1" w:styleId="47">
    <w:name w:val="默认段落字体 Para Char Char Char Char Char Char Char Char Char1 Char Char Char Char"/>
    <w:basedOn w:val="1"/>
    <w:qFormat/>
    <w:uiPriority w:val="0"/>
    <w:rPr>
      <w:rFonts w:ascii="Tahoma" w:hAnsi="Tahoma"/>
      <w:sz w:val="24"/>
      <w:szCs w:val="20"/>
    </w:rPr>
  </w:style>
  <w:style w:type="character" w:customStyle="1" w:styleId="48">
    <w:name w:val="批注框文本 字符"/>
    <w:link w:val="19"/>
    <w:qFormat/>
    <w:uiPriority w:val="0"/>
    <w:rPr>
      <w:kern w:val="2"/>
      <w:sz w:val="18"/>
      <w:szCs w:val="18"/>
    </w:rPr>
  </w:style>
  <w:style w:type="paragraph" w:customStyle="1" w:styleId="49">
    <w:name w:val="Char1 Char Char Char"/>
    <w:basedOn w:val="1"/>
    <w:qFormat/>
    <w:uiPriority w:val="0"/>
    <w:pPr>
      <w:widowControl/>
      <w:snapToGrid w:val="0"/>
      <w:spacing w:before="120" w:after="160" w:line="360" w:lineRule="auto"/>
      <w:ind w:right="-360"/>
      <w:jc w:val="left"/>
    </w:pPr>
  </w:style>
  <w:style w:type="character" w:customStyle="1" w:styleId="50">
    <w:name w:val="value"/>
    <w:basedOn w:val="34"/>
    <w:qFormat/>
    <w:uiPriority w:val="0"/>
  </w:style>
  <w:style w:type="character" w:customStyle="1" w:styleId="51">
    <w:name w:val="正文文本缩进 2 字符"/>
    <w:basedOn w:val="34"/>
    <w:link w:val="18"/>
    <w:qFormat/>
    <w:uiPriority w:val="0"/>
    <w:rPr>
      <w:rFonts w:ascii="宋体" w:hAnsi="宋体"/>
      <w:kern w:val="2"/>
      <w:sz w:val="24"/>
      <w:szCs w:val="24"/>
    </w:rPr>
  </w:style>
  <w:style w:type="character" w:customStyle="1" w:styleId="52">
    <w:name w:val="日期 字符"/>
    <w:basedOn w:val="34"/>
    <w:link w:val="17"/>
    <w:qFormat/>
    <w:locked/>
    <w:uiPriority w:val="0"/>
    <w:rPr>
      <w:rFonts w:ascii="仿宋_GB2312" w:hAnsi="宋体" w:eastAsia="仿宋_GB2312"/>
      <w:kern w:val="2"/>
      <w:sz w:val="30"/>
      <w:szCs w:val="24"/>
    </w:rPr>
  </w:style>
  <w:style w:type="character" w:customStyle="1" w:styleId="53">
    <w:name w:val="正文文本 2 字符"/>
    <w:basedOn w:val="34"/>
    <w:link w:val="28"/>
    <w:qFormat/>
    <w:uiPriority w:val="0"/>
    <w:rPr>
      <w:kern w:val="2"/>
      <w:sz w:val="21"/>
      <w:szCs w:val="24"/>
    </w:rPr>
  </w:style>
  <w:style w:type="character" w:customStyle="1" w:styleId="54">
    <w:name w:val="页脚 Char1"/>
    <w:qFormat/>
    <w:uiPriority w:val="99"/>
    <w:rPr>
      <w:sz w:val="18"/>
      <w:szCs w:val="18"/>
    </w:rPr>
  </w:style>
  <w:style w:type="character" w:customStyle="1" w:styleId="55">
    <w:name w:val="页眉 Char1"/>
    <w:qFormat/>
    <w:uiPriority w:val="0"/>
    <w:rPr>
      <w:sz w:val="18"/>
      <w:szCs w:val="18"/>
    </w:rPr>
  </w:style>
  <w:style w:type="character" w:customStyle="1" w:styleId="56">
    <w:name w:val="题注 字符"/>
    <w:link w:val="8"/>
    <w:qFormat/>
    <w:uiPriority w:val="0"/>
    <w:rPr>
      <w:rFonts w:ascii="Arial" w:hAnsi="Arial" w:eastAsia="黑体" w:cs="Arial"/>
    </w:rPr>
  </w:style>
  <w:style w:type="paragraph" w:customStyle="1" w:styleId="5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纯文本 字符"/>
    <w:qFormat/>
    <w:uiPriority w:val="99"/>
    <w:rPr>
      <w:rFonts w:ascii="宋体" w:hAnsi="Courier New" w:eastAsia="宋体"/>
      <w:kern w:val="2"/>
      <w:sz w:val="21"/>
      <w:lang w:val="en-US" w:eastAsia="zh-CN" w:bidi="ar-SA"/>
    </w:rPr>
  </w:style>
  <w:style w:type="character" w:customStyle="1" w:styleId="59">
    <w:name w:val="bookmark-item"/>
    <w:basedOn w:val="34"/>
    <w:qFormat/>
    <w:uiPriority w:val="0"/>
  </w:style>
  <w:style w:type="paragraph" w:customStyle="1" w:styleId="60">
    <w:name w:val="段"/>
    <w:basedOn w:val="1"/>
    <w:next w:val="1"/>
    <w:qFormat/>
    <w:uiPriority w:val="0"/>
    <w:pPr>
      <w:widowControl/>
      <w:autoSpaceDE w:val="0"/>
      <w:autoSpaceDN w:val="0"/>
      <w:ind w:firstLine="200" w:firstLineChars="200"/>
    </w:pPr>
    <w:rPr>
      <w:rFonts w:ascii="宋体" w:hAnsi="Calibri" w:cs="宋体"/>
      <w:kern w:val="0"/>
      <w:szCs w:val="21"/>
    </w:rPr>
  </w:style>
  <w:style w:type="paragraph" w:customStyle="1" w:styleId="61">
    <w:name w:val="此正文"/>
    <w:basedOn w:val="1"/>
    <w:qFormat/>
    <w:uiPriority w:val="0"/>
    <w:pPr>
      <w:spacing w:line="360" w:lineRule="auto"/>
      <w:ind w:firstLine="200" w:firstLineChars="200"/>
    </w:pPr>
    <w:rPr>
      <w:sz w:val="24"/>
    </w:rPr>
  </w:style>
  <w:style w:type="paragraph" w:styleId="62">
    <w:name w:val="List Paragraph"/>
    <w:basedOn w:val="1"/>
    <w:qFormat/>
    <w:uiPriority w:val="34"/>
    <w:pPr>
      <w:ind w:firstLine="420" w:firstLineChars="200"/>
    </w:pPr>
  </w:style>
  <w:style w:type="paragraph" w:customStyle="1" w:styleId="63">
    <w:name w:val="段落样式"/>
    <w:basedOn w:val="1"/>
    <w:next w:val="62"/>
    <w:qFormat/>
    <w:uiPriority w:val="0"/>
    <w:pPr>
      <w:ind w:firstLine="420" w:firstLineChars="200"/>
    </w:pPr>
    <w:rPr>
      <w:kern w:val="0"/>
      <w:sz w:val="20"/>
      <w:szCs w:val="20"/>
    </w:rPr>
  </w:style>
  <w:style w:type="paragraph" w:customStyle="1" w:styleId="64">
    <w:name w:val="列出段落1"/>
    <w:basedOn w:val="1"/>
    <w:qFormat/>
    <w:uiPriority w:val="0"/>
    <w:pPr>
      <w:ind w:firstLine="420" w:firstLineChars="200"/>
    </w:pPr>
  </w:style>
  <w:style w:type="paragraph" w:styleId="65">
    <w:name w:val="No Spacing"/>
    <w:basedOn w:val="1"/>
    <w:qFormat/>
    <w:uiPriority w:val="1"/>
    <w:rPr>
      <w:rFonts w:ascii="Calibri" w:hAnsi="Calibri"/>
      <w:sz w:val="24"/>
    </w:rPr>
  </w:style>
  <w:style w:type="character" w:customStyle="1" w:styleId="66">
    <w:name w:val="font91"/>
    <w:basedOn w:val="34"/>
    <w:qFormat/>
    <w:uiPriority w:val="0"/>
    <w:rPr>
      <w:rFonts w:hint="eastAsia" w:ascii="宋体" w:hAnsi="宋体" w:eastAsia="宋体" w:cs="宋体"/>
      <w:color w:val="FF0000"/>
      <w:sz w:val="22"/>
      <w:szCs w:val="22"/>
      <w:u w:val="none"/>
    </w:rPr>
  </w:style>
  <w:style w:type="character" w:customStyle="1" w:styleId="67">
    <w:name w:val="font21"/>
    <w:basedOn w:val="34"/>
    <w:qFormat/>
    <w:uiPriority w:val="0"/>
    <w:rPr>
      <w:rFonts w:hint="eastAsia" w:ascii="宋体" w:hAnsi="宋体" w:eastAsia="宋体" w:cs="宋体"/>
      <w:color w:val="000000"/>
      <w:sz w:val="22"/>
      <w:szCs w:val="22"/>
      <w:u w:val="none"/>
    </w:rPr>
  </w:style>
  <w:style w:type="character" w:customStyle="1" w:styleId="68">
    <w:name w:val="font11"/>
    <w:basedOn w:val="34"/>
    <w:qFormat/>
    <w:uiPriority w:val="0"/>
    <w:rPr>
      <w:rFonts w:hint="eastAsia" w:ascii="宋体" w:hAnsi="宋体" w:eastAsia="宋体" w:cs="宋体"/>
      <w:color w:val="000000"/>
      <w:sz w:val="24"/>
      <w:szCs w:val="24"/>
      <w:u w:val="none"/>
    </w:rPr>
  </w:style>
  <w:style w:type="character" w:customStyle="1" w:styleId="69">
    <w:name w:val="font41"/>
    <w:basedOn w:val="34"/>
    <w:qFormat/>
    <w:uiPriority w:val="0"/>
    <w:rPr>
      <w:rFonts w:hint="eastAsia" w:ascii="宋体" w:hAnsi="宋体" w:eastAsia="宋体" w:cs="宋体"/>
      <w:color w:val="000000"/>
      <w:sz w:val="20"/>
      <w:szCs w:val="20"/>
      <w:u w:val="none"/>
    </w:rPr>
  </w:style>
  <w:style w:type="paragraph" w:customStyle="1" w:styleId="70">
    <w:name w:val="_Style 3"/>
    <w:basedOn w:val="1"/>
    <w:qFormat/>
    <w:uiPriority w:val="34"/>
    <w:pPr>
      <w:adjustRightInd/>
      <w:ind w:firstLine="420" w:firstLineChars="200"/>
    </w:pPr>
    <w:rPr>
      <w:rFonts w:eastAsia="仿宋_GB2312"/>
      <w:sz w:val="28"/>
    </w:rPr>
  </w:style>
  <w:style w:type="paragraph" w:customStyle="1" w:styleId="71">
    <w:name w:val="_Style 13"/>
    <w:basedOn w:val="1"/>
    <w:next w:val="62"/>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28440</Words>
  <Characters>32308</Characters>
  <Lines>260</Lines>
  <Paragraphs>73</Paragraphs>
  <TotalTime>102</TotalTime>
  <ScaleCrop>false</ScaleCrop>
  <LinksUpToDate>false</LinksUpToDate>
  <CharactersWithSpaces>33597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2021-03-26T16:35:00Z</dcterms:created>
  <dc:creator>user</dc:creator>
  <cp:lastModifiedBy>Huzhou</cp:lastModifiedBy>
  <cp:lastPrinted>2022-04-10T08:41:00Z</cp:lastPrinted>
  <dcterms:modified xsi:type="dcterms:W3CDTF">2022-10-08T17:39:17Z</dcterms:modified>
  <dc:title>项目名称：浙江省湖州市（单位）</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1A8D26A178F048C6B7F698228E7AA46B</vt:lpwstr>
  </property>
  <property fmtid="{D5CDD505-2E9C-101B-9397-08002B2CF9AE}" pid="4" name="woTemplateTypoMode" linkTarget="0">
    <vt:lpwstr>web</vt:lpwstr>
  </property>
  <property fmtid="{D5CDD505-2E9C-101B-9397-08002B2CF9AE}" pid="5" name="woTemplate" linkTarget="0">
    <vt:i4>1</vt:i4>
  </property>
</Properties>
</file>