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right"/>
        <w:rPr>
          <w:rFonts w:ascii="仿宋_GB2312"/>
          <w:color w:val="000000" w:themeColor="text1"/>
          <w14:textFill>
            <w14:solidFill>
              <w14:schemeClr w14:val="tx1"/>
            </w14:solidFill>
          </w14:textFill>
        </w:rPr>
      </w:pPr>
      <w:bookmarkStart w:id="0" w:name="_GoBack"/>
      <w:bookmarkEnd w:id="0"/>
      <w:r>
        <w:rPr>
          <w:color w:val="000000" w:themeColor="text1"/>
          <w14:textFill>
            <w14:solidFill>
              <w14:schemeClr w14:val="tx1"/>
            </w14:solidFill>
          </w14:textFill>
        </w:rPr>
        <w:t>ZJEC16</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2019</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0002</w:t>
      </w:r>
    </w:p>
    <w:p>
      <w:pPr>
        <w:spacing w:line="400" w:lineRule="exact"/>
        <w:jc w:val="left"/>
        <w:rPr>
          <w:b/>
          <w:color w:val="000000" w:themeColor="text1"/>
          <w14:textFill>
            <w14:solidFill>
              <w14:schemeClr w14:val="tx1"/>
            </w14:solidFill>
          </w14:textFill>
        </w:rPr>
      </w:pPr>
    </w:p>
    <w:p>
      <w:pPr>
        <w:spacing w:line="480" w:lineRule="exact"/>
        <w:jc w:val="left"/>
        <w:rPr>
          <w:color w:val="000000" w:themeColor="text1"/>
          <w14:textFill>
            <w14:solidFill>
              <w14:schemeClr w14:val="tx1"/>
            </w14:solidFill>
          </w14:textFill>
        </w:rPr>
      </w:pPr>
    </w:p>
    <w:p>
      <w:pPr>
        <w:spacing w:line="400" w:lineRule="exact"/>
        <w:rPr>
          <w:color w:val="000000" w:themeColor="text1"/>
          <w14:textFill>
            <w14:solidFill>
              <w14:schemeClr w14:val="tx1"/>
            </w14:solidFill>
          </w14:textFill>
        </w:rPr>
      </w:pPr>
    </w:p>
    <w:p>
      <w:pPr>
        <w:spacing w:line="400" w:lineRule="exact"/>
        <w:rPr>
          <w:rFonts w:eastAsia="黑体"/>
          <w:color w:val="000000" w:themeColor="text1"/>
          <w:sz w:val="36"/>
          <w14:textFill>
            <w14:solidFill>
              <w14:schemeClr w14:val="tx1"/>
            </w14:solidFill>
          </w14:textFill>
        </w:rPr>
      </w:pPr>
    </w:p>
    <w:p>
      <w:pPr>
        <w:spacing w:line="460" w:lineRule="exact"/>
        <w:rPr>
          <w:rFonts w:eastAsia="黑体"/>
          <w:color w:val="000000" w:themeColor="text1"/>
          <w:sz w:val="36"/>
          <w14:textFill>
            <w14:solidFill>
              <w14:schemeClr w14:val="tx1"/>
            </w14:solidFill>
          </w14:textFill>
        </w:rPr>
      </w:pPr>
    </w:p>
    <w:p>
      <w:pPr>
        <w:spacing w:line="640" w:lineRule="exact"/>
        <w:rPr>
          <w:rFonts w:eastAsia="黑体"/>
          <w:color w:val="000000" w:themeColor="text1"/>
          <w:sz w:val="36"/>
          <w14:textFill>
            <w14:solidFill>
              <w14:schemeClr w14:val="tx1"/>
            </w14:solidFill>
          </w14:textFill>
        </w:rPr>
      </w:pPr>
    </w:p>
    <w:p>
      <w:pPr>
        <w:spacing w:line="960" w:lineRule="exact"/>
        <w:rPr>
          <w:rFonts w:eastAsia="黑体"/>
          <w:color w:val="000000" w:themeColor="text1"/>
          <w:sz w:val="36"/>
          <w14:textFill>
            <w14:solidFill>
              <w14:schemeClr w14:val="tx1"/>
            </w14:solidFill>
          </w14:textFill>
        </w:rPr>
      </w:pPr>
    </w:p>
    <w:p>
      <w:pPr>
        <w:spacing w:line="500" w:lineRule="exact"/>
        <w:jc w:val="center"/>
        <w:rPr>
          <w:bCs/>
          <w:snapToGrid w:val="0"/>
          <w:color w:val="000000" w:themeColor="text1"/>
          <w:kern w:val="0"/>
          <w14:textFill>
            <w14:solidFill>
              <w14:schemeClr w14:val="tx1"/>
            </w14:solidFill>
          </w14:textFill>
        </w:rPr>
      </w:pPr>
      <w:r>
        <w:rPr>
          <w:rFonts w:hint="eastAsia"/>
          <w:bCs/>
          <w:snapToGrid w:val="0"/>
          <w:color w:val="000000" w:themeColor="text1"/>
          <w:kern w:val="0"/>
          <w14:textFill>
            <w14:solidFill>
              <w14:schemeClr w14:val="tx1"/>
            </w14:solidFill>
          </w14:textFill>
        </w:rPr>
        <w:t>湖建发</w:t>
      </w:r>
      <w:r>
        <w:rPr>
          <w:bCs/>
          <w:snapToGrid w:val="0"/>
          <w:color w:val="000000" w:themeColor="text1"/>
          <w:kern w:val="0"/>
          <w14:textFill>
            <w14:solidFill>
              <w14:schemeClr w14:val="tx1"/>
            </w14:solidFill>
          </w14:textFill>
        </w:rPr>
        <w:t>〔20</w:t>
      </w:r>
      <w:r>
        <w:rPr>
          <w:rFonts w:hint="eastAsia"/>
          <w:bCs/>
          <w:snapToGrid w:val="0"/>
          <w:color w:val="000000" w:themeColor="text1"/>
          <w:kern w:val="0"/>
          <w14:textFill>
            <w14:solidFill>
              <w14:schemeClr w14:val="tx1"/>
            </w14:solidFill>
          </w14:textFill>
        </w:rPr>
        <w:t>19</w:t>
      </w:r>
      <w:r>
        <w:rPr>
          <w:bCs/>
          <w:snapToGrid w:val="0"/>
          <w:color w:val="000000" w:themeColor="text1"/>
          <w:kern w:val="0"/>
          <w14:textFill>
            <w14:solidFill>
              <w14:schemeClr w14:val="tx1"/>
            </w14:solidFill>
          </w14:textFill>
        </w:rPr>
        <w:t>〕</w:t>
      </w:r>
      <w:r>
        <w:rPr>
          <w:rFonts w:hint="eastAsia"/>
          <w:bCs/>
          <w:snapToGrid w:val="0"/>
          <w:color w:val="000000" w:themeColor="text1"/>
          <w:kern w:val="0"/>
          <w14:textFill>
            <w14:solidFill>
              <w14:schemeClr w14:val="tx1"/>
            </w14:solidFill>
          </w14:textFill>
        </w:rPr>
        <w:t>95号</w:t>
      </w:r>
    </w:p>
    <w:p>
      <w:pPr>
        <w:spacing w:line="600" w:lineRule="exact"/>
        <w:jc w:val="center"/>
        <w:rPr>
          <w:color w:val="000000" w:themeColor="text1"/>
          <w14:textFill>
            <w14:solidFill>
              <w14:schemeClr w14:val="tx1"/>
            </w14:solidFill>
          </w14:textFill>
        </w:rPr>
      </w:pPr>
    </w:p>
    <w:p>
      <w:pPr>
        <w:spacing w:line="600" w:lineRule="exact"/>
        <w:jc w:val="center"/>
        <w:rPr>
          <w:color w:val="000000" w:themeColor="text1"/>
          <w14:textFill>
            <w14:solidFill>
              <w14:schemeClr w14:val="tx1"/>
            </w14:solidFill>
          </w14:textFill>
        </w:rPr>
      </w:pPr>
    </w:p>
    <w:p>
      <w:pPr>
        <w:spacing w:line="640" w:lineRule="exact"/>
        <w:jc w:val="center"/>
        <w:rPr>
          <w:rFonts w:ascii="方正小标宋简体" w:hAnsi="方正小标宋简体" w:eastAsia="方正小标宋简体" w:cs="方正小标宋简体"/>
          <w:bCs/>
          <w:snapToGrid w:val="0"/>
          <w:color w:val="000000"/>
          <w:kern w:val="0"/>
          <w:sz w:val="44"/>
          <w:szCs w:val="44"/>
        </w:rPr>
      </w:pPr>
      <w:r>
        <w:rPr>
          <w:rFonts w:hint="eastAsia" w:ascii="方正小标宋简体" w:hAnsi="宋体" w:eastAsia="方正小标宋简体"/>
          <w:bCs/>
          <w:snapToGrid w:val="0"/>
          <w:color w:val="000000" w:themeColor="text1"/>
          <w:kern w:val="0"/>
          <w:sz w:val="44"/>
          <w:szCs w:val="44"/>
          <w14:textFill>
            <w14:solidFill>
              <w14:schemeClr w14:val="tx1"/>
            </w14:solidFill>
          </w14:textFill>
        </w:rPr>
        <w:t>湖州市住房和城乡建设局关于</w:t>
      </w:r>
    </w:p>
    <w:p>
      <w:pPr>
        <w:spacing w:line="640" w:lineRule="exact"/>
        <w:jc w:val="center"/>
        <w:rPr>
          <w:rFonts w:ascii="方正小标宋简体" w:hAnsi="方正小标宋简体" w:eastAsia="方正小标宋简体" w:cs="方正小标宋简体"/>
          <w:bCs/>
          <w:snapToGrid w:val="0"/>
          <w:color w:val="000000"/>
          <w:spacing w:val="20"/>
          <w:kern w:val="0"/>
          <w:sz w:val="44"/>
          <w:szCs w:val="44"/>
        </w:rPr>
      </w:pPr>
      <w:r>
        <w:rPr>
          <w:rFonts w:hint="eastAsia" w:ascii="方正小标宋简体" w:hAnsi="方正小标宋简体" w:eastAsia="方正小标宋简体" w:cs="方正小标宋简体"/>
          <w:bCs/>
          <w:snapToGrid w:val="0"/>
          <w:color w:val="000000"/>
          <w:spacing w:val="20"/>
          <w:kern w:val="0"/>
          <w:sz w:val="44"/>
          <w:szCs w:val="44"/>
        </w:rPr>
        <w:t>印发《湖州市建筑施工企业信用</w:t>
      </w:r>
    </w:p>
    <w:p>
      <w:pPr>
        <w:spacing w:line="640" w:lineRule="exact"/>
        <w:jc w:val="center"/>
        <w:rPr>
          <w:rFonts w:ascii="方正小标宋简体" w:hAnsi="方正小标宋简体" w:eastAsia="方正小标宋简体" w:cs="方正小标宋简体"/>
          <w:bCs/>
          <w:snapToGrid w:val="0"/>
          <w:kern w:val="0"/>
          <w:sz w:val="44"/>
          <w:szCs w:val="44"/>
        </w:rPr>
      </w:pPr>
      <w:r>
        <w:rPr>
          <w:rFonts w:hint="eastAsia" w:ascii="方正小标宋简体" w:hAnsi="方正小标宋简体" w:eastAsia="方正小标宋简体" w:cs="方正小标宋简体"/>
          <w:bCs/>
          <w:snapToGrid w:val="0"/>
          <w:color w:val="000000"/>
          <w:kern w:val="0"/>
          <w:sz w:val="44"/>
          <w:szCs w:val="44"/>
        </w:rPr>
        <w:t>评价办法（试行）》的通知</w:t>
      </w:r>
    </w:p>
    <w:p>
      <w:pPr>
        <w:pStyle w:val="16"/>
        <w:spacing w:line="640" w:lineRule="exact"/>
        <w:ind w:firstLine="0"/>
        <w:jc w:val="center"/>
        <w:rPr>
          <w:rFonts w:ascii="仿宋_GB2312"/>
          <w:snapToGrid w:val="0"/>
          <w:color w:val="auto"/>
          <w:kern w:val="32"/>
        </w:rPr>
      </w:pPr>
    </w:p>
    <w:p>
      <w:pPr>
        <w:spacing w:line="660" w:lineRule="exact"/>
        <w:rPr>
          <w:rFonts w:ascii="仿宋_GB2312"/>
          <w:color w:val="000000"/>
          <w:szCs w:val="32"/>
        </w:rPr>
      </w:pPr>
      <w:r>
        <w:rPr>
          <w:rFonts w:hint="eastAsia" w:ascii="仿宋_GB2312"/>
          <w:color w:val="000000"/>
          <w:szCs w:val="32"/>
        </w:rPr>
        <w:t>各区县建设局，各有关单位：</w:t>
      </w:r>
    </w:p>
    <w:p>
      <w:pPr>
        <w:spacing w:line="660" w:lineRule="exact"/>
        <w:ind w:firstLine="632" w:firstLineChars="200"/>
        <w:rPr>
          <w:snapToGrid w:val="0"/>
          <w:kern w:val="32"/>
          <w:szCs w:val="32"/>
        </w:rPr>
      </w:pPr>
      <w:r>
        <w:rPr>
          <w:rFonts w:hint="eastAsia" w:ascii="仿宋_GB2312"/>
          <w:color w:val="000000"/>
          <w:szCs w:val="32"/>
        </w:rPr>
        <w:t>为进一步推进我市建筑市场信用体系建设，全面提高建筑施工企业综合素质，营造诚实守信的市场环境，促进行业健康发展。根据《国务院办公厅关于促进建筑业持续健康发展的意见</w:t>
      </w:r>
      <w:r>
        <w:rPr>
          <w:rFonts w:hint="eastAsia" w:ascii="仿宋_GB2312"/>
          <w:szCs w:val="32"/>
        </w:rPr>
        <w:t>》（</w:t>
      </w:r>
      <w:r>
        <w:rPr>
          <w:rFonts w:ascii="仿宋_GB2312"/>
          <w:szCs w:val="32"/>
        </w:rPr>
        <w:t>国办发〔2017〕19号</w:t>
      </w:r>
      <w:r>
        <w:rPr>
          <w:rFonts w:hint="eastAsia" w:ascii="仿宋_GB2312"/>
          <w:szCs w:val="32"/>
        </w:rPr>
        <w:t>）</w:t>
      </w:r>
      <w:r>
        <w:rPr>
          <w:rFonts w:hint="eastAsia" w:ascii="仿宋_GB2312"/>
          <w:color w:val="000000"/>
          <w:szCs w:val="32"/>
        </w:rPr>
        <w:t>等有关规定，同时按照《湖州市房屋建筑和市政基础设施工程施工招标投标评标办法》（湖政办发〔2019〕15号）要求，并结合我市实际，我局制定了《湖州市建筑施工企业信用评价办法（试行）》，现印发给你们，请认真贯彻执行。</w:t>
      </w:r>
    </w:p>
    <w:p>
      <w:pPr>
        <w:spacing w:line="660" w:lineRule="exact"/>
        <w:jc w:val="center"/>
        <w:rPr>
          <w:snapToGrid w:val="0"/>
          <w:kern w:val="32"/>
          <w:szCs w:val="32"/>
        </w:rPr>
      </w:pPr>
    </w:p>
    <w:p>
      <w:pPr>
        <w:spacing w:line="660" w:lineRule="exact"/>
        <w:jc w:val="center"/>
        <w:rPr>
          <w:rFonts w:ascii="仿宋_GB2312"/>
          <w:snapToGrid w:val="0"/>
          <w:color w:val="000000" w:themeColor="text1"/>
          <w:kern w:val="32"/>
          <w:szCs w:val="32"/>
          <w14:textFill>
            <w14:solidFill>
              <w14:schemeClr w14:val="tx1"/>
            </w14:solidFill>
          </w14:textFill>
        </w:rPr>
      </w:pPr>
    </w:p>
    <w:p>
      <w:pPr>
        <w:spacing w:line="660" w:lineRule="exact"/>
        <w:ind w:firstLine="4225" w:firstLineChars="1337"/>
        <w:rPr>
          <w:rFonts w:ascii="仿宋_GB2312"/>
          <w:snapToGrid w:val="0"/>
          <w:color w:val="000000" w:themeColor="text1"/>
          <w:kern w:val="32"/>
          <w:szCs w:val="32"/>
          <w14:textFill>
            <w14:solidFill>
              <w14:schemeClr w14:val="tx1"/>
            </w14:solidFill>
          </w14:textFill>
        </w:rPr>
      </w:pPr>
      <w:r>
        <w:rPr>
          <w:rFonts w:hint="eastAsia" w:ascii="仿宋_GB2312"/>
          <w:snapToGrid w:val="0"/>
          <w:color w:val="000000" w:themeColor="text1"/>
          <w:kern w:val="32"/>
          <w:szCs w:val="32"/>
          <w14:textFill>
            <w14:solidFill>
              <w14:schemeClr w14:val="tx1"/>
            </w14:solidFill>
          </w14:textFill>
        </w:rPr>
        <w:t>湖州市住房和城乡建设局</w:t>
      </w:r>
    </w:p>
    <w:p>
      <w:pPr>
        <w:tabs>
          <w:tab w:val="left" w:pos="7584"/>
        </w:tabs>
        <w:spacing w:line="660" w:lineRule="exact"/>
        <w:ind w:firstLine="632" w:firstLineChars="200"/>
        <w:jc w:val="center"/>
        <w:rPr>
          <w:snapToGrid w:val="0"/>
          <w:color w:val="000000" w:themeColor="text1"/>
          <w:kern w:val="32"/>
          <w:szCs w:val="32"/>
          <w14:textFill>
            <w14:solidFill>
              <w14:schemeClr w14:val="tx1"/>
            </w14:solidFill>
          </w14:textFill>
        </w:rPr>
      </w:pPr>
      <w:r>
        <w:rPr>
          <w:rFonts w:hint="eastAsia" w:ascii="仿宋_GB2312"/>
          <w:snapToGrid w:val="0"/>
          <w:color w:val="000000" w:themeColor="text1"/>
          <w:kern w:val="32"/>
          <w:szCs w:val="32"/>
          <w14:textFill>
            <w14:solidFill>
              <w14:schemeClr w14:val="tx1"/>
            </w14:solidFill>
          </w14:textFill>
        </w:rPr>
        <w:t xml:space="preserve">                </w:t>
      </w:r>
      <w:r>
        <w:rPr>
          <w:snapToGrid w:val="0"/>
          <w:color w:val="000000" w:themeColor="text1"/>
          <w:kern w:val="32"/>
          <w:szCs w:val="32"/>
          <w14:textFill>
            <w14:solidFill>
              <w14:schemeClr w14:val="tx1"/>
            </w14:solidFill>
          </w14:textFill>
        </w:rPr>
        <w:t>201</w:t>
      </w:r>
      <w:r>
        <w:rPr>
          <w:rFonts w:hint="eastAsia"/>
          <w:snapToGrid w:val="0"/>
          <w:color w:val="000000" w:themeColor="text1"/>
          <w:kern w:val="32"/>
          <w:szCs w:val="32"/>
          <w14:textFill>
            <w14:solidFill>
              <w14:schemeClr w14:val="tx1"/>
            </w14:solidFill>
          </w14:textFill>
        </w:rPr>
        <w:t>9</w:t>
      </w:r>
      <w:r>
        <w:rPr>
          <w:snapToGrid w:val="0"/>
          <w:color w:val="000000" w:themeColor="text1"/>
          <w:kern w:val="32"/>
          <w:szCs w:val="32"/>
          <w14:textFill>
            <w14:solidFill>
              <w14:schemeClr w14:val="tx1"/>
            </w14:solidFill>
          </w14:textFill>
        </w:rPr>
        <w:t>年</w:t>
      </w:r>
      <w:r>
        <w:rPr>
          <w:rFonts w:hint="eastAsia"/>
          <w:snapToGrid w:val="0"/>
          <w:color w:val="000000" w:themeColor="text1"/>
          <w:kern w:val="32"/>
          <w:szCs w:val="32"/>
          <w14:textFill>
            <w14:solidFill>
              <w14:schemeClr w14:val="tx1"/>
            </w14:solidFill>
          </w14:textFill>
        </w:rPr>
        <w:t>5</w:t>
      </w:r>
      <w:r>
        <w:rPr>
          <w:snapToGrid w:val="0"/>
          <w:color w:val="000000" w:themeColor="text1"/>
          <w:kern w:val="32"/>
          <w:szCs w:val="32"/>
          <w14:textFill>
            <w14:solidFill>
              <w14:schemeClr w14:val="tx1"/>
            </w14:solidFill>
          </w14:textFill>
        </w:rPr>
        <w:t>月</w:t>
      </w:r>
      <w:r>
        <w:rPr>
          <w:rFonts w:hint="eastAsia"/>
          <w:snapToGrid w:val="0"/>
          <w:color w:val="000000" w:themeColor="text1"/>
          <w:kern w:val="32"/>
          <w:szCs w:val="32"/>
          <w14:textFill>
            <w14:solidFill>
              <w14:schemeClr w14:val="tx1"/>
            </w14:solidFill>
          </w14:textFill>
        </w:rPr>
        <w:t>27</w:t>
      </w:r>
      <w:r>
        <w:rPr>
          <w:snapToGrid w:val="0"/>
          <w:color w:val="000000" w:themeColor="text1"/>
          <w:kern w:val="32"/>
          <w:szCs w:val="32"/>
          <w14:textFill>
            <w14:solidFill>
              <w14:schemeClr w14:val="tx1"/>
            </w14:solidFill>
          </w14:textFill>
        </w:rPr>
        <w:t>日</w:t>
      </w:r>
    </w:p>
    <w:p>
      <w:pPr>
        <w:widowControl/>
        <w:spacing w:line="640" w:lineRule="exact"/>
        <w:jc w:val="left"/>
        <w:rPr>
          <w:snapToGrid w:val="0"/>
          <w:color w:val="000000" w:themeColor="text1"/>
          <w:kern w:val="32"/>
          <w:szCs w:val="32"/>
          <w14:textFill>
            <w14:solidFill>
              <w14:schemeClr w14:val="tx1"/>
            </w14:solidFill>
          </w14:textFill>
        </w:rPr>
      </w:pPr>
      <w:r>
        <w:rPr>
          <w:snapToGrid w:val="0"/>
          <w:color w:val="000000" w:themeColor="text1"/>
          <w:kern w:val="32"/>
          <w:szCs w:val="32"/>
          <w14:textFill>
            <w14:solidFill>
              <w14:schemeClr w14:val="tx1"/>
            </w14:solidFill>
          </w14:textFill>
        </w:rPr>
        <w:br w:type="page"/>
      </w:r>
    </w:p>
    <w:p>
      <w:pPr>
        <w:spacing w:line="580" w:lineRule="exact"/>
        <w:jc w:val="center"/>
        <w:rPr>
          <w:rFonts w:ascii="黑体" w:hAnsi="黑体" w:eastAsia="黑体" w:cs="黑体"/>
          <w:color w:val="000000"/>
          <w:sz w:val="44"/>
          <w:szCs w:val="44"/>
        </w:rPr>
      </w:pPr>
    </w:p>
    <w:p>
      <w:pPr>
        <w:spacing w:line="580" w:lineRule="exact"/>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湖州市建筑施工企业信用评价办法（试行）</w:t>
      </w:r>
    </w:p>
    <w:p>
      <w:pPr>
        <w:spacing w:line="580" w:lineRule="exact"/>
        <w:jc w:val="center"/>
        <w:rPr>
          <w:rFonts w:ascii="黑体" w:eastAsia="黑体"/>
          <w:b/>
          <w:color w:val="000000"/>
          <w:szCs w:val="32"/>
        </w:rPr>
      </w:pPr>
    </w:p>
    <w:p>
      <w:pPr>
        <w:spacing w:before="232" w:beforeLines="50" w:after="232" w:afterLines="50" w:line="560" w:lineRule="exact"/>
        <w:jc w:val="center"/>
        <w:rPr>
          <w:rFonts w:ascii="黑体" w:eastAsia="黑体"/>
          <w:color w:val="000000"/>
          <w:szCs w:val="32"/>
        </w:rPr>
      </w:pPr>
      <w:r>
        <w:rPr>
          <w:rFonts w:hint="eastAsia" w:ascii="黑体" w:eastAsia="黑体"/>
          <w:color w:val="000000"/>
          <w:szCs w:val="32"/>
        </w:rPr>
        <w:t>第一章 总  则</w:t>
      </w:r>
    </w:p>
    <w:p>
      <w:pPr>
        <w:spacing w:line="560" w:lineRule="exact"/>
        <w:ind w:firstLine="632" w:firstLineChars="200"/>
        <w:rPr>
          <w:rFonts w:ascii="仿宋_GB2312"/>
          <w:color w:val="000000"/>
          <w:szCs w:val="32"/>
        </w:rPr>
      </w:pPr>
      <w:r>
        <w:rPr>
          <w:rFonts w:hint="eastAsia" w:ascii="宋体" w:hAnsi="宋体"/>
          <w:b/>
          <w:color w:val="000000"/>
          <w:szCs w:val="32"/>
        </w:rPr>
        <w:t>第一条</w:t>
      </w:r>
      <w:r>
        <w:rPr>
          <w:rFonts w:hint="eastAsia" w:ascii="仿宋_GB2312"/>
          <w:b/>
          <w:color w:val="000000"/>
          <w:szCs w:val="32"/>
        </w:rPr>
        <w:t xml:space="preserve">  </w:t>
      </w:r>
      <w:r>
        <w:rPr>
          <w:rFonts w:hint="eastAsia" w:ascii="仿宋_GB2312"/>
          <w:color w:val="000000"/>
          <w:szCs w:val="32"/>
        </w:rPr>
        <w:t>为进一步推进我市建筑市场信用体系建设，全面提高建筑施工企业综合素质，营造诚实守信的市场环境，促进行业健康发展。根据《国务院办公厅关于促进建筑业持续健康发展的意见</w:t>
      </w:r>
      <w:r>
        <w:rPr>
          <w:rFonts w:hint="eastAsia" w:ascii="仿宋_GB2312"/>
          <w:szCs w:val="32"/>
        </w:rPr>
        <w:t>》（</w:t>
      </w:r>
      <w:r>
        <w:rPr>
          <w:rFonts w:ascii="仿宋_GB2312"/>
          <w:szCs w:val="32"/>
        </w:rPr>
        <w:t>国办发〔2017〕19号</w:t>
      </w:r>
      <w:r>
        <w:rPr>
          <w:rFonts w:hint="eastAsia" w:ascii="仿宋_GB2312"/>
          <w:szCs w:val="32"/>
        </w:rPr>
        <w:t>）、《浙江省人民政府办公厅关于加快建筑业改革与发展的实施意见》（</w:t>
      </w:r>
      <w:r>
        <w:rPr>
          <w:rFonts w:ascii="仿宋_GB2312"/>
          <w:szCs w:val="32"/>
        </w:rPr>
        <w:t> 浙政办发〔2017〕89号</w:t>
      </w:r>
      <w:r>
        <w:rPr>
          <w:rFonts w:hint="eastAsia" w:ascii="仿宋_GB2312"/>
          <w:szCs w:val="32"/>
        </w:rPr>
        <w:t>）、《关于印发&lt;浙江省建筑市场公共信用信息管理办法&gt;的通知》（</w:t>
      </w:r>
      <w:r>
        <w:rPr>
          <w:rFonts w:ascii="仿宋_GB2312"/>
          <w:szCs w:val="32"/>
        </w:rPr>
        <w:t> 浙建〔2017〕20号</w:t>
      </w:r>
      <w:r>
        <w:rPr>
          <w:rFonts w:hint="eastAsia" w:ascii="仿宋_GB2312"/>
          <w:szCs w:val="32"/>
        </w:rPr>
        <w:t>）</w:t>
      </w:r>
      <w:r>
        <w:rPr>
          <w:rFonts w:hint="eastAsia" w:ascii="仿宋_GB2312"/>
          <w:color w:val="000000"/>
          <w:szCs w:val="32"/>
        </w:rPr>
        <w:t>等有关规定,同时按照《湖州市房屋建筑和市政基础设施工程施工招标投标评标办法》（湖政办发〔2019〕15号）要求，并结合我市实际，制定本办法。</w:t>
      </w:r>
    </w:p>
    <w:p>
      <w:pPr>
        <w:spacing w:line="560" w:lineRule="exact"/>
        <w:ind w:firstLine="632" w:firstLineChars="200"/>
        <w:rPr>
          <w:rFonts w:ascii="仿宋_GB2312"/>
          <w:color w:val="000000"/>
          <w:szCs w:val="32"/>
        </w:rPr>
      </w:pPr>
      <w:r>
        <w:rPr>
          <w:rFonts w:hint="eastAsia" w:ascii="宋体" w:hAnsi="宋体"/>
          <w:b/>
          <w:color w:val="000000"/>
          <w:szCs w:val="32"/>
        </w:rPr>
        <w:t xml:space="preserve">第二条 </w:t>
      </w:r>
      <w:r>
        <w:rPr>
          <w:rFonts w:hint="eastAsia" w:ascii="仿宋_GB2312"/>
          <w:color w:val="000000"/>
          <w:szCs w:val="32"/>
        </w:rPr>
        <w:t xml:space="preserve"> 在湖州市行政区域范围内从事工程建设活动的施工企业（以下简称“企业”），按自愿原则依照本办法的规定申请参加信用评价。</w:t>
      </w:r>
    </w:p>
    <w:p>
      <w:pPr>
        <w:spacing w:line="560" w:lineRule="exact"/>
        <w:ind w:firstLine="632" w:firstLineChars="200"/>
        <w:rPr>
          <w:rFonts w:ascii="仿宋_GB2312"/>
          <w:color w:val="000000"/>
          <w:szCs w:val="32"/>
        </w:rPr>
      </w:pPr>
      <w:r>
        <w:rPr>
          <w:rFonts w:hint="eastAsia" w:ascii="宋体" w:hAnsi="宋体"/>
          <w:b/>
          <w:color w:val="000000"/>
          <w:szCs w:val="32"/>
        </w:rPr>
        <w:t xml:space="preserve">第三条 </w:t>
      </w:r>
      <w:r>
        <w:rPr>
          <w:rFonts w:hint="eastAsia" w:ascii="仿宋_GB2312"/>
          <w:color w:val="000000"/>
          <w:szCs w:val="32"/>
        </w:rPr>
        <w:t xml:space="preserve"> 本办法所称企业信用评价，是指对企业资信状况、经营素质和履约信誉等方面的综合情况按规定的量化标准进行评分，依据评分结果确定信用等级，实施分类管理。</w:t>
      </w:r>
    </w:p>
    <w:p>
      <w:pPr>
        <w:spacing w:line="560" w:lineRule="exact"/>
        <w:ind w:firstLine="632" w:firstLineChars="200"/>
        <w:rPr>
          <w:rFonts w:ascii="仿宋_GB2312"/>
          <w:color w:val="000000"/>
          <w:szCs w:val="32"/>
        </w:rPr>
      </w:pPr>
      <w:r>
        <w:rPr>
          <w:rFonts w:hint="eastAsia" w:ascii="宋体" w:hAnsi="宋体"/>
          <w:b/>
          <w:color w:val="000000"/>
          <w:szCs w:val="32"/>
        </w:rPr>
        <w:t xml:space="preserve">第四条 </w:t>
      </w:r>
      <w:r>
        <w:rPr>
          <w:rFonts w:hint="eastAsia" w:ascii="仿宋_GB2312"/>
          <w:color w:val="000000"/>
          <w:szCs w:val="32"/>
        </w:rPr>
        <w:t xml:space="preserve"> 企业信用评价活动应遵循公开、公正、客观、诚实信用的原则。</w:t>
      </w:r>
    </w:p>
    <w:p>
      <w:pPr>
        <w:spacing w:line="560" w:lineRule="exact"/>
        <w:ind w:firstLine="632" w:firstLineChars="200"/>
        <w:rPr>
          <w:rFonts w:ascii="仿宋_GB2312"/>
          <w:color w:val="000000"/>
          <w:szCs w:val="32"/>
        </w:rPr>
      </w:pPr>
      <w:r>
        <w:rPr>
          <w:rFonts w:hint="eastAsia" w:ascii="宋体" w:hAnsi="宋体"/>
          <w:b/>
          <w:color w:val="000000"/>
          <w:szCs w:val="32"/>
        </w:rPr>
        <w:t xml:space="preserve">第五条 </w:t>
      </w:r>
      <w:r>
        <w:rPr>
          <w:rFonts w:hint="eastAsia" w:ascii="仿宋_GB2312"/>
          <w:color w:val="000000"/>
          <w:szCs w:val="32"/>
        </w:rPr>
        <w:t xml:space="preserve"> 市住房和城乡建设局（以下简称“市建设局”）负责全市企业的信用评价工作。各区县建设局负责各辖区内企业信用评价的日常工作，配合市建设局做好企业信用评价工作。</w:t>
      </w:r>
    </w:p>
    <w:p>
      <w:pPr>
        <w:spacing w:before="232" w:beforeLines="50" w:after="232" w:afterLines="50" w:line="560" w:lineRule="exact"/>
        <w:jc w:val="center"/>
        <w:rPr>
          <w:rFonts w:ascii="黑体" w:eastAsia="黑体"/>
          <w:color w:val="000000"/>
          <w:szCs w:val="32"/>
        </w:rPr>
      </w:pPr>
      <w:r>
        <w:rPr>
          <w:rFonts w:hint="eastAsia" w:ascii="黑体" w:eastAsia="黑体"/>
          <w:color w:val="000000"/>
          <w:szCs w:val="32"/>
        </w:rPr>
        <w:t>第二章  评价指标和信用等级</w:t>
      </w:r>
    </w:p>
    <w:p>
      <w:pPr>
        <w:spacing w:line="560" w:lineRule="exact"/>
        <w:ind w:firstLine="632" w:firstLineChars="200"/>
        <w:rPr>
          <w:rFonts w:ascii="仿宋_GB2312"/>
          <w:color w:val="000000"/>
          <w:szCs w:val="32"/>
        </w:rPr>
      </w:pPr>
      <w:r>
        <w:rPr>
          <w:rFonts w:hint="eastAsia" w:ascii="宋体" w:hAnsi="宋体"/>
          <w:b/>
          <w:color w:val="000000"/>
          <w:szCs w:val="32"/>
        </w:rPr>
        <w:t>第六条</w:t>
      </w:r>
      <w:r>
        <w:rPr>
          <w:rFonts w:hint="eastAsia" w:ascii="仿宋_GB2312"/>
          <w:color w:val="000000"/>
          <w:szCs w:val="32"/>
        </w:rPr>
        <w:t xml:space="preserve">  企业信用评价指标体系包括资信状况、经营素质和履约信誉等三方面。资信状况包括资质等级、办公环境、企业荣誉等考核指标；经营素质包括企业工程质量获奖、安全生产评优、科技进步和创新等考核指标；履约信誉包括履约评价、社会责任、日常监管、不良信息等考核指标。</w:t>
      </w:r>
    </w:p>
    <w:p>
      <w:pPr>
        <w:spacing w:line="560" w:lineRule="exact"/>
        <w:ind w:firstLine="632" w:firstLineChars="200"/>
        <w:rPr>
          <w:rFonts w:ascii="仿宋_GB2312"/>
          <w:color w:val="000000"/>
          <w:szCs w:val="32"/>
        </w:rPr>
      </w:pPr>
      <w:r>
        <w:rPr>
          <w:rFonts w:hint="eastAsia" w:ascii="宋体" w:hAnsi="宋体"/>
          <w:b/>
          <w:color w:val="000000"/>
          <w:szCs w:val="32"/>
        </w:rPr>
        <w:t>第七条</w:t>
      </w:r>
      <w:r>
        <w:rPr>
          <w:rFonts w:hint="eastAsia" w:ascii="仿宋_GB2312"/>
          <w:color w:val="000000"/>
          <w:szCs w:val="32"/>
        </w:rPr>
        <w:t xml:space="preserve">  企业信用评价按企业申请类别的信用评价指标确定等级，企业申请信用评价类别分施工总承包资质（仅含建筑工程、市政公用工程）和专业承包资质（仅含建筑装修装饰工程、建筑幕墙工程、电子与智能化工程、消防设施工程和钢结构工程）。企业具有多项资质的应当分别申请信用评价。</w:t>
      </w:r>
    </w:p>
    <w:p>
      <w:pPr>
        <w:spacing w:line="560" w:lineRule="exact"/>
        <w:ind w:firstLine="632" w:firstLineChars="200"/>
        <w:rPr>
          <w:rFonts w:ascii="仿宋_GB2312"/>
          <w:color w:val="000000"/>
          <w:szCs w:val="32"/>
        </w:rPr>
      </w:pPr>
      <w:r>
        <w:rPr>
          <w:rFonts w:hint="eastAsia" w:ascii="仿宋_GB2312"/>
          <w:color w:val="000000"/>
          <w:szCs w:val="32"/>
        </w:rPr>
        <w:t>各申请类别企业信用评价等级分A、B、C三级，其中A级分AAA、AA、A三档。</w:t>
      </w:r>
    </w:p>
    <w:p>
      <w:pPr>
        <w:spacing w:line="560" w:lineRule="exact"/>
        <w:ind w:firstLine="632" w:firstLineChars="200"/>
        <w:rPr>
          <w:rFonts w:ascii="仿宋_GB2312"/>
          <w:color w:val="000000"/>
          <w:szCs w:val="32"/>
        </w:rPr>
      </w:pPr>
      <w:r>
        <w:rPr>
          <w:rFonts w:hint="eastAsia" w:ascii="仿宋_GB2312"/>
          <w:color w:val="000000"/>
          <w:szCs w:val="32"/>
        </w:rPr>
        <w:t>（一）建筑工程施工总承包资质企业信用评价等级按照下列标准确定：</w:t>
      </w:r>
    </w:p>
    <w:p>
      <w:pPr>
        <w:spacing w:line="560" w:lineRule="exact"/>
        <w:ind w:left="640"/>
        <w:rPr>
          <w:rFonts w:ascii="仿宋_GB2312"/>
          <w:color w:val="000000"/>
          <w:szCs w:val="32"/>
        </w:rPr>
      </w:pPr>
      <w:r>
        <w:rPr>
          <w:rFonts w:hint="eastAsia" w:ascii="仿宋_GB2312"/>
          <w:color w:val="000000"/>
          <w:szCs w:val="32"/>
        </w:rPr>
        <w:t>1.A级（AAA档），评价指标得分在85分（含）以上；</w:t>
      </w:r>
    </w:p>
    <w:p>
      <w:pPr>
        <w:spacing w:line="560" w:lineRule="exact"/>
        <w:ind w:firstLine="632" w:firstLineChars="200"/>
        <w:rPr>
          <w:rFonts w:ascii="仿宋_GB2312"/>
          <w:color w:val="000000"/>
          <w:szCs w:val="32"/>
        </w:rPr>
      </w:pPr>
      <w:r>
        <w:rPr>
          <w:rFonts w:hint="eastAsia" w:ascii="仿宋_GB2312"/>
          <w:color w:val="000000"/>
          <w:szCs w:val="32"/>
        </w:rPr>
        <w:t>2.A级（AA档），评价指标得分在75分（含）—85分；</w:t>
      </w:r>
    </w:p>
    <w:p>
      <w:pPr>
        <w:spacing w:line="560" w:lineRule="exact"/>
        <w:ind w:firstLine="632" w:firstLineChars="200"/>
        <w:rPr>
          <w:rFonts w:ascii="仿宋_GB2312"/>
          <w:color w:val="000000"/>
          <w:szCs w:val="32"/>
        </w:rPr>
      </w:pPr>
      <w:r>
        <w:rPr>
          <w:rFonts w:hint="eastAsia" w:ascii="仿宋_GB2312"/>
          <w:color w:val="000000"/>
          <w:szCs w:val="32"/>
        </w:rPr>
        <w:t>3.A级（A档），评价指标得分在65分（含）—75分；</w:t>
      </w:r>
    </w:p>
    <w:p>
      <w:pPr>
        <w:spacing w:line="560" w:lineRule="exact"/>
        <w:ind w:left="640"/>
        <w:rPr>
          <w:rFonts w:ascii="仿宋_GB2312"/>
          <w:color w:val="000000"/>
          <w:szCs w:val="32"/>
        </w:rPr>
      </w:pPr>
      <w:r>
        <w:rPr>
          <w:rFonts w:hint="eastAsia" w:ascii="仿宋_GB2312"/>
          <w:color w:val="000000"/>
          <w:szCs w:val="32"/>
        </w:rPr>
        <w:t>4.B级，评价指标得分在50分（含）—65分；</w:t>
      </w:r>
    </w:p>
    <w:p>
      <w:pPr>
        <w:spacing w:line="560" w:lineRule="exact"/>
        <w:ind w:firstLine="632" w:firstLineChars="200"/>
        <w:rPr>
          <w:rFonts w:ascii="仿宋_GB2312"/>
          <w:color w:val="000000"/>
          <w:szCs w:val="32"/>
        </w:rPr>
      </w:pPr>
      <w:r>
        <w:rPr>
          <w:rFonts w:hint="eastAsia" w:ascii="仿宋_GB2312"/>
          <w:color w:val="000000"/>
          <w:szCs w:val="32"/>
        </w:rPr>
        <w:t>5.C级，评价指标得分在50分以下。</w:t>
      </w:r>
    </w:p>
    <w:p>
      <w:pPr>
        <w:spacing w:line="560" w:lineRule="exact"/>
        <w:ind w:firstLine="632" w:firstLineChars="200"/>
        <w:rPr>
          <w:rFonts w:ascii="仿宋_GB2312"/>
          <w:color w:val="000000"/>
          <w:szCs w:val="32"/>
        </w:rPr>
      </w:pPr>
      <w:r>
        <w:rPr>
          <w:rFonts w:hint="eastAsia" w:ascii="仿宋_GB2312"/>
          <w:color w:val="000000"/>
          <w:szCs w:val="32"/>
        </w:rPr>
        <w:t>（二）市政公用工程施工总承包、专业承包资质企业信用评价等级按照下列标准确定：</w:t>
      </w:r>
    </w:p>
    <w:p>
      <w:pPr>
        <w:spacing w:line="560" w:lineRule="exact"/>
        <w:ind w:firstLine="632" w:firstLineChars="200"/>
        <w:rPr>
          <w:rFonts w:ascii="仿宋_GB2312"/>
          <w:color w:val="000000"/>
          <w:szCs w:val="32"/>
        </w:rPr>
      </w:pPr>
      <w:r>
        <w:rPr>
          <w:rFonts w:hint="eastAsia" w:ascii="仿宋_GB2312"/>
          <w:color w:val="000000"/>
          <w:szCs w:val="32"/>
        </w:rPr>
        <w:t>1.A级（AAA档），评价指标得分在80分（含）以上；</w:t>
      </w:r>
    </w:p>
    <w:p>
      <w:pPr>
        <w:spacing w:line="560" w:lineRule="exact"/>
        <w:ind w:firstLine="632" w:firstLineChars="200"/>
        <w:rPr>
          <w:rFonts w:ascii="仿宋_GB2312"/>
          <w:color w:val="000000"/>
          <w:szCs w:val="32"/>
        </w:rPr>
      </w:pPr>
      <w:r>
        <w:rPr>
          <w:rFonts w:hint="eastAsia" w:ascii="仿宋_GB2312"/>
          <w:color w:val="000000"/>
          <w:szCs w:val="32"/>
        </w:rPr>
        <w:t>2.A级（AA档），评价指标得分在70分（含）—80分；</w:t>
      </w:r>
    </w:p>
    <w:p>
      <w:pPr>
        <w:spacing w:line="560" w:lineRule="exact"/>
        <w:ind w:firstLine="632" w:firstLineChars="200"/>
        <w:rPr>
          <w:rFonts w:ascii="仿宋_GB2312"/>
          <w:color w:val="000000"/>
          <w:szCs w:val="32"/>
        </w:rPr>
      </w:pPr>
      <w:r>
        <w:rPr>
          <w:rFonts w:hint="eastAsia" w:ascii="仿宋_GB2312"/>
          <w:color w:val="000000"/>
          <w:szCs w:val="32"/>
        </w:rPr>
        <w:t>3.A级（A档），评价指标得分在60分（含）—70分；</w:t>
      </w:r>
    </w:p>
    <w:p>
      <w:pPr>
        <w:spacing w:line="560" w:lineRule="exact"/>
        <w:ind w:firstLine="632" w:firstLineChars="200"/>
        <w:rPr>
          <w:rFonts w:ascii="仿宋_GB2312"/>
          <w:color w:val="000000"/>
          <w:szCs w:val="32"/>
        </w:rPr>
      </w:pPr>
      <w:r>
        <w:rPr>
          <w:rFonts w:hint="eastAsia" w:ascii="仿宋_GB2312"/>
          <w:color w:val="000000"/>
          <w:szCs w:val="32"/>
        </w:rPr>
        <w:t>4.B级，评价指标得分在50分（含）—60分；</w:t>
      </w:r>
    </w:p>
    <w:p>
      <w:pPr>
        <w:spacing w:line="560" w:lineRule="exact"/>
        <w:ind w:firstLine="632" w:firstLineChars="200"/>
        <w:rPr>
          <w:rFonts w:ascii="仿宋_GB2312"/>
          <w:color w:val="000000"/>
          <w:szCs w:val="32"/>
        </w:rPr>
      </w:pPr>
      <w:r>
        <w:rPr>
          <w:rFonts w:hint="eastAsia" w:ascii="仿宋_GB2312"/>
          <w:color w:val="000000"/>
          <w:szCs w:val="32"/>
        </w:rPr>
        <w:t>5.C级，评价指标得分在50分以下。</w:t>
      </w:r>
    </w:p>
    <w:p>
      <w:pPr>
        <w:spacing w:line="560" w:lineRule="exact"/>
        <w:ind w:firstLine="632" w:firstLineChars="200"/>
        <w:rPr>
          <w:rFonts w:ascii="仿宋_GB2312"/>
          <w:szCs w:val="32"/>
        </w:rPr>
      </w:pPr>
      <w:r>
        <w:rPr>
          <w:rFonts w:hint="eastAsia" w:ascii="仿宋_GB2312"/>
          <w:szCs w:val="32"/>
        </w:rPr>
        <w:t>（三）考虑各区县建筑工程施工总承包企业发展实际，设定两年过渡期，过渡期内确保各区县（不含开发区、度假区）建筑工程施工总承包AA档及以上企业不少于两个（其中，AAA档1个，AA档1个），评价得分不满足此情况时各区县内各自排名靠前的企业按序递进。</w:t>
      </w:r>
    </w:p>
    <w:p>
      <w:pPr>
        <w:spacing w:before="232" w:beforeLines="50" w:after="232" w:afterLines="50" w:line="560" w:lineRule="exact"/>
        <w:jc w:val="center"/>
        <w:rPr>
          <w:rFonts w:ascii="黑体" w:eastAsia="黑体"/>
          <w:color w:val="000000"/>
          <w:szCs w:val="32"/>
        </w:rPr>
      </w:pPr>
      <w:r>
        <w:rPr>
          <w:rFonts w:hint="eastAsia" w:ascii="黑体" w:eastAsia="黑体"/>
          <w:color w:val="000000"/>
          <w:szCs w:val="32"/>
        </w:rPr>
        <w:t>第三章  评价程序</w:t>
      </w:r>
    </w:p>
    <w:p>
      <w:pPr>
        <w:spacing w:line="560" w:lineRule="exact"/>
        <w:ind w:firstLine="632" w:firstLineChars="200"/>
        <w:rPr>
          <w:rFonts w:ascii="仿宋_GB2312"/>
          <w:color w:val="000000"/>
          <w:szCs w:val="32"/>
        </w:rPr>
      </w:pPr>
      <w:r>
        <w:rPr>
          <w:rFonts w:hint="eastAsia" w:ascii="宋体" w:hAnsi="宋体"/>
          <w:b/>
          <w:color w:val="000000"/>
          <w:szCs w:val="32"/>
        </w:rPr>
        <w:t xml:space="preserve">第八条 </w:t>
      </w:r>
      <w:r>
        <w:rPr>
          <w:rFonts w:hint="eastAsia" w:ascii="仿宋_GB2312"/>
          <w:color w:val="000000"/>
          <w:szCs w:val="32"/>
        </w:rPr>
        <w:t xml:space="preserve"> 企业信用评价按照下列程序进行：</w:t>
      </w:r>
    </w:p>
    <w:p>
      <w:pPr>
        <w:spacing w:line="560" w:lineRule="exact"/>
        <w:ind w:firstLine="632" w:firstLineChars="200"/>
        <w:rPr>
          <w:rFonts w:ascii="仿宋_GB2312"/>
          <w:b/>
          <w:color w:val="000000"/>
          <w:szCs w:val="32"/>
        </w:rPr>
      </w:pPr>
      <w:r>
        <w:rPr>
          <w:rFonts w:hint="eastAsia" w:ascii="仿宋_GB2312"/>
          <w:b/>
          <w:color w:val="000000"/>
          <w:szCs w:val="32"/>
        </w:rPr>
        <w:t>（一）初次评定：</w:t>
      </w:r>
    </w:p>
    <w:p>
      <w:pPr>
        <w:spacing w:line="560" w:lineRule="exact"/>
        <w:ind w:firstLine="632" w:firstLineChars="200"/>
        <w:rPr>
          <w:rFonts w:ascii="仿宋_GB2312"/>
          <w:color w:val="000000"/>
          <w:szCs w:val="32"/>
        </w:rPr>
      </w:pPr>
      <w:r>
        <w:rPr>
          <w:rFonts w:hint="eastAsia" w:ascii="仿宋_GB2312"/>
          <w:color w:val="000000"/>
          <w:szCs w:val="32"/>
        </w:rPr>
        <w:t>1.企业初次申请信用评价应于</w:t>
      </w:r>
      <w:r>
        <w:rPr>
          <w:rFonts w:hint="eastAsia" w:ascii="仿宋_GB2312"/>
          <w:szCs w:val="32"/>
        </w:rPr>
        <w:t>每半年度第五个月的25日（即5月25日、11月25日）前</w:t>
      </w:r>
      <w:r>
        <w:rPr>
          <w:rFonts w:hint="eastAsia" w:ascii="仿宋_GB2312"/>
          <w:color w:val="000000"/>
          <w:szCs w:val="32"/>
        </w:rPr>
        <w:t>向所在地区县建设局进行申报。市外企业按其驻湖固定办公场所所在地进行申报，同时有多个固定办公场所的可自行选择区县建设局进行申报，暂无固定办公场所的可直接向市建设局申报。</w:t>
      </w:r>
    </w:p>
    <w:p>
      <w:pPr>
        <w:spacing w:line="560" w:lineRule="exact"/>
        <w:ind w:firstLine="632" w:firstLineChars="200"/>
        <w:rPr>
          <w:rFonts w:ascii="仿宋_GB2312"/>
          <w:color w:val="000000"/>
          <w:szCs w:val="32"/>
        </w:rPr>
      </w:pPr>
      <w:r>
        <w:rPr>
          <w:rFonts w:hint="eastAsia" w:ascii="仿宋_GB2312"/>
          <w:color w:val="000000"/>
          <w:szCs w:val="32"/>
        </w:rPr>
        <w:t>2.申请信用评价的企业对照《湖州市建筑施工企业信用评价标准（申请表）》（附件1）进行自评，并按照表格所列证明材料的顺序整理参评材料后报区县建设局，证明材料为复印件的应在每页上加盖申报企业公章。信用评价指标测算截止期为每半年度第五个月的20日（即5月20日、11月20日）。</w:t>
      </w:r>
    </w:p>
    <w:p>
      <w:pPr>
        <w:spacing w:line="560" w:lineRule="exact"/>
        <w:ind w:firstLine="632" w:firstLineChars="200"/>
        <w:rPr>
          <w:rFonts w:ascii="仿宋_GB2312"/>
          <w:color w:val="FF0000"/>
          <w:szCs w:val="32"/>
          <w:shd w:val="pct10" w:color="auto" w:fill="FFFFFF"/>
        </w:rPr>
      </w:pPr>
      <w:r>
        <w:rPr>
          <w:rFonts w:hint="eastAsia" w:ascii="仿宋_GB2312"/>
          <w:color w:val="000000"/>
          <w:szCs w:val="32"/>
        </w:rPr>
        <w:t>3.各区县建设局对企业申报材料进行原件核验并初审核查，汇总后于每半年度第六个月的10日（即6月10日、12月10日）前上报市建设局。</w:t>
      </w:r>
    </w:p>
    <w:p>
      <w:pPr>
        <w:spacing w:line="560" w:lineRule="exact"/>
        <w:ind w:firstLine="632" w:firstLineChars="200"/>
        <w:rPr>
          <w:rFonts w:ascii="仿宋_GB2312"/>
          <w:color w:val="000000"/>
          <w:szCs w:val="32"/>
        </w:rPr>
      </w:pPr>
      <w:r>
        <w:rPr>
          <w:rFonts w:hint="eastAsia" w:ascii="仿宋_GB2312"/>
          <w:color w:val="000000"/>
          <w:szCs w:val="32"/>
        </w:rPr>
        <w:t>4.市建设局根据初审情况，组织区县建设局、协会或有关专家进行集中评审，并将评审结果在市建设局官方网站（</w:t>
      </w:r>
      <w:r>
        <w:rPr>
          <w:rFonts w:hint="eastAsia"/>
          <w:color w:val="000000"/>
          <w:szCs w:val="32"/>
        </w:rPr>
        <w:t>http://jsj.huzhou.gov.cn/</w:t>
      </w:r>
      <w:r>
        <w:rPr>
          <w:rFonts w:hint="eastAsia" w:ascii="仿宋_GB2312"/>
          <w:color w:val="000000"/>
          <w:szCs w:val="32"/>
        </w:rPr>
        <w:t>）予以公示，公示期限为5个工作日。</w:t>
      </w:r>
    </w:p>
    <w:p>
      <w:pPr>
        <w:spacing w:line="560" w:lineRule="exact"/>
        <w:rPr>
          <w:rFonts w:ascii="仿宋_GB2312"/>
          <w:color w:val="000000"/>
          <w:szCs w:val="32"/>
        </w:rPr>
      </w:pPr>
      <w:r>
        <w:rPr>
          <w:rFonts w:hint="eastAsia" w:ascii="仿宋_GB2312"/>
          <w:color w:val="000000"/>
          <w:szCs w:val="32"/>
        </w:rPr>
        <w:t>公示期满无异议或经核查异议不成立的，于每半年度最后一日予以正式公布。</w:t>
      </w:r>
    </w:p>
    <w:p>
      <w:pPr>
        <w:spacing w:line="560" w:lineRule="exact"/>
        <w:ind w:firstLine="632" w:firstLineChars="200"/>
        <w:rPr>
          <w:rFonts w:ascii="仿宋_GB2312"/>
          <w:color w:val="000000"/>
          <w:szCs w:val="32"/>
        </w:rPr>
      </w:pPr>
      <w:r>
        <w:rPr>
          <w:rFonts w:hint="eastAsia" w:ascii="仿宋_GB2312"/>
          <w:color w:val="000000"/>
          <w:szCs w:val="32"/>
        </w:rPr>
        <w:t>公示期间对评价结果公示有异议的，应当以书面形式向市建设局提出，并提供相关佐证材料。法人或其它组织提出异议的，书面材料须经法定代表人签字并加盖公章。市建设局对收到的材料进行调查、核实，情况属实的，及时予以更正，并将调查情况书面告知异议提出人。</w:t>
      </w:r>
    </w:p>
    <w:p>
      <w:pPr>
        <w:spacing w:line="560" w:lineRule="exact"/>
        <w:ind w:firstLine="632" w:firstLineChars="200"/>
        <w:rPr>
          <w:rFonts w:ascii="仿宋_GB2312"/>
          <w:b/>
          <w:color w:val="000000"/>
          <w:szCs w:val="32"/>
        </w:rPr>
      </w:pPr>
      <w:r>
        <w:rPr>
          <w:rFonts w:hint="eastAsia" w:ascii="仿宋_GB2312"/>
          <w:b/>
          <w:color w:val="000000"/>
          <w:szCs w:val="32"/>
        </w:rPr>
        <w:t>（二）动态评定：</w:t>
      </w:r>
    </w:p>
    <w:p>
      <w:pPr>
        <w:spacing w:line="560" w:lineRule="exact"/>
        <w:ind w:firstLine="632" w:firstLineChars="200"/>
        <w:rPr>
          <w:rFonts w:ascii="仿宋_GB2312"/>
          <w:color w:val="000000"/>
          <w:szCs w:val="32"/>
        </w:rPr>
      </w:pPr>
      <w:r>
        <w:rPr>
          <w:rFonts w:hint="eastAsia" w:ascii="仿宋_GB2312"/>
          <w:color w:val="000000"/>
          <w:szCs w:val="32"/>
        </w:rPr>
        <w:t>1.企业信用评价实行动态管理，每半年度为一个评价周期，评价结果每半年度发布。</w:t>
      </w:r>
    </w:p>
    <w:p>
      <w:pPr>
        <w:spacing w:line="560" w:lineRule="exact"/>
        <w:ind w:firstLine="632" w:firstLineChars="200"/>
        <w:rPr>
          <w:rFonts w:ascii="仿宋_GB2312"/>
          <w:color w:val="000000"/>
          <w:szCs w:val="32"/>
        </w:rPr>
      </w:pPr>
      <w:r>
        <w:rPr>
          <w:rFonts w:hint="eastAsia" w:ascii="仿宋_GB2312"/>
          <w:color w:val="000000"/>
          <w:szCs w:val="32"/>
        </w:rPr>
        <w:t>2.各区县建设局应当将辖区内涉及企业的通报、不良信息、行政处罚等文件，在发布后3个工作日内报送至市建设局。</w:t>
      </w:r>
    </w:p>
    <w:p>
      <w:pPr>
        <w:spacing w:line="560" w:lineRule="exact"/>
        <w:ind w:firstLine="632" w:firstLineChars="200"/>
        <w:rPr>
          <w:rFonts w:ascii="仿宋_GB2312"/>
          <w:color w:val="000000"/>
          <w:szCs w:val="32"/>
        </w:rPr>
      </w:pPr>
      <w:r>
        <w:rPr>
          <w:rFonts w:hint="eastAsia" w:ascii="仿宋_GB2312"/>
          <w:color w:val="000000"/>
          <w:szCs w:val="32"/>
        </w:rPr>
        <w:t>3.企业评价指标得分有调整的，调整的证明材料和申报程序参照初次评定规定。</w:t>
      </w:r>
    </w:p>
    <w:p>
      <w:pPr>
        <w:spacing w:before="232" w:beforeLines="50" w:after="232" w:afterLines="50" w:line="560" w:lineRule="exact"/>
        <w:jc w:val="center"/>
        <w:rPr>
          <w:rFonts w:ascii="黑体" w:eastAsia="黑体"/>
          <w:color w:val="000000"/>
          <w:szCs w:val="32"/>
        </w:rPr>
      </w:pPr>
      <w:r>
        <w:rPr>
          <w:rFonts w:hint="eastAsia" w:ascii="黑体" w:eastAsia="黑体"/>
          <w:color w:val="000000"/>
          <w:szCs w:val="32"/>
        </w:rPr>
        <w:t>第四章  不良信息的认定和管理</w:t>
      </w:r>
    </w:p>
    <w:p>
      <w:pPr>
        <w:adjustRightInd w:val="0"/>
        <w:snapToGrid w:val="0"/>
        <w:spacing w:line="560" w:lineRule="exact"/>
        <w:ind w:firstLine="632" w:firstLineChars="200"/>
        <w:rPr>
          <w:rFonts w:ascii="仿宋_GB2312" w:hAnsi="宋体" w:cs="宋体"/>
          <w:szCs w:val="32"/>
        </w:rPr>
      </w:pPr>
      <w:r>
        <w:rPr>
          <w:rFonts w:hint="eastAsia" w:ascii="宋体" w:hAnsi="宋体"/>
          <w:b/>
          <w:color w:val="000000"/>
          <w:szCs w:val="32"/>
        </w:rPr>
        <w:t xml:space="preserve">第九条  </w:t>
      </w:r>
      <w:r>
        <w:rPr>
          <w:rFonts w:hint="eastAsia" w:ascii="仿宋_GB2312" w:hAnsi="宋体"/>
          <w:color w:val="000000"/>
          <w:szCs w:val="32"/>
        </w:rPr>
        <w:t>按照</w:t>
      </w:r>
      <w:r>
        <w:rPr>
          <w:rFonts w:hint="eastAsia" w:ascii="仿宋_GB2312"/>
          <w:color w:val="000000"/>
          <w:szCs w:val="32"/>
        </w:rPr>
        <w:t>《浙江省建筑市场公共信用信息管理办法》第五条规定，</w:t>
      </w:r>
      <w:r>
        <w:rPr>
          <w:rFonts w:hint="eastAsia" w:ascii="仿宋_GB2312" w:hAnsi="宋体" w:cs="宋体"/>
          <w:szCs w:val="32"/>
        </w:rPr>
        <w:t>不良信息是指企业和从业人员在工程建设活动中违反有关法律、法规、规章或强制性标准等，受到县级以上建设主管部门行政处罚或行政处理的信息，以及其他部门认定的与工程建设活动有关的、对其信用状况构成负面影响的信息。</w:t>
      </w:r>
    </w:p>
    <w:p>
      <w:pPr>
        <w:adjustRightInd w:val="0"/>
        <w:snapToGrid w:val="0"/>
        <w:spacing w:line="560" w:lineRule="exact"/>
        <w:ind w:firstLine="632" w:firstLineChars="200"/>
        <w:rPr>
          <w:rFonts w:ascii="仿宋_GB2312" w:hAnsi="宋体" w:cs="宋体"/>
          <w:szCs w:val="32"/>
        </w:rPr>
      </w:pPr>
      <w:r>
        <w:rPr>
          <w:rFonts w:hint="eastAsia" w:ascii="宋体" w:hAnsi="宋体" w:cs="宋体"/>
          <w:b/>
          <w:szCs w:val="32"/>
        </w:rPr>
        <w:t>第十条</w:t>
      </w:r>
      <w:r>
        <w:rPr>
          <w:rFonts w:hint="eastAsia" w:ascii="仿宋_GB2312" w:hAnsi="宋体" w:cs="宋体"/>
          <w:szCs w:val="32"/>
        </w:rPr>
        <w:t xml:space="preserve">  对企业存在</w:t>
      </w:r>
      <w:r>
        <w:rPr>
          <w:rFonts w:hint="eastAsia" w:ascii="仿宋_GB2312"/>
          <w:color w:val="000000"/>
          <w:szCs w:val="32"/>
        </w:rPr>
        <w:t>《浙江省建筑市场公共信用信息管理办法》第九条规定中十二种行为的，应记入和公布其不良信息一年至三年，并不得低于其行政处罚期限，同时列入严重失信名单，列入前按照第十一条规定进行书面告知等程序，告知其具有陈述申辩的权利；其他不良</w:t>
      </w:r>
      <w:r>
        <w:rPr>
          <w:rFonts w:hint="eastAsia" w:ascii="仿宋_GB2312" w:hAnsi="宋体" w:cs="宋体"/>
          <w:szCs w:val="32"/>
        </w:rPr>
        <w:t>信息记入和公布期限六个月至一年，</w:t>
      </w:r>
      <w:r>
        <w:rPr>
          <w:rFonts w:hint="eastAsia" w:ascii="仿宋_GB2312"/>
          <w:color w:val="000000"/>
          <w:szCs w:val="32"/>
        </w:rPr>
        <w:t>并不得低于其行政处罚期限</w:t>
      </w:r>
      <w:r>
        <w:rPr>
          <w:rFonts w:hint="eastAsia" w:ascii="仿宋_GB2312" w:hAnsi="宋体" w:cs="宋体"/>
          <w:szCs w:val="32"/>
        </w:rPr>
        <w:t>。</w:t>
      </w:r>
    </w:p>
    <w:p>
      <w:pPr>
        <w:adjustRightInd w:val="0"/>
        <w:snapToGrid w:val="0"/>
        <w:spacing w:line="560" w:lineRule="exact"/>
        <w:ind w:firstLine="632" w:firstLineChars="200"/>
        <w:rPr>
          <w:rFonts w:ascii="仿宋_GB2312" w:hAnsi="宋体" w:cs="宋体"/>
          <w:szCs w:val="32"/>
        </w:rPr>
      </w:pPr>
      <w:r>
        <w:rPr>
          <w:rFonts w:hint="eastAsia" w:ascii="宋体" w:hAnsi="宋体"/>
          <w:b/>
          <w:color w:val="000000"/>
          <w:szCs w:val="32"/>
        </w:rPr>
        <w:t xml:space="preserve">第十一条  </w:t>
      </w:r>
      <w:r>
        <w:rPr>
          <w:rFonts w:hint="eastAsia" w:ascii="仿宋_GB2312" w:hAnsi="宋体" w:cs="宋体"/>
          <w:szCs w:val="32"/>
        </w:rPr>
        <w:t>企业</w:t>
      </w:r>
      <w:r>
        <w:rPr>
          <w:rFonts w:hint="eastAsia" w:ascii="仿宋_GB2312" w:hAnsi="??_GB2312"/>
          <w:szCs w:val="32"/>
        </w:rPr>
        <w:t>具有主动纠正失信行为，消除不良影响，建立防范措施且</w:t>
      </w:r>
      <w:r>
        <w:rPr>
          <w:rFonts w:hint="eastAsia" w:ascii="仿宋_GB2312" w:hAnsi="宋体" w:cs="宋体"/>
          <w:szCs w:val="32"/>
        </w:rPr>
        <w:t>确有实效的，可以提出信用修复申请。经核查符合条件的，可以缩短其不良信息的公布期限，但最短不得低于</w:t>
      </w:r>
      <w:r>
        <w:rPr>
          <w:rFonts w:hint="eastAsia" w:ascii="仿宋_GB2312" w:hAnsi="??_GB2312"/>
          <w:szCs w:val="32"/>
        </w:rPr>
        <w:t>三个月，被列入严重失信名单的情形除外。</w:t>
      </w:r>
    </w:p>
    <w:p>
      <w:pPr>
        <w:adjustRightInd w:val="0"/>
        <w:snapToGrid w:val="0"/>
        <w:spacing w:line="560" w:lineRule="exact"/>
        <w:ind w:firstLine="640"/>
        <w:rPr>
          <w:rFonts w:ascii="黑体" w:hAnsi="黑体" w:eastAsia="黑体"/>
          <w:b/>
          <w:bCs/>
          <w:szCs w:val="32"/>
        </w:rPr>
      </w:pPr>
      <w:r>
        <w:rPr>
          <w:rFonts w:hint="eastAsia" w:ascii="宋体" w:hAnsi="宋体"/>
          <w:b/>
          <w:color w:val="000000"/>
          <w:szCs w:val="32"/>
        </w:rPr>
        <w:t xml:space="preserve">第十二条  </w:t>
      </w:r>
      <w:r>
        <w:rPr>
          <w:rFonts w:hint="eastAsia" w:ascii="仿宋_GB2312" w:hAnsi="??_GB2312"/>
          <w:szCs w:val="32"/>
        </w:rPr>
        <w:t>市建设局</w:t>
      </w:r>
      <w:r>
        <w:rPr>
          <w:rFonts w:hint="eastAsia" w:ascii="仿宋_GB2312" w:hAnsi="宋体" w:cs="宋体"/>
          <w:szCs w:val="32"/>
        </w:rPr>
        <w:t>负责我市行政区域内建筑市场不良信息的监督管理工作。各区县建设局做好本行政区域内建筑市场涉及企业不良信息的认定、</w:t>
      </w:r>
      <w:r>
        <w:rPr>
          <w:rFonts w:hint="eastAsia" w:ascii="仿宋_GB2312" w:hAnsi="宋体" w:cs="宋体"/>
          <w:color w:val="000000"/>
          <w:szCs w:val="32"/>
        </w:rPr>
        <w:t>采集、公开、</w:t>
      </w:r>
      <w:r>
        <w:rPr>
          <w:rFonts w:hint="eastAsia" w:ascii="仿宋_GB2312" w:hAnsi="宋体" w:cs="宋体"/>
          <w:szCs w:val="32"/>
        </w:rPr>
        <w:t>使用与管理工作，并及时将不良信息报送市建设局。</w:t>
      </w:r>
    </w:p>
    <w:p>
      <w:pPr>
        <w:spacing w:before="232" w:beforeLines="50" w:after="232" w:afterLines="50" w:line="560" w:lineRule="exact"/>
        <w:jc w:val="center"/>
        <w:rPr>
          <w:rFonts w:ascii="黑体" w:eastAsia="黑体"/>
          <w:color w:val="000000"/>
          <w:szCs w:val="32"/>
        </w:rPr>
      </w:pPr>
      <w:r>
        <w:rPr>
          <w:rFonts w:hint="eastAsia" w:ascii="黑体" w:eastAsia="黑体"/>
          <w:color w:val="000000"/>
          <w:szCs w:val="32"/>
        </w:rPr>
        <w:t>第五章  信用等级的管理和运用</w:t>
      </w:r>
    </w:p>
    <w:p>
      <w:pPr>
        <w:spacing w:line="560" w:lineRule="exact"/>
        <w:ind w:firstLine="632" w:firstLineChars="200"/>
        <w:rPr>
          <w:rFonts w:ascii="仿宋_GB2312"/>
          <w:color w:val="000000"/>
          <w:szCs w:val="32"/>
        </w:rPr>
      </w:pPr>
      <w:r>
        <w:rPr>
          <w:rFonts w:hint="eastAsia" w:ascii="宋体" w:hAnsi="宋体"/>
          <w:b/>
          <w:color w:val="000000"/>
          <w:szCs w:val="32"/>
        </w:rPr>
        <w:t xml:space="preserve">第十三条 </w:t>
      </w:r>
      <w:r>
        <w:rPr>
          <w:rFonts w:hint="eastAsia" w:ascii="仿宋_GB2312"/>
          <w:color w:val="000000"/>
          <w:szCs w:val="32"/>
        </w:rPr>
        <w:t xml:space="preserve"> 市建设局建立企业信用信息数据库以及企业信用档案，并将企业信用评价结果及时向社会公布。</w:t>
      </w:r>
    </w:p>
    <w:p>
      <w:pPr>
        <w:spacing w:line="560" w:lineRule="exact"/>
        <w:ind w:firstLine="632" w:firstLineChars="200"/>
        <w:rPr>
          <w:rFonts w:ascii="仿宋_GB2312"/>
          <w:color w:val="000000"/>
          <w:szCs w:val="32"/>
        </w:rPr>
      </w:pPr>
      <w:r>
        <w:rPr>
          <w:rFonts w:hint="eastAsia" w:ascii="宋体" w:hAnsi="宋体"/>
          <w:b/>
          <w:color w:val="000000"/>
          <w:szCs w:val="32"/>
        </w:rPr>
        <w:t xml:space="preserve">第十四条 </w:t>
      </w:r>
      <w:r>
        <w:rPr>
          <w:rFonts w:hint="eastAsia" w:ascii="仿宋_GB2312"/>
          <w:color w:val="000000"/>
          <w:szCs w:val="32"/>
        </w:rPr>
        <w:t xml:space="preserve"> 各区县建设局应当将企业信用评价结果作为日常监管的重要参考依据，对不同信用等级的企业实行差异化管理，建立相应的守信激励和失信惩戒机制：</w:t>
      </w:r>
    </w:p>
    <w:p>
      <w:pPr>
        <w:spacing w:line="560" w:lineRule="exact"/>
        <w:ind w:firstLine="632" w:firstLineChars="200"/>
        <w:rPr>
          <w:rFonts w:ascii="仿宋_GB2312"/>
          <w:color w:val="000000"/>
          <w:szCs w:val="32"/>
        </w:rPr>
      </w:pPr>
      <w:r>
        <w:rPr>
          <w:rFonts w:hint="eastAsia" w:ascii="仿宋_GB2312"/>
          <w:color w:val="000000"/>
          <w:szCs w:val="32"/>
        </w:rPr>
        <w:t>（一）对信用等级为A级的企业，特别是AAA档和AA档的企业，应当在其职责范围内给予政策扶持和帮助，并在评先评优中优先予以推荐；</w:t>
      </w:r>
    </w:p>
    <w:p>
      <w:pPr>
        <w:spacing w:line="560" w:lineRule="exact"/>
        <w:ind w:firstLine="632" w:firstLineChars="200"/>
        <w:rPr>
          <w:rFonts w:ascii="仿宋_GB2312"/>
          <w:color w:val="000000"/>
          <w:szCs w:val="32"/>
        </w:rPr>
      </w:pPr>
      <w:r>
        <w:rPr>
          <w:rFonts w:hint="eastAsia" w:ascii="仿宋_GB2312"/>
          <w:color w:val="000000"/>
          <w:szCs w:val="32"/>
        </w:rPr>
        <w:t>（二）对信用等级为C级的企业，在市场、现场监管中列为重点对象，提高抽检频率、频次。</w:t>
      </w:r>
    </w:p>
    <w:p>
      <w:pPr>
        <w:spacing w:line="560" w:lineRule="exact"/>
        <w:ind w:firstLine="632" w:firstLineChars="200"/>
        <w:rPr>
          <w:rFonts w:ascii="仿宋_GB2312"/>
          <w:color w:val="000000"/>
          <w:szCs w:val="32"/>
        </w:rPr>
      </w:pPr>
      <w:r>
        <w:rPr>
          <w:rFonts w:hint="eastAsia" w:ascii="宋体" w:hAnsi="宋体"/>
          <w:b/>
          <w:color w:val="000000"/>
          <w:szCs w:val="32"/>
        </w:rPr>
        <w:t xml:space="preserve">第十五条 </w:t>
      </w:r>
      <w:r>
        <w:rPr>
          <w:rFonts w:hint="eastAsia" w:ascii="仿宋_GB2312"/>
          <w:color w:val="000000"/>
          <w:szCs w:val="32"/>
        </w:rPr>
        <w:t xml:space="preserve"> 各相关部门和单位在工程招标时可充分运用投标企业信用评价结果，引导和鼓励提升信用评价高等级企业的投标竞争力。</w:t>
      </w:r>
    </w:p>
    <w:p>
      <w:pPr>
        <w:spacing w:before="232" w:beforeLines="50" w:after="232" w:afterLines="50" w:line="560" w:lineRule="exact"/>
        <w:jc w:val="center"/>
        <w:rPr>
          <w:rFonts w:ascii="黑体" w:eastAsia="黑体"/>
          <w:color w:val="000000"/>
          <w:szCs w:val="32"/>
        </w:rPr>
      </w:pPr>
      <w:r>
        <w:rPr>
          <w:rFonts w:hint="eastAsia" w:ascii="黑体" w:eastAsia="黑体"/>
          <w:color w:val="000000"/>
          <w:szCs w:val="32"/>
        </w:rPr>
        <w:t>第六 章  附  则</w:t>
      </w:r>
    </w:p>
    <w:p>
      <w:pPr>
        <w:spacing w:line="560" w:lineRule="exact"/>
        <w:ind w:firstLine="632" w:firstLineChars="200"/>
        <w:rPr>
          <w:rFonts w:ascii="仿宋_GB2312"/>
          <w:color w:val="000000"/>
          <w:szCs w:val="32"/>
        </w:rPr>
      </w:pPr>
      <w:r>
        <w:rPr>
          <w:rFonts w:hint="eastAsia" w:ascii="宋体" w:hAnsi="宋体"/>
          <w:b/>
          <w:color w:val="000000"/>
          <w:szCs w:val="32"/>
        </w:rPr>
        <w:t>第十六条</w:t>
      </w:r>
      <w:r>
        <w:rPr>
          <w:rFonts w:hint="eastAsia" w:ascii="仿宋_GB2312"/>
          <w:color w:val="000000"/>
          <w:szCs w:val="32"/>
        </w:rPr>
        <w:t xml:space="preserve">  企业应当对提交的信用评价材料的真实性、有效性负责。存在弄虚作假等行为的，各区县建设局、市建设局将予以通报、行政处罚、记入企业不良信息并公布。</w:t>
      </w:r>
    </w:p>
    <w:p>
      <w:pPr>
        <w:spacing w:line="560" w:lineRule="exact"/>
        <w:ind w:firstLine="632" w:firstLineChars="200"/>
        <w:rPr>
          <w:rFonts w:ascii="仿宋_GB2312"/>
          <w:color w:val="000000"/>
          <w:szCs w:val="32"/>
        </w:rPr>
      </w:pPr>
      <w:r>
        <w:rPr>
          <w:rFonts w:hint="eastAsia" w:ascii="宋体" w:hAnsi="宋体"/>
          <w:b/>
          <w:color w:val="000000"/>
          <w:szCs w:val="32"/>
        </w:rPr>
        <w:t>第十七条</w:t>
      </w:r>
      <w:r>
        <w:rPr>
          <w:rFonts w:hint="eastAsia" w:ascii="仿宋_GB2312"/>
          <w:color w:val="000000"/>
          <w:szCs w:val="32"/>
        </w:rPr>
        <w:t xml:space="preserve">  组织和参与信用评价的工作人员和专家成员应当认真履行职责，保证评价过程和成果真实、合法、完整。工作人员和专家成员在信用评价中违反规定的，按照有关规定予以处理。</w:t>
      </w:r>
    </w:p>
    <w:p>
      <w:pPr>
        <w:spacing w:line="560" w:lineRule="exact"/>
        <w:ind w:firstLine="632" w:firstLineChars="200"/>
        <w:rPr>
          <w:rFonts w:ascii="仿宋_GB2312"/>
          <w:color w:val="000000"/>
          <w:szCs w:val="32"/>
        </w:rPr>
      </w:pPr>
      <w:r>
        <w:rPr>
          <w:rFonts w:hint="eastAsia" w:ascii="宋体" w:hAnsi="宋体"/>
          <w:b/>
          <w:color w:val="000000"/>
          <w:szCs w:val="32"/>
        </w:rPr>
        <w:t>第十八条</w:t>
      </w:r>
      <w:r>
        <w:rPr>
          <w:rFonts w:hint="eastAsia" w:ascii="仿宋_GB2312"/>
          <w:color w:val="000000"/>
          <w:szCs w:val="32"/>
        </w:rPr>
        <w:t xml:space="preserve">  本办法自2019年6月30日起施行。《湖州市建筑施工企业行业信用评比办法》（湖建发〔2005〕97号）同时废止。</w:t>
      </w:r>
    </w:p>
    <w:p>
      <w:pPr>
        <w:spacing w:line="560" w:lineRule="exact"/>
        <w:ind w:firstLine="632" w:firstLineChars="200"/>
        <w:rPr>
          <w:rFonts w:ascii="仿宋_GB2312"/>
          <w:color w:val="000000"/>
          <w:szCs w:val="32"/>
        </w:rPr>
      </w:pPr>
    </w:p>
    <w:p>
      <w:pPr>
        <w:spacing w:line="560" w:lineRule="exact"/>
        <w:ind w:firstLine="632" w:firstLineChars="200"/>
        <w:rPr>
          <w:rFonts w:ascii="仿宋_GB2312"/>
          <w:color w:val="000000"/>
          <w:szCs w:val="32"/>
        </w:rPr>
      </w:pPr>
      <w:r>
        <w:rPr>
          <w:rFonts w:hint="eastAsia" w:ascii="仿宋_GB2312"/>
          <w:color w:val="000000"/>
          <w:szCs w:val="32"/>
        </w:rPr>
        <w:t>附件：1.湖州市建筑施工企业信用评价申请表</w:t>
      </w:r>
    </w:p>
    <w:p>
      <w:pPr>
        <w:spacing w:line="560" w:lineRule="exact"/>
        <w:ind w:firstLine="1580" w:firstLineChars="500"/>
        <w:rPr>
          <w:rFonts w:ascii="黑体" w:hAnsi="黑体" w:eastAsia="黑体" w:cs="黑体"/>
          <w:color w:val="000000"/>
          <w:sz w:val="44"/>
          <w:szCs w:val="44"/>
        </w:rPr>
      </w:pPr>
      <w:r>
        <w:rPr>
          <w:rFonts w:hint="eastAsia" w:ascii="仿宋_GB2312"/>
          <w:color w:val="000000"/>
          <w:szCs w:val="32"/>
        </w:rPr>
        <w:t>2.湖州市建设工程施工合同履约评价表</w:t>
      </w:r>
    </w:p>
    <w:p>
      <w:pPr>
        <w:widowControl/>
        <w:jc w:val="left"/>
        <w:rPr>
          <w:rFonts w:ascii="仿宋" w:hAnsi="仿宋" w:eastAsia="仿宋"/>
          <w:szCs w:val="32"/>
        </w:rPr>
      </w:pPr>
      <w:r>
        <w:rPr>
          <w:rFonts w:ascii="仿宋" w:hAnsi="仿宋" w:eastAsia="仿宋"/>
          <w:szCs w:val="32"/>
        </w:rPr>
        <w:br w:type="page"/>
      </w:r>
    </w:p>
    <w:p>
      <w:pPr>
        <w:widowControl/>
        <w:jc w:val="left"/>
        <w:rPr>
          <w:rFonts w:ascii="仿宋" w:hAnsi="仿宋" w:eastAsia="仿宋"/>
          <w:szCs w:val="32"/>
        </w:rPr>
        <w:sectPr>
          <w:headerReference r:id="rId3" w:type="default"/>
          <w:footerReference r:id="rId4" w:type="default"/>
          <w:footerReference r:id="rId5" w:type="even"/>
          <w:pgSz w:w="11907" w:h="16840"/>
          <w:pgMar w:top="1440" w:right="1247" w:bottom="1701" w:left="1474" w:header="851" w:footer="992" w:gutter="57"/>
          <w:cols w:space="425" w:num="1"/>
          <w:docGrid w:type="linesAndChars" w:linePitch="464" w:charSpace="-834"/>
        </w:sectPr>
      </w:pPr>
    </w:p>
    <w:p>
      <w:pPr>
        <w:rPr>
          <w:rFonts w:ascii="黑体" w:hAnsi="宋体" w:eastAsia="黑体" w:cs="宋体"/>
          <w:bCs/>
          <w:color w:val="000000"/>
          <w:kern w:val="0"/>
          <w:szCs w:val="32"/>
        </w:rPr>
      </w:pPr>
      <w:r>
        <w:rPr>
          <w:rFonts w:hint="eastAsia" w:ascii="黑体" w:hAnsi="宋体" w:eastAsia="黑体" w:cs="宋体"/>
          <w:bCs/>
          <w:color w:val="000000"/>
          <w:kern w:val="0"/>
          <w:szCs w:val="32"/>
        </w:rPr>
        <w:t>附件1</w:t>
      </w:r>
    </w:p>
    <w:p>
      <w:pPr>
        <w:widowControl/>
        <w:jc w:val="center"/>
        <w:rPr>
          <w:rFonts w:ascii="方正小标宋简体" w:hAnsi="方正小标宋简体" w:eastAsia="方正小标宋简体" w:cs="方正小标宋简体"/>
          <w:b/>
          <w:bCs/>
          <w:color w:val="000000"/>
          <w:kern w:val="0"/>
          <w:sz w:val="44"/>
          <w:szCs w:val="44"/>
        </w:rPr>
      </w:pPr>
    </w:p>
    <w:p>
      <w:pPr>
        <w:widowControl/>
        <w:jc w:val="center"/>
        <w:rPr>
          <w:rFonts w:ascii="方正小标宋简体" w:hAnsi="方正小标宋简体" w:eastAsia="方正小标宋简体" w:cs="方正小标宋简体"/>
          <w:b/>
          <w:bCs/>
          <w:color w:val="000000"/>
          <w:kern w:val="0"/>
          <w:sz w:val="44"/>
          <w:szCs w:val="44"/>
        </w:rPr>
      </w:pPr>
      <w:r>
        <w:rPr>
          <w:rFonts w:hint="eastAsia" w:ascii="方正小标宋简体" w:hAnsi="方正小标宋简体" w:eastAsia="方正小标宋简体" w:cs="方正小标宋简体"/>
          <w:b/>
          <w:bCs/>
          <w:color w:val="000000"/>
          <w:kern w:val="0"/>
          <w:sz w:val="44"/>
          <w:szCs w:val="44"/>
        </w:rPr>
        <w:t>湖州市建筑施工企业信用评价</w:t>
      </w:r>
    </w:p>
    <w:p>
      <w:pPr>
        <w:widowControl/>
        <w:jc w:val="center"/>
        <w:rPr>
          <w:rFonts w:ascii="方正小标宋简体" w:hAnsi="方正小标宋简体" w:eastAsia="方正小标宋简体" w:cs="方正小标宋简体"/>
          <w:b/>
          <w:bCs/>
          <w:color w:val="000000"/>
          <w:kern w:val="0"/>
          <w:sz w:val="44"/>
          <w:szCs w:val="44"/>
        </w:rPr>
      </w:pPr>
      <w:r>
        <w:rPr>
          <w:rFonts w:hint="eastAsia" w:ascii="方正小标宋简体" w:hAnsi="方正小标宋简体" w:eastAsia="方正小标宋简体" w:cs="方正小标宋简体"/>
          <w:b/>
          <w:bCs/>
          <w:color w:val="000000"/>
          <w:kern w:val="0"/>
          <w:sz w:val="44"/>
          <w:szCs w:val="44"/>
        </w:rPr>
        <w:t>申请表</w:t>
      </w:r>
    </w:p>
    <w:p>
      <w:pPr>
        <w:jc w:val="center"/>
        <w:rPr>
          <w:rFonts w:ascii="宋体" w:hAnsi="宋体" w:cs="宋体"/>
          <w:b/>
          <w:bCs/>
          <w:color w:val="FF0000"/>
          <w:kern w:val="0"/>
          <w:szCs w:val="32"/>
        </w:rPr>
      </w:pPr>
    </w:p>
    <w:p>
      <w:pPr>
        <w:jc w:val="center"/>
        <w:rPr>
          <w:rFonts w:ascii="宋体" w:hAnsi="宋体" w:cs="宋体"/>
          <w:b/>
          <w:bCs/>
          <w:color w:val="FF0000"/>
          <w:kern w:val="0"/>
          <w:szCs w:val="32"/>
        </w:rPr>
      </w:pPr>
    </w:p>
    <w:p>
      <w:pPr>
        <w:jc w:val="center"/>
        <w:rPr>
          <w:rFonts w:ascii="宋体" w:hAnsi="宋体" w:cs="宋体"/>
          <w:b/>
          <w:bCs/>
          <w:color w:val="FF0000"/>
          <w:kern w:val="0"/>
          <w:szCs w:val="32"/>
        </w:rPr>
      </w:pPr>
    </w:p>
    <w:p>
      <w:pPr>
        <w:jc w:val="center"/>
        <w:rPr>
          <w:rFonts w:ascii="宋体" w:hAnsi="宋体" w:cs="宋体"/>
          <w:b/>
          <w:bCs/>
          <w:color w:val="FF0000"/>
          <w:kern w:val="0"/>
          <w:szCs w:val="32"/>
        </w:rPr>
      </w:pPr>
    </w:p>
    <w:p>
      <w:pPr>
        <w:ind w:firstLine="4160" w:firstLineChars="1300"/>
        <w:rPr>
          <w:rFonts w:ascii="黑体" w:hAnsi="黑体" w:eastAsia="黑体" w:cs="黑体"/>
          <w:color w:val="FF0000"/>
          <w:kern w:val="0"/>
          <w:szCs w:val="32"/>
        </w:rPr>
      </w:pPr>
    </w:p>
    <w:p>
      <w:pPr>
        <w:ind w:firstLine="4160" w:firstLineChars="1300"/>
        <w:rPr>
          <w:rFonts w:ascii="宋体" w:hAnsi="宋体" w:cs="宋体"/>
          <w:b/>
          <w:bCs/>
          <w:kern w:val="0"/>
          <w:szCs w:val="32"/>
        </w:rPr>
      </w:pPr>
      <w:r>
        <w:rPr>
          <w:rFonts w:hint="eastAsia" w:ascii="黑体" w:hAnsi="黑体" w:eastAsia="黑体" w:cs="黑体"/>
          <w:kern w:val="0"/>
          <w:szCs w:val="32"/>
        </w:rPr>
        <w:t>资质类别：</w:t>
      </w:r>
      <w:r>
        <w:rPr>
          <w:rFonts w:hint="eastAsia" w:ascii="宋体" w:hAnsi="宋体" w:cs="宋体"/>
          <w:b/>
          <w:bCs/>
          <w:kern w:val="0"/>
          <w:szCs w:val="32"/>
          <w:u w:val="single"/>
        </w:rPr>
        <w:t xml:space="preserve">                </w:t>
      </w:r>
    </w:p>
    <w:p>
      <w:pPr>
        <w:jc w:val="center"/>
        <w:rPr>
          <w:rFonts w:ascii="宋体" w:hAnsi="宋体" w:cs="宋体"/>
          <w:b/>
          <w:bCs/>
          <w:kern w:val="0"/>
          <w:szCs w:val="32"/>
        </w:rPr>
      </w:pPr>
    </w:p>
    <w:p>
      <w:pPr>
        <w:ind w:firstLine="4160" w:firstLineChars="1300"/>
        <w:rPr>
          <w:rFonts w:ascii="黑体" w:hAnsi="黑体" w:eastAsia="黑体" w:cs="黑体"/>
          <w:kern w:val="0"/>
          <w:szCs w:val="32"/>
        </w:rPr>
      </w:pPr>
      <w:r>
        <w:rPr>
          <w:rFonts w:hint="eastAsia" w:ascii="黑体" w:hAnsi="黑体" w:eastAsia="黑体" w:cs="黑体"/>
          <w:kern w:val="0"/>
          <w:szCs w:val="32"/>
        </w:rPr>
        <w:t>申报企业：</w:t>
      </w:r>
      <w:r>
        <w:rPr>
          <w:rFonts w:hint="eastAsia" w:ascii="黑体" w:hAnsi="黑体" w:eastAsia="黑体" w:cs="黑体"/>
          <w:kern w:val="0"/>
          <w:szCs w:val="32"/>
          <w:u w:val="single"/>
        </w:rPr>
        <w:t xml:space="preserve">                </w:t>
      </w:r>
      <w:r>
        <w:rPr>
          <w:rFonts w:hint="eastAsia" w:ascii="黑体" w:hAnsi="黑体" w:eastAsia="黑体" w:cs="黑体"/>
          <w:kern w:val="0"/>
          <w:szCs w:val="32"/>
        </w:rPr>
        <w:t>（盖 章）</w:t>
      </w:r>
    </w:p>
    <w:p>
      <w:pPr>
        <w:ind w:firstLine="4160" w:firstLineChars="1300"/>
        <w:rPr>
          <w:rFonts w:ascii="黑体" w:hAnsi="黑体" w:eastAsia="黑体" w:cs="黑体"/>
          <w:color w:val="FF0000"/>
          <w:kern w:val="0"/>
          <w:szCs w:val="32"/>
        </w:rPr>
      </w:pPr>
    </w:p>
    <w:p>
      <w:pPr>
        <w:ind w:firstLine="4160" w:firstLineChars="1300"/>
        <w:rPr>
          <w:rFonts w:ascii="黑体" w:hAnsi="黑体" w:eastAsia="黑体" w:cs="黑体"/>
          <w:kern w:val="0"/>
          <w:szCs w:val="32"/>
        </w:rPr>
      </w:pPr>
      <w:r>
        <w:rPr>
          <w:rFonts w:hint="eastAsia" w:ascii="黑体" w:hAnsi="黑体" w:eastAsia="黑体" w:cs="黑体"/>
          <w:kern w:val="0"/>
          <w:szCs w:val="32"/>
        </w:rPr>
        <w:t>法定代表</w:t>
      </w:r>
    </w:p>
    <w:p>
      <w:pPr>
        <w:ind w:firstLine="4160" w:firstLineChars="1300"/>
        <w:rPr>
          <w:rFonts w:ascii="黑体" w:hAnsi="黑体" w:eastAsia="黑体" w:cs="黑体"/>
          <w:kern w:val="0"/>
          <w:szCs w:val="32"/>
        </w:rPr>
      </w:pPr>
      <w:r>
        <w:rPr>
          <w:rFonts w:hint="eastAsia" w:ascii="黑体" w:hAnsi="黑体" w:eastAsia="黑体" w:cs="黑体"/>
          <w:kern w:val="0"/>
          <w:szCs w:val="32"/>
        </w:rPr>
        <w:t>签    字：</w:t>
      </w:r>
      <w:r>
        <w:rPr>
          <w:rFonts w:hint="eastAsia" w:ascii="黑体" w:hAnsi="黑体" w:eastAsia="黑体" w:cs="黑体"/>
          <w:kern w:val="0"/>
          <w:szCs w:val="32"/>
          <w:u w:val="single"/>
        </w:rPr>
        <w:t xml:space="preserve">                </w:t>
      </w:r>
    </w:p>
    <w:p>
      <w:pPr>
        <w:rPr>
          <w:rFonts w:ascii="黑体" w:hAnsi="黑体" w:eastAsia="黑体" w:cs="黑体"/>
          <w:kern w:val="0"/>
          <w:szCs w:val="32"/>
          <w:u w:val="single"/>
        </w:rPr>
      </w:pPr>
    </w:p>
    <w:p>
      <w:pPr>
        <w:widowControl/>
        <w:ind w:firstLine="4160" w:firstLineChars="1300"/>
        <w:rPr>
          <w:rFonts w:ascii="仿宋" w:hAnsi="仿宋" w:eastAsia="仿宋"/>
          <w:szCs w:val="32"/>
        </w:rPr>
        <w:sectPr>
          <w:pgSz w:w="16840" w:h="11907" w:orient="landscape"/>
          <w:pgMar w:top="1474" w:right="1440" w:bottom="1247" w:left="1701" w:header="851" w:footer="992" w:gutter="57"/>
          <w:cols w:space="425" w:num="1"/>
          <w:docGrid w:linePitch="464" w:charSpace="-834"/>
        </w:sectPr>
      </w:pPr>
      <w:r>
        <w:rPr>
          <w:rFonts w:hint="eastAsia" w:ascii="黑体" w:hAnsi="黑体" w:eastAsia="黑体" w:cs="黑体"/>
          <w:kern w:val="0"/>
          <w:szCs w:val="32"/>
        </w:rPr>
        <w:t>申报日期：</w:t>
      </w:r>
      <w:r>
        <w:rPr>
          <w:rFonts w:hint="eastAsia" w:ascii="黑体" w:hAnsi="黑体" w:eastAsia="黑体" w:cs="黑体"/>
          <w:kern w:val="0"/>
          <w:szCs w:val="32"/>
          <w:u w:val="single"/>
        </w:rPr>
        <w:t xml:space="preserve">    年   月   日</w:t>
      </w:r>
    </w:p>
    <w:p>
      <w:pPr>
        <w:widowControl/>
        <w:spacing w:before="120" w:beforeLines="50"/>
        <w:jc w:val="center"/>
        <w:rPr>
          <w:rFonts w:ascii="仿宋" w:hAnsi="仿宋" w:eastAsia="仿宋"/>
          <w:szCs w:val="32"/>
        </w:rPr>
      </w:pPr>
      <w:r>
        <w:rPr>
          <w:rFonts w:hint="eastAsia" w:ascii="方正小标宋简体" w:hAnsi="方正小标宋简体" w:eastAsia="方正小标宋简体" w:cs="方正小标宋简体"/>
          <w:bCs/>
          <w:color w:val="000000"/>
          <w:kern w:val="0"/>
          <w:sz w:val="44"/>
          <w:szCs w:val="44"/>
        </w:rPr>
        <w:t>湖州市建筑施工企业信用评价标准</w:t>
      </w:r>
    </w:p>
    <w:p>
      <w:pPr>
        <w:widowControl/>
        <w:jc w:val="left"/>
        <w:rPr>
          <w:rFonts w:ascii="仿宋" w:hAnsi="仿宋" w:eastAsia="仿宋"/>
          <w:szCs w:val="32"/>
        </w:rPr>
      </w:pPr>
    </w:p>
    <w:tbl>
      <w:tblPr>
        <w:tblStyle w:val="7"/>
        <w:tblW w:w="14041" w:type="dxa"/>
        <w:jc w:val="center"/>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559"/>
        <w:gridCol w:w="8930"/>
        <w:gridCol w:w="779"/>
        <w:gridCol w:w="78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blHeader/>
          <w:jc w:val="center"/>
        </w:trPr>
        <w:tc>
          <w:tcPr>
            <w:tcW w:w="597" w:type="dxa"/>
            <w:vAlign w:val="center"/>
          </w:tcPr>
          <w:p>
            <w:pPr>
              <w:jc w:val="center"/>
              <w:rPr>
                <w:rFonts w:ascii="宋体" w:hAnsi="宋体" w:cs="宋体"/>
                <w:color w:val="000000"/>
                <w:sz w:val="24"/>
                <w:szCs w:val="24"/>
              </w:rPr>
            </w:pPr>
            <w:r>
              <w:rPr>
                <w:rFonts w:hint="eastAsia" w:ascii="宋体" w:hAnsi="宋体" w:cs="宋体"/>
                <w:color w:val="000000"/>
                <w:kern w:val="0"/>
                <w:sz w:val="24"/>
                <w:szCs w:val="24"/>
              </w:rPr>
              <w:t>序号</w:t>
            </w:r>
          </w:p>
        </w:tc>
        <w:tc>
          <w:tcPr>
            <w:tcW w:w="1559" w:type="dxa"/>
            <w:vAlign w:val="center"/>
          </w:tcPr>
          <w:p>
            <w:pPr>
              <w:jc w:val="center"/>
              <w:rPr>
                <w:rFonts w:ascii="宋体" w:hAnsi="宋体" w:cs="宋体"/>
                <w:color w:val="000000"/>
                <w:sz w:val="24"/>
                <w:szCs w:val="24"/>
              </w:rPr>
            </w:pPr>
            <w:r>
              <w:rPr>
                <w:rFonts w:hint="eastAsia" w:ascii="宋体" w:hAnsi="宋体" w:cs="宋体"/>
                <w:color w:val="000000"/>
                <w:kern w:val="0"/>
                <w:sz w:val="24"/>
                <w:szCs w:val="24"/>
              </w:rPr>
              <w:t>评价指标</w:t>
            </w:r>
          </w:p>
        </w:tc>
        <w:tc>
          <w:tcPr>
            <w:tcW w:w="8930" w:type="dxa"/>
            <w:vAlign w:val="center"/>
          </w:tcPr>
          <w:p>
            <w:pPr>
              <w:jc w:val="center"/>
              <w:rPr>
                <w:rFonts w:ascii="宋体" w:hAnsi="宋体" w:cs="宋体"/>
                <w:color w:val="000000"/>
                <w:sz w:val="24"/>
                <w:szCs w:val="24"/>
              </w:rPr>
            </w:pPr>
            <w:r>
              <w:rPr>
                <w:rFonts w:hint="eastAsia" w:ascii="宋体" w:hAnsi="宋体" w:cs="宋体"/>
                <w:color w:val="000000"/>
                <w:sz w:val="24"/>
                <w:szCs w:val="24"/>
              </w:rPr>
              <w:t>评价标准</w:t>
            </w:r>
          </w:p>
        </w:tc>
        <w:tc>
          <w:tcPr>
            <w:tcW w:w="779" w:type="dxa"/>
            <w:vAlign w:val="center"/>
          </w:tcPr>
          <w:p>
            <w:pPr>
              <w:ind w:left="-96" w:leftChars="-30" w:right="-96" w:rightChars="-30"/>
              <w:jc w:val="center"/>
              <w:rPr>
                <w:rFonts w:ascii="宋体" w:hAnsi="宋体" w:cs="宋体"/>
                <w:color w:val="000000"/>
                <w:spacing w:val="-22"/>
                <w:sz w:val="24"/>
                <w:szCs w:val="24"/>
              </w:rPr>
            </w:pPr>
            <w:r>
              <w:rPr>
                <w:rFonts w:hint="eastAsia" w:ascii="宋体" w:hAnsi="宋体" w:cs="宋体"/>
                <w:color w:val="000000"/>
                <w:spacing w:val="-22"/>
                <w:sz w:val="24"/>
                <w:szCs w:val="24"/>
              </w:rPr>
              <w:t>最高分</w:t>
            </w:r>
          </w:p>
        </w:tc>
        <w:tc>
          <w:tcPr>
            <w:tcW w:w="780" w:type="dxa"/>
            <w:vAlign w:val="center"/>
          </w:tcPr>
          <w:p>
            <w:pPr>
              <w:jc w:val="center"/>
              <w:rPr>
                <w:rFonts w:ascii="宋体" w:hAnsi="宋体" w:cs="宋体"/>
                <w:color w:val="000000"/>
                <w:sz w:val="24"/>
                <w:szCs w:val="24"/>
              </w:rPr>
            </w:pPr>
            <w:r>
              <w:rPr>
                <w:rFonts w:hint="eastAsia" w:ascii="宋体" w:hAnsi="宋体" w:cs="宋体"/>
                <w:color w:val="000000"/>
                <w:sz w:val="24"/>
                <w:szCs w:val="24"/>
              </w:rPr>
              <w:t>得分</w:t>
            </w:r>
          </w:p>
        </w:tc>
        <w:tc>
          <w:tcPr>
            <w:tcW w:w="1396" w:type="dxa"/>
            <w:vAlign w:val="center"/>
          </w:tcPr>
          <w:p>
            <w:pPr>
              <w:spacing w:line="260" w:lineRule="exact"/>
              <w:ind w:left="-96" w:leftChars="-30" w:right="-96" w:rightChars="-30"/>
              <w:jc w:val="center"/>
              <w:rPr>
                <w:rFonts w:ascii="宋体" w:hAnsi="宋体" w:cs="宋体"/>
                <w:color w:val="000000"/>
                <w:sz w:val="24"/>
                <w:szCs w:val="24"/>
              </w:rPr>
            </w:pPr>
            <w:r>
              <w:rPr>
                <w:rFonts w:hint="eastAsia" w:ascii="宋体" w:hAnsi="宋体" w:cs="宋体"/>
                <w:color w:val="000000"/>
                <w:sz w:val="24"/>
                <w:szCs w:val="24"/>
              </w:rPr>
              <w:t>备注（各得分和扣分具体事项说明）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jc w:val="center"/>
        </w:trPr>
        <w:tc>
          <w:tcPr>
            <w:tcW w:w="597" w:type="dxa"/>
            <w:vAlign w:val="center"/>
          </w:tcPr>
          <w:p>
            <w:pPr>
              <w:jc w:val="center"/>
              <w:rPr>
                <w:rFonts w:ascii="宋体" w:hAnsi="宋体" w:cs="宋体"/>
                <w:color w:val="000000"/>
                <w:sz w:val="24"/>
                <w:szCs w:val="24"/>
              </w:rPr>
            </w:pPr>
            <w:r>
              <w:rPr>
                <w:rFonts w:hint="eastAsia" w:ascii="宋体" w:hAnsi="宋体" w:cs="宋体"/>
                <w:color w:val="000000"/>
                <w:sz w:val="24"/>
                <w:szCs w:val="24"/>
              </w:rPr>
              <w:t>1.1</w:t>
            </w:r>
          </w:p>
        </w:tc>
        <w:tc>
          <w:tcPr>
            <w:tcW w:w="1559" w:type="dxa"/>
            <w:vAlign w:val="center"/>
          </w:tcPr>
          <w:p>
            <w:pPr>
              <w:jc w:val="center"/>
              <w:rPr>
                <w:rFonts w:ascii="宋体" w:hAnsi="宋体" w:cs="宋体"/>
                <w:color w:val="000000"/>
                <w:sz w:val="24"/>
                <w:szCs w:val="24"/>
              </w:rPr>
            </w:pPr>
            <w:r>
              <w:rPr>
                <w:rFonts w:hint="eastAsia" w:ascii="宋体" w:hAnsi="宋体" w:cs="宋体"/>
                <w:color w:val="000000"/>
                <w:sz w:val="24"/>
                <w:szCs w:val="24"/>
              </w:rPr>
              <w:t>资信状况</w:t>
            </w:r>
          </w:p>
          <w:p>
            <w:pPr>
              <w:jc w:val="center"/>
              <w:rPr>
                <w:rFonts w:ascii="宋体" w:hAnsi="宋体" w:cs="宋体"/>
                <w:color w:val="000000"/>
                <w:sz w:val="24"/>
                <w:szCs w:val="24"/>
              </w:rPr>
            </w:pPr>
            <w:r>
              <w:rPr>
                <w:rFonts w:hint="eastAsia" w:ascii="宋体" w:hAnsi="宋体" w:cs="宋体"/>
                <w:color w:val="000000"/>
                <w:sz w:val="24"/>
                <w:szCs w:val="24"/>
              </w:rPr>
              <w:t>--资质等级</w:t>
            </w:r>
          </w:p>
        </w:tc>
        <w:tc>
          <w:tcPr>
            <w:tcW w:w="8930" w:type="dxa"/>
            <w:vAlign w:val="center"/>
          </w:tcPr>
          <w:p>
            <w:pPr>
              <w:spacing w:line="280" w:lineRule="exact"/>
              <w:rPr>
                <w:rFonts w:ascii="宋体" w:hAnsi="宋体" w:cs="宋体"/>
                <w:color w:val="000000"/>
                <w:sz w:val="24"/>
                <w:szCs w:val="24"/>
              </w:rPr>
            </w:pPr>
            <w:r>
              <w:rPr>
                <w:rFonts w:hint="eastAsia" w:ascii="宋体" w:hAnsi="宋体" w:cs="宋体"/>
                <w:b/>
                <w:bCs/>
                <w:color w:val="000000"/>
                <w:sz w:val="24"/>
                <w:szCs w:val="24"/>
              </w:rPr>
              <w:t>评价内容：</w:t>
            </w:r>
            <w:r>
              <w:rPr>
                <w:rFonts w:hint="eastAsia" w:ascii="宋体" w:hAnsi="宋体" w:cs="宋体"/>
                <w:color w:val="000000"/>
                <w:sz w:val="24"/>
                <w:szCs w:val="24"/>
              </w:rPr>
              <w:t>企业具有与申请类别相对应的资质等级。</w:t>
            </w:r>
          </w:p>
          <w:p>
            <w:pPr>
              <w:spacing w:line="280" w:lineRule="exact"/>
              <w:rPr>
                <w:rFonts w:ascii="宋体" w:hAnsi="宋体" w:cs="宋体"/>
                <w:color w:val="000000"/>
                <w:sz w:val="24"/>
                <w:szCs w:val="24"/>
              </w:rPr>
            </w:pPr>
            <w:r>
              <w:rPr>
                <w:rFonts w:hint="eastAsia" w:ascii="宋体" w:hAnsi="宋体" w:cs="宋体"/>
                <w:b/>
                <w:bCs/>
                <w:color w:val="000000"/>
                <w:sz w:val="24"/>
                <w:szCs w:val="24"/>
              </w:rPr>
              <w:t>评价方式：</w:t>
            </w:r>
            <w:r>
              <w:rPr>
                <w:rFonts w:hint="eastAsia" w:ascii="宋体" w:hAnsi="宋体" w:cs="宋体"/>
                <w:color w:val="000000"/>
                <w:sz w:val="24"/>
                <w:szCs w:val="24"/>
              </w:rPr>
              <w:t>查阅企业的资质证书。</w:t>
            </w:r>
          </w:p>
          <w:p>
            <w:pPr>
              <w:spacing w:line="280" w:lineRule="exact"/>
              <w:rPr>
                <w:rFonts w:ascii="宋体" w:hAnsi="宋体" w:cs="宋体"/>
                <w:b/>
                <w:bCs/>
                <w:color w:val="000000"/>
                <w:sz w:val="24"/>
                <w:szCs w:val="24"/>
              </w:rPr>
            </w:pPr>
            <w:r>
              <w:rPr>
                <w:rFonts w:hint="eastAsia" w:ascii="宋体" w:hAnsi="宋体" w:cs="宋体"/>
                <w:b/>
                <w:bCs/>
                <w:color w:val="000000"/>
                <w:sz w:val="24"/>
                <w:szCs w:val="24"/>
              </w:rPr>
              <w:t>评分标准：</w:t>
            </w:r>
          </w:p>
          <w:p>
            <w:pPr>
              <w:spacing w:line="280" w:lineRule="exact"/>
              <w:ind w:firstLine="480" w:firstLineChars="200"/>
              <w:rPr>
                <w:rFonts w:ascii="宋体" w:hAnsi="宋体" w:cs="宋体"/>
                <w:color w:val="000000"/>
                <w:sz w:val="24"/>
                <w:szCs w:val="24"/>
              </w:rPr>
            </w:pPr>
            <w:r>
              <w:rPr>
                <w:rFonts w:hint="eastAsia" w:ascii="宋体" w:hAnsi="宋体" w:cs="宋体"/>
                <w:color w:val="000000"/>
                <w:sz w:val="24"/>
                <w:szCs w:val="24"/>
              </w:rPr>
              <w:t>特级，得5分；一级，得4分；二级，得3分；三级，得2分。</w:t>
            </w:r>
          </w:p>
        </w:tc>
        <w:tc>
          <w:tcPr>
            <w:tcW w:w="779" w:type="dxa"/>
            <w:vAlign w:val="center"/>
          </w:tcPr>
          <w:p>
            <w:pPr>
              <w:jc w:val="center"/>
              <w:rPr>
                <w:rFonts w:ascii="宋体" w:hAnsi="宋体" w:cs="宋体"/>
                <w:color w:val="000000"/>
                <w:sz w:val="24"/>
                <w:szCs w:val="24"/>
              </w:rPr>
            </w:pPr>
            <w:r>
              <w:rPr>
                <w:rFonts w:hint="eastAsia" w:ascii="宋体" w:hAnsi="宋体" w:cs="宋体"/>
                <w:color w:val="000000"/>
                <w:sz w:val="24"/>
                <w:szCs w:val="24"/>
              </w:rPr>
              <w:t>5</w:t>
            </w:r>
          </w:p>
        </w:tc>
        <w:tc>
          <w:tcPr>
            <w:tcW w:w="780" w:type="dxa"/>
          </w:tcPr>
          <w:p>
            <w:pPr>
              <w:rPr>
                <w:rFonts w:ascii="宋体" w:hAnsi="宋体" w:cs="宋体"/>
                <w:color w:val="000000"/>
                <w:sz w:val="24"/>
                <w:szCs w:val="24"/>
              </w:rPr>
            </w:pPr>
          </w:p>
        </w:tc>
        <w:tc>
          <w:tcPr>
            <w:tcW w:w="1396" w:type="dxa"/>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7" w:hRule="atLeast"/>
          <w:jc w:val="center"/>
        </w:trPr>
        <w:tc>
          <w:tcPr>
            <w:tcW w:w="597" w:type="dxa"/>
            <w:vAlign w:val="center"/>
          </w:tcPr>
          <w:p>
            <w:pPr>
              <w:jc w:val="center"/>
              <w:rPr>
                <w:rFonts w:ascii="宋体" w:hAnsi="宋体" w:cs="宋体"/>
                <w:color w:val="000000"/>
                <w:sz w:val="24"/>
                <w:szCs w:val="24"/>
              </w:rPr>
            </w:pPr>
            <w:r>
              <w:rPr>
                <w:rFonts w:hint="eastAsia" w:ascii="宋体" w:hAnsi="宋体" w:cs="宋体"/>
                <w:color w:val="000000"/>
                <w:sz w:val="24"/>
                <w:szCs w:val="24"/>
              </w:rPr>
              <w:t>1.2</w:t>
            </w:r>
          </w:p>
        </w:tc>
        <w:tc>
          <w:tcPr>
            <w:tcW w:w="1559" w:type="dxa"/>
            <w:vAlign w:val="center"/>
          </w:tcPr>
          <w:p>
            <w:pPr>
              <w:jc w:val="center"/>
              <w:rPr>
                <w:rFonts w:ascii="宋体" w:hAnsi="宋体" w:cs="宋体"/>
                <w:color w:val="000000"/>
                <w:sz w:val="24"/>
                <w:szCs w:val="24"/>
              </w:rPr>
            </w:pPr>
            <w:r>
              <w:rPr>
                <w:rFonts w:hint="eastAsia" w:ascii="宋体" w:hAnsi="宋体" w:cs="宋体"/>
                <w:color w:val="000000"/>
                <w:sz w:val="24"/>
                <w:szCs w:val="24"/>
              </w:rPr>
              <w:t>资信状况</w:t>
            </w:r>
          </w:p>
          <w:p>
            <w:pPr>
              <w:jc w:val="center"/>
              <w:rPr>
                <w:rFonts w:ascii="宋体" w:hAnsi="宋体" w:cs="宋体"/>
                <w:color w:val="000000"/>
                <w:sz w:val="24"/>
                <w:szCs w:val="24"/>
              </w:rPr>
            </w:pPr>
            <w:r>
              <w:rPr>
                <w:rFonts w:hint="eastAsia" w:ascii="宋体" w:hAnsi="宋体" w:cs="宋体"/>
                <w:color w:val="000000"/>
                <w:sz w:val="24"/>
                <w:szCs w:val="24"/>
              </w:rPr>
              <w:t>--办公环境</w:t>
            </w:r>
          </w:p>
        </w:tc>
        <w:tc>
          <w:tcPr>
            <w:tcW w:w="8930" w:type="dxa"/>
            <w:vAlign w:val="center"/>
          </w:tcPr>
          <w:p>
            <w:pPr>
              <w:spacing w:line="280" w:lineRule="exact"/>
              <w:rPr>
                <w:rFonts w:ascii="宋体" w:hAnsi="宋体" w:cs="宋体"/>
                <w:color w:val="000000"/>
                <w:sz w:val="24"/>
                <w:szCs w:val="24"/>
              </w:rPr>
            </w:pPr>
            <w:r>
              <w:rPr>
                <w:rFonts w:hint="eastAsia" w:ascii="宋体" w:hAnsi="宋体" w:cs="宋体"/>
                <w:b/>
                <w:bCs/>
                <w:color w:val="000000"/>
                <w:sz w:val="24"/>
                <w:szCs w:val="24"/>
              </w:rPr>
              <w:t>评价内容：</w:t>
            </w:r>
            <w:r>
              <w:rPr>
                <w:rFonts w:hint="eastAsia" w:ascii="宋体" w:hAnsi="宋体" w:cs="宋体"/>
                <w:color w:val="000000"/>
                <w:sz w:val="24"/>
                <w:szCs w:val="24"/>
              </w:rPr>
              <w:t>企业在湖州市范围内用于办公使用的固定办公场所（不含仓储、食堂等非办公场所）。</w:t>
            </w:r>
          </w:p>
          <w:p>
            <w:pPr>
              <w:spacing w:line="280" w:lineRule="exact"/>
              <w:rPr>
                <w:rFonts w:ascii="宋体" w:hAnsi="宋体" w:cs="宋体"/>
                <w:color w:val="000000"/>
                <w:sz w:val="24"/>
                <w:szCs w:val="24"/>
              </w:rPr>
            </w:pPr>
            <w:r>
              <w:rPr>
                <w:rFonts w:hint="eastAsia" w:ascii="宋体" w:hAnsi="宋体" w:cs="宋体"/>
                <w:b/>
                <w:bCs/>
                <w:color w:val="000000"/>
                <w:sz w:val="24"/>
                <w:szCs w:val="24"/>
              </w:rPr>
              <w:t>评价方式：</w:t>
            </w:r>
            <w:r>
              <w:rPr>
                <w:rFonts w:hint="eastAsia" w:ascii="宋体" w:hAnsi="宋体" w:cs="宋体"/>
                <w:color w:val="000000"/>
                <w:sz w:val="24"/>
                <w:szCs w:val="24"/>
              </w:rPr>
              <w:t>查阅企业办公场所房产产权证明或租赁合同及出租方房产产权证明，必要时组织人员现场踏勘。企业各区域办公场所面积可以总体评价，即无需按申请类别进行分割计算。</w:t>
            </w:r>
          </w:p>
          <w:p>
            <w:pPr>
              <w:spacing w:line="280" w:lineRule="exact"/>
              <w:rPr>
                <w:rFonts w:ascii="宋体" w:hAnsi="宋体" w:cs="宋体"/>
                <w:b/>
                <w:bCs/>
                <w:color w:val="000000"/>
                <w:sz w:val="24"/>
                <w:szCs w:val="24"/>
              </w:rPr>
            </w:pPr>
            <w:r>
              <w:rPr>
                <w:rFonts w:hint="eastAsia" w:ascii="宋体" w:hAnsi="宋体" w:cs="宋体"/>
                <w:b/>
                <w:bCs/>
                <w:color w:val="000000"/>
                <w:sz w:val="24"/>
                <w:szCs w:val="24"/>
              </w:rPr>
              <w:t>评分标准：</w:t>
            </w:r>
          </w:p>
          <w:p>
            <w:pPr>
              <w:spacing w:line="280" w:lineRule="exact"/>
              <w:ind w:firstLine="482" w:firstLineChars="200"/>
              <w:rPr>
                <w:rFonts w:ascii="宋体" w:hAnsi="宋体" w:cs="宋体"/>
                <w:color w:val="000000"/>
                <w:sz w:val="24"/>
                <w:szCs w:val="24"/>
              </w:rPr>
            </w:pPr>
            <w:r>
              <w:rPr>
                <w:rFonts w:hint="eastAsia" w:ascii="宋体" w:hAnsi="宋体" w:cs="宋体"/>
                <w:b/>
                <w:bCs/>
                <w:color w:val="000000"/>
                <w:sz w:val="24"/>
                <w:szCs w:val="24"/>
              </w:rPr>
              <w:t>建筑工程</w:t>
            </w:r>
            <w:r>
              <w:rPr>
                <w:rFonts w:hint="eastAsia" w:ascii="宋体" w:hAnsi="宋体" w:cs="宋体"/>
                <w:color w:val="000000"/>
                <w:sz w:val="24"/>
                <w:szCs w:val="24"/>
              </w:rPr>
              <w:t>施工总承包</w:t>
            </w:r>
            <w:r>
              <w:rPr>
                <w:rFonts w:hint="eastAsia" w:ascii="宋体" w:hAnsi="宋体" w:cs="宋体"/>
                <w:b/>
                <w:bCs/>
                <w:color w:val="000000"/>
                <w:sz w:val="24"/>
                <w:szCs w:val="24"/>
              </w:rPr>
              <w:t>：</w:t>
            </w:r>
            <w:r>
              <w:rPr>
                <w:rFonts w:hint="eastAsia" w:ascii="宋体" w:hAnsi="宋体" w:cs="宋体"/>
                <w:color w:val="000000"/>
                <w:sz w:val="24"/>
                <w:szCs w:val="24"/>
              </w:rPr>
              <w:t>企业在湖州市范围内具有正式投入使用的固定办公场所，办公场所150㎡以下的，得1分；150㎡及以上300㎡以下的，得1.5分；300㎡及以上600㎡以下的，得2分;600㎡及以上1000㎡以下的，得2.5分；1000㎡及以上1500㎡以下的，得3分；1500㎡及以上2000㎡以下的，得3.5分；2000㎡及以上的，得4分。</w:t>
            </w:r>
          </w:p>
          <w:p>
            <w:pPr>
              <w:spacing w:line="280" w:lineRule="exact"/>
              <w:ind w:firstLine="482" w:firstLineChars="200"/>
              <w:rPr>
                <w:rFonts w:ascii="宋体" w:hAnsi="宋体" w:cs="宋体"/>
                <w:color w:val="000000"/>
                <w:sz w:val="24"/>
                <w:szCs w:val="24"/>
              </w:rPr>
            </w:pPr>
            <w:r>
              <w:rPr>
                <w:rFonts w:hint="eastAsia" w:ascii="宋体" w:hAnsi="宋体" w:cs="宋体"/>
                <w:b/>
                <w:bCs/>
                <w:color w:val="000000"/>
                <w:sz w:val="24"/>
                <w:szCs w:val="24"/>
              </w:rPr>
              <w:t>市政公用工程</w:t>
            </w:r>
            <w:r>
              <w:rPr>
                <w:rFonts w:hint="eastAsia" w:ascii="宋体" w:hAnsi="宋体" w:cs="宋体"/>
                <w:color w:val="000000"/>
                <w:sz w:val="24"/>
                <w:szCs w:val="24"/>
              </w:rPr>
              <w:t>施工总承包</w:t>
            </w:r>
            <w:r>
              <w:rPr>
                <w:rFonts w:hint="eastAsia" w:ascii="宋体" w:hAnsi="宋体" w:cs="宋体"/>
                <w:b/>
                <w:bCs/>
                <w:color w:val="000000"/>
                <w:sz w:val="24"/>
                <w:szCs w:val="24"/>
              </w:rPr>
              <w:t>：</w:t>
            </w:r>
            <w:r>
              <w:rPr>
                <w:rFonts w:hint="eastAsia" w:ascii="宋体" w:hAnsi="宋体" w:cs="宋体"/>
                <w:color w:val="000000"/>
                <w:sz w:val="24"/>
                <w:szCs w:val="24"/>
              </w:rPr>
              <w:t>企业在湖州市范围内具有正式投入使用的固定办公场所，办公场所100㎡以下的，得1分；100㎡及以上300㎡以下的，得1.5分；300㎡及以上500㎡以下的,得2分；500㎡及以上800㎡以下的，得2.5分；800㎡及以上1300㎡以下的，得3分；1300㎡及以上的，得4分。</w:t>
            </w:r>
          </w:p>
          <w:p>
            <w:pPr>
              <w:spacing w:line="280" w:lineRule="exact"/>
              <w:ind w:firstLine="482" w:firstLineChars="200"/>
              <w:rPr>
                <w:rFonts w:ascii="宋体" w:hAnsi="宋体" w:cs="宋体"/>
                <w:color w:val="000000"/>
                <w:sz w:val="24"/>
                <w:szCs w:val="24"/>
              </w:rPr>
            </w:pPr>
            <w:r>
              <w:rPr>
                <w:rFonts w:hint="eastAsia" w:ascii="宋体" w:hAnsi="宋体" w:cs="宋体"/>
                <w:b/>
                <w:bCs/>
                <w:color w:val="000000"/>
                <w:sz w:val="24"/>
                <w:szCs w:val="24"/>
              </w:rPr>
              <w:t>建筑装修装饰、建筑幕墙、钢结构、消防设施、电子与智能化工程</w:t>
            </w:r>
            <w:r>
              <w:rPr>
                <w:rFonts w:hint="eastAsia" w:ascii="宋体" w:hAnsi="宋体" w:cs="宋体"/>
                <w:color w:val="000000"/>
                <w:sz w:val="24"/>
                <w:szCs w:val="24"/>
              </w:rPr>
              <w:t>专业承包企业在湖州市范围内用于企业办公使用的固定办公场所，按照建筑工程施工总承包标准的30%计取相应分值。</w:t>
            </w:r>
          </w:p>
          <w:p>
            <w:pPr>
              <w:spacing w:line="280" w:lineRule="exact"/>
              <w:ind w:firstLine="482" w:firstLineChars="200"/>
              <w:rPr>
                <w:rFonts w:ascii="宋体" w:hAnsi="宋体" w:cs="宋体"/>
                <w:color w:val="000000"/>
                <w:sz w:val="24"/>
                <w:szCs w:val="24"/>
              </w:rPr>
            </w:pPr>
            <w:r>
              <w:rPr>
                <w:rFonts w:hint="eastAsia"/>
                <w:b/>
                <w:bCs/>
                <w:sz w:val="24"/>
                <w:szCs w:val="24"/>
              </w:rPr>
              <w:t>（本条所述专业承包企业条款仅对专业承包资质高于总承包资质的企业申请该项专业承包资质信用评价时适用）</w:t>
            </w:r>
          </w:p>
        </w:tc>
        <w:tc>
          <w:tcPr>
            <w:tcW w:w="779" w:type="dxa"/>
            <w:vAlign w:val="center"/>
          </w:tcPr>
          <w:p>
            <w:pPr>
              <w:jc w:val="center"/>
              <w:rPr>
                <w:rFonts w:ascii="宋体" w:hAnsi="宋体" w:cs="宋体"/>
                <w:color w:val="000000"/>
                <w:sz w:val="24"/>
                <w:szCs w:val="24"/>
              </w:rPr>
            </w:pPr>
            <w:r>
              <w:rPr>
                <w:rFonts w:hint="eastAsia" w:ascii="宋体" w:hAnsi="宋体" w:cs="宋体"/>
                <w:color w:val="000000"/>
                <w:sz w:val="24"/>
                <w:szCs w:val="24"/>
              </w:rPr>
              <w:t>4</w:t>
            </w:r>
          </w:p>
        </w:tc>
        <w:tc>
          <w:tcPr>
            <w:tcW w:w="780" w:type="dxa"/>
          </w:tcPr>
          <w:p>
            <w:pPr>
              <w:rPr>
                <w:rFonts w:ascii="宋体" w:hAnsi="宋体" w:cs="宋体"/>
                <w:color w:val="000000"/>
                <w:sz w:val="24"/>
                <w:szCs w:val="24"/>
              </w:rPr>
            </w:pPr>
          </w:p>
        </w:tc>
        <w:tc>
          <w:tcPr>
            <w:tcW w:w="1396" w:type="dxa"/>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0" w:hRule="atLeast"/>
          <w:jc w:val="center"/>
        </w:trPr>
        <w:tc>
          <w:tcPr>
            <w:tcW w:w="597" w:type="dxa"/>
            <w:vAlign w:val="center"/>
          </w:tcPr>
          <w:p>
            <w:pPr>
              <w:jc w:val="center"/>
              <w:rPr>
                <w:rFonts w:ascii="宋体" w:hAnsi="宋体" w:cs="宋体"/>
                <w:color w:val="000000"/>
                <w:sz w:val="24"/>
                <w:szCs w:val="24"/>
              </w:rPr>
            </w:pPr>
            <w:r>
              <w:rPr>
                <w:rFonts w:hint="eastAsia" w:ascii="宋体" w:hAnsi="宋体" w:cs="宋体"/>
                <w:color w:val="000000"/>
                <w:sz w:val="24"/>
                <w:szCs w:val="24"/>
              </w:rPr>
              <w:t>1.3</w:t>
            </w:r>
          </w:p>
        </w:tc>
        <w:tc>
          <w:tcPr>
            <w:tcW w:w="1559" w:type="dxa"/>
            <w:vAlign w:val="center"/>
          </w:tcPr>
          <w:p>
            <w:pPr>
              <w:jc w:val="center"/>
              <w:rPr>
                <w:rFonts w:ascii="宋体" w:hAnsi="宋体" w:cs="宋体"/>
                <w:color w:val="000000"/>
                <w:sz w:val="24"/>
                <w:szCs w:val="24"/>
              </w:rPr>
            </w:pPr>
            <w:r>
              <w:rPr>
                <w:rFonts w:hint="eastAsia" w:ascii="宋体" w:hAnsi="宋体" w:cs="宋体"/>
                <w:color w:val="000000"/>
                <w:sz w:val="24"/>
                <w:szCs w:val="24"/>
              </w:rPr>
              <w:t>资信状况</w:t>
            </w:r>
          </w:p>
          <w:p>
            <w:pPr>
              <w:jc w:val="center"/>
              <w:rPr>
                <w:rFonts w:ascii="宋体" w:hAnsi="宋体" w:cs="宋体"/>
                <w:color w:val="000000"/>
                <w:sz w:val="24"/>
                <w:szCs w:val="24"/>
              </w:rPr>
            </w:pPr>
            <w:r>
              <w:rPr>
                <w:rFonts w:hint="eastAsia" w:ascii="宋体" w:hAnsi="宋体" w:cs="宋体"/>
                <w:color w:val="000000"/>
                <w:sz w:val="24"/>
                <w:szCs w:val="24"/>
              </w:rPr>
              <w:t>--企业荣誉</w:t>
            </w:r>
          </w:p>
        </w:tc>
        <w:tc>
          <w:tcPr>
            <w:tcW w:w="8930" w:type="dxa"/>
            <w:vAlign w:val="center"/>
          </w:tcPr>
          <w:p>
            <w:pPr>
              <w:spacing w:line="320" w:lineRule="exact"/>
              <w:rPr>
                <w:rFonts w:ascii="宋体" w:hAnsi="宋体" w:cs="宋体"/>
                <w:color w:val="000000"/>
                <w:sz w:val="24"/>
                <w:szCs w:val="24"/>
              </w:rPr>
            </w:pPr>
            <w:r>
              <w:rPr>
                <w:rFonts w:hint="eastAsia" w:ascii="宋体" w:hAnsi="宋体" w:cs="宋体"/>
                <w:b/>
                <w:bCs/>
                <w:color w:val="000000"/>
                <w:sz w:val="24"/>
                <w:szCs w:val="24"/>
              </w:rPr>
              <w:t>评价内容：</w:t>
            </w:r>
            <w:r>
              <w:rPr>
                <w:rFonts w:hint="eastAsia" w:ascii="宋体" w:hAnsi="宋体" w:cs="宋体"/>
                <w:color w:val="000000"/>
                <w:sz w:val="24"/>
                <w:szCs w:val="24"/>
              </w:rPr>
              <w:t>企业荣誉。</w:t>
            </w:r>
          </w:p>
          <w:p>
            <w:pPr>
              <w:spacing w:line="320" w:lineRule="exact"/>
              <w:rPr>
                <w:rFonts w:ascii="宋体" w:hAnsi="宋体" w:cs="宋体"/>
                <w:color w:val="000000"/>
                <w:sz w:val="24"/>
                <w:szCs w:val="24"/>
              </w:rPr>
            </w:pPr>
            <w:r>
              <w:rPr>
                <w:rFonts w:hint="eastAsia" w:ascii="宋体" w:hAnsi="宋体" w:cs="宋体"/>
                <w:b/>
                <w:bCs/>
                <w:color w:val="000000"/>
                <w:sz w:val="24"/>
                <w:szCs w:val="24"/>
              </w:rPr>
              <w:t>评价方式：</w:t>
            </w:r>
            <w:r>
              <w:rPr>
                <w:rFonts w:hint="eastAsia" w:ascii="宋体" w:hAnsi="宋体" w:cs="宋体"/>
                <w:color w:val="000000"/>
                <w:sz w:val="24"/>
                <w:szCs w:val="24"/>
              </w:rPr>
              <w:t>查阅荣誉称号获奖文件。</w:t>
            </w:r>
          </w:p>
          <w:p>
            <w:pPr>
              <w:spacing w:line="320" w:lineRule="exact"/>
              <w:rPr>
                <w:rFonts w:ascii="宋体" w:hAnsi="宋体" w:cs="宋体"/>
                <w:b/>
                <w:bCs/>
                <w:color w:val="000000"/>
                <w:sz w:val="24"/>
                <w:szCs w:val="24"/>
              </w:rPr>
            </w:pPr>
            <w:r>
              <w:rPr>
                <w:rFonts w:hint="eastAsia" w:ascii="宋体" w:hAnsi="宋体" w:cs="宋体"/>
                <w:b/>
                <w:bCs/>
                <w:color w:val="000000"/>
                <w:sz w:val="24"/>
                <w:szCs w:val="24"/>
              </w:rPr>
              <w:t>评分标准：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近3年获国家、浙江省委、省政府、省建设厅、湖州市委、市政府表彰的得3分；近2年获湖州市各区县委、政府或市建设局表彰的得2分；近1年获湖州市各区县建设局表彰的得1分。具体分以下四项：</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w:t>
            </w:r>
            <w:r>
              <w:rPr>
                <w:rFonts w:hint="eastAsia" w:ascii="宋体" w:hAnsi="宋体" w:cs="宋体"/>
                <w:color w:val="000000"/>
                <w:sz w:val="24"/>
                <w:szCs w:val="24"/>
              </w:rPr>
              <w:t>企业获得的“优秀建筑企业”“龙头企业”“骨干企业”“先进企业”“最具市场影响力品牌”“建筑业强企”、“市外市场开拓优秀企业”等奖项；</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w:t>
            </w:r>
            <w:r>
              <w:rPr>
                <w:rFonts w:hint="eastAsia" w:ascii="宋体" w:hAnsi="宋体" w:cs="宋体"/>
                <w:color w:val="000000"/>
                <w:sz w:val="24"/>
                <w:szCs w:val="24"/>
              </w:rPr>
              <w:t>市及各区县党委、政府和文明办授予的“文明单位”表彰奖项；</w:t>
            </w:r>
          </w:p>
          <w:p>
            <w:pPr>
              <w:spacing w:line="320" w:lineRule="exact"/>
              <w:ind w:firstLine="480" w:firstLineChars="200"/>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市及各区县政府质量奖；</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每项只能计取一个最近时间段的最高奖项。</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本项最高得3分。</w:t>
            </w:r>
          </w:p>
        </w:tc>
        <w:tc>
          <w:tcPr>
            <w:tcW w:w="779" w:type="dxa"/>
            <w:vAlign w:val="center"/>
          </w:tcPr>
          <w:p>
            <w:pPr>
              <w:jc w:val="center"/>
              <w:rPr>
                <w:rFonts w:ascii="宋体" w:hAnsi="宋体" w:cs="宋体"/>
                <w:color w:val="000000"/>
                <w:sz w:val="24"/>
                <w:szCs w:val="24"/>
              </w:rPr>
            </w:pPr>
            <w:r>
              <w:rPr>
                <w:rFonts w:hint="eastAsia" w:ascii="宋体" w:hAnsi="宋体" w:cs="宋体"/>
                <w:color w:val="000000"/>
                <w:sz w:val="24"/>
                <w:szCs w:val="24"/>
              </w:rPr>
              <w:t>3</w:t>
            </w:r>
          </w:p>
        </w:tc>
        <w:tc>
          <w:tcPr>
            <w:tcW w:w="780" w:type="dxa"/>
          </w:tcPr>
          <w:p>
            <w:pPr>
              <w:rPr>
                <w:rFonts w:ascii="宋体" w:hAnsi="宋体" w:cs="宋体"/>
                <w:color w:val="000000"/>
                <w:sz w:val="24"/>
                <w:szCs w:val="24"/>
              </w:rPr>
            </w:pPr>
          </w:p>
        </w:tc>
        <w:tc>
          <w:tcPr>
            <w:tcW w:w="1396" w:type="dxa"/>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597" w:type="dxa"/>
            <w:vAlign w:val="center"/>
          </w:tcPr>
          <w:p>
            <w:pPr>
              <w:jc w:val="center"/>
              <w:rPr>
                <w:rFonts w:ascii="宋体" w:hAnsi="宋体" w:cs="宋体"/>
                <w:color w:val="000000"/>
                <w:sz w:val="24"/>
                <w:szCs w:val="24"/>
              </w:rPr>
            </w:pPr>
            <w:r>
              <w:rPr>
                <w:rFonts w:hint="eastAsia" w:ascii="宋体" w:hAnsi="宋体" w:cs="宋体"/>
                <w:color w:val="000000"/>
                <w:sz w:val="24"/>
                <w:szCs w:val="24"/>
              </w:rPr>
              <w:t>2.1</w:t>
            </w:r>
          </w:p>
        </w:tc>
        <w:tc>
          <w:tcPr>
            <w:tcW w:w="1559" w:type="dxa"/>
            <w:vAlign w:val="center"/>
          </w:tcPr>
          <w:p>
            <w:pPr>
              <w:jc w:val="center"/>
              <w:rPr>
                <w:rFonts w:ascii="宋体" w:hAnsi="宋体" w:cs="宋体"/>
                <w:color w:val="000000"/>
                <w:sz w:val="24"/>
                <w:szCs w:val="24"/>
              </w:rPr>
            </w:pPr>
            <w:r>
              <w:rPr>
                <w:rFonts w:hint="eastAsia" w:ascii="宋体" w:hAnsi="宋体" w:cs="宋体"/>
                <w:color w:val="000000"/>
                <w:sz w:val="24"/>
                <w:szCs w:val="24"/>
              </w:rPr>
              <w:t>经营素质</w:t>
            </w:r>
          </w:p>
          <w:p>
            <w:pPr>
              <w:jc w:val="center"/>
              <w:rPr>
                <w:rFonts w:ascii="宋体" w:hAnsi="宋体" w:cs="宋体"/>
                <w:color w:val="000000"/>
                <w:sz w:val="24"/>
                <w:szCs w:val="24"/>
              </w:rPr>
            </w:pPr>
            <w:r>
              <w:rPr>
                <w:rFonts w:hint="eastAsia" w:ascii="宋体" w:hAnsi="宋体" w:cs="宋体"/>
                <w:color w:val="000000"/>
                <w:sz w:val="24"/>
                <w:szCs w:val="24"/>
              </w:rPr>
              <w:t>--工程质量获奖</w:t>
            </w:r>
          </w:p>
        </w:tc>
        <w:tc>
          <w:tcPr>
            <w:tcW w:w="8930" w:type="dxa"/>
            <w:vAlign w:val="center"/>
          </w:tcPr>
          <w:p>
            <w:pPr>
              <w:spacing w:line="320" w:lineRule="exact"/>
              <w:rPr>
                <w:rFonts w:ascii="宋体" w:hAnsi="宋体" w:cs="宋体"/>
                <w:color w:val="000000"/>
                <w:sz w:val="24"/>
                <w:szCs w:val="24"/>
              </w:rPr>
            </w:pPr>
            <w:r>
              <w:rPr>
                <w:rFonts w:hint="eastAsia" w:ascii="宋体" w:hAnsi="宋体" w:cs="宋体"/>
                <w:b/>
                <w:bCs/>
                <w:color w:val="000000"/>
                <w:sz w:val="24"/>
                <w:szCs w:val="24"/>
              </w:rPr>
              <w:t>评价内容：</w:t>
            </w:r>
            <w:r>
              <w:rPr>
                <w:rFonts w:hint="eastAsia" w:ascii="宋体" w:hAnsi="宋体" w:cs="宋体"/>
                <w:color w:val="000000"/>
                <w:sz w:val="24"/>
                <w:szCs w:val="24"/>
              </w:rPr>
              <w:t>企业承建的与申请类别相对应的工程质量获奖情况。</w:t>
            </w:r>
          </w:p>
          <w:p>
            <w:pPr>
              <w:spacing w:line="320" w:lineRule="exact"/>
              <w:rPr>
                <w:rFonts w:ascii="宋体" w:hAnsi="宋体" w:cs="宋体"/>
                <w:color w:val="000000"/>
                <w:sz w:val="24"/>
                <w:szCs w:val="24"/>
              </w:rPr>
            </w:pPr>
            <w:r>
              <w:rPr>
                <w:rFonts w:hint="eastAsia" w:ascii="宋体" w:hAnsi="宋体" w:cs="宋体"/>
                <w:b/>
                <w:bCs/>
                <w:color w:val="000000"/>
                <w:sz w:val="24"/>
                <w:szCs w:val="24"/>
              </w:rPr>
              <w:t>评价方式：</w:t>
            </w:r>
            <w:r>
              <w:rPr>
                <w:rFonts w:hint="eastAsia" w:ascii="宋体" w:hAnsi="宋体" w:cs="宋体"/>
                <w:color w:val="000000"/>
                <w:sz w:val="24"/>
                <w:szCs w:val="24"/>
              </w:rPr>
              <w:t>查阅有关工程质量奖项公布文件。</w:t>
            </w:r>
          </w:p>
          <w:p>
            <w:pPr>
              <w:spacing w:line="320" w:lineRule="exact"/>
              <w:rPr>
                <w:rFonts w:ascii="宋体" w:hAnsi="宋体" w:cs="宋体"/>
                <w:b/>
                <w:bCs/>
                <w:color w:val="000000"/>
                <w:sz w:val="24"/>
                <w:szCs w:val="24"/>
              </w:rPr>
            </w:pPr>
            <w:r>
              <w:rPr>
                <w:rFonts w:hint="eastAsia" w:ascii="宋体" w:hAnsi="宋体" w:cs="宋体"/>
                <w:b/>
                <w:bCs/>
                <w:color w:val="000000"/>
                <w:sz w:val="24"/>
                <w:szCs w:val="24"/>
              </w:rPr>
              <w:t>评分标准：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1.近1年承建的与申请类别相对应的工程项目获区县优质工程奖称号或“飞英杯市政工程质量奖”奖项的，每项得1分。住宅项目每项另加0.5分。（本条最高得2分）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2.近2年承建的与申请类别相对应的工程项目获湖州市“飞英杯”优质工程称号的，每项得2分，住宅项目每项另加0.5分。获其他省级优质工程称号（包含浙江省优秀建筑装饰工程奖、浙江省市政金奖示范工程、浙江省优秀安装质量奖、浙江省钢结构工程优质奖)的，每项得1.5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3.近3年承建的与申请类别相对应湖州市范围内的工程项目获“钱江杯”优质工程称号的，每项得4分；住宅项目每项另加0.5分。获其他国家级优质工程称号（包含全国市政金杯示范工程奖、中国建筑工程装饰奖、中国安装工程优质奖、中国钢结构金奖）的，每项得3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4.近3年承建的与申请类别相对应湖州市范围内工程项目获鲁班奖、詹天佑奖、国家优质工程奖的，每项得5分；住宅项目每项另加0.5分。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同一工程只计取最高级别的分数，不重复计分，承建、参建单位只计取其承建、参建的一个主要类别信用评价加分。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本项最高得9分。</w:t>
            </w:r>
          </w:p>
          <w:p>
            <w:pPr>
              <w:spacing w:line="320" w:lineRule="exact"/>
              <w:ind w:firstLine="482" w:firstLineChars="200"/>
              <w:rPr>
                <w:rFonts w:ascii="宋体" w:hAnsi="宋体" w:cs="宋体"/>
                <w:color w:val="000000"/>
                <w:sz w:val="24"/>
                <w:szCs w:val="24"/>
              </w:rPr>
            </w:pPr>
            <w:r>
              <w:rPr>
                <w:rFonts w:hint="eastAsia" w:ascii="宋体" w:hAnsi="宋体" w:cs="宋体"/>
                <w:b/>
                <w:bCs/>
                <w:color w:val="000000"/>
                <w:sz w:val="24"/>
                <w:szCs w:val="24"/>
              </w:rPr>
              <w:t>企业在湖州市外承建工程获得相应级别质量奖项的，按上述标准予以评价得分。</w:t>
            </w:r>
          </w:p>
        </w:tc>
        <w:tc>
          <w:tcPr>
            <w:tcW w:w="779" w:type="dxa"/>
            <w:vAlign w:val="center"/>
          </w:tcPr>
          <w:p>
            <w:pPr>
              <w:jc w:val="center"/>
              <w:rPr>
                <w:rFonts w:ascii="宋体" w:hAnsi="宋体" w:cs="宋体"/>
                <w:color w:val="000000"/>
                <w:sz w:val="24"/>
                <w:szCs w:val="24"/>
              </w:rPr>
            </w:pPr>
            <w:r>
              <w:rPr>
                <w:rFonts w:hint="eastAsia" w:ascii="宋体" w:hAnsi="宋体" w:cs="宋体"/>
                <w:color w:val="000000"/>
                <w:sz w:val="24"/>
                <w:szCs w:val="24"/>
              </w:rPr>
              <w:t>9</w:t>
            </w:r>
          </w:p>
        </w:tc>
        <w:tc>
          <w:tcPr>
            <w:tcW w:w="780" w:type="dxa"/>
            <w:vAlign w:val="center"/>
          </w:tcPr>
          <w:p>
            <w:pPr>
              <w:rPr>
                <w:rFonts w:ascii="宋体" w:hAnsi="宋体" w:cs="宋体"/>
                <w:color w:val="000000"/>
                <w:sz w:val="24"/>
                <w:szCs w:val="24"/>
              </w:rPr>
            </w:pPr>
          </w:p>
        </w:tc>
        <w:tc>
          <w:tcPr>
            <w:tcW w:w="1396" w:type="dxa"/>
            <w:vAlign w:val="center"/>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经营素质</w:t>
            </w:r>
          </w:p>
          <w:p>
            <w:pPr>
              <w:jc w:val="center"/>
              <w:rPr>
                <w:rFonts w:ascii="宋体" w:hAnsi="宋体" w:cs="宋体"/>
                <w:color w:val="000000"/>
                <w:sz w:val="24"/>
                <w:szCs w:val="24"/>
              </w:rPr>
            </w:pPr>
            <w:r>
              <w:rPr>
                <w:rFonts w:hint="eastAsia" w:ascii="宋体" w:hAnsi="宋体" w:cs="宋体"/>
                <w:color w:val="000000"/>
                <w:sz w:val="24"/>
                <w:szCs w:val="24"/>
              </w:rPr>
              <w:t>--安全生产</w:t>
            </w:r>
          </w:p>
          <w:p>
            <w:pPr>
              <w:jc w:val="center"/>
              <w:rPr>
                <w:rFonts w:ascii="宋体" w:hAnsi="宋体" w:cs="宋体"/>
                <w:color w:val="000000"/>
                <w:sz w:val="24"/>
                <w:szCs w:val="24"/>
              </w:rPr>
            </w:pPr>
            <w:r>
              <w:rPr>
                <w:rFonts w:hint="eastAsia" w:ascii="宋体" w:hAnsi="宋体" w:cs="宋体"/>
                <w:color w:val="000000"/>
                <w:sz w:val="24"/>
                <w:szCs w:val="24"/>
              </w:rPr>
              <w:t>评优</w:t>
            </w:r>
          </w:p>
        </w:tc>
        <w:tc>
          <w:tcPr>
            <w:tcW w:w="893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sz w:val="24"/>
                <w:szCs w:val="24"/>
              </w:rPr>
            </w:pPr>
            <w:r>
              <w:rPr>
                <w:rFonts w:hint="eastAsia" w:ascii="宋体" w:hAnsi="宋体" w:cs="宋体"/>
                <w:color w:val="000000"/>
                <w:sz w:val="24"/>
                <w:szCs w:val="24"/>
              </w:rPr>
              <w:t>2.2.1安全评优</w:t>
            </w:r>
          </w:p>
          <w:p>
            <w:pPr>
              <w:spacing w:line="320" w:lineRule="exact"/>
              <w:rPr>
                <w:rFonts w:ascii="宋体" w:hAnsi="宋体" w:cs="宋体"/>
                <w:color w:val="000000"/>
                <w:sz w:val="24"/>
                <w:szCs w:val="24"/>
              </w:rPr>
            </w:pPr>
            <w:r>
              <w:rPr>
                <w:rFonts w:hint="eastAsia" w:ascii="宋体" w:hAnsi="宋体" w:cs="宋体"/>
                <w:b/>
                <w:bCs/>
                <w:color w:val="000000"/>
                <w:sz w:val="24"/>
                <w:szCs w:val="24"/>
              </w:rPr>
              <w:t>评价内容：</w:t>
            </w:r>
            <w:r>
              <w:rPr>
                <w:rFonts w:hint="eastAsia" w:ascii="宋体" w:hAnsi="宋体" w:cs="宋体"/>
                <w:color w:val="000000"/>
                <w:sz w:val="24"/>
                <w:szCs w:val="24"/>
              </w:rPr>
              <w:t>企业承建的工程项目安全生产评优情况。</w:t>
            </w:r>
          </w:p>
          <w:p>
            <w:pPr>
              <w:spacing w:line="320" w:lineRule="exact"/>
              <w:rPr>
                <w:rFonts w:ascii="宋体" w:hAnsi="宋体" w:cs="宋体"/>
                <w:color w:val="000000"/>
                <w:sz w:val="24"/>
                <w:szCs w:val="24"/>
              </w:rPr>
            </w:pPr>
            <w:r>
              <w:rPr>
                <w:rFonts w:hint="eastAsia" w:ascii="宋体" w:hAnsi="宋体" w:cs="宋体"/>
                <w:b/>
                <w:bCs/>
                <w:color w:val="000000"/>
                <w:sz w:val="24"/>
                <w:szCs w:val="24"/>
              </w:rPr>
              <w:t>评价方式：</w:t>
            </w:r>
            <w:r>
              <w:rPr>
                <w:rFonts w:hint="eastAsia" w:ascii="宋体" w:hAnsi="宋体" w:cs="宋体"/>
                <w:color w:val="000000"/>
                <w:sz w:val="24"/>
                <w:szCs w:val="24"/>
              </w:rPr>
              <w:t>查阅有关工程安全奖项（标化）公布文件。</w:t>
            </w:r>
          </w:p>
          <w:p>
            <w:pPr>
              <w:spacing w:line="320" w:lineRule="exact"/>
              <w:rPr>
                <w:rFonts w:ascii="宋体" w:hAnsi="宋体" w:cs="宋体"/>
                <w:b/>
                <w:bCs/>
                <w:color w:val="000000"/>
                <w:sz w:val="24"/>
                <w:szCs w:val="24"/>
              </w:rPr>
            </w:pPr>
            <w:r>
              <w:rPr>
                <w:rFonts w:hint="eastAsia" w:ascii="宋体" w:hAnsi="宋体" w:cs="宋体"/>
                <w:b/>
                <w:bCs/>
                <w:color w:val="000000"/>
                <w:sz w:val="24"/>
                <w:szCs w:val="24"/>
              </w:rPr>
              <w:t>评分标准：</w:t>
            </w:r>
          </w:p>
          <w:p>
            <w:pPr>
              <w:spacing w:line="320" w:lineRule="exact"/>
              <w:ind w:firstLine="480" w:firstLineChars="200"/>
              <w:rPr>
                <w:rFonts w:ascii="宋体" w:hAnsi="宋体" w:cs="宋体"/>
                <w:color w:val="000000"/>
                <w:sz w:val="24"/>
                <w:szCs w:val="24"/>
                <w:shd w:val="pct10" w:color="auto" w:fill="FFFFFF"/>
              </w:rPr>
            </w:pPr>
            <w:r>
              <w:rPr>
                <w:rFonts w:hint="eastAsia" w:ascii="宋体" w:hAnsi="宋体" w:cs="宋体"/>
                <w:color w:val="000000"/>
                <w:sz w:val="24"/>
                <w:szCs w:val="24"/>
              </w:rPr>
              <w:t>1.近1年承建的与申请类别相对应的工程项目获湖州各区县建设工程安全文明施工标准化工地称号的，每项得0.5分。住宅项目每项另加0.5分。（本条最高得1分）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2.近2年承建的与申请类别相对应的工程项目获“湖州市建筑安全文明施工优胜标准化工地”称号的，每项得1.5分。住宅项目每项另加0.5分。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3.近3年承建的与申请类别相对应湖州市范围内的工程项目获“浙江省建筑安全文明施工标准化工地”称号的，每项得3分。住宅项目每项另加0.5分。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4.近3年承建的与申请类别相对应湖州市范围内的工程项目获 “AAA级安全文明标准化工地”称号的，每项得4分。住宅项目每项另加0.5分。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同一工程只计取最高级别的分数，不重复计分，承建、参建单位只计取其承建、参建的一个主要信用评价类别。</w:t>
            </w:r>
          </w:p>
          <w:p>
            <w:pPr>
              <w:spacing w:line="320" w:lineRule="exact"/>
              <w:ind w:firstLine="482" w:firstLineChars="200"/>
              <w:rPr>
                <w:rFonts w:ascii="宋体" w:hAnsi="宋体" w:cs="宋体"/>
                <w:b/>
                <w:bCs/>
                <w:color w:val="000000"/>
                <w:sz w:val="24"/>
                <w:szCs w:val="24"/>
              </w:rPr>
            </w:pPr>
            <w:r>
              <w:rPr>
                <w:rFonts w:hint="eastAsia" w:ascii="宋体" w:hAnsi="宋体" w:cs="宋体"/>
                <w:b/>
                <w:bCs/>
                <w:color w:val="000000"/>
                <w:sz w:val="24"/>
                <w:szCs w:val="24"/>
              </w:rPr>
              <w:t>企业在湖州市外承建工程获得相应级别安全评优的，按上述标准予以评价得分。</w:t>
            </w:r>
          </w:p>
          <w:p>
            <w:pPr>
              <w:spacing w:line="320" w:lineRule="exact"/>
              <w:rPr>
                <w:rFonts w:ascii="宋体" w:hAnsi="宋体" w:cs="宋体"/>
                <w:color w:val="000000"/>
                <w:sz w:val="24"/>
                <w:szCs w:val="24"/>
              </w:rPr>
            </w:pPr>
          </w:p>
          <w:p>
            <w:pPr>
              <w:spacing w:line="320" w:lineRule="exact"/>
              <w:rPr>
                <w:rFonts w:ascii="宋体" w:hAnsi="宋体" w:cs="宋体"/>
                <w:color w:val="000000"/>
                <w:sz w:val="24"/>
                <w:szCs w:val="24"/>
              </w:rPr>
            </w:pPr>
            <w:r>
              <w:rPr>
                <w:rFonts w:hint="eastAsia" w:ascii="宋体" w:hAnsi="宋体" w:cs="宋体"/>
                <w:color w:val="000000"/>
                <w:sz w:val="24"/>
                <w:szCs w:val="24"/>
              </w:rPr>
              <w:t>2.2.2标杆工地</w:t>
            </w:r>
          </w:p>
          <w:p>
            <w:pPr>
              <w:spacing w:line="320" w:lineRule="exact"/>
              <w:rPr>
                <w:rFonts w:ascii="宋体" w:hAnsi="宋体" w:cs="宋体"/>
                <w:color w:val="000000"/>
                <w:sz w:val="24"/>
                <w:szCs w:val="24"/>
              </w:rPr>
            </w:pPr>
            <w:r>
              <w:rPr>
                <w:rFonts w:hint="eastAsia" w:ascii="宋体" w:hAnsi="宋体" w:cs="宋体"/>
                <w:b/>
                <w:bCs/>
                <w:color w:val="000000"/>
                <w:sz w:val="24"/>
                <w:szCs w:val="24"/>
              </w:rPr>
              <w:t>评价内容：</w:t>
            </w:r>
            <w:r>
              <w:rPr>
                <w:rFonts w:hint="eastAsia" w:ascii="宋体" w:hAnsi="宋体" w:cs="宋体"/>
                <w:color w:val="000000"/>
                <w:sz w:val="24"/>
                <w:szCs w:val="24"/>
              </w:rPr>
              <w:t>企业承建的工程项目作为标杆工地观摩情况。</w:t>
            </w:r>
          </w:p>
          <w:p>
            <w:pPr>
              <w:spacing w:line="320" w:lineRule="exact"/>
              <w:rPr>
                <w:rFonts w:ascii="宋体" w:hAnsi="宋体" w:cs="宋体"/>
                <w:color w:val="000000"/>
                <w:sz w:val="24"/>
                <w:szCs w:val="24"/>
              </w:rPr>
            </w:pPr>
            <w:r>
              <w:rPr>
                <w:rFonts w:hint="eastAsia" w:ascii="宋体" w:hAnsi="宋体" w:cs="宋体"/>
                <w:b/>
                <w:bCs/>
                <w:color w:val="000000"/>
                <w:sz w:val="24"/>
                <w:szCs w:val="24"/>
              </w:rPr>
              <w:t>评价方式：</w:t>
            </w:r>
            <w:r>
              <w:rPr>
                <w:rFonts w:hint="eastAsia" w:ascii="宋体" w:hAnsi="宋体" w:cs="宋体"/>
                <w:color w:val="000000"/>
                <w:sz w:val="24"/>
                <w:szCs w:val="24"/>
              </w:rPr>
              <w:t>查阅有关标杆工地观摩通知及有关通报等文件。</w:t>
            </w:r>
          </w:p>
          <w:p>
            <w:pPr>
              <w:spacing w:line="320" w:lineRule="exact"/>
              <w:rPr>
                <w:rFonts w:ascii="宋体" w:hAnsi="宋体" w:cs="宋体"/>
                <w:b/>
                <w:bCs/>
                <w:color w:val="000000"/>
                <w:sz w:val="24"/>
                <w:szCs w:val="24"/>
              </w:rPr>
            </w:pPr>
            <w:r>
              <w:rPr>
                <w:rFonts w:hint="eastAsia" w:ascii="宋体" w:hAnsi="宋体" w:cs="宋体"/>
                <w:b/>
                <w:bCs/>
                <w:color w:val="000000"/>
                <w:sz w:val="24"/>
                <w:szCs w:val="24"/>
              </w:rPr>
              <w:t>评分标准：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1.近2年由区县建设局组织，企业承建湖州市范围内的工程作为区县级标杆工地，召开的现场观摩活动的，得1分。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2.近3年由市建设局组织，企业承建湖州市范围内的工程作为市级标杆工地，召开的现场观摩活动的，得2分。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同一工程只计取最高级别的分数，不重复计分。</w:t>
            </w:r>
          </w:p>
          <w:p>
            <w:pPr>
              <w:spacing w:line="320" w:lineRule="exact"/>
              <w:ind w:firstLine="480" w:firstLineChars="200"/>
              <w:rPr>
                <w:rFonts w:ascii="宋体" w:hAnsi="宋体" w:cs="宋体"/>
                <w:color w:val="000000"/>
                <w:sz w:val="24"/>
                <w:szCs w:val="24"/>
              </w:rPr>
            </w:pPr>
          </w:p>
          <w:p>
            <w:pPr>
              <w:spacing w:line="320" w:lineRule="exact"/>
              <w:ind w:firstLine="480" w:firstLineChars="200"/>
              <w:rPr>
                <w:rFonts w:ascii="宋体" w:hAnsi="宋体" w:cs="宋体"/>
                <w:b/>
                <w:bCs/>
                <w:color w:val="000000"/>
                <w:sz w:val="24"/>
                <w:szCs w:val="24"/>
              </w:rPr>
            </w:pPr>
            <w:r>
              <w:rPr>
                <w:rFonts w:hint="eastAsia" w:ascii="宋体" w:hAnsi="宋体" w:cs="宋体"/>
                <w:color w:val="000000"/>
                <w:sz w:val="24"/>
                <w:szCs w:val="24"/>
              </w:rPr>
              <w:t>本项最高得9分。</w:t>
            </w:r>
          </w:p>
        </w:tc>
        <w:tc>
          <w:tcPr>
            <w:tcW w:w="779" w:type="dxa"/>
            <w:tcBorders>
              <w:top w:val="single" w:color="auto" w:sz="4" w:space="0"/>
              <w:left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9</w:t>
            </w:r>
          </w:p>
        </w:tc>
        <w:tc>
          <w:tcPr>
            <w:tcW w:w="7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szCs w:val="24"/>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2.3</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经营素质</w:t>
            </w:r>
          </w:p>
          <w:p>
            <w:pPr>
              <w:jc w:val="center"/>
              <w:rPr>
                <w:rFonts w:ascii="宋体" w:hAnsi="宋体" w:cs="宋体"/>
                <w:color w:val="000000"/>
                <w:sz w:val="24"/>
                <w:szCs w:val="24"/>
              </w:rPr>
            </w:pPr>
            <w:r>
              <w:rPr>
                <w:rFonts w:hint="eastAsia" w:ascii="宋体" w:hAnsi="宋体" w:cs="宋体"/>
                <w:color w:val="000000"/>
                <w:sz w:val="24"/>
                <w:szCs w:val="24"/>
              </w:rPr>
              <w:t>--科技进步和创新</w:t>
            </w:r>
          </w:p>
        </w:tc>
        <w:tc>
          <w:tcPr>
            <w:tcW w:w="893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sz w:val="24"/>
                <w:szCs w:val="24"/>
              </w:rPr>
            </w:pPr>
            <w:r>
              <w:rPr>
                <w:rFonts w:hint="eastAsia" w:ascii="宋体" w:hAnsi="宋体" w:cs="宋体"/>
                <w:b/>
                <w:color w:val="000000"/>
                <w:sz w:val="24"/>
                <w:szCs w:val="24"/>
              </w:rPr>
              <w:t>评价内容：</w:t>
            </w:r>
            <w:r>
              <w:rPr>
                <w:rFonts w:hint="eastAsia" w:ascii="宋体" w:hAnsi="宋体" w:cs="宋体"/>
                <w:color w:val="000000"/>
                <w:sz w:val="24"/>
                <w:szCs w:val="24"/>
              </w:rPr>
              <w:t>与申报类别相对应的企业编制的各类标准、工法、专利、QC成果情况，创建企业技术中心等。</w:t>
            </w:r>
          </w:p>
          <w:p>
            <w:pPr>
              <w:spacing w:line="320" w:lineRule="exact"/>
              <w:rPr>
                <w:rFonts w:ascii="宋体" w:hAnsi="宋体" w:cs="宋体"/>
                <w:color w:val="000000"/>
                <w:sz w:val="24"/>
                <w:szCs w:val="24"/>
              </w:rPr>
            </w:pPr>
            <w:r>
              <w:rPr>
                <w:rFonts w:hint="eastAsia" w:ascii="宋体" w:hAnsi="宋体" w:cs="宋体"/>
                <w:b/>
                <w:color w:val="000000"/>
                <w:sz w:val="24"/>
                <w:szCs w:val="24"/>
              </w:rPr>
              <w:t>评价方式：</w:t>
            </w:r>
            <w:r>
              <w:rPr>
                <w:rFonts w:hint="eastAsia" w:ascii="宋体" w:hAnsi="宋体" w:cs="宋体"/>
                <w:color w:val="000000"/>
                <w:sz w:val="24"/>
                <w:szCs w:val="24"/>
              </w:rPr>
              <w:t>查阅涉及评分标准的有关证明资料。</w:t>
            </w:r>
          </w:p>
          <w:p>
            <w:pPr>
              <w:spacing w:line="320" w:lineRule="exact"/>
              <w:rPr>
                <w:rFonts w:ascii="宋体" w:hAnsi="宋体" w:cs="宋体"/>
                <w:b/>
                <w:color w:val="000000"/>
                <w:sz w:val="24"/>
                <w:szCs w:val="24"/>
              </w:rPr>
            </w:pPr>
            <w:r>
              <w:rPr>
                <w:rFonts w:hint="eastAsia" w:ascii="宋体" w:hAnsi="宋体" w:cs="宋体"/>
                <w:b/>
                <w:color w:val="000000"/>
                <w:sz w:val="24"/>
                <w:szCs w:val="24"/>
              </w:rPr>
              <w:t>评分标准：</w:t>
            </w:r>
          </w:p>
          <w:p>
            <w:pPr>
              <w:spacing w:line="320" w:lineRule="exact"/>
              <w:ind w:firstLine="360" w:firstLineChars="150"/>
              <w:rPr>
                <w:rFonts w:ascii="宋体" w:hAnsi="宋体" w:cs="宋体"/>
                <w:color w:val="000000"/>
                <w:sz w:val="24"/>
                <w:szCs w:val="24"/>
              </w:rPr>
            </w:pPr>
            <w:r>
              <w:rPr>
                <w:rFonts w:hint="eastAsia" w:ascii="宋体" w:hAnsi="宋体" w:cs="宋体"/>
                <w:color w:val="000000"/>
                <w:sz w:val="24"/>
                <w:szCs w:val="24"/>
              </w:rPr>
              <w:t>1.近5年企业主编国家标准的，每项得2分；主编行业标准的，每项得1.5分；主编行业标准图集或地方标准的,每项得1分；主编经权威机构认证的团体标准的，每项得0.5分；参编上述各类标准的按同类标准减半得分。（本条最高得2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2.近5年获国家级工法的，每项得1分；获省级工法的，每项得0.5分；获市级以上优秀QC成果的，每项得0.2分。（本条最高得2分）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3.近5年企业获工程相关发明专利的，每项得0.2分；获实用新型专利的，每项得0.1分。（本条最高得1分）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4.企业获地市级企业技术中心的，得1分；企业获省级以上企业技术中心、院士（博士）专家工作站的，得2分；同一企业技术中心只计取最高级别的分数，不重复计分。（本条最高得2分）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5.企业获国家高新技术企业称号的，得3分。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6.近2年承建的与申报类别相对应的工程项目推广应用BIM技术，经地市级及以上建设主管部门审核确认的，每项得1分。（本条最高得2分）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7.近2年企业承建装配式建筑项目（合同额1.5亿以上或50000平方米以上）或者承建EPC工程总承包项目（合同额1亿元以上），每项得1分。（本条最高得2分，以竣工验收为准）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本项最高得7分。专业承包资质高于总承包资质的企业申请该项专业承包资质信用评价时得基础分2分。</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7</w:t>
            </w:r>
          </w:p>
        </w:tc>
        <w:tc>
          <w:tcPr>
            <w:tcW w:w="7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szCs w:val="24"/>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3.1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履约信誉</w:t>
            </w:r>
          </w:p>
          <w:p>
            <w:pPr>
              <w:jc w:val="center"/>
              <w:rPr>
                <w:rFonts w:ascii="宋体" w:hAnsi="宋体" w:cs="宋体"/>
                <w:color w:val="000000"/>
                <w:sz w:val="24"/>
                <w:szCs w:val="24"/>
              </w:rPr>
            </w:pPr>
            <w:r>
              <w:rPr>
                <w:rFonts w:hint="eastAsia" w:ascii="宋体" w:hAnsi="宋体" w:cs="宋体"/>
                <w:color w:val="000000"/>
                <w:sz w:val="24"/>
                <w:szCs w:val="24"/>
              </w:rPr>
              <w:t>--履约评价</w:t>
            </w:r>
          </w:p>
        </w:tc>
        <w:tc>
          <w:tcPr>
            <w:tcW w:w="893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sz w:val="24"/>
                <w:szCs w:val="24"/>
              </w:rPr>
            </w:pPr>
            <w:r>
              <w:rPr>
                <w:rFonts w:hint="eastAsia" w:ascii="宋体" w:hAnsi="宋体" w:cs="宋体"/>
                <w:b/>
                <w:color w:val="000000"/>
                <w:sz w:val="24"/>
                <w:szCs w:val="24"/>
              </w:rPr>
              <w:t>评价内容：</w:t>
            </w:r>
            <w:r>
              <w:rPr>
                <w:rFonts w:hint="eastAsia" w:ascii="宋体" w:hAnsi="宋体" w:cs="宋体"/>
                <w:color w:val="000000"/>
                <w:sz w:val="24"/>
                <w:szCs w:val="24"/>
              </w:rPr>
              <w:t>企业在湖州市范围内工程项目的施工合同履约情况（合同金额200万元以上）。</w:t>
            </w:r>
          </w:p>
          <w:p>
            <w:pPr>
              <w:spacing w:line="320" w:lineRule="exact"/>
              <w:rPr>
                <w:rFonts w:ascii="宋体" w:hAnsi="宋体" w:cs="宋体"/>
                <w:color w:val="000000"/>
                <w:sz w:val="24"/>
                <w:szCs w:val="24"/>
              </w:rPr>
            </w:pPr>
            <w:r>
              <w:rPr>
                <w:rFonts w:hint="eastAsia" w:ascii="宋体" w:hAnsi="宋体" w:cs="宋体"/>
                <w:b/>
                <w:color w:val="000000"/>
                <w:sz w:val="24"/>
                <w:szCs w:val="24"/>
              </w:rPr>
              <w:t>评价方式：</w:t>
            </w:r>
            <w:r>
              <w:rPr>
                <w:rFonts w:hint="eastAsia" w:ascii="宋体" w:hAnsi="宋体" w:cs="宋体"/>
                <w:color w:val="000000"/>
                <w:sz w:val="24"/>
                <w:szCs w:val="24"/>
              </w:rPr>
              <w:t>查阅建设单位对承包人施工合同履约评价。</w:t>
            </w:r>
          </w:p>
          <w:p>
            <w:pPr>
              <w:spacing w:line="320" w:lineRule="exact"/>
              <w:rPr>
                <w:rFonts w:ascii="宋体" w:hAnsi="宋体" w:cs="宋体"/>
                <w:b/>
                <w:color w:val="000000"/>
                <w:sz w:val="24"/>
                <w:szCs w:val="24"/>
              </w:rPr>
            </w:pPr>
            <w:r>
              <w:rPr>
                <w:rFonts w:hint="eastAsia" w:ascii="宋体" w:hAnsi="宋体" w:cs="宋体"/>
                <w:b/>
                <w:color w:val="000000"/>
                <w:sz w:val="24"/>
                <w:szCs w:val="24"/>
              </w:rPr>
              <w:t>评分标准：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建设单位对企业工程项目履约评价。在工程项目竣工验收合格后15日内，由建设单位对承包人进行施工合同履约综合评价（见附件），评价结果为“好”的，每项得1分，“较好”得0.5分，“一般”不得分，“差” 扣0.5分，按企业在本市全部项目累计得（扣）分，总分2分，扣完为止（动态计分）。（工程合同双方发生司法纠纷的除外）。</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评价期为近一年竣工验收合格的工程项目，近1年与申报类别相对应的湖州市范围内无在建工程项目的企业得基本分1分。</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2</w:t>
            </w:r>
          </w:p>
        </w:tc>
        <w:tc>
          <w:tcPr>
            <w:tcW w:w="7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szCs w:val="24"/>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3.2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履约信誉</w:t>
            </w:r>
          </w:p>
          <w:p>
            <w:pPr>
              <w:jc w:val="center"/>
              <w:rPr>
                <w:rFonts w:ascii="宋体" w:hAnsi="宋体" w:cs="宋体"/>
                <w:color w:val="000000"/>
                <w:sz w:val="24"/>
                <w:szCs w:val="24"/>
              </w:rPr>
            </w:pPr>
            <w:r>
              <w:rPr>
                <w:rFonts w:hint="eastAsia" w:ascii="宋体" w:hAnsi="宋体" w:cs="宋体"/>
                <w:color w:val="000000"/>
                <w:sz w:val="24"/>
                <w:szCs w:val="24"/>
              </w:rPr>
              <w:t>--社会责任</w:t>
            </w:r>
          </w:p>
        </w:tc>
        <w:tc>
          <w:tcPr>
            <w:tcW w:w="893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sz w:val="24"/>
                <w:szCs w:val="24"/>
              </w:rPr>
            </w:pPr>
            <w:r>
              <w:rPr>
                <w:rFonts w:hint="eastAsia" w:ascii="宋体" w:hAnsi="宋体" w:cs="宋体"/>
                <w:color w:val="000000"/>
                <w:sz w:val="24"/>
                <w:szCs w:val="24"/>
              </w:rPr>
              <w:t>3.2.1地方税收贡献</w:t>
            </w:r>
          </w:p>
          <w:p>
            <w:pPr>
              <w:spacing w:line="320" w:lineRule="exact"/>
              <w:rPr>
                <w:rFonts w:ascii="宋体" w:hAnsi="宋体" w:cs="宋体"/>
                <w:color w:val="000000"/>
                <w:sz w:val="24"/>
                <w:szCs w:val="24"/>
              </w:rPr>
            </w:pPr>
            <w:r>
              <w:rPr>
                <w:rFonts w:hint="eastAsia" w:ascii="宋体" w:hAnsi="宋体" w:cs="宋体"/>
                <w:b/>
                <w:color w:val="000000"/>
                <w:sz w:val="24"/>
                <w:szCs w:val="24"/>
              </w:rPr>
              <w:t>评价内容：</w:t>
            </w:r>
            <w:r>
              <w:rPr>
                <w:rFonts w:hint="eastAsia" w:ascii="宋体" w:hAnsi="宋体" w:cs="宋体"/>
                <w:color w:val="000000"/>
                <w:sz w:val="24"/>
                <w:szCs w:val="24"/>
              </w:rPr>
              <w:t>企业上年度对湖州市的地方财政贡献（增值税、企业所得税）情况。</w:t>
            </w:r>
          </w:p>
          <w:p>
            <w:pPr>
              <w:spacing w:line="320" w:lineRule="exact"/>
              <w:rPr>
                <w:rFonts w:ascii="宋体" w:hAnsi="宋体" w:cs="宋体"/>
                <w:color w:val="000000"/>
                <w:sz w:val="24"/>
                <w:szCs w:val="24"/>
              </w:rPr>
            </w:pPr>
            <w:r>
              <w:rPr>
                <w:rFonts w:hint="eastAsia" w:ascii="宋体" w:hAnsi="宋体" w:cs="宋体"/>
                <w:b/>
                <w:color w:val="000000"/>
                <w:sz w:val="24"/>
                <w:szCs w:val="24"/>
              </w:rPr>
              <w:t>评价方式：</w:t>
            </w:r>
            <w:r>
              <w:rPr>
                <w:rFonts w:hint="eastAsia" w:ascii="宋体" w:hAnsi="宋体" w:cs="宋体"/>
                <w:color w:val="000000"/>
                <w:sz w:val="24"/>
                <w:szCs w:val="24"/>
              </w:rPr>
              <w:t>查阅企业在湖州市范围内上缴的增值税、企业所得税的证明材料（主要依据税务部门统一出具的纳税证明，以入库时间为准）。企业有多个资质的，地方财政贡献总体评价，无需按申请类别进行分割计算。</w:t>
            </w:r>
          </w:p>
          <w:p>
            <w:pPr>
              <w:spacing w:line="320" w:lineRule="exact"/>
              <w:rPr>
                <w:rFonts w:ascii="宋体" w:hAnsi="宋体" w:cs="宋体"/>
                <w:b/>
                <w:color w:val="000000"/>
                <w:sz w:val="24"/>
                <w:szCs w:val="24"/>
              </w:rPr>
            </w:pPr>
            <w:r>
              <w:rPr>
                <w:rFonts w:hint="eastAsia" w:ascii="宋体" w:hAnsi="宋体" w:cs="宋体"/>
                <w:b/>
                <w:color w:val="000000"/>
                <w:sz w:val="24"/>
                <w:szCs w:val="24"/>
              </w:rPr>
              <w:t>评分标准：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建筑工程施工总承包：100万以下的得2分，100（含）-200万的得3分，200万（含）以上得4分，以上每增加100万元加1分。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市政公用工程施工总承包按照建筑工程施工总承包标准的50%计取地方财政贡献相应分值。</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建筑装修装饰、建筑幕墙、钢结构、消防设施、电子与智能化工程专业承包按照建筑工程施工总承包标准的20%计取地方财政贡献相应分值。</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本项最高得12分。</w:t>
            </w:r>
          </w:p>
          <w:p>
            <w:pPr>
              <w:spacing w:line="320" w:lineRule="exact"/>
              <w:rPr>
                <w:rFonts w:ascii="宋体" w:hAnsi="宋体" w:cs="宋体"/>
                <w:color w:val="000000"/>
                <w:sz w:val="24"/>
                <w:szCs w:val="24"/>
              </w:rPr>
            </w:pPr>
          </w:p>
          <w:p>
            <w:pPr>
              <w:spacing w:line="320" w:lineRule="exact"/>
              <w:rPr>
                <w:rFonts w:ascii="宋体" w:hAnsi="宋体" w:cs="宋体"/>
                <w:color w:val="000000"/>
                <w:sz w:val="24"/>
                <w:szCs w:val="24"/>
              </w:rPr>
            </w:pPr>
            <w:r>
              <w:rPr>
                <w:rFonts w:hint="eastAsia" w:ascii="宋体" w:hAnsi="宋体" w:cs="宋体"/>
                <w:color w:val="000000"/>
                <w:sz w:val="24"/>
                <w:szCs w:val="24"/>
              </w:rPr>
              <w:t>3.2.2市外营业收入</w:t>
            </w:r>
          </w:p>
          <w:p>
            <w:pPr>
              <w:spacing w:line="320" w:lineRule="exact"/>
              <w:rPr>
                <w:rFonts w:ascii="宋体" w:hAnsi="宋体" w:cs="宋体"/>
                <w:color w:val="000000"/>
                <w:sz w:val="24"/>
                <w:szCs w:val="24"/>
              </w:rPr>
            </w:pPr>
            <w:r>
              <w:rPr>
                <w:rFonts w:hint="eastAsia" w:ascii="宋体" w:hAnsi="宋体" w:cs="宋体"/>
                <w:b/>
                <w:color w:val="000000"/>
                <w:sz w:val="24"/>
                <w:szCs w:val="24"/>
              </w:rPr>
              <w:t>评价内容：</w:t>
            </w:r>
            <w:r>
              <w:rPr>
                <w:rFonts w:hint="eastAsia" w:ascii="宋体" w:hAnsi="宋体" w:cs="宋体"/>
                <w:color w:val="000000"/>
                <w:sz w:val="24"/>
                <w:szCs w:val="24"/>
              </w:rPr>
              <w:t>企业上年度市外营业收入完成情况</w:t>
            </w:r>
          </w:p>
          <w:p>
            <w:pPr>
              <w:spacing w:line="320" w:lineRule="exact"/>
              <w:rPr>
                <w:rFonts w:ascii="宋体" w:hAnsi="宋体" w:cs="宋体"/>
                <w:color w:val="000000"/>
                <w:sz w:val="24"/>
                <w:szCs w:val="24"/>
              </w:rPr>
            </w:pPr>
            <w:r>
              <w:rPr>
                <w:rFonts w:hint="eastAsia" w:ascii="宋体" w:hAnsi="宋体" w:cs="宋体"/>
                <w:b/>
                <w:color w:val="000000"/>
                <w:sz w:val="24"/>
                <w:szCs w:val="24"/>
              </w:rPr>
              <w:t>评价方式：</w:t>
            </w:r>
            <w:r>
              <w:rPr>
                <w:rFonts w:hint="eastAsia" w:ascii="宋体" w:hAnsi="宋体" w:cs="宋体"/>
                <w:color w:val="000000"/>
                <w:sz w:val="24"/>
                <w:szCs w:val="24"/>
              </w:rPr>
              <w:t>查阅本地企业上年度财务审计报告，市外承包工程缴纳建筑业增值税缴款书复印件（或税收完税证明）和相应增值税发票复印件</w:t>
            </w:r>
          </w:p>
          <w:p>
            <w:pPr>
              <w:spacing w:line="320" w:lineRule="exact"/>
              <w:rPr>
                <w:rFonts w:ascii="宋体" w:hAnsi="宋体" w:cs="宋体"/>
                <w:b/>
                <w:color w:val="000000"/>
                <w:sz w:val="24"/>
                <w:szCs w:val="24"/>
              </w:rPr>
            </w:pPr>
            <w:r>
              <w:rPr>
                <w:rFonts w:hint="eastAsia" w:ascii="宋体" w:hAnsi="宋体" w:cs="宋体"/>
                <w:b/>
                <w:color w:val="000000"/>
                <w:sz w:val="24"/>
                <w:szCs w:val="24"/>
              </w:rPr>
              <w:t>评分标准：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建筑工程施工总承包：2000万元（含）-4000万元的得0.5分；4000万元（含）以上的得1分；以上每增加2000万元加1分。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市政公用工程施工总承包按照建筑工程施工总承包标准的50%计取市外营业收入相应分值。</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建筑装修装饰、建筑幕墙、钢结构、消防设施、电子与智能化工程专业承包按照建筑工程施工总承包标准的20%计取市外营业收入相应分值。</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本项最高得4分。</w:t>
            </w:r>
          </w:p>
          <w:p>
            <w:pPr>
              <w:spacing w:line="320" w:lineRule="exact"/>
              <w:rPr>
                <w:rFonts w:ascii="宋体" w:hAnsi="宋体" w:cs="宋体"/>
                <w:color w:val="000000"/>
                <w:sz w:val="24"/>
                <w:szCs w:val="24"/>
              </w:rPr>
            </w:pPr>
          </w:p>
          <w:p>
            <w:pPr>
              <w:spacing w:line="320" w:lineRule="exact"/>
              <w:rPr>
                <w:rFonts w:ascii="宋体" w:hAnsi="宋体" w:cs="宋体"/>
                <w:color w:val="000000"/>
                <w:sz w:val="24"/>
                <w:szCs w:val="24"/>
              </w:rPr>
            </w:pPr>
            <w:r>
              <w:rPr>
                <w:rFonts w:hint="eastAsia" w:ascii="宋体" w:hAnsi="宋体" w:cs="宋体"/>
                <w:color w:val="000000"/>
                <w:sz w:val="24"/>
                <w:szCs w:val="24"/>
              </w:rPr>
              <w:t>3.2.3社会公益慈善贡献</w:t>
            </w:r>
          </w:p>
          <w:p>
            <w:pPr>
              <w:spacing w:line="320" w:lineRule="exact"/>
              <w:rPr>
                <w:rFonts w:ascii="宋体" w:hAnsi="宋体" w:cs="宋体"/>
                <w:color w:val="000000"/>
                <w:sz w:val="24"/>
                <w:szCs w:val="24"/>
              </w:rPr>
            </w:pPr>
            <w:r>
              <w:rPr>
                <w:rFonts w:hint="eastAsia" w:ascii="宋体" w:hAnsi="宋体" w:cs="宋体"/>
                <w:b/>
                <w:color w:val="000000"/>
                <w:sz w:val="24"/>
                <w:szCs w:val="24"/>
              </w:rPr>
              <w:t>评价内容：</w:t>
            </w:r>
            <w:r>
              <w:rPr>
                <w:rFonts w:hint="eastAsia" w:ascii="宋体" w:hAnsi="宋体" w:cs="宋体"/>
                <w:color w:val="000000"/>
                <w:sz w:val="24"/>
                <w:szCs w:val="24"/>
              </w:rPr>
              <w:t>企业参与湖州市范围内的公益慈善情况。</w:t>
            </w:r>
          </w:p>
          <w:p>
            <w:pPr>
              <w:spacing w:line="320" w:lineRule="exact"/>
              <w:rPr>
                <w:rFonts w:ascii="宋体" w:hAnsi="宋体" w:cs="宋体"/>
                <w:color w:val="000000"/>
                <w:sz w:val="24"/>
                <w:szCs w:val="24"/>
              </w:rPr>
            </w:pPr>
            <w:r>
              <w:rPr>
                <w:rFonts w:hint="eastAsia" w:ascii="宋体" w:hAnsi="宋体" w:cs="宋体"/>
                <w:b/>
                <w:color w:val="000000"/>
                <w:sz w:val="24"/>
                <w:szCs w:val="24"/>
              </w:rPr>
              <w:t>评价方式：</w:t>
            </w:r>
            <w:r>
              <w:rPr>
                <w:rFonts w:hint="eastAsia" w:ascii="宋体" w:hAnsi="宋体" w:cs="宋体"/>
                <w:color w:val="000000"/>
                <w:sz w:val="24"/>
                <w:szCs w:val="24"/>
              </w:rPr>
              <w:t>查阅企业参与湖州市范围内的公益慈善的证明材料。（证明材料明细应包括时间、内容、金额、捐赠物品估价）</w:t>
            </w:r>
          </w:p>
          <w:p>
            <w:pPr>
              <w:spacing w:line="320" w:lineRule="exact"/>
              <w:rPr>
                <w:rFonts w:ascii="宋体" w:hAnsi="宋体" w:cs="宋体"/>
                <w:b/>
                <w:color w:val="000000"/>
                <w:sz w:val="24"/>
                <w:szCs w:val="24"/>
              </w:rPr>
            </w:pPr>
            <w:r>
              <w:rPr>
                <w:rFonts w:hint="eastAsia" w:ascii="宋体" w:hAnsi="宋体" w:cs="宋体"/>
                <w:b/>
                <w:color w:val="000000"/>
                <w:sz w:val="24"/>
                <w:szCs w:val="24"/>
              </w:rPr>
              <w:t>评分标准：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建筑工程施工总承包企业近2年参加湖州市范围内公益慈善活动的（含慈善捐款、赞助贫困学生、贫困户结对等），凭发票或政府主管部门证明材料。3（含）-5万元得0.5分；5（含）-10万元得1分；10（含）-15万元得2分；15万（含）以上得3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市政公用工程施工总承包按照建筑工程施工总承包标准的50%计取社会公益慈善贡献相应分值。</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建筑装修装饰、建筑幕墙、钢结构、消防设施、电子与智能化工程专业承包企业按照建筑工程施工总承包企业标准的30%计取社会公益慈善贡献相应分值。</w:t>
            </w:r>
          </w:p>
          <w:p>
            <w:pPr>
              <w:spacing w:line="320" w:lineRule="exact"/>
              <w:rPr>
                <w:rFonts w:ascii="宋体" w:hAnsi="宋体" w:cs="宋体"/>
                <w:color w:val="000000"/>
                <w:sz w:val="24"/>
                <w:szCs w:val="24"/>
              </w:rPr>
            </w:pPr>
            <w:r>
              <w:rPr>
                <w:rFonts w:hint="eastAsia" w:ascii="宋体" w:hAnsi="宋体" w:cs="宋体"/>
                <w:color w:val="000000"/>
                <w:sz w:val="24"/>
                <w:szCs w:val="24"/>
              </w:rPr>
              <w:t>本项最高得3分。</w:t>
            </w:r>
          </w:p>
          <w:p>
            <w:pPr>
              <w:spacing w:line="320" w:lineRule="exact"/>
              <w:rPr>
                <w:rFonts w:ascii="宋体" w:hAnsi="宋体" w:cs="宋体"/>
                <w:color w:val="000000"/>
                <w:sz w:val="24"/>
                <w:szCs w:val="24"/>
              </w:rPr>
            </w:pPr>
            <w:r>
              <w:rPr>
                <w:rFonts w:hint="eastAsia" w:ascii="宋体" w:hAnsi="宋体" w:cs="宋体"/>
                <w:color w:val="000000"/>
                <w:sz w:val="24"/>
                <w:szCs w:val="24"/>
              </w:rPr>
              <w:t>（3.2.1、3.2.2、3.2.3条所述专业承包企业条款仅对专业承包资质高于总承包资质的企业申请该项专业承包资质信用评价时适用）</w:t>
            </w:r>
          </w:p>
          <w:p>
            <w:pPr>
              <w:spacing w:line="320" w:lineRule="exact"/>
              <w:rPr>
                <w:rFonts w:ascii="宋体" w:hAnsi="宋体" w:cs="宋体"/>
                <w:color w:val="000000"/>
                <w:sz w:val="24"/>
                <w:szCs w:val="24"/>
              </w:rPr>
            </w:pPr>
            <w:r>
              <w:rPr>
                <w:rFonts w:hint="eastAsia" w:ascii="宋体" w:hAnsi="宋体" w:cs="宋体"/>
                <w:color w:val="000000"/>
                <w:sz w:val="24"/>
                <w:szCs w:val="24"/>
              </w:rPr>
              <w:t xml:space="preserve">3.2.4参加政府援建(不分类别)或参与我市市政公用设施维修养护 </w:t>
            </w:r>
          </w:p>
          <w:p>
            <w:pPr>
              <w:spacing w:line="320" w:lineRule="exact"/>
              <w:rPr>
                <w:rFonts w:ascii="宋体" w:hAnsi="宋体" w:cs="宋体"/>
                <w:color w:val="000000"/>
                <w:sz w:val="24"/>
                <w:szCs w:val="24"/>
              </w:rPr>
            </w:pPr>
            <w:r>
              <w:rPr>
                <w:rFonts w:hint="eastAsia" w:ascii="宋体" w:hAnsi="宋体" w:cs="宋体"/>
                <w:b/>
                <w:color w:val="000000"/>
                <w:sz w:val="24"/>
                <w:szCs w:val="24"/>
              </w:rPr>
              <w:t>评价内容：</w:t>
            </w:r>
            <w:r>
              <w:rPr>
                <w:rFonts w:hint="eastAsia" w:ascii="宋体" w:hAnsi="宋体" w:cs="宋体"/>
                <w:color w:val="000000"/>
                <w:sz w:val="24"/>
                <w:szCs w:val="24"/>
              </w:rPr>
              <w:t>企业参加政府援建项目情况或参与我市市政公用设施维修养护情况。</w:t>
            </w:r>
          </w:p>
          <w:p>
            <w:pPr>
              <w:spacing w:line="320" w:lineRule="exact"/>
              <w:rPr>
                <w:rFonts w:ascii="宋体" w:hAnsi="宋体" w:cs="宋体"/>
                <w:color w:val="000000"/>
                <w:sz w:val="24"/>
                <w:szCs w:val="24"/>
              </w:rPr>
            </w:pPr>
            <w:r>
              <w:rPr>
                <w:rFonts w:hint="eastAsia" w:ascii="宋体" w:hAnsi="宋体" w:cs="宋体"/>
                <w:b/>
                <w:color w:val="000000"/>
                <w:sz w:val="24"/>
                <w:szCs w:val="24"/>
              </w:rPr>
              <w:t>评价方式：</w:t>
            </w:r>
            <w:r>
              <w:rPr>
                <w:rFonts w:hint="eastAsia" w:ascii="宋体" w:hAnsi="宋体" w:cs="宋体"/>
                <w:color w:val="000000"/>
                <w:sz w:val="24"/>
                <w:szCs w:val="24"/>
              </w:rPr>
              <w:t>查阅企业参与政府援建项目的证明材料（以竣工验收时间为准）；查阅企业参与我市市政公用设施维修养护合同等证明材料。</w:t>
            </w:r>
          </w:p>
          <w:p>
            <w:pPr>
              <w:spacing w:line="320" w:lineRule="exact"/>
              <w:rPr>
                <w:rFonts w:ascii="宋体" w:hAnsi="宋体" w:cs="宋体"/>
                <w:b/>
                <w:color w:val="000000"/>
                <w:sz w:val="24"/>
                <w:szCs w:val="24"/>
              </w:rPr>
            </w:pPr>
            <w:r>
              <w:rPr>
                <w:rFonts w:hint="eastAsia" w:ascii="宋体" w:hAnsi="宋体" w:cs="宋体"/>
                <w:b/>
                <w:color w:val="000000"/>
                <w:sz w:val="24"/>
                <w:szCs w:val="24"/>
              </w:rPr>
              <w:t>评分标准：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1.近十年来，企业参加政府援建项目，每完成一项得1分；属于“一带一路”项目的，每完成1项得2分。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2.近一年来，企业参与我市市政公用设施维修养护的，合同金额2000万元（含）-4000万元得1分，4000万元（含）以上的得2分。本条仅对企业申请市政公用工程施工总承包资质信用评价时适用。</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本项最高得2分。</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21</w:t>
            </w:r>
          </w:p>
        </w:tc>
        <w:tc>
          <w:tcPr>
            <w:tcW w:w="78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szCs w:val="24"/>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3.3</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履约信誉</w:t>
            </w:r>
          </w:p>
          <w:p>
            <w:pPr>
              <w:jc w:val="center"/>
              <w:rPr>
                <w:rFonts w:ascii="宋体" w:hAnsi="宋体" w:cs="宋体"/>
                <w:color w:val="000000"/>
                <w:sz w:val="24"/>
                <w:szCs w:val="24"/>
              </w:rPr>
            </w:pPr>
            <w:r>
              <w:rPr>
                <w:rFonts w:hint="eastAsia" w:ascii="宋体" w:hAnsi="宋体" w:cs="宋体"/>
                <w:color w:val="000000"/>
                <w:sz w:val="24"/>
                <w:szCs w:val="24"/>
              </w:rPr>
              <w:t>--日常监管</w:t>
            </w:r>
          </w:p>
        </w:tc>
        <w:tc>
          <w:tcPr>
            <w:tcW w:w="893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sz w:val="24"/>
                <w:szCs w:val="24"/>
              </w:rPr>
            </w:pPr>
            <w:r>
              <w:rPr>
                <w:rFonts w:hint="eastAsia" w:ascii="宋体" w:hAnsi="宋体" w:cs="宋体"/>
                <w:b/>
                <w:color w:val="000000"/>
                <w:sz w:val="24"/>
                <w:szCs w:val="24"/>
              </w:rPr>
              <w:t>评价内容：</w:t>
            </w:r>
            <w:r>
              <w:rPr>
                <w:rFonts w:hint="eastAsia" w:ascii="宋体" w:hAnsi="宋体" w:cs="宋体"/>
                <w:color w:val="000000"/>
                <w:sz w:val="24"/>
                <w:szCs w:val="24"/>
              </w:rPr>
              <w:t>企业承建的与申请类别相对应的湖州市范围内工程质量、安全生产（文明施工）、市场行为、合同履约、农民工工资管理等情况。</w:t>
            </w:r>
          </w:p>
          <w:p>
            <w:pPr>
              <w:spacing w:line="320" w:lineRule="exact"/>
              <w:rPr>
                <w:rFonts w:ascii="宋体" w:hAnsi="宋体" w:cs="宋体"/>
                <w:color w:val="000000"/>
                <w:sz w:val="24"/>
                <w:szCs w:val="24"/>
              </w:rPr>
            </w:pPr>
            <w:r>
              <w:rPr>
                <w:rFonts w:hint="eastAsia" w:ascii="宋体" w:hAnsi="宋体" w:cs="宋体"/>
                <w:b/>
                <w:color w:val="000000"/>
                <w:sz w:val="24"/>
                <w:szCs w:val="24"/>
              </w:rPr>
              <w:t>评价方式：</w:t>
            </w:r>
            <w:r>
              <w:rPr>
                <w:rFonts w:hint="eastAsia" w:ascii="宋体" w:hAnsi="宋体" w:cs="宋体"/>
                <w:color w:val="000000"/>
                <w:sz w:val="24"/>
                <w:szCs w:val="24"/>
              </w:rPr>
              <w:t>查阅有关工程质量、安全生产（文明施工）、市场行为、合同履约、农民工工资检查通报等文件。</w:t>
            </w:r>
          </w:p>
          <w:p>
            <w:pPr>
              <w:spacing w:line="320" w:lineRule="exact"/>
              <w:rPr>
                <w:rFonts w:ascii="宋体" w:hAnsi="宋体" w:cs="宋体"/>
                <w:b/>
                <w:color w:val="000000"/>
                <w:sz w:val="24"/>
                <w:szCs w:val="24"/>
              </w:rPr>
            </w:pPr>
            <w:r>
              <w:rPr>
                <w:rFonts w:hint="eastAsia" w:ascii="宋体" w:hAnsi="宋体" w:cs="宋体"/>
                <w:b/>
                <w:color w:val="000000"/>
                <w:sz w:val="24"/>
                <w:szCs w:val="24"/>
              </w:rPr>
              <w:t>评分标准：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基础分总分20分，其中：质量基础分5分，安全生产（文明施工）基础分</w:t>
            </w:r>
            <w:r>
              <w:rPr>
                <w:rFonts w:ascii="宋体" w:hAnsi="宋体" w:cs="宋体"/>
                <w:color w:val="000000"/>
                <w:sz w:val="24"/>
                <w:szCs w:val="24"/>
              </w:rPr>
              <w:t>7</w:t>
            </w:r>
            <w:r>
              <w:rPr>
                <w:rFonts w:hint="eastAsia" w:ascii="宋体" w:hAnsi="宋体" w:cs="宋体"/>
                <w:color w:val="000000"/>
                <w:sz w:val="24"/>
                <w:szCs w:val="24"/>
              </w:rPr>
              <w:t>分，市场行为基础分4分，合同履约基础分</w:t>
            </w:r>
            <w:r>
              <w:rPr>
                <w:rFonts w:ascii="宋体" w:hAnsi="宋体" w:cs="宋体"/>
                <w:color w:val="000000"/>
                <w:sz w:val="24"/>
                <w:szCs w:val="24"/>
              </w:rPr>
              <w:t>2</w:t>
            </w:r>
            <w:r>
              <w:rPr>
                <w:rFonts w:hint="eastAsia" w:ascii="宋体" w:hAnsi="宋体" w:cs="宋体"/>
                <w:color w:val="000000"/>
                <w:sz w:val="24"/>
                <w:szCs w:val="24"/>
              </w:rPr>
              <w:t>分，农民工工资管理基础分</w:t>
            </w:r>
            <w:r>
              <w:rPr>
                <w:rFonts w:ascii="宋体" w:hAnsi="宋体" w:cs="宋体"/>
                <w:color w:val="000000"/>
                <w:sz w:val="24"/>
                <w:szCs w:val="24"/>
              </w:rPr>
              <w:t>2</w:t>
            </w:r>
            <w:r>
              <w:rPr>
                <w:rFonts w:hint="eastAsia" w:ascii="宋体" w:hAnsi="宋体" w:cs="宋体"/>
                <w:color w:val="000000"/>
                <w:sz w:val="24"/>
                <w:szCs w:val="24"/>
              </w:rPr>
              <w:t>分。近2年与申请类别相对应的湖州市范围内无在建工程项目的外来企业得基本分</w:t>
            </w:r>
            <w:r>
              <w:rPr>
                <w:rFonts w:ascii="宋体" w:hAnsi="宋体" w:cs="宋体"/>
                <w:color w:val="000000"/>
                <w:sz w:val="24"/>
                <w:szCs w:val="24"/>
              </w:rPr>
              <w:t>1</w:t>
            </w:r>
            <w:r>
              <w:rPr>
                <w:rFonts w:hint="eastAsia" w:ascii="宋体" w:hAnsi="宋体" w:cs="宋体"/>
                <w:color w:val="000000"/>
                <w:sz w:val="24"/>
                <w:szCs w:val="24"/>
              </w:rPr>
              <w:t>5分。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1.在各级建设主管部门组织的质量检查中因存在问题被通报的，每个项目每次扣0.5分，扣完为止。</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2.在各级建设主管部门或生态环境等部门组织的安全生产（文明施工）检查活动中因存在问题被通报的，每个项目每次扣0.5分，扣完为止。</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3.企业在工程投标中及工程实施过程中因市场行为不规范（管理人员不到位等）被各级建设主管部门或公共资源交易监管等部门通报的，每个项目每次扣0.5分，扣完为止。</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4.在各级建设主管部门或公共资源交易监管等部门组织的合同履约检查中因存在问题被通报的，每个项目每次扣0.5分，扣完为止。</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5.未按照实名制、分账式管理等有关规定执行，被各级建设主管部门通报的，每个项目每次扣0.5分；发生民工欠薪纠纷，被市、区县建设局或人社等部门通报的，每次扣2分。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质量安全等联合检查中被通报的，每个项目每次扣</w:t>
            </w:r>
            <w:r>
              <w:rPr>
                <w:rFonts w:ascii="宋体" w:hAnsi="宋体" w:cs="宋体"/>
                <w:color w:val="000000"/>
                <w:sz w:val="24"/>
                <w:szCs w:val="24"/>
              </w:rPr>
              <w:t>0.5</w:t>
            </w:r>
            <w:r>
              <w:rPr>
                <w:rFonts w:hint="eastAsia" w:ascii="宋体" w:hAnsi="宋体" w:cs="宋体"/>
                <w:color w:val="000000"/>
                <w:sz w:val="24"/>
                <w:szCs w:val="24"/>
              </w:rPr>
              <w:t>分，基础分总分扣完为止。</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以通报文件公布、停工整改通知书下达之日为准，每次通报批评仅扣分一次。</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同一行为只扣除最高级别的分数，不重复扣分。</w:t>
            </w:r>
          </w:p>
        </w:tc>
        <w:tc>
          <w:tcPr>
            <w:tcW w:w="7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20</w:t>
            </w:r>
          </w:p>
        </w:tc>
        <w:tc>
          <w:tcPr>
            <w:tcW w:w="780"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cs="宋体"/>
                <w:color w:val="000000"/>
                <w:sz w:val="24"/>
                <w:szCs w:val="24"/>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3.</w:t>
            </w:r>
            <w:r>
              <w:rPr>
                <w:rFonts w:ascii="宋体" w:hAnsi="宋体" w:cs="宋体"/>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履约信誉</w:t>
            </w:r>
          </w:p>
          <w:p>
            <w:pPr>
              <w:jc w:val="center"/>
              <w:rPr>
                <w:rFonts w:ascii="宋体" w:hAnsi="宋体" w:cs="宋体"/>
                <w:color w:val="000000"/>
                <w:sz w:val="24"/>
                <w:szCs w:val="24"/>
              </w:rPr>
            </w:pPr>
            <w:r>
              <w:rPr>
                <w:rFonts w:hint="eastAsia" w:ascii="宋体" w:hAnsi="宋体" w:cs="宋体"/>
                <w:color w:val="000000"/>
                <w:sz w:val="24"/>
                <w:szCs w:val="24"/>
              </w:rPr>
              <w:t>--不良信息</w:t>
            </w:r>
          </w:p>
        </w:tc>
        <w:tc>
          <w:tcPr>
            <w:tcW w:w="893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sz w:val="24"/>
                <w:szCs w:val="24"/>
              </w:rPr>
            </w:pPr>
            <w:r>
              <w:rPr>
                <w:rFonts w:hint="eastAsia" w:ascii="宋体" w:hAnsi="宋体" w:cs="宋体"/>
                <w:b/>
                <w:color w:val="000000"/>
                <w:sz w:val="24"/>
                <w:szCs w:val="24"/>
              </w:rPr>
              <w:t>评价内容：</w:t>
            </w:r>
            <w:r>
              <w:rPr>
                <w:rFonts w:hint="eastAsia" w:ascii="宋体" w:hAnsi="宋体" w:cs="宋体"/>
                <w:color w:val="000000"/>
                <w:sz w:val="24"/>
                <w:szCs w:val="24"/>
              </w:rPr>
              <w:t>企业从业行为及事故等情况。</w:t>
            </w:r>
          </w:p>
          <w:p>
            <w:pPr>
              <w:spacing w:line="320" w:lineRule="exact"/>
              <w:rPr>
                <w:rFonts w:ascii="宋体" w:hAnsi="宋体" w:cs="宋体"/>
                <w:color w:val="000000"/>
                <w:sz w:val="24"/>
                <w:szCs w:val="24"/>
              </w:rPr>
            </w:pPr>
            <w:r>
              <w:rPr>
                <w:rFonts w:hint="eastAsia" w:ascii="宋体" w:hAnsi="宋体" w:cs="宋体"/>
                <w:b/>
                <w:color w:val="000000"/>
                <w:sz w:val="24"/>
                <w:szCs w:val="24"/>
              </w:rPr>
              <w:t>评价方式：</w:t>
            </w:r>
            <w:r>
              <w:rPr>
                <w:rFonts w:hint="eastAsia" w:ascii="宋体" w:hAnsi="宋体" w:cs="宋体"/>
                <w:color w:val="000000"/>
                <w:sz w:val="24"/>
                <w:szCs w:val="24"/>
              </w:rPr>
              <w:t>查阅企业从业行为有无被各级建设主管部门记入不良信息、有无受到行政处罚（或其他部门认定的与工程建设活动有关的不良信息、行政处罚）；查阅有关工程项目质量、生产安全事故通报、调查报告等文件。</w:t>
            </w:r>
          </w:p>
          <w:p>
            <w:pPr>
              <w:spacing w:line="320" w:lineRule="exact"/>
              <w:rPr>
                <w:rFonts w:ascii="宋体" w:hAnsi="宋体" w:cs="宋体"/>
                <w:b/>
                <w:color w:val="000000"/>
                <w:sz w:val="24"/>
                <w:szCs w:val="24"/>
              </w:rPr>
            </w:pPr>
            <w:r>
              <w:rPr>
                <w:rFonts w:hint="eastAsia" w:ascii="宋体" w:hAnsi="宋体" w:cs="宋体"/>
                <w:b/>
                <w:color w:val="000000"/>
                <w:sz w:val="24"/>
                <w:szCs w:val="24"/>
              </w:rPr>
              <w:t>评分标准：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1.企业从业行为被记入不良信息且处于公示期的，每次扣1分。基础分4分，扣完为止。</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2.近一年内（行政处罚涉及期限的，到期之日近一年内），企业从业行为被行政处罚的，每次扣1.5分。基础分6分，扣完为止。</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3.近一年承建的工程项目发生一般等级质量事故的，第一次扣3分；第二次，扣6分；3次及以上的，该大项不得分。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4.近一年承建的工程项目发生一般等级生产安全事故的，第一次扣5分；第二次，扣10分；3次及以上的，该大项不得分。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5.近两年承建的工程项目发生较大及以上等级质量事故或生产安全事故的，该大项不得分。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基础分总分20分。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同一行为只扣除最高级别的分数，不重复扣分。</w:t>
            </w:r>
          </w:p>
        </w:tc>
        <w:tc>
          <w:tcPr>
            <w:tcW w:w="7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20</w:t>
            </w:r>
          </w:p>
        </w:tc>
        <w:tc>
          <w:tcPr>
            <w:tcW w:w="780"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cs="宋体"/>
                <w:color w:val="000000"/>
                <w:sz w:val="24"/>
                <w:szCs w:val="24"/>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108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24"/>
                <w:szCs w:val="24"/>
              </w:rPr>
            </w:pPr>
            <w:r>
              <w:rPr>
                <w:rFonts w:hint="eastAsia" w:ascii="黑体" w:hAnsi="黑体" w:eastAsia="黑体" w:cs="黑体"/>
                <w:color w:val="000000"/>
              </w:rPr>
              <w:t>总  分</w:t>
            </w:r>
          </w:p>
        </w:tc>
        <w:tc>
          <w:tcPr>
            <w:tcW w:w="7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sz w:val="24"/>
                <w:szCs w:val="24"/>
              </w:rPr>
            </w:pPr>
          </w:p>
        </w:tc>
        <w:tc>
          <w:tcPr>
            <w:tcW w:w="780"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cs="宋体"/>
                <w:color w:val="000000"/>
                <w:sz w:val="24"/>
                <w:szCs w:val="24"/>
              </w:rPr>
            </w:pPr>
          </w:p>
        </w:tc>
        <w:tc>
          <w:tcPr>
            <w:tcW w:w="139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4"/>
                <w:szCs w:val="24"/>
              </w:rPr>
            </w:pPr>
            <w:r>
              <w:rPr>
                <w:rFonts w:hint="eastAsia" w:ascii="宋体" w:hAnsi="宋体" w:cs="宋体"/>
                <w:color w:val="000000"/>
              </w:rPr>
              <w:t>/</w:t>
            </w:r>
          </w:p>
        </w:tc>
      </w:tr>
    </w:tbl>
    <w:p>
      <w:pPr>
        <w:rPr>
          <w:rFonts w:ascii="仿宋_GB2312" w:hAnsi="宋体" w:cs="宋体"/>
          <w:b/>
          <w:color w:val="000000"/>
          <w:kern w:val="0"/>
          <w:sz w:val="21"/>
          <w:szCs w:val="21"/>
        </w:rPr>
      </w:pPr>
      <w:r>
        <w:rPr>
          <w:rFonts w:hint="eastAsia" w:ascii="宋体" w:hAnsi="宋体" w:cs="宋体"/>
          <w:b/>
          <w:color w:val="000000"/>
          <w:kern w:val="0"/>
          <w:sz w:val="21"/>
          <w:szCs w:val="21"/>
        </w:rPr>
        <w:t>备注</w:t>
      </w:r>
      <w:r>
        <w:rPr>
          <w:rFonts w:hint="eastAsia" w:ascii="仿宋_GB2312" w:hAnsi="宋体" w:cs="宋体"/>
          <w:b/>
          <w:color w:val="000000"/>
          <w:kern w:val="0"/>
          <w:sz w:val="21"/>
          <w:szCs w:val="21"/>
        </w:rPr>
        <w:t>：</w:t>
      </w:r>
    </w:p>
    <w:p>
      <w:pPr>
        <w:ind w:firstLine="420" w:firstLineChars="200"/>
        <w:rPr>
          <w:rFonts w:ascii="宋体" w:hAnsi="宋体" w:cs="宋体"/>
          <w:sz w:val="21"/>
          <w:szCs w:val="21"/>
        </w:rPr>
      </w:pPr>
      <w:r>
        <w:rPr>
          <w:rFonts w:hint="eastAsia" w:ascii="宋体" w:hAnsi="宋体" w:cs="宋体"/>
          <w:sz w:val="21"/>
          <w:szCs w:val="21"/>
        </w:rPr>
        <w:t>1．本表中信用评价指标测算截止期均为每半年度第五个月的20日，若测算截止期为2019年5月20日，近2年指2017年5月21日至2019年5月20日，以此类推，均以发文时间为准。</w:t>
      </w:r>
    </w:p>
    <w:p>
      <w:pPr>
        <w:ind w:firstLine="420" w:firstLineChars="200"/>
        <w:rPr>
          <w:rFonts w:ascii="宋体" w:hAnsi="宋体" w:cs="宋体"/>
          <w:color w:val="000000"/>
          <w:sz w:val="21"/>
          <w:szCs w:val="21"/>
        </w:rPr>
      </w:pPr>
      <w:r>
        <w:rPr>
          <w:rFonts w:hint="eastAsia" w:ascii="宋体" w:hAnsi="宋体" w:cs="宋体"/>
          <w:color w:val="000000"/>
          <w:sz w:val="21"/>
          <w:szCs w:val="21"/>
        </w:rPr>
        <w:t>2．企业有多个资质应按各自专业申请类别进行信用评价，不同申报类别信用评价在各专业评价和投标时，不能互相通用。</w:t>
      </w:r>
    </w:p>
    <w:p>
      <w:pPr>
        <w:ind w:firstLine="420" w:firstLineChars="200"/>
        <w:rPr>
          <w:rFonts w:ascii="宋体" w:hAnsi="宋体" w:cs="宋体"/>
          <w:color w:val="000000"/>
          <w:sz w:val="21"/>
          <w:szCs w:val="21"/>
        </w:rPr>
      </w:pPr>
      <w:r>
        <w:rPr>
          <w:rFonts w:hint="eastAsia" w:ascii="宋体" w:hAnsi="宋体" w:cs="宋体"/>
          <w:color w:val="000000"/>
          <w:sz w:val="21"/>
          <w:szCs w:val="21"/>
        </w:rPr>
        <w:t>3．市外企业申请信用评价时，确定其“近1年或2年与申报专业相对应的湖州市范围内无在建工程项目”，以施工许可证或诚信平台查询为准。</w:t>
      </w:r>
    </w:p>
    <w:p>
      <w:pPr>
        <w:widowControl/>
        <w:ind w:firstLine="420" w:firstLineChars="200"/>
        <w:jc w:val="left"/>
        <w:rPr>
          <w:color w:val="000000"/>
          <w:sz w:val="21"/>
          <w:szCs w:val="21"/>
        </w:rPr>
      </w:pPr>
      <w:r>
        <w:rPr>
          <w:rFonts w:hint="eastAsia" w:ascii="宋体" w:hAnsi="宋体" w:cs="宋体"/>
          <w:color w:val="000000"/>
          <w:sz w:val="21"/>
          <w:szCs w:val="21"/>
        </w:rPr>
        <w:t>4.不良信息扣分规定：1.不良信息以公示日期为准，行政处罚以处罚决定书下达之日为准，事故调查报告以政府批复或公布日期为准</w:t>
      </w:r>
      <w:r>
        <w:rPr>
          <w:rFonts w:hint="eastAsia"/>
          <w:color w:val="000000"/>
          <w:sz w:val="21"/>
          <w:szCs w:val="21"/>
        </w:rPr>
        <w:t>。</w:t>
      </w:r>
      <w:r>
        <w:rPr>
          <w:rFonts w:hint="eastAsia" w:ascii="宋体" w:hAnsi="宋体" w:cs="宋体"/>
          <w:color w:val="000000"/>
          <w:sz w:val="21"/>
          <w:szCs w:val="21"/>
        </w:rPr>
        <w:t>不良信息</w:t>
      </w:r>
      <w:r>
        <w:rPr>
          <w:rFonts w:hint="eastAsia"/>
          <w:color w:val="000000"/>
          <w:sz w:val="21"/>
          <w:szCs w:val="21"/>
        </w:rPr>
        <w:t>扣分周期（次数）为公示月数除6后上进位取整。即：扣分周期（次数）为N，不良信息公示期6个月（含）以下的，N=1; 不良信息公示期6-12个月（含），N=2; 不良信息公示期12-18月（含），N=3;以此类推。</w:t>
      </w:r>
    </w:p>
    <w:p>
      <w:pPr>
        <w:widowControl/>
        <w:jc w:val="left"/>
        <w:rPr>
          <w:rFonts w:ascii="仿宋" w:hAnsi="仿宋" w:eastAsia="仿宋"/>
          <w:szCs w:val="32"/>
        </w:rPr>
        <w:sectPr>
          <w:pgSz w:w="16840" w:h="11907" w:orient="landscape"/>
          <w:pgMar w:top="1474" w:right="1440" w:bottom="1247" w:left="1701" w:header="851" w:footer="992" w:gutter="57"/>
          <w:cols w:space="425" w:num="1"/>
          <w:docGrid w:linePitch="464" w:charSpace="-834"/>
        </w:sectPr>
      </w:pPr>
    </w:p>
    <w:p>
      <w:pPr>
        <w:rPr>
          <w:rFonts w:ascii="黑体" w:eastAsia="黑体"/>
          <w:color w:val="000000"/>
          <w:szCs w:val="32"/>
        </w:rPr>
      </w:pPr>
      <w:r>
        <w:rPr>
          <w:rFonts w:hint="eastAsia" w:ascii="黑体" w:eastAsia="黑体"/>
          <w:color w:val="000000"/>
          <w:szCs w:val="32"/>
        </w:rPr>
        <w:t>附件2</w:t>
      </w:r>
    </w:p>
    <w:p>
      <w:pPr>
        <w:jc w:val="center"/>
        <w:rPr>
          <w:rFonts w:ascii="方正小标宋简体" w:eastAsia="方正小标宋简体"/>
          <w:color w:val="000000"/>
          <w:sz w:val="44"/>
          <w:szCs w:val="44"/>
        </w:rPr>
      </w:pPr>
      <w:r>
        <w:rPr>
          <w:rFonts w:hint="eastAsia" w:ascii="方正小标宋简体" w:eastAsia="方正小标宋简体"/>
          <w:color w:val="000000"/>
          <w:sz w:val="44"/>
          <w:szCs w:val="44"/>
        </w:rPr>
        <w:t>湖州市建设工程合同履约评价表</w:t>
      </w:r>
    </w:p>
    <w:p>
      <w:pPr>
        <w:jc w:val="center"/>
        <w:rPr>
          <w:rFonts w:ascii="方正小标宋简体" w:eastAsia="方正小标宋简体"/>
          <w:color w:val="000000"/>
          <w:sz w:val="44"/>
          <w:szCs w:val="44"/>
        </w:rPr>
      </w:pPr>
      <w:r>
        <w:rPr>
          <w:rFonts w:hint="eastAsia" w:ascii="方正小标宋简体" w:eastAsia="方正小标宋简体"/>
          <w:color w:val="000000"/>
          <w:sz w:val="44"/>
          <w:szCs w:val="44"/>
        </w:rPr>
        <w:t>（建设单位对施工单位评价）</w:t>
      </w:r>
    </w:p>
    <w:p>
      <w:pPr>
        <w:widowControl/>
        <w:adjustRightInd w:val="0"/>
        <w:snapToGrid w:val="0"/>
        <w:spacing w:line="400" w:lineRule="exact"/>
        <w:jc w:val="left"/>
        <w:rPr>
          <w:rFonts w:ascii="小标宋" w:eastAsia="小标宋"/>
          <w:bCs/>
          <w:color w:val="000000"/>
          <w:kern w:val="0"/>
          <w:sz w:val="24"/>
        </w:rPr>
      </w:pP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318"/>
        <w:gridCol w:w="1789"/>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687" w:type="dxa"/>
            <w:tcBorders>
              <w:top w:val="single" w:color="auto" w:sz="12" w:space="0"/>
              <w:left w:val="single" w:color="auto" w:sz="12" w:space="0"/>
              <w:bottom w:val="single" w:color="auto" w:sz="12" w:space="0"/>
            </w:tcBorders>
            <w:vAlign w:val="center"/>
          </w:tcPr>
          <w:p>
            <w:pPr>
              <w:widowControl/>
              <w:adjustRightInd w:val="0"/>
              <w:snapToGrid w:val="0"/>
              <w:jc w:val="center"/>
              <w:rPr>
                <w:rFonts w:cs="宋体"/>
                <w:bCs/>
                <w:color w:val="000000"/>
                <w:kern w:val="0"/>
                <w:sz w:val="28"/>
                <w:szCs w:val="28"/>
              </w:rPr>
            </w:pPr>
            <w:r>
              <w:rPr>
                <w:rFonts w:hint="eastAsia" w:cs="宋体"/>
                <w:bCs/>
                <w:color w:val="000000"/>
                <w:kern w:val="0"/>
                <w:sz w:val="28"/>
                <w:szCs w:val="28"/>
              </w:rPr>
              <w:t>工程名称</w:t>
            </w:r>
          </w:p>
        </w:tc>
        <w:tc>
          <w:tcPr>
            <w:tcW w:w="7373" w:type="dxa"/>
            <w:gridSpan w:val="3"/>
            <w:tcBorders>
              <w:top w:val="single" w:color="auto" w:sz="12" w:space="0"/>
              <w:bottom w:val="single" w:color="auto" w:sz="12" w:space="0"/>
              <w:right w:val="single" w:color="auto" w:sz="12" w:space="0"/>
            </w:tcBorders>
            <w:vAlign w:val="center"/>
          </w:tcPr>
          <w:p>
            <w:pPr>
              <w:widowControl/>
              <w:adjustRightInd w:val="0"/>
              <w:snapToGrid w:val="0"/>
              <w:jc w:val="center"/>
              <w:rPr>
                <w:rFonts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687" w:type="dxa"/>
            <w:tcBorders>
              <w:top w:val="single" w:color="auto" w:sz="12" w:space="0"/>
              <w:left w:val="single" w:color="auto" w:sz="12" w:space="0"/>
              <w:bottom w:val="single" w:color="auto" w:sz="12" w:space="0"/>
            </w:tcBorders>
            <w:vAlign w:val="center"/>
          </w:tcPr>
          <w:p>
            <w:pPr>
              <w:widowControl/>
              <w:adjustRightInd w:val="0"/>
              <w:snapToGrid w:val="0"/>
              <w:jc w:val="center"/>
              <w:rPr>
                <w:rFonts w:cs="宋体"/>
                <w:bCs/>
                <w:color w:val="000000"/>
                <w:kern w:val="0"/>
                <w:sz w:val="28"/>
                <w:szCs w:val="28"/>
              </w:rPr>
            </w:pPr>
            <w:r>
              <w:rPr>
                <w:rFonts w:hint="eastAsia" w:cs="宋体"/>
                <w:bCs/>
                <w:color w:val="000000"/>
                <w:kern w:val="0"/>
                <w:sz w:val="28"/>
                <w:szCs w:val="28"/>
              </w:rPr>
              <w:t>工程地点</w:t>
            </w:r>
          </w:p>
        </w:tc>
        <w:tc>
          <w:tcPr>
            <w:tcW w:w="3318" w:type="dxa"/>
            <w:tcBorders>
              <w:top w:val="single" w:color="auto" w:sz="12" w:space="0"/>
              <w:bottom w:val="single" w:color="auto" w:sz="12" w:space="0"/>
            </w:tcBorders>
            <w:vAlign w:val="center"/>
          </w:tcPr>
          <w:p>
            <w:pPr>
              <w:widowControl/>
              <w:adjustRightInd w:val="0"/>
              <w:snapToGrid w:val="0"/>
              <w:jc w:val="center"/>
              <w:rPr>
                <w:rFonts w:cs="宋体"/>
                <w:bCs/>
                <w:color w:val="000000"/>
                <w:kern w:val="0"/>
                <w:sz w:val="28"/>
                <w:szCs w:val="28"/>
              </w:rPr>
            </w:pPr>
          </w:p>
        </w:tc>
        <w:tc>
          <w:tcPr>
            <w:tcW w:w="1789" w:type="dxa"/>
            <w:tcBorders>
              <w:top w:val="single" w:color="auto" w:sz="12" w:space="0"/>
              <w:bottom w:val="single" w:color="auto" w:sz="12" w:space="0"/>
            </w:tcBorders>
            <w:vAlign w:val="center"/>
          </w:tcPr>
          <w:p>
            <w:pPr>
              <w:widowControl/>
              <w:adjustRightInd w:val="0"/>
              <w:snapToGrid w:val="0"/>
              <w:jc w:val="center"/>
              <w:rPr>
                <w:rFonts w:cs="宋体"/>
                <w:bCs/>
                <w:color w:val="000000"/>
                <w:kern w:val="0"/>
                <w:sz w:val="28"/>
                <w:szCs w:val="28"/>
              </w:rPr>
            </w:pPr>
            <w:r>
              <w:rPr>
                <w:rFonts w:hint="eastAsia" w:cs="宋体"/>
                <w:bCs/>
                <w:color w:val="000000"/>
                <w:kern w:val="0"/>
                <w:sz w:val="28"/>
                <w:szCs w:val="28"/>
              </w:rPr>
              <w:t>合同价款</w:t>
            </w:r>
          </w:p>
          <w:p>
            <w:pPr>
              <w:widowControl/>
              <w:adjustRightInd w:val="0"/>
              <w:snapToGrid w:val="0"/>
              <w:jc w:val="center"/>
              <w:rPr>
                <w:rFonts w:cs="宋体"/>
                <w:bCs/>
                <w:color w:val="000000"/>
                <w:kern w:val="0"/>
                <w:sz w:val="28"/>
                <w:szCs w:val="28"/>
              </w:rPr>
            </w:pPr>
            <w:r>
              <w:rPr>
                <w:rFonts w:hint="eastAsia" w:cs="宋体"/>
                <w:bCs/>
                <w:color w:val="000000"/>
                <w:kern w:val="0"/>
                <w:sz w:val="28"/>
                <w:szCs w:val="28"/>
              </w:rPr>
              <w:t>（万元）</w:t>
            </w:r>
          </w:p>
        </w:tc>
        <w:tc>
          <w:tcPr>
            <w:tcW w:w="2266" w:type="dxa"/>
            <w:tcBorders>
              <w:top w:val="single" w:color="auto" w:sz="12" w:space="0"/>
              <w:bottom w:val="single" w:color="auto" w:sz="12" w:space="0"/>
              <w:right w:val="single" w:color="auto" w:sz="12" w:space="0"/>
            </w:tcBorders>
            <w:vAlign w:val="center"/>
          </w:tcPr>
          <w:p>
            <w:pPr>
              <w:widowControl/>
              <w:adjustRightInd w:val="0"/>
              <w:snapToGrid w:val="0"/>
              <w:rPr>
                <w:rFonts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687" w:type="dxa"/>
            <w:tcBorders>
              <w:top w:val="single" w:color="auto" w:sz="12" w:space="0"/>
              <w:left w:val="single" w:color="auto" w:sz="12" w:space="0"/>
              <w:bottom w:val="single" w:color="auto" w:sz="12" w:space="0"/>
            </w:tcBorders>
            <w:vAlign w:val="center"/>
          </w:tcPr>
          <w:p>
            <w:pPr>
              <w:widowControl/>
              <w:adjustRightInd w:val="0"/>
              <w:snapToGrid w:val="0"/>
              <w:jc w:val="center"/>
              <w:rPr>
                <w:rFonts w:cs="宋体"/>
                <w:bCs/>
                <w:color w:val="000000"/>
                <w:kern w:val="0"/>
                <w:sz w:val="28"/>
                <w:szCs w:val="28"/>
              </w:rPr>
            </w:pPr>
            <w:r>
              <w:rPr>
                <w:rFonts w:hint="eastAsia" w:cs="宋体"/>
                <w:bCs/>
                <w:color w:val="000000"/>
                <w:kern w:val="0"/>
                <w:sz w:val="28"/>
                <w:szCs w:val="28"/>
              </w:rPr>
              <w:t>建设单位</w:t>
            </w:r>
          </w:p>
        </w:tc>
        <w:tc>
          <w:tcPr>
            <w:tcW w:w="3318" w:type="dxa"/>
            <w:tcBorders>
              <w:top w:val="single" w:color="auto" w:sz="12" w:space="0"/>
              <w:bottom w:val="single" w:color="auto" w:sz="12" w:space="0"/>
            </w:tcBorders>
            <w:vAlign w:val="center"/>
          </w:tcPr>
          <w:p>
            <w:pPr>
              <w:widowControl/>
              <w:adjustRightInd w:val="0"/>
              <w:snapToGrid w:val="0"/>
              <w:jc w:val="center"/>
              <w:rPr>
                <w:rFonts w:cs="宋体"/>
                <w:bCs/>
                <w:color w:val="000000"/>
                <w:kern w:val="0"/>
                <w:sz w:val="28"/>
                <w:szCs w:val="28"/>
              </w:rPr>
            </w:pPr>
          </w:p>
        </w:tc>
        <w:tc>
          <w:tcPr>
            <w:tcW w:w="1789" w:type="dxa"/>
            <w:tcBorders>
              <w:top w:val="single" w:color="auto" w:sz="12" w:space="0"/>
              <w:bottom w:val="single" w:color="auto" w:sz="12" w:space="0"/>
            </w:tcBorders>
            <w:vAlign w:val="center"/>
          </w:tcPr>
          <w:p>
            <w:pPr>
              <w:widowControl/>
              <w:adjustRightInd w:val="0"/>
              <w:snapToGrid w:val="0"/>
              <w:jc w:val="center"/>
              <w:rPr>
                <w:rFonts w:cs="宋体"/>
                <w:bCs/>
                <w:color w:val="000000"/>
                <w:kern w:val="0"/>
                <w:sz w:val="28"/>
                <w:szCs w:val="28"/>
              </w:rPr>
            </w:pPr>
            <w:r>
              <w:rPr>
                <w:rFonts w:hint="eastAsia" w:cs="宋体"/>
                <w:bCs/>
                <w:color w:val="000000"/>
                <w:kern w:val="0"/>
                <w:sz w:val="28"/>
                <w:szCs w:val="28"/>
              </w:rPr>
              <w:t>负责人及</w:t>
            </w:r>
          </w:p>
          <w:p>
            <w:pPr>
              <w:widowControl/>
              <w:adjustRightInd w:val="0"/>
              <w:snapToGrid w:val="0"/>
              <w:jc w:val="center"/>
              <w:rPr>
                <w:rFonts w:cs="宋体"/>
                <w:bCs/>
                <w:color w:val="000000"/>
                <w:kern w:val="0"/>
                <w:sz w:val="28"/>
                <w:szCs w:val="28"/>
              </w:rPr>
            </w:pPr>
            <w:r>
              <w:rPr>
                <w:rFonts w:hint="eastAsia" w:cs="宋体"/>
                <w:bCs/>
                <w:color w:val="000000"/>
                <w:kern w:val="0"/>
                <w:sz w:val="28"/>
                <w:szCs w:val="28"/>
              </w:rPr>
              <w:t>联系方式</w:t>
            </w:r>
          </w:p>
        </w:tc>
        <w:tc>
          <w:tcPr>
            <w:tcW w:w="2266" w:type="dxa"/>
            <w:tcBorders>
              <w:top w:val="single" w:color="auto" w:sz="12" w:space="0"/>
              <w:bottom w:val="single" w:color="auto" w:sz="12" w:space="0"/>
              <w:right w:val="single" w:color="auto" w:sz="12" w:space="0"/>
            </w:tcBorders>
            <w:vAlign w:val="center"/>
          </w:tcPr>
          <w:p>
            <w:pPr>
              <w:widowControl/>
              <w:adjustRightInd w:val="0"/>
              <w:snapToGrid w:val="0"/>
              <w:rPr>
                <w:rFonts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687" w:type="dxa"/>
            <w:tcBorders>
              <w:top w:val="single" w:color="auto" w:sz="12" w:space="0"/>
              <w:left w:val="single" w:color="auto" w:sz="12" w:space="0"/>
              <w:bottom w:val="dashed" w:color="auto" w:sz="4" w:space="0"/>
            </w:tcBorders>
            <w:vAlign w:val="center"/>
          </w:tcPr>
          <w:p>
            <w:pPr>
              <w:widowControl/>
              <w:adjustRightInd w:val="0"/>
              <w:snapToGrid w:val="0"/>
              <w:jc w:val="center"/>
              <w:rPr>
                <w:rFonts w:cs="宋体"/>
                <w:bCs/>
                <w:color w:val="000000"/>
                <w:kern w:val="0"/>
                <w:sz w:val="28"/>
                <w:szCs w:val="28"/>
              </w:rPr>
            </w:pPr>
            <w:r>
              <w:rPr>
                <w:rFonts w:hint="eastAsia" w:cs="宋体"/>
                <w:bCs/>
                <w:color w:val="000000"/>
                <w:kern w:val="0"/>
                <w:sz w:val="28"/>
                <w:szCs w:val="28"/>
              </w:rPr>
              <w:t>施工单位</w:t>
            </w:r>
          </w:p>
        </w:tc>
        <w:tc>
          <w:tcPr>
            <w:tcW w:w="3318" w:type="dxa"/>
            <w:tcBorders>
              <w:top w:val="single" w:color="auto" w:sz="12" w:space="0"/>
              <w:bottom w:val="dashed" w:color="auto" w:sz="4" w:space="0"/>
            </w:tcBorders>
            <w:vAlign w:val="center"/>
          </w:tcPr>
          <w:p>
            <w:pPr>
              <w:widowControl/>
              <w:adjustRightInd w:val="0"/>
              <w:snapToGrid w:val="0"/>
              <w:jc w:val="center"/>
              <w:rPr>
                <w:rFonts w:cs="宋体"/>
                <w:bCs/>
                <w:color w:val="000000"/>
                <w:kern w:val="0"/>
                <w:sz w:val="28"/>
                <w:szCs w:val="28"/>
              </w:rPr>
            </w:pPr>
          </w:p>
        </w:tc>
        <w:tc>
          <w:tcPr>
            <w:tcW w:w="1789" w:type="dxa"/>
            <w:tcBorders>
              <w:top w:val="single" w:color="auto" w:sz="12" w:space="0"/>
              <w:bottom w:val="dashed" w:color="auto" w:sz="4" w:space="0"/>
            </w:tcBorders>
            <w:vAlign w:val="center"/>
          </w:tcPr>
          <w:p>
            <w:pPr>
              <w:widowControl/>
              <w:adjustRightInd w:val="0"/>
              <w:snapToGrid w:val="0"/>
              <w:jc w:val="center"/>
              <w:rPr>
                <w:rFonts w:cs="宋体"/>
                <w:bCs/>
                <w:color w:val="000000"/>
                <w:kern w:val="0"/>
                <w:sz w:val="28"/>
                <w:szCs w:val="28"/>
              </w:rPr>
            </w:pPr>
            <w:r>
              <w:rPr>
                <w:rFonts w:hint="eastAsia" w:cs="宋体"/>
                <w:bCs/>
                <w:color w:val="000000"/>
                <w:kern w:val="0"/>
                <w:sz w:val="28"/>
                <w:szCs w:val="28"/>
              </w:rPr>
              <w:t>施工资质</w:t>
            </w:r>
          </w:p>
        </w:tc>
        <w:tc>
          <w:tcPr>
            <w:tcW w:w="2266" w:type="dxa"/>
            <w:tcBorders>
              <w:top w:val="single" w:color="auto" w:sz="12" w:space="0"/>
              <w:bottom w:val="dashed" w:color="auto" w:sz="4" w:space="0"/>
              <w:right w:val="single" w:color="auto" w:sz="12" w:space="0"/>
            </w:tcBorders>
            <w:vAlign w:val="center"/>
          </w:tcPr>
          <w:p>
            <w:pPr>
              <w:widowControl/>
              <w:adjustRightInd w:val="0"/>
              <w:snapToGrid w:val="0"/>
              <w:rPr>
                <w:rFonts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687" w:type="dxa"/>
            <w:tcBorders>
              <w:top w:val="dashed" w:color="auto" w:sz="4" w:space="0"/>
              <w:left w:val="single" w:color="auto" w:sz="12" w:space="0"/>
              <w:bottom w:val="single" w:color="auto" w:sz="12" w:space="0"/>
            </w:tcBorders>
            <w:vAlign w:val="center"/>
          </w:tcPr>
          <w:p>
            <w:pPr>
              <w:widowControl/>
              <w:adjustRightInd w:val="0"/>
              <w:snapToGrid w:val="0"/>
              <w:jc w:val="center"/>
              <w:rPr>
                <w:rFonts w:cs="宋体"/>
                <w:bCs/>
                <w:color w:val="000000"/>
                <w:kern w:val="0"/>
                <w:sz w:val="28"/>
                <w:szCs w:val="28"/>
              </w:rPr>
            </w:pPr>
            <w:r>
              <w:rPr>
                <w:rFonts w:hint="eastAsia" w:cs="宋体"/>
                <w:bCs/>
                <w:color w:val="000000"/>
                <w:kern w:val="0"/>
                <w:sz w:val="28"/>
                <w:szCs w:val="28"/>
              </w:rPr>
              <w:t>法定代表人及联系方式</w:t>
            </w:r>
          </w:p>
        </w:tc>
        <w:tc>
          <w:tcPr>
            <w:tcW w:w="3318" w:type="dxa"/>
            <w:tcBorders>
              <w:top w:val="dashed" w:color="auto" w:sz="4" w:space="0"/>
              <w:bottom w:val="single" w:color="auto" w:sz="12" w:space="0"/>
            </w:tcBorders>
            <w:vAlign w:val="center"/>
          </w:tcPr>
          <w:p>
            <w:pPr>
              <w:widowControl/>
              <w:adjustRightInd w:val="0"/>
              <w:snapToGrid w:val="0"/>
              <w:jc w:val="center"/>
              <w:rPr>
                <w:rFonts w:cs="宋体"/>
                <w:bCs/>
                <w:color w:val="000000"/>
                <w:kern w:val="0"/>
                <w:sz w:val="28"/>
                <w:szCs w:val="28"/>
              </w:rPr>
            </w:pPr>
          </w:p>
        </w:tc>
        <w:tc>
          <w:tcPr>
            <w:tcW w:w="1789" w:type="dxa"/>
            <w:tcBorders>
              <w:top w:val="dashed" w:color="auto" w:sz="4" w:space="0"/>
              <w:bottom w:val="single" w:color="auto" w:sz="12" w:space="0"/>
            </w:tcBorders>
            <w:vAlign w:val="center"/>
          </w:tcPr>
          <w:p>
            <w:pPr>
              <w:widowControl/>
              <w:adjustRightInd w:val="0"/>
              <w:snapToGrid w:val="0"/>
              <w:jc w:val="center"/>
              <w:rPr>
                <w:rFonts w:cs="宋体"/>
                <w:bCs/>
                <w:color w:val="000000"/>
                <w:kern w:val="0"/>
                <w:sz w:val="28"/>
                <w:szCs w:val="28"/>
              </w:rPr>
            </w:pPr>
            <w:r>
              <w:rPr>
                <w:rFonts w:hint="eastAsia" w:ascii="仿宋_GB2312" w:hAnsi="宋体" w:cs="宋体"/>
                <w:color w:val="000000"/>
                <w:kern w:val="0"/>
                <w:sz w:val="28"/>
                <w:szCs w:val="28"/>
              </w:rPr>
              <w:t>项目经理</w:t>
            </w:r>
            <w:r>
              <w:rPr>
                <w:rFonts w:hint="eastAsia" w:cs="宋体"/>
                <w:bCs/>
                <w:color w:val="000000"/>
                <w:kern w:val="0"/>
                <w:sz w:val="28"/>
                <w:szCs w:val="28"/>
              </w:rPr>
              <w:t>及联系方式</w:t>
            </w:r>
          </w:p>
        </w:tc>
        <w:tc>
          <w:tcPr>
            <w:tcW w:w="2266" w:type="dxa"/>
            <w:tcBorders>
              <w:top w:val="dashed" w:color="auto" w:sz="4" w:space="0"/>
              <w:bottom w:val="single" w:color="auto" w:sz="12" w:space="0"/>
              <w:right w:val="single" w:color="auto" w:sz="12" w:space="0"/>
            </w:tcBorders>
            <w:vAlign w:val="center"/>
          </w:tcPr>
          <w:p>
            <w:pPr>
              <w:widowControl/>
              <w:adjustRightInd w:val="0"/>
              <w:snapToGrid w:val="0"/>
              <w:rPr>
                <w:rFonts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687" w:type="dxa"/>
            <w:tcBorders>
              <w:top w:val="single" w:color="auto" w:sz="12" w:space="0"/>
              <w:left w:val="single" w:color="auto" w:sz="12" w:space="0"/>
              <w:bottom w:val="dashed" w:color="auto" w:sz="4" w:space="0"/>
            </w:tcBorders>
            <w:vAlign w:val="center"/>
          </w:tcPr>
          <w:p>
            <w:pPr>
              <w:widowControl/>
              <w:adjustRightInd w:val="0"/>
              <w:snapToGrid w:val="0"/>
              <w:jc w:val="center"/>
              <w:rPr>
                <w:rFonts w:cs="宋体"/>
                <w:bCs/>
                <w:color w:val="000000"/>
                <w:kern w:val="0"/>
                <w:sz w:val="28"/>
                <w:szCs w:val="28"/>
              </w:rPr>
            </w:pPr>
            <w:r>
              <w:rPr>
                <w:rFonts w:hint="eastAsia" w:cs="宋体"/>
                <w:bCs/>
                <w:color w:val="000000"/>
                <w:kern w:val="0"/>
                <w:sz w:val="28"/>
                <w:szCs w:val="28"/>
              </w:rPr>
              <w:t>监理单位</w:t>
            </w:r>
          </w:p>
        </w:tc>
        <w:tc>
          <w:tcPr>
            <w:tcW w:w="3318" w:type="dxa"/>
            <w:tcBorders>
              <w:top w:val="single" w:color="auto" w:sz="12" w:space="0"/>
              <w:bottom w:val="dashed" w:color="auto" w:sz="4" w:space="0"/>
            </w:tcBorders>
            <w:vAlign w:val="center"/>
          </w:tcPr>
          <w:p>
            <w:pPr>
              <w:widowControl/>
              <w:adjustRightInd w:val="0"/>
              <w:snapToGrid w:val="0"/>
              <w:jc w:val="center"/>
              <w:rPr>
                <w:rFonts w:cs="宋体"/>
                <w:bCs/>
                <w:color w:val="000000"/>
                <w:kern w:val="0"/>
                <w:sz w:val="28"/>
                <w:szCs w:val="28"/>
              </w:rPr>
            </w:pPr>
          </w:p>
        </w:tc>
        <w:tc>
          <w:tcPr>
            <w:tcW w:w="1789" w:type="dxa"/>
            <w:tcBorders>
              <w:top w:val="single" w:color="auto" w:sz="12" w:space="0"/>
              <w:bottom w:val="dashed" w:color="auto" w:sz="4" w:space="0"/>
            </w:tcBorders>
            <w:vAlign w:val="center"/>
          </w:tcPr>
          <w:p>
            <w:pPr>
              <w:widowControl/>
              <w:adjustRightInd w:val="0"/>
              <w:snapToGrid w:val="0"/>
              <w:jc w:val="center"/>
              <w:rPr>
                <w:rFonts w:cs="宋体"/>
                <w:bCs/>
                <w:color w:val="000000"/>
                <w:kern w:val="0"/>
                <w:sz w:val="28"/>
                <w:szCs w:val="28"/>
              </w:rPr>
            </w:pPr>
            <w:r>
              <w:rPr>
                <w:rFonts w:hint="eastAsia" w:cs="宋体"/>
                <w:bCs/>
                <w:color w:val="000000"/>
                <w:kern w:val="0"/>
                <w:sz w:val="28"/>
                <w:szCs w:val="28"/>
              </w:rPr>
              <w:t>监理资质</w:t>
            </w:r>
          </w:p>
        </w:tc>
        <w:tc>
          <w:tcPr>
            <w:tcW w:w="2266" w:type="dxa"/>
            <w:tcBorders>
              <w:top w:val="single" w:color="auto" w:sz="12" w:space="0"/>
              <w:bottom w:val="dashed" w:color="auto" w:sz="4" w:space="0"/>
              <w:right w:val="single" w:color="auto" w:sz="12" w:space="0"/>
            </w:tcBorders>
            <w:vAlign w:val="center"/>
          </w:tcPr>
          <w:p>
            <w:pPr>
              <w:widowControl/>
              <w:adjustRightInd w:val="0"/>
              <w:snapToGrid w:val="0"/>
              <w:rPr>
                <w:rFonts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687" w:type="dxa"/>
            <w:tcBorders>
              <w:top w:val="dashed" w:color="auto" w:sz="4" w:space="0"/>
              <w:left w:val="single" w:color="auto" w:sz="12" w:space="0"/>
              <w:bottom w:val="single" w:color="auto" w:sz="12" w:space="0"/>
            </w:tcBorders>
            <w:vAlign w:val="center"/>
          </w:tcPr>
          <w:p>
            <w:pPr>
              <w:widowControl/>
              <w:adjustRightInd w:val="0"/>
              <w:snapToGrid w:val="0"/>
              <w:jc w:val="center"/>
              <w:rPr>
                <w:rFonts w:cs="宋体"/>
                <w:bCs/>
                <w:color w:val="000000"/>
                <w:kern w:val="0"/>
                <w:sz w:val="28"/>
                <w:szCs w:val="28"/>
              </w:rPr>
            </w:pPr>
            <w:r>
              <w:rPr>
                <w:rFonts w:hint="eastAsia" w:cs="宋体"/>
                <w:bCs/>
                <w:color w:val="000000"/>
                <w:kern w:val="0"/>
                <w:sz w:val="28"/>
                <w:szCs w:val="28"/>
              </w:rPr>
              <w:t>法定代表人及联系方式</w:t>
            </w:r>
          </w:p>
        </w:tc>
        <w:tc>
          <w:tcPr>
            <w:tcW w:w="3318" w:type="dxa"/>
            <w:tcBorders>
              <w:top w:val="dashed" w:color="auto" w:sz="4" w:space="0"/>
              <w:bottom w:val="single" w:color="auto" w:sz="12" w:space="0"/>
            </w:tcBorders>
            <w:vAlign w:val="center"/>
          </w:tcPr>
          <w:p>
            <w:pPr>
              <w:widowControl/>
              <w:adjustRightInd w:val="0"/>
              <w:snapToGrid w:val="0"/>
              <w:jc w:val="center"/>
              <w:rPr>
                <w:rFonts w:cs="宋体"/>
                <w:bCs/>
                <w:color w:val="000000"/>
                <w:kern w:val="0"/>
                <w:sz w:val="28"/>
                <w:szCs w:val="28"/>
              </w:rPr>
            </w:pPr>
          </w:p>
        </w:tc>
        <w:tc>
          <w:tcPr>
            <w:tcW w:w="1789" w:type="dxa"/>
            <w:tcBorders>
              <w:top w:val="dashed" w:color="auto" w:sz="4" w:space="0"/>
              <w:bottom w:val="single" w:color="auto" w:sz="12" w:space="0"/>
            </w:tcBorders>
            <w:vAlign w:val="center"/>
          </w:tcPr>
          <w:p>
            <w:pPr>
              <w:widowControl/>
              <w:adjustRightInd w:val="0"/>
              <w:snapToGrid w:val="0"/>
              <w:jc w:val="center"/>
              <w:rPr>
                <w:rFonts w:cs="宋体"/>
                <w:bCs/>
                <w:color w:val="000000"/>
                <w:kern w:val="0"/>
                <w:sz w:val="28"/>
                <w:szCs w:val="28"/>
              </w:rPr>
            </w:pPr>
            <w:r>
              <w:rPr>
                <w:rFonts w:hint="eastAsia" w:ascii="仿宋_GB2312" w:hAnsi="宋体" w:cs="宋体"/>
                <w:color w:val="000000"/>
                <w:kern w:val="0"/>
                <w:sz w:val="28"/>
                <w:szCs w:val="28"/>
              </w:rPr>
              <w:t>总监理工程师</w:t>
            </w:r>
            <w:r>
              <w:rPr>
                <w:rFonts w:hint="eastAsia" w:cs="宋体"/>
                <w:bCs/>
                <w:color w:val="000000"/>
                <w:kern w:val="0"/>
                <w:sz w:val="28"/>
                <w:szCs w:val="28"/>
              </w:rPr>
              <w:t>及</w:t>
            </w:r>
          </w:p>
          <w:p>
            <w:pPr>
              <w:widowControl/>
              <w:adjustRightInd w:val="0"/>
              <w:snapToGrid w:val="0"/>
              <w:jc w:val="center"/>
              <w:rPr>
                <w:rFonts w:cs="宋体"/>
                <w:bCs/>
                <w:color w:val="000000"/>
                <w:kern w:val="0"/>
                <w:sz w:val="28"/>
                <w:szCs w:val="28"/>
              </w:rPr>
            </w:pPr>
            <w:r>
              <w:rPr>
                <w:rFonts w:hint="eastAsia" w:cs="宋体"/>
                <w:bCs/>
                <w:color w:val="000000"/>
                <w:kern w:val="0"/>
                <w:sz w:val="28"/>
                <w:szCs w:val="28"/>
              </w:rPr>
              <w:t>联系方式</w:t>
            </w:r>
          </w:p>
        </w:tc>
        <w:tc>
          <w:tcPr>
            <w:tcW w:w="2266" w:type="dxa"/>
            <w:tcBorders>
              <w:top w:val="dashed" w:color="auto" w:sz="4" w:space="0"/>
              <w:bottom w:val="single" w:color="auto" w:sz="12" w:space="0"/>
              <w:right w:val="single" w:color="auto" w:sz="12" w:space="0"/>
            </w:tcBorders>
            <w:vAlign w:val="center"/>
          </w:tcPr>
          <w:p>
            <w:pPr>
              <w:widowControl/>
              <w:adjustRightInd w:val="0"/>
              <w:snapToGrid w:val="0"/>
              <w:rPr>
                <w:rFonts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687" w:type="dxa"/>
            <w:tcBorders>
              <w:left w:val="single" w:color="auto" w:sz="12" w:space="0"/>
            </w:tcBorders>
            <w:vAlign w:val="center"/>
          </w:tcPr>
          <w:p>
            <w:pPr>
              <w:widowControl/>
              <w:adjustRightInd w:val="0"/>
              <w:snapToGrid w:val="0"/>
              <w:jc w:val="center"/>
              <w:rPr>
                <w:rFonts w:ascii="仿宋_GB2312" w:cs="宋体"/>
                <w:bCs/>
                <w:color w:val="000000"/>
                <w:kern w:val="0"/>
                <w:sz w:val="28"/>
                <w:szCs w:val="28"/>
              </w:rPr>
            </w:pPr>
            <w:r>
              <w:rPr>
                <w:rFonts w:hint="eastAsia" w:ascii="仿宋_GB2312" w:cs="宋体"/>
                <w:bCs/>
                <w:color w:val="000000"/>
                <w:kern w:val="0"/>
                <w:sz w:val="28"/>
                <w:szCs w:val="28"/>
              </w:rPr>
              <w:t>建筑面积或绿地面积</w:t>
            </w:r>
          </w:p>
          <w:p>
            <w:pPr>
              <w:widowControl/>
              <w:adjustRightInd w:val="0"/>
              <w:snapToGrid w:val="0"/>
              <w:jc w:val="center"/>
              <w:rPr>
                <w:rFonts w:ascii="仿宋_GB2312" w:cs="宋体"/>
                <w:bCs/>
                <w:color w:val="000000"/>
                <w:kern w:val="0"/>
                <w:sz w:val="28"/>
                <w:szCs w:val="28"/>
              </w:rPr>
            </w:pPr>
            <w:r>
              <w:rPr>
                <w:rFonts w:hint="eastAsia" w:ascii="仿宋_GB2312" w:cs="宋体"/>
                <w:bCs/>
                <w:color w:val="000000"/>
                <w:kern w:val="0"/>
                <w:sz w:val="28"/>
                <w:szCs w:val="28"/>
              </w:rPr>
              <w:t>（m</w:t>
            </w:r>
            <w:r>
              <w:rPr>
                <w:rFonts w:hint="eastAsia" w:ascii="仿宋_GB2312" w:cs="宋体"/>
                <w:bCs/>
                <w:color w:val="000000"/>
                <w:kern w:val="0"/>
                <w:sz w:val="28"/>
                <w:szCs w:val="28"/>
                <w:vertAlign w:val="superscript"/>
              </w:rPr>
              <w:t>2</w:t>
            </w:r>
            <w:r>
              <w:rPr>
                <w:rFonts w:hint="eastAsia" w:ascii="仿宋_GB2312" w:cs="宋体"/>
                <w:bCs/>
                <w:color w:val="000000"/>
                <w:kern w:val="0"/>
                <w:sz w:val="28"/>
                <w:szCs w:val="28"/>
              </w:rPr>
              <w:t>）</w:t>
            </w:r>
          </w:p>
        </w:tc>
        <w:tc>
          <w:tcPr>
            <w:tcW w:w="3318" w:type="dxa"/>
            <w:vAlign w:val="center"/>
          </w:tcPr>
          <w:p>
            <w:pPr>
              <w:widowControl/>
              <w:adjustRightInd w:val="0"/>
              <w:snapToGrid w:val="0"/>
              <w:jc w:val="center"/>
              <w:rPr>
                <w:rFonts w:cs="宋体"/>
                <w:bCs/>
                <w:color w:val="000000"/>
                <w:kern w:val="0"/>
                <w:sz w:val="28"/>
                <w:szCs w:val="28"/>
              </w:rPr>
            </w:pPr>
          </w:p>
        </w:tc>
        <w:tc>
          <w:tcPr>
            <w:tcW w:w="1789" w:type="dxa"/>
            <w:vAlign w:val="center"/>
          </w:tcPr>
          <w:p>
            <w:pPr>
              <w:widowControl/>
              <w:adjustRightInd w:val="0"/>
              <w:snapToGrid w:val="0"/>
              <w:jc w:val="center"/>
              <w:rPr>
                <w:rFonts w:cs="宋体"/>
                <w:bCs/>
                <w:color w:val="000000"/>
                <w:kern w:val="0"/>
                <w:sz w:val="28"/>
                <w:szCs w:val="28"/>
              </w:rPr>
            </w:pPr>
            <w:r>
              <w:rPr>
                <w:rFonts w:hint="eastAsia" w:cs="宋体"/>
                <w:bCs/>
                <w:color w:val="000000"/>
                <w:kern w:val="0"/>
                <w:sz w:val="28"/>
                <w:szCs w:val="28"/>
              </w:rPr>
              <w:t>合同开、竣</w:t>
            </w:r>
          </w:p>
          <w:p>
            <w:pPr>
              <w:widowControl/>
              <w:adjustRightInd w:val="0"/>
              <w:snapToGrid w:val="0"/>
              <w:jc w:val="center"/>
              <w:rPr>
                <w:rFonts w:cs="宋体"/>
                <w:bCs/>
                <w:color w:val="000000"/>
                <w:kern w:val="0"/>
                <w:sz w:val="28"/>
                <w:szCs w:val="28"/>
              </w:rPr>
            </w:pPr>
            <w:r>
              <w:rPr>
                <w:rFonts w:hint="eastAsia" w:cs="宋体"/>
                <w:bCs/>
                <w:color w:val="000000"/>
                <w:kern w:val="0"/>
                <w:sz w:val="28"/>
                <w:szCs w:val="28"/>
              </w:rPr>
              <w:t>工日期</w:t>
            </w:r>
          </w:p>
        </w:tc>
        <w:tc>
          <w:tcPr>
            <w:tcW w:w="2266" w:type="dxa"/>
            <w:tcBorders>
              <w:right w:val="single" w:color="auto" w:sz="12" w:space="0"/>
            </w:tcBorders>
            <w:vAlign w:val="center"/>
          </w:tcPr>
          <w:p>
            <w:pPr>
              <w:widowControl/>
              <w:adjustRightInd w:val="0"/>
              <w:snapToGrid w:val="0"/>
              <w:rPr>
                <w:rFonts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687" w:type="dxa"/>
            <w:tcBorders>
              <w:left w:val="single" w:color="auto" w:sz="12" w:space="0"/>
              <w:bottom w:val="single" w:color="auto" w:sz="12" w:space="0"/>
            </w:tcBorders>
            <w:vAlign w:val="center"/>
          </w:tcPr>
          <w:p>
            <w:pPr>
              <w:widowControl/>
              <w:adjustRightInd w:val="0"/>
              <w:snapToGrid w:val="0"/>
              <w:jc w:val="center"/>
              <w:rPr>
                <w:rFonts w:ascii="仿宋_GB2312" w:cs="宋体"/>
                <w:bCs/>
                <w:color w:val="000000"/>
                <w:kern w:val="0"/>
                <w:sz w:val="28"/>
                <w:szCs w:val="28"/>
              </w:rPr>
            </w:pPr>
            <w:r>
              <w:rPr>
                <w:rFonts w:hint="eastAsia" w:ascii="仿宋_GB2312" w:cs="宋体"/>
                <w:bCs/>
                <w:color w:val="000000"/>
                <w:kern w:val="0"/>
                <w:sz w:val="28"/>
                <w:szCs w:val="28"/>
              </w:rPr>
              <w:t>合同工期</w:t>
            </w:r>
          </w:p>
          <w:p>
            <w:pPr>
              <w:widowControl/>
              <w:adjustRightInd w:val="0"/>
              <w:snapToGrid w:val="0"/>
              <w:jc w:val="center"/>
              <w:rPr>
                <w:rFonts w:ascii="仿宋_GB2312" w:cs="宋体"/>
                <w:bCs/>
                <w:color w:val="000000"/>
                <w:kern w:val="0"/>
                <w:sz w:val="28"/>
                <w:szCs w:val="28"/>
              </w:rPr>
            </w:pPr>
            <w:r>
              <w:rPr>
                <w:rFonts w:hint="eastAsia" w:ascii="仿宋_GB2312" w:cs="宋体"/>
                <w:bCs/>
                <w:color w:val="000000"/>
                <w:kern w:val="0"/>
                <w:sz w:val="28"/>
                <w:szCs w:val="28"/>
              </w:rPr>
              <w:t>（日历天）</w:t>
            </w:r>
          </w:p>
        </w:tc>
        <w:tc>
          <w:tcPr>
            <w:tcW w:w="3318" w:type="dxa"/>
            <w:tcBorders>
              <w:bottom w:val="single" w:color="auto" w:sz="12" w:space="0"/>
            </w:tcBorders>
            <w:vAlign w:val="center"/>
          </w:tcPr>
          <w:p>
            <w:pPr>
              <w:widowControl/>
              <w:adjustRightInd w:val="0"/>
              <w:snapToGrid w:val="0"/>
              <w:jc w:val="center"/>
              <w:rPr>
                <w:rFonts w:cs="宋体"/>
                <w:bCs/>
                <w:color w:val="000000"/>
                <w:kern w:val="0"/>
                <w:sz w:val="28"/>
                <w:szCs w:val="28"/>
              </w:rPr>
            </w:pPr>
          </w:p>
        </w:tc>
        <w:tc>
          <w:tcPr>
            <w:tcW w:w="1789" w:type="dxa"/>
            <w:tcBorders>
              <w:bottom w:val="single" w:color="auto" w:sz="12" w:space="0"/>
            </w:tcBorders>
            <w:vAlign w:val="center"/>
          </w:tcPr>
          <w:p>
            <w:pPr>
              <w:widowControl/>
              <w:adjustRightInd w:val="0"/>
              <w:snapToGrid w:val="0"/>
              <w:jc w:val="center"/>
              <w:rPr>
                <w:rFonts w:cs="宋体"/>
                <w:bCs/>
                <w:color w:val="000000"/>
                <w:kern w:val="0"/>
                <w:sz w:val="28"/>
                <w:szCs w:val="28"/>
              </w:rPr>
            </w:pPr>
            <w:r>
              <w:rPr>
                <w:rFonts w:hint="eastAsia" w:cs="宋体"/>
                <w:bCs/>
                <w:color w:val="000000"/>
                <w:kern w:val="0"/>
                <w:sz w:val="28"/>
                <w:szCs w:val="28"/>
              </w:rPr>
              <w:t>实际开、竣</w:t>
            </w:r>
          </w:p>
          <w:p>
            <w:pPr>
              <w:widowControl/>
              <w:adjustRightInd w:val="0"/>
              <w:snapToGrid w:val="0"/>
              <w:jc w:val="center"/>
              <w:rPr>
                <w:rFonts w:cs="宋体"/>
                <w:bCs/>
                <w:color w:val="000000"/>
                <w:kern w:val="0"/>
                <w:sz w:val="28"/>
                <w:szCs w:val="28"/>
              </w:rPr>
            </w:pPr>
            <w:r>
              <w:rPr>
                <w:rFonts w:hint="eastAsia" w:cs="宋体"/>
                <w:bCs/>
                <w:color w:val="000000"/>
                <w:kern w:val="0"/>
                <w:sz w:val="28"/>
                <w:szCs w:val="28"/>
              </w:rPr>
              <w:t>工日期</w:t>
            </w:r>
          </w:p>
        </w:tc>
        <w:tc>
          <w:tcPr>
            <w:tcW w:w="2266" w:type="dxa"/>
            <w:tcBorders>
              <w:bottom w:val="single" w:color="auto" w:sz="12" w:space="0"/>
              <w:right w:val="single" w:color="auto" w:sz="12" w:space="0"/>
            </w:tcBorders>
            <w:vAlign w:val="center"/>
          </w:tcPr>
          <w:p>
            <w:pPr>
              <w:widowControl/>
              <w:adjustRightInd w:val="0"/>
              <w:snapToGrid w:val="0"/>
              <w:rPr>
                <w:rFonts w:cs="宋体"/>
                <w:bCs/>
                <w:color w:val="000000"/>
                <w:kern w:val="0"/>
                <w:sz w:val="28"/>
                <w:szCs w:val="28"/>
              </w:rPr>
            </w:pPr>
          </w:p>
        </w:tc>
      </w:tr>
    </w:tbl>
    <w:p>
      <w:pPr>
        <w:widowControl/>
        <w:jc w:val="left"/>
        <w:rPr>
          <w:rFonts w:ascii="仿宋" w:hAnsi="仿宋" w:eastAsia="仿宋"/>
          <w:szCs w:val="32"/>
        </w:rPr>
      </w:pPr>
    </w:p>
    <w:p>
      <w:pPr>
        <w:widowControl/>
        <w:jc w:val="left"/>
        <w:rPr>
          <w:rFonts w:ascii="仿宋" w:hAnsi="仿宋" w:eastAsia="仿宋"/>
          <w:szCs w:val="32"/>
        </w:rPr>
      </w:pPr>
      <w:r>
        <w:rPr>
          <w:rFonts w:ascii="仿宋" w:hAnsi="仿宋" w:eastAsia="仿宋"/>
          <w:szCs w:val="32"/>
        </w:rPr>
        <w:br w:type="page"/>
      </w:r>
    </w:p>
    <w:p>
      <w:pPr>
        <w:widowControl/>
        <w:jc w:val="left"/>
        <w:rPr>
          <w:rFonts w:ascii="仿宋" w:hAnsi="仿宋" w:eastAsia="仿宋"/>
          <w:szCs w:val="32"/>
        </w:rPr>
        <w:sectPr>
          <w:pgSz w:w="11907" w:h="16840"/>
          <w:pgMar w:top="1440" w:right="1247" w:bottom="1701" w:left="1474" w:header="851" w:footer="992" w:gutter="57"/>
          <w:cols w:space="425" w:num="1"/>
          <w:docGrid w:linePitch="464" w:charSpace="-834"/>
        </w:sectPr>
      </w:pPr>
    </w:p>
    <w:p>
      <w:pPr>
        <w:widowControl/>
        <w:adjustRightInd w:val="0"/>
        <w:snapToGrid w:val="0"/>
        <w:spacing w:line="600" w:lineRule="exact"/>
        <w:jc w:val="center"/>
        <w:rPr>
          <w:rFonts w:ascii="方正小标宋简体" w:hAnsi="宋体" w:eastAsia="方正小标宋简体" w:cs="宋体"/>
          <w:color w:val="000000"/>
          <w:kern w:val="0"/>
          <w:sz w:val="42"/>
          <w:szCs w:val="42"/>
        </w:rPr>
      </w:pPr>
      <w:r>
        <w:rPr>
          <w:rFonts w:hint="eastAsia" w:ascii="方正小标宋简体" w:hAnsi="宋体" w:eastAsia="方正小标宋简体" w:cs="宋体"/>
          <w:color w:val="000000"/>
          <w:kern w:val="0"/>
          <w:sz w:val="42"/>
          <w:szCs w:val="42"/>
        </w:rPr>
        <w:t>湖州市建设工程合同履约评价表（建设单位对施工单位评价）</w:t>
      </w:r>
    </w:p>
    <w:p>
      <w:pPr>
        <w:widowControl/>
        <w:adjustRightInd w:val="0"/>
        <w:snapToGrid w:val="0"/>
        <w:spacing w:line="300" w:lineRule="exact"/>
        <w:ind w:firstLine="240" w:firstLineChars="100"/>
        <w:rPr>
          <w:rFonts w:ascii="仿宋_GB2312" w:hAnsi="宋体" w:cs="宋体"/>
          <w:color w:val="000000"/>
          <w:kern w:val="0"/>
          <w:sz w:val="24"/>
        </w:rPr>
      </w:pPr>
      <w:r>
        <w:rPr>
          <w:rFonts w:hint="eastAsia" w:ascii="仿宋_GB2312" w:hAnsi="宋体" w:cs="宋体"/>
          <w:color w:val="000000"/>
          <w:kern w:val="0"/>
          <w:sz w:val="24"/>
        </w:rPr>
        <w:t>工程名称：</w:t>
      </w:r>
    </w:p>
    <w:tbl>
      <w:tblPr>
        <w:tblStyle w:val="7"/>
        <w:tblW w:w="14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520"/>
        <w:gridCol w:w="6092"/>
        <w:gridCol w:w="1134"/>
        <w:gridCol w:w="2632"/>
        <w:gridCol w:w="1260"/>
        <w:tblGridChange w:id="0">
          <w:tblGrid>
            <w:gridCol w:w="577"/>
            <w:gridCol w:w="2520"/>
            <w:gridCol w:w="6092"/>
            <w:gridCol w:w="1134"/>
            <w:gridCol w:w="2632"/>
            <w:gridCol w:w="12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b/>
                <w:color w:val="000000"/>
                <w:kern w:val="0"/>
                <w:sz w:val="21"/>
                <w:szCs w:val="21"/>
              </w:rPr>
            </w:pPr>
            <w:r>
              <w:rPr>
                <w:rFonts w:hint="eastAsia" w:ascii="仿宋_GB2312" w:hAnsi="宋体" w:cs="宋体"/>
                <w:b/>
                <w:color w:val="000000"/>
                <w:kern w:val="0"/>
                <w:sz w:val="21"/>
                <w:szCs w:val="21"/>
              </w:rPr>
              <w:t>序号</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b/>
                <w:color w:val="000000"/>
                <w:kern w:val="0"/>
                <w:sz w:val="21"/>
                <w:szCs w:val="21"/>
              </w:rPr>
            </w:pPr>
            <w:r>
              <w:rPr>
                <w:rFonts w:hint="eastAsia" w:ascii="仿宋_GB2312" w:hAnsi="宋体" w:cs="宋体"/>
                <w:b/>
                <w:color w:val="000000"/>
                <w:kern w:val="0"/>
                <w:sz w:val="21"/>
                <w:szCs w:val="21"/>
              </w:rPr>
              <w:t>评分项目</w:t>
            </w: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b/>
                <w:color w:val="000000"/>
                <w:kern w:val="0"/>
                <w:sz w:val="21"/>
                <w:szCs w:val="21"/>
              </w:rPr>
            </w:pPr>
            <w:r>
              <w:rPr>
                <w:rFonts w:hint="eastAsia" w:ascii="仿宋_GB2312" w:hAnsi="宋体" w:cs="宋体"/>
                <w:b/>
                <w:color w:val="000000"/>
                <w:kern w:val="0"/>
                <w:sz w:val="21"/>
                <w:szCs w:val="21"/>
              </w:rPr>
              <w:t>评价标准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b/>
                <w:color w:val="000000"/>
                <w:kern w:val="0"/>
                <w:sz w:val="21"/>
                <w:szCs w:val="21"/>
              </w:rPr>
            </w:pPr>
            <w:r>
              <w:rPr>
                <w:rFonts w:hint="eastAsia" w:ascii="仿宋_GB2312" w:hAnsi="宋体" w:cs="宋体"/>
                <w:b/>
                <w:color w:val="000000"/>
                <w:kern w:val="0"/>
                <w:sz w:val="21"/>
                <w:szCs w:val="21"/>
              </w:rPr>
              <w:t>评  价</w:t>
            </w:r>
          </w:p>
          <w:p>
            <w:pPr>
              <w:widowControl/>
              <w:adjustRightInd w:val="0"/>
              <w:snapToGrid w:val="0"/>
              <w:spacing w:line="260" w:lineRule="exact"/>
              <w:jc w:val="center"/>
              <w:rPr>
                <w:rFonts w:ascii="仿宋_GB2312" w:hAnsi="宋体" w:cs="宋体"/>
                <w:b/>
                <w:color w:val="000000"/>
                <w:kern w:val="0"/>
                <w:sz w:val="21"/>
                <w:szCs w:val="21"/>
              </w:rPr>
            </w:pPr>
            <w:r>
              <w:rPr>
                <w:rFonts w:hint="eastAsia" w:ascii="仿宋_GB2312" w:hAnsi="宋体" w:cs="宋体"/>
                <w:b/>
                <w:color w:val="000000"/>
                <w:kern w:val="0"/>
                <w:sz w:val="21"/>
                <w:szCs w:val="21"/>
              </w:rPr>
              <w:t>基准分</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b/>
                <w:color w:val="000000"/>
                <w:kern w:val="0"/>
                <w:sz w:val="21"/>
                <w:szCs w:val="21"/>
              </w:rPr>
            </w:pPr>
            <w:r>
              <w:rPr>
                <w:rFonts w:hint="eastAsia" w:ascii="仿宋_GB2312" w:hAnsi="宋体" w:cs="宋体"/>
                <w:b/>
                <w:color w:val="000000"/>
                <w:kern w:val="0"/>
                <w:sz w:val="21"/>
                <w:szCs w:val="21"/>
              </w:rPr>
              <w:t>履约情况</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b/>
                <w:color w:val="000000"/>
                <w:kern w:val="0"/>
                <w:sz w:val="21"/>
                <w:szCs w:val="21"/>
              </w:rPr>
            </w:pPr>
            <w:r>
              <w:rPr>
                <w:rFonts w:hint="eastAsia" w:ascii="仿宋_GB2312" w:hAnsi="宋体" w:cs="宋体"/>
                <w:b/>
                <w:color w:val="000000"/>
                <w:kern w:val="0"/>
                <w:sz w:val="21"/>
                <w:szCs w:val="21"/>
              </w:rPr>
              <w:t>评分分值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5"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r>
              <w:rPr>
                <w:rFonts w:hint="eastAsia" w:ascii="仿宋_GB2312" w:hAnsi="宋体" w:cs="宋体"/>
                <w:b/>
                <w:color w:val="000000"/>
                <w:kern w:val="0"/>
                <w:sz w:val="21"/>
                <w:szCs w:val="21"/>
              </w:rPr>
              <w:t>施工合同签订备案情况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*1</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合同签订情况</w:t>
            </w: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right="230" w:rightChars="72"/>
              <w:jc w:val="left"/>
              <w:rPr>
                <w:rFonts w:ascii="仿宋_GB2312" w:hAnsi="宋体" w:cs="宋体"/>
                <w:color w:val="000000"/>
                <w:kern w:val="0"/>
                <w:sz w:val="21"/>
                <w:szCs w:val="21"/>
              </w:rPr>
            </w:pPr>
            <w:r>
              <w:rPr>
                <w:rFonts w:hint="eastAsia" w:ascii="仿宋_GB2312" w:hAnsi="宋体" w:cs="宋体"/>
                <w:color w:val="000000"/>
                <w:kern w:val="0"/>
                <w:sz w:val="21"/>
                <w:szCs w:val="21"/>
              </w:rPr>
              <w:t>另行签订与中标通知书或施工证申办时提供的合同实质性内容相违背的合同或补充协议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一票否决</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7" w:type="dxa"/>
            <w:vMerge w:val="restart"/>
            <w:tcBorders>
              <w:top w:val="single" w:color="auto" w:sz="4" w:space="0"/>
              <w:left w:val="single" w:color="auto" w:sz="4" w:space="0"/>
              <w:right w:val="single" w:color="auto" w:sz="4" w:space="0"/>
            </w:tcBorders>
            <w:vAlign w:val="center"/>
          </w:tcPr>
          <w:p>
            <w:pPr>
              <w:adjustRightInd w:val="0"/>
              <w:snapToGrid w:val="0"/>
              <w:spacing w:line="26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*2</w:t>
            </w:r>
          </w:p>
        </w:tc>
        <w:tc>
          <w:tcPr>
            <w:tcW w:w="2520" w:type="dxa"/>
            <w:vMerge w:val="restart"/>
            <w:tcBorders>
              <w:top w:val="single" w:color="auto" w:sz="4" w:space="0"/>
              <w:left w:val="single" w:color="auto" w:sz="4" w:space="0"/>
              <w:right w:val="single" w:color="auto" w:sz="4" w:space="0"/>
            </w:tcBorders>
            <w:vAlign w:val="center"/>
          </w:tcPr>
          <w:p>
            <w:pPr>
              <w:adjustRightInd w:val="0"/>
              <w:snapToGrid w:val="0"/>
              <w:spacing w:line="26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项目分包、转包情况</w:t>
            </w: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（1）将其承包的全部工程转包给第三人</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仿宋_GB2312" w:hAnsi="宋体" w:cs="宋体"/>
                <w:color w:val="000000"/>
                <w:kern w:val="0"/>
                <w:sz w:val="21"/>
                <w:szCs w:val="21"/>
              </w:rPr>
            </w:pPr>
            <w:r>
              <w:rPr>
                <w:rFonts w:hint="eastAsia" w:ascii="仿宋_GB2312" w:hAnsi="宋体" w:cs="宋体"/>
                <w:color w:val="000000"/>
                <w:kern w:val="0"/>
                <w:sz w:val="21"/>
                <w:szCs w:val="21"/>
              </w:rPr>
              <w:t>一票否决</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7" w:type="dxa"/>
            <w:vMerge w:val="continue"/>
            <w:tcBorders>
              <w:left w:val="single" w:color="auto" w:sz="4" w:space="0"/>
              <w:right w:val="single" w:color="auto" w:sz="4" w:space="0"/>
            </w:tcBorders>
            <w:vAlign w:val="center"/>
          </w:tcPr>
          <w:p>
            <w:pPr>
              <w:adjustRightInd w:val="0"/>
              <w:snapToGrid w:val="0"/>
              <w:spacing w:line="260" w:lineRule="exact"/>
              <w:jc w:val="center"/>
              <w:rPr>
                <w:rFonts w:ascii="仿宋_GB2312" w:hAnsi="宋体" w:cs="宋体"/>
                <w:color w:val="000000"/>
                <w:kern w:val="0"/>
                <w:sz w:val="21"/>
                <w:szCs w:val="21"/>
              </w:rPr>
            </w:pPr>
          </w:p>
        </w:tc>
        <w:tc>
          <w:tcPr>
            <w:tcW w:w="2520" w:type="dxa"/>
            <w:vMerge w:val="continue"/>
            <w:tcBorders>
              <w:left w:val="single" w:color="auto" w:sz="4" w:space="0"/>
              <w:right w:val="single" w:color="auto" w:sz="4" w:space="0"/>
            </w:tcBorders>
            <w:vAlign w:val="center"/>
          </w:tcPr>
          <w:p>
            <w:pPr>
              <w:adjustRightInd w:val="0"/>
              <w:snapToGrid w:val="0"/>
              <w:spacing w:line="260" w:lineRule="exact"/>
              <w:jc w:val="center"/>
              <w:rPr>
                <w:rFonts w:ascii="仿宋_GB2312" w:hAnsi="宋体" w:cs="宋体"/>
                <w:color w:val="000000"/>
                <w:kern w:val="0"/>
                <w:sz w:val="21"/>
                <w:szCs w:val="21"/>
              </w:rPr>
            </w:pP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（2）将其承包的全部工程肢解以后以分包的名义转包给第三人</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仿宋_GB2312" w:hAnsi="宋体" w:cs="宋体"/>
                <w:color w:val="000000"/>
                <w:kern w:val="0"/>
                <w:sz w:val="21"/>
                <w:szCs w:val="21"/>
              </w:rPr>
            </w:pPr>
            <w:r>
              <w:rPr>
                <w:rFonts w:hint="eastAsia" w:ascii="仿宋_GB2312" w:hAnsi="宋体" w:cs="宋体"/>
                <w:color w:val="000000"/>
                <w:kern w:val="0"/>
                <w:sz w:val="21"/>
                <w:szCs w:val="21"/>
              </w:rPr>
              <w:t>一票否决</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7" w:type="dxa"/>
            <w:vMerge w:val="continue"/>
            <w:tcBorders>
              <w:left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p>
        </w:tc>
        <w:tc>
          <w:tcPr>
            <w:tcW w:w="2520" w:type="dxa"/>
            <w:vMerge w:val="continue"/>
            <w:tcBorders>
              <w:left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（3）将工程主体结构（钢结构除外）、关键性工作及专用合同条款中禁止分包的专业工程分包给第三人</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一票否决</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right="4605" w:rightChars="1439"/>
              <w:jc w:val="center"/>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5"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firstLine="7273" w:firstLineChars="3450"/>
              <w:rPr>
                <w:rFonts w:ascii="仿宋_GB2312" w:hAnsi="宋体" w:cs="宋体"/>
                <w:color w:val="000000"/>
                <w:kern w:val="0"/>
                <w:sz w:val="21"/>
                <w:szCs w:val="21"/>
              </w:rPr>
            </w:pPr>
            <w:r>
              <w:rPr>
                <w:rFonts w:hint="eastAsia" w:ascii="仿宋_GB2312" w:hAnsi="宋体" w:cs="宋体"/>
                <w:b/>
                <w:color w:val="000000"/>
                <w:kern w:val="0"/>
                <w:sz w:val="21"/>
                <w:szCs w:val="21"/>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7" w:type="dxa"/>
            <w:vMerge w:val="restart"/>
            <w:tcBorders>
              <w:top w:val="single" w:color="auto" w:sz="4" w:space="0"/>
              <w:left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3</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人员情况</w:t>
            </w: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left"/>
              <w:rPr>
                <w:rFonts w:ascii="仿宋_GB2312" w:hAnsi="宋体" w:cs="宋体"/>
                <w:b/>
                <w:color w:val="000000"/>
                <w:kern w:val="0"/>
                <w:sz w:val="21"/>
                <w:szCs w:val="21"/>
              </w:rPr>
            </w:pPr>
            <w:r>
              <w:rPr>
                <w:rFonts w:hint="eastAsia" w:ascii="仿宋_GB2312" w:hAnsi="宋体" w:cs="宋体"/>
                <w:color w:val="000000"/>
                <w:kern w:val="0"/>
                <w:sz w:val="21"/>
                <w:szCs w:val="21"/>
              </w:rPr>
              <w:t>（1）项目经理与合同约定一致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firstLine="210" w:firstLineChars="100"/>
              <w:jc w:val="both"/>
              <w:rPr>
                <w:rFonts w:ascii="仿宋_GB2312" w:hAnsi="宋体" w:cs="宋体"/>
                <w:b/>
                <w:color w:val="000000"/>
                <w:kern w:val="0"/>
                <w:sz w:val="21"/>
                <w:szCs w:val="21"/>
              </w:rPr>
            </w:pPr>
            <w:r>
              <w:rPr>
                <w:rFonts w:hint="eastAsia" w:ascii="仿宋_GB2312" w:hAnsi="宋体" w:cs="宋体"/>
                <w:color w:val="000000"/>
                <w:kern w:val="0"/>
                <w:sz w:val="21"/>
                <w:szCs w:val="21"/>
              </w:rPr>
              <w:t>10分</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b/>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firstLine="7273" w:firstLineChars="3450"/>
              <w:jc w:val="center"/>
              <w:rPr>
                <w:rFonts w:ascii="仿宋_GB2312" w:hAnsi="宋体" w:cs="宋体"/>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7" w:type="dxa"/>
            <w:vMerge w:val="continue"/>
            <w:tcBorders>
              <w:left w:val="single" w:color="auto" w:sz="4" w:space="0"/>
              <w:right w:val="single" w:color="auto" w:sz="4" w:space="0"/>
            </w:tcBorders>
            <w:vAlign w:val="center"/>
          </w:tcPr>
          <w:p>
            <w:pPr>
              <w:adjustRightInd w:val="0"/>
              <w:snapToGrid w:val="0"/>
              <w:spacing w:line="260" w:lineRule="exact"/>
              <w:ind w:firstLine="105" w:firstLineChars="50"/>
              <w:jc w:val="center"/>
              <w:rPr>
                <w:rFonts w:ascii="仿宋_GB2312" w:hAnsi="宋体" w:cs="宋体"/>
                <w:color w:val="000000"/>
                <w:kern w:val="0"/>
                <w:sz w:val="21"/>
                <w:szCs w:val="21"/>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cs="宋体"/>
                <w:color w:val="000000"/>
                <w:kern w:val="0"/>
                <w:sz w:val="21"/>
                <w:szCs w:val="21"/>
              </w:rPr>
            </w:pP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left"/>
              <w:rPr>
                <w:rFonts w:ascii="仿宋_GB2312" w:hAnsi="宋体" w:cs="宋体"/>
                <w:b/>
                <w:color w:val="000000"/>
                <w:kern w:val="0"/>
                <w:sz w:val="21"/>
                <w:szCs w:val="21"/>
              </w:rPr>
            </w:pPr>
            <w:r>
              <w:rPr>
                <w:rFonts w:hint="eastAsia" w:ascii="仿宋_GB2312" w:hAnsi="宋体" w:cs="宋体"/>
                <w:color w:val="000000"/>
                <w:kern w:val="0"/>
                <w:sz w:val="21"/>
                <w:szCs w:val="21"/>
              </w:rPr>
              <w:t>（2）项目经理到位率与合同约定一致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firstLine="210" w:firstLineChars="100"/>
              <w:jc w:val="both"/>
              <w:rPr>
                <w:rFonts w:ascii="仿宋_GB2312" w:hAnsi="宋体" w:cs="宋体"/>
                <w:b/>
                <w:color w:val="000000"/>
                <w:kern w:val="0"/>
                <w:sz w:val="21"/>
                <w:szCs w:val="21"/>
              </w:rPr>
            </w:pPr>
            <w:r>
              <w:rPr>
                <w:rFonts w:hint="eastAsia" w:ascii="仿宋_GB2312" w:hAnsi="宋体" w:cs="宋体"/>
                <w:color w:val="000000"/>
                <w:kern w:val="0"/>
                <w:sz w:val="21"/>
                <w:szCs w:val="21"/>
              </w:rPr>
              <w:t>10分</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b/>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firstLine="7273" w:firstLineChars="3450"/>
              <w:jc w:val="center"/>
              <w:rPr>
                <w:rFonts w:ascii="仿宋_GB2312" w:hAnsi="宋体" w:cs="宋体"/>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7" w:type="dxa"/>
            <w:vMerge w:val="continue"/>
            <w:tcBorders>
              <w:left w:val="single" w:color="auto" w:sz="4" w:space="0"/>
              <w:right w:val="single" w:color="auto" w:sz="4" w:space="0"/>
            </w:tcBorders>
            <w:vAlign w:val="center"/>
          </w:tcPr>
          <w:p>
            <w:pPr>
              <w:adjustRightInd w:val="0"/>
              <w:snapToGrid w:val="0"/>
              <w:spacing w:line="260" w:lineRule="exact"/>
              <w:ind w:firstLine="105" w:firstLineChars="50"/>
              <w:jc w:val="center"/>
              <w:rPr>
                <w:rFonts w:ascii="仿宋_GB2312" w:hAnsi="宋体" w:cs="宋体"/>
                <w:color w:val="000000"/>
                <w:kern w:val="0"/>
                <w:sz w:val="21"/>
                <w:szCs w:val="21"/>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cs="宋体"/>
                <w:color w:val="000000"/>
                <w:kern w:val="0"/>
                <w:sz w:val="21"/>
                <w:szCs w:val="21"/>
              </w:rPr>
            </w:pP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（3）项目经理按照合同约定签署技术经济文件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5分</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firstLine="7273" w:firstLineChars="3450"/>
              <w:jc w:val="center"/>
              <w:rPr>
                <w:rFonts w:ascii="仿宋_GB2312" w:hAnsi="宋体" w:cs="宋体"/>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7"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60" w:lineRule="exact"/>
              <w:ind w:firstLine="105" w:firstLineChars="50"/>
              <w:jc w:val="center"/>
              <w:rPr>
                <w:rFonts w:ascii="仿宋_GB2312" w:hAnsi="宋体" w:cs="宋体"/>
                <w:color w:val="000000"/>
                <w:kern w:val="0"/>
                <w:sz w:val="21"/>
                <w:szCs w:val="21"/>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cs="宋体"/>
                <w:color w:val="000000"/>
                <w:kern w:val="0"/>
                <w:sz w:val="21"/>
                <w:szCs w:val="21"/>
              </w:rPr>
            </w:pP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（4）项目部主要施工管理人员与合同约定一致且到位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5分</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firstLine="7273" w:firstLineChars="3450"/>
              <w:jc w:val="center"/>
              <w:rPr>
                <w:rFonts w:ascii="仿宋_GB2312" w:hAnsi="宋体" w:cs="宋体"/>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5"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firstLine="7273" w:firstLineChars="3450"/>
              <w:rPr>
                <w:rFonts w:ascii="仿宋_GB2312" w:hAnsi="宋体" w:cs="宋体"/>
                <w:b/>
                <w:color w:val="000000"/>
                <w:kern w:val="0"/>
                <w:sz w:val="21"/>
                <w:szCs w:val="21"/>
              </w:rPr>
            </w:pPr>
            <w:r>
              <w:rPr>
                <w:rFonts w:hint="eastAsia" w:ascii="仿宋_GB2312" w:hAnsi="宋体" w:cs="宋体"/>
                <w:b/>
                <w:color w:val="000000"/>
                <w:kern w:val="0"/>
                <w:sz w:val="21"/>
                <w:szCs w:val="21"/>
              </w:rPr>
              <w:t>施工机械设备到位情况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b/>
                <w:color w:val="000000"/>
                <w:kern w:val="0"/>
                <w:sz w:val="21"/>
                <w:szCs w:val="21"/>
              </w:rPr>
            </w:pPr>
            <w:r>
              <w:rPr>
                <w:rFonts w:hint="eastAsia" w:ascii="仿宋_GB2312" w:hAnsi="宋体" w:cs="宋体"/>
                <w:color w:val="000000"/>
                <w:kern w:val="0"/>
                <w:sz w:val="21"/>
                <w:szCs w:val="21"/>
              </w:rPr>
              <w:t>4</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b/>
                <w:color w:val="000000"/>
                <w:kern w:val="0"/>
                <w:sz w:val="21"/>
                <w:szCs w:val="21"/>
              </w:rPr>
            </w:pPr>
            <w:r>
              <w:rPr>
                <w:rFonts w:hint="eastAsia" w:ascii="仿宋_GB2312" w:hAnsi="宋体" w:cs="宋体"/>
                <w:color w:val="000000"/>
                <w:kern w:val="0"/>
                <w:sz w:val="21"/>
                <w:szCs w:val="21"/>
              </w:rPr>
              <w:t>施工机械到位情况</w:t>
            </w: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left"/>
              <w:rPr>
                <w:rFonts w:ascii="仿宋_GB2312" w:hAnsi="宋体" w:cs="宋体"/>
                <w:b/>
                <w:color w:val="000000"/>
                <w:kern w:val="0"/>
                <w:sz w:val="21"/>
                <w:szCs w:val="21"/>
              </w:rPr>
            </w:pPr>
            <w:r>
              <w:rPr>
                <w:rFonts w:hint="eastAsia" w:ascii="仿宋_GB2312" w:hAnsi="宋体" w:cs="宋体"/>
                <w:color w:val="000000"/>
                <w:kern w:val="0"/>
                <w:sz w:val="21"/>
                <w:szCs w:val="21"/>
              </w:rPr>
              <w:t>工程施工所需的机械设备按照合同约定到位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firstLine="210" w:firstLineChars="100"/>
              <w:jc w:val="both"/>
              <w:rPr>
                <w:rFonts w:ascii="仿宋_GB2312" w:hAnsi="宋体" w:cs="宋体"/>
                <w:b/>
                <w:color w:val="000000"/>
                <w:kern w:val="0"/>
                <w:sz w:val="21"/>
                <w:szCs w:val="21"/>
              </w:rPr>
            </w:pPr>
            <w:r>
              <w:rPr>
                <w:rFonts w:hint="eastAsia" w:ascii="仿宋_GB2312" w:hAnsi="宋体" w:cs="宋体"/>
                <w:color w:val="000000"/>
                <w:kern w:val="0"/>
                <w:sz w:val="21"/>
                <w:szCs w:val="21"/>
              </w:rPr>
              <w:t>5分</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b/>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5"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firstLine="7273" w:firstLineChars="3450"/>
              <w:rPr>
                <w:rFonts w:ascii="仿宋_GB2312" w:hAnsi="宋体" w:cs="宋体"/>
                <w:b/>
                <w:color w:val="000000"/>
                <w:kern w:val="0"/>
                <w:sz w:val="21"/>
                <w:szCs w:val="21"/>
              </w:rPr>
            </w:pPr>
            <w:r>
              <w:rPr>
                <w:rFonts w:hint="eastAsia" w:ascii="仿宋_GB2312" w:hAnsi="宋体" w:cs="宋体"/>
                <w:b/>
                <w:color w:val="000000"/>
                <w:kern w:val="0"/>
                <w:sz w:val="21"/>
                <w:szCs w:val="21"/>
              </w:rPr>
              <w:t>价款结算情况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5</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left="-160" w:leftChars="-50" w:right="-160" w:rightChars="-50"/>
              <w:jc w:val="center"/>
              <w:rPr>
                <w:rFonts w:ascii="仿宋_GB2312" w:hAnsi="宋体" w:cs="宋体"/>
                <w:color w:val="000000"/>
                <w:kern w:val="0"/>
                <w:sz w:val="21"/>
                <w:szCs w:val="21"/>
              </w:rPr>
            </w:pPr>
            <w:r>
              <w:rPr>
                <w:rFonts w:hint="eastAsia" w:ascii="仿宋_GB2312" w:hAnsi="宋体" w:cs="宋体"/>
                <w:color w:val="000000"/>
                <w:kern w:val="0"/>
                <w:sz w:val="21"/>
                <w:szCs w:val="21"/>
              </w:rPr>
              <w:t>安全文明施工费使用情况</w:t>
            </w: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firstLine="105" w:firstLineChars="50"/>
              <w:jc w:val="left"/>
              <w:rPr>
                <w:rFonts w:ascii="仿宋_GB2312" w:hAnsi="宋体" w:cs="宋体"/>
                <w:color w:val="000000"/>
                <w:kern w:val="0"/>
                <w:sz w:val="21"/>
                <w:szCs w:val="21"/>
              </w:rPr>
            </w:pPr>
            <w:r>
              <w:rPr>
                <w:rFonts w:hint="eastAsia" w:ascii="仿宋_GB2312" w:hAnsi="宋体" w:cs="宋体"/>
                <w:color w:val="000000"/>
                <w:kern w:val="0"/>
                <w:sz w:val="21"/>
                <w:szCs w:val="21"/>
              </w:rPr>
              <w:t>安全文明施工费在财务账户中单独列项、专款专用</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10分</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6</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工程计量情况</w:t>
            </w: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firstLine="105" w:firstLineChars="50"/>
              <w:jc w:val="left"/>
              <w:rPr>
                <w:rFonts w:ascii="仿宋_GB2312" w:hAnsi="宋体" w:cs="宋体"/>
                <w:color w:val="000000"/>
                <w:kern w:val="0"/>
                <w:sz w:val="21"/>
                <w:szCs w:val="21"/>
              </w:rPr>
            </w:pPr>
            <w:r>
              <w:rPr>
                <w:rFonts w:hint="eastAsia" w:ascii="仿宋_GB2312" w:hAnsi="宋体" w:cs="宋体"/>
                <w:color w:val="000000"/>
                <w:kern w:val="0"/>
                <w:sz w:val="21"/>
                <w:szCs w:val="21"/>
              </w:rPr>
              <w:t>按照合同要求编制工程进度付款申请单</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2分</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215"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ind w:left="293" w:hanging="293" w:hangingChars="139"/>
              <w:jc w:val="center"/>
              <w:rPr>
                <w:rFonts w:ascii="仿宋_GB2312" w:hAnsi="宋体" w:cs="宋体"/>
                <w:color w:val="000000"/>
                <w:kern w:val="0"/>
                <w:sz w:val="21"/>
                <w:szCs w:val="21"/>
              </w:rPr>
            </w:pPr>
            <w:r>
              <w:rPr>
                <w:rFonts w:hint="eastAsia" w:ascii="仿宋_GB2312" w:hAnsi="宋体" w:cs="宋体"/>
                <w:b/>
                <w:color w:val="000000"/>
                <w:kern w:val="0"/>
                <w:sz w:val="21"/>
                <w:szCs w:val="21"/>
              </w:rPr>
              <w:t>工程变更情况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7</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工程变更情况</w:t>
            </w: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按照合同约定进行价格调整申报</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2分</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tabs>
                <w:tab w:val="left" w:pos="1266"/>
              </w:tabs>
              <w:adjustRightInd w:val="0"/>
              <w:snapToGrid w:val="0"/>
              <w:spacing w:line="270" w:lineRule="exact"/>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215"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r>
              <w:rPr>
                <w:rFonts w:hint="eastAsia" w:ascii="仿宋_GB2312" w:hAnsi="宋体" w:cs="宋体"/>
                <w:b/>
                <w:color w:val="000000"/>
                <w:kern w:val="0"/>
                <w:sz w:val="21"/>
                <w:szCs w:val="21"/>
              </w:rPr>
              <w:t>合同工期执行情况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8</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施工进度计划制定情况</w:t>
            </w: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按合同要求制定和修订施工进度计划</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2分</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△9</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工期延误情况</w:t>
            </w: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承包人原因导致工期延误的，制定赶工措施</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2分</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215"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r>
              <w:rPr>
                <w:rFonts w:hint="eastAsia" w:ascii="仿宋_GB2312" w:hAnsi="宋体" w:cs="宋体"/>
                <w:b/>
                <w:color w:val="000000"/>
                <w:kern w:val="0"/>
                <w:sz w:val="21"/>
                <w:szCs w:val="21"/>
              </w:rPr>
              <w:t>民工工资保障情况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10</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民工工资分帐制实施情况</w:t>
            </w:r>
          </w:p>
        </w:tc>
        <w:tc>
          <w:tcPr>
            <w:tcW w:w="60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民工工资分帐协议签订及实施情况</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7分</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11</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民工工资支付情况</w:t>
            </w: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未发生因民工工资被拖欠造成集访、群访或群体性事件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10分</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215"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jc w:val="center"/>
              <w:rPr>
                <w:rFonts w:ascii="仿宋_GB2312" w:hAnsi="宋体" w:cs="宋体"/>
                <w:color w:val="000000"/>
                <w:kern w:val="0"/>
                <w:sz w:val="21"/>
                <w:szCs w:val="21"/>
              </w:rPr>
            </w:pPr>
            <w:r>
              <w:rPr>
                <w:rFonts w:hint="eastAsia" w:ascii="仿宋_GB2312" w:hAnsi="宋体" w:cs="宋体"/>
                <w:b/>
                <w:color w:val="000000"/>
                <w:kern w:val="0"/>
                <w:sz w:val="21"/>
                <w:szCs w:val="21"/>
              </w:rPr>
              <w:t>其他履约评价情况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12</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0" w:lineRule="exact"/>
              <w:ind w:firstLine="105" w:firstLineChars="50"/>
              <w:jc w:val="center"/>
              <w:rPr>
                <w:rFonts w:ascii="仿宋_GB2312" w:hAnsi="宋体" w:cs="宋体"/>
                <w:color w:val="000000"/>
                <w:kern w:val="0"/>
                <w:sz w:val="21"/>
                <w:szCs w:val="21"/>
              </w:rPr>
            </w:pPr>
            <w:r>
              <w:rPr>
                <w:rFonts w:hint="eastAsia" w:ascii="仿宋_GB2312" w:hAnsi="宋体" w:cs="宋体"/>
                <w:color w:val="000000"/>
                <w:kern w:val="0"/>
                <w:sz w:val="21"/>
                <w:szCs w:val="21"/>
              </w:rPr>
              <w:t>管理制度制定情况</w:t>
            </w: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*（1）因承包人原因发生质量安全事故</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一票否决</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tabs>
                <w:tab w:val="left" w:pos="1296"/>
              </w:tabs>
              <w:adjustRightInd w:val="0"/>
              <w:snapToGrid w:val="0"/>
              <w:spacing w:line="240" w:lineRule="exact"/>
              <w:ind w:firstLine="105" w:firstLineChars="50"/>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105" w:firstLineChars="50"/>
              <w:jc w:val="center"/>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仿宋_GB2312" w:hAnsi="宋体" w:cs="宋体"/>
                <w:color w:val="000000"/>
                <w:kern w:val="0"/>
                <w:sz w:val="21"/>
                <w:szCs w:val="21"/>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仿宋_GB2312" w:hAnsi="宋体" w:cs="宋体"/>
                <w:color w:val="000000"/>
                <w:kern w:val="0"/>
                <w:sz w:val="21"/>
                <w:szCs w:val="21"/>
              </w:rPr>
            </w:pP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（2）建立施工合同管理制度，明确合同管理机构和设置合同管理人员</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2分</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105" w:firstLineChars="50"/>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105" w:firstLineChars="50"/>
              <w:jc w:val="center"/>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仿宋_GB2312" w:hAnsi="宋体" w:cs="宋体"/>
                <w:color w:val="000000"/>
                <w:kern w:val="0"/>
                <w:sz w:val="21"/>
                <w:szCs w:val="21"/>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仿宋_GB2312" w:hAnsi="宋体" w:cs="宋体"/>
                <w:color w:val="000000"/>
                <w:kern w:val="0"/>
                <w:sz w:val="21"/>
                <w:szCs w:val="21"/>
              </w:rPr>
            </w:pP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（3）按规定建立质量保证体系</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3分</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105" w:firstLineChars="50"/>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105" w:firstLineChars="50"/>
              <w:jc w:val="center"/>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仿宋_GB2312" w:hAnsi="宋体" w:cs="宋体"/>
                <w:color w:val="000000"/>
                <w:kern w:val="0"/>
                <w:sz w:val="21"/>
                <w:szCs w:val="21"/>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仿宋_GB2312" w:hAnsi="宋体" w:cs="宋体"/>
                <w:color w:val="000000"/>
                <w:kern w:val="0"/>
                <w:sz w:val="21"/>
                <w:szCs w:val="21"/>
              </w:rPr>
            </w:pP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（4）按规定建立安全文明标化工地实施方案</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3分</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105" w:firstLineChars="50"/>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105" w:firstLineChars="50"/>
              <w:jc w:val="center"/>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13</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其他履约评价情况</w:t>
            </w: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（1）按照合同约定实施合同文件收发联络制度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2分</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105" w:firstLineChars="50"/>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105" w:firstLineChars="50"/>
              <w:jc w:val="center"/>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仿宋_GB2312" w:hAnsi="宋体" w:cs="宋体"/>
                <w:color w:val="000000"/>
                <w:kern w:val="0"/>
                <w:sz w:val="21"/>
                <w:szCs w:val="21"/>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仿宋_GB2312" w:hAnsi="宋体" w:cs="宋体"/>
                <w:color w:val="000000"/>
                <w:kern w:val="0"/>
                <w:sz w:val="21"/>
                <w:szCs w:val="21"/>
              </w:rPr>
            </w:pP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（2）不存在提供虚假信息、隐瞒实情的现象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仿宋_GB2312" w:hAnsi="宋体" w:cs="宋体"/>
                <w:color w:val="000000"/>
                <w:kern w:val="0"/>
                <w:sz w:val="21"/>
                <w:szCs w:val="21"/>
              </w:rPr>
            </w:pPr>
            <w:r>
              <w:rPr>
                <w:rFonts w:hint="eastAsia" w:ascii="仿宋_GB2312" w:hAnsi="宋体" w:cs="宋体"/>
                <w:color w:val="000000"/>
                <w:kern w:val="0"/>
                <w:sz w:val="21"/>
                <w:szCs w:val="21"/>
              </w:rPr>
              <w:t>10分</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105" w:firstLineChars="50"/>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105" w:firstLineChars="50"/>
              <w:jc w:val="center"/>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仿宋_GB2312" w:hAnsi="宋体" w:cs="宋体"/>
                <w:color w:val="000000"/>
                <w:kern w:val="0"/>
                <w:sz w:val="21"/>
                <w:szCs w:val="21"/>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仿宋_GB2312" w:hAnsi="宋体" w:cs="宋体"/>
                <w:color w:val="000000"/>
                <w:kern w:val="0"/>
                <w:sz w:val="21"/>
                <w:szCs w:val="21"/>
              </w:rPr>
            </w:pPr>
          </w:p>
        </w:tc>
        <w:tc>
          <w:tcPr>
            <w:tcW w:w="60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仿宋_GB2312" w:hAnsi="宋体" w:cs="宋体"/>
                <w:color w:val="000000"/>
                <w:kern w:val="0"/>
                <w:sz w:val="21"/>
                <w:szCs w:val="21"/>
              </w:rPr>
            </w:pPr>
            <w:r>
              <w:rPr>
                <w:rFonts w:hint="eastAsia" w:ascii="仿宋_GB2312" w:hAnsi="宋体" w:cs="宋体"/>
                <w:color w:val="000000"/>
                <w:kern w:val="0"/>
                <w:sz w:val="21"/>
                <w:szCs w:val="21"/>
              </w:rPr>
              <w:t>（3）不存在现场检查后拒不改正的现象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0" w:firstLineChars="0"/>
              <w:jc w:val="center"/>
              <w:rPr>
                <w:rFonts w:ascii="仿宋_GB2312" w:hAnsi="宋体" w:cs="宋体"/>
                <w:color w:val="000000"/>
                <w:kern w:val="0"/>
                <w:sz w:val="21"/>
                <w:szCs w:val="21"/>
              </w:rPr>
            </w:pPr>
            <w:r>
              <w:rPr>
                <w:rFonts w:hint="eastAsia" w:ascii="仿宋_GB2312" w:hAnsi="宋体" w:cs="宋体"/>
                <w:color w:val="000000"/>
                <w:kern w:val="0"/>
                <w:sz w:val="21"/>
                <w:szCs w:val="21"/>
              </w:rPr>
              <w:t>10分</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105" w:firstLineChars="50"/>
              <w:jc w:val="center"/>
              <w:rPr>
                <w:rFonts w:ascii="仿宋_GB2312" w:hAnsi="宋体" w:cs="宋体"/>
                <w:color w:val="000000"/>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ind w:firstLine="105" w:firstLineChars="50"/>
              <w:jc w:val="center"/>
              <w:rPr>
                <w:rFonts w:ascii="仿宋_GB2312"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215"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ind w:firstLine="105" w:firstLineChars="50"/>
              <w:rPr>
                <w:rFonts w:ascii="仿宋_GB2312" w:hAnsi="宋体" w:cs="宋体"/>
                <w:color w:val="000000"/>
                <w:kern w:val="0"/>
                <w:sz w:val="21"/>
                <w:szCs w:val="21"/>
              </w:rPr>
            </w:pPr>
            <w:r>
              <w:rPr>
                <w:rFonts w:hint="eastAsia" w:ascii="仿宋_GB2312" w:hAnsi="宋体" w:cs="宋体"/>
                <w:color w:val="000000"/>
                <w:kern w:val="0"/>
                <w:sz w:val="21"/>
                <w:szCs w:val="21"/>
              </w:rPr>
              <w:t xml:space="preserve">评价分汇总：1）一票否决情况：                                                  2）评分分值汇总：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215"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rPr>
                <w:rFonts w:ascii="仿宋_GB2312" w:hAnsi="宋体" w:cs="宋体"/>
                <w:color w:val="000000"/>
                <w:kern w:val="0"/>
                <w:sz w:val="21"/>
                <w:szCs w:val="21"/>
              </w:rPr>
            </w:pPr>
            <w:r>
              <w:rPr>
                <w:rFonts w:hint="eastAsia" w:ascii="仿宋_GB2312" w:hAnsi="宋体" w:cs="宋体"/>
                <w:color w:val="000000"/>
                <w:kern w:val="0"/>
                <w:sz w:val="21"/>
                <w:szCs w:val="21"/>
              </w:rPr>
              <w:t>备注：〔应说明本评价为在建评价或竣工评价〕</w:t>
            </w:r>
          </w:p>
        </w:tc>
      </w:tr>
    </w:tbl>
    <w:p>
      <w:pPr>
        <w:widowControl/>
        <w:adjustRightInd w:val="0"/>
        <w:snapToGrid w:val="0"/>
        <w:spacing w:line="260" w:lineRule="exact"/>
        <w:jc w:val="left"/>
        <w:rPr>
          <w:rFonts w:ascii="仿宋_GB2312" w:hAnsi="宋体" w:cs="宋体"/>
          <w:color w:val="000000"/>
          <w:kern w:val="0"/>
          <w:sz w:val="18"/>
          <w:szCs w:val="18"/>
        </w:rPr>
      </w:pPr>
      <w:r>
        <w:rPr>
          <w:rFonts w:hint="eastAsia" w:ascii="仿宋_GB2312" w:hAnsi="宋体" w:cs="宋体"/>
          <w:color w:val="000000"/>
          <w:kern w:val="0"/>
          <w:sz w:val="18"/>
          <w:szCs w:val="18"/>
        </w:rPr>
        <w:t xml:space="preserve">建设单位（章）：                                             施工单位（章）：                                     </w:t>
      </w:r>
    </w:p>
    <w:p>
      <w:pPr>
        <w:widowControl/>
        <w:adjustRightInd w:val="0"/>
        <w:snapToGrid w:val="0"/>
        <w:spacing w:line="260" w:lineRule="exact"/>
        <w:jc w:val="left"/>
        <w:rPr>
          <w:rFonts w:ascii="仿宋_GB2312" w:hAnsi="宋体" w:cs="宋体"/>
          <w:color w:val="000000"/>
          <w:kern w:val="0"/>
          <w:sz w:val="18"/>
          <w:szCs w:val="18"/>
        </w:rPr>
      </w:pPr>
      <w:r>
        <w:rPr>
          <w:rFonts w:hint="eastAsia" w:ascii="仿宋_GB2312" w:hAnsi="宋体" w:cs="宋体"/>
          <w:color w:val="000000"/>
          <w:kern w:val="0"/>
          <w:sz w:val="18"/>
          <w:szCs w:val="18"/>
        </w:rPr>
        <w:t xml:space="preserve">建设单位项目负责人（签字）：                                 项目经理（签字）：                                 </w:t>
      </w:r>
    </w:p>
    <w:p>
      <w:pPr>
        <w:widowControl/>
        <w:adjustRightInd w:val="0"/>
        <w:snapToGrid w:val="0"/>
        <w:spacing w:line="260" w:lineRule="exact"/>
        <w:jc w:val="left"/>
        <w:rPr>
          <w:rFonts w:ascii="仿宋_GB2312" w:hAnsi="宋体" w:cs="宋体"/>
          <w:color w:val="000000"/>
          <w:kern w:val="0"/>
          <w:sz w:val="18"/>
          <w:szCs w:val="18"/>
        </w:rPr>
      </w:pPr>
      <w:r>
        <w:rPr>
          <w:rFonts w:hint="eastAsia" w:ascii="仿宋_GB2312" w:hAnsi="宋体" w:cs="宋体"/>
          <w:color w:val="000000"/>
          <w:kern w:val="0"/>
          <w:sz w:val="18"/>
          <w:szCs w:val="18"/>
        </w:rPr>
        <w:t xml:space="preserve">联系电话：                                                   联系电话：                                        </w:t>
      </w:r>
    </w:p>
    <w:p>
      <w:pPr>
        <w:widowControl/>
        <w:adjustRightInd w:val="0"/>
        <w:snapToGrid w:val="0"/>
        <w:spacing w:line="260" w:lineRule="exact"/>
        <w:jc w:val="left"/>
        <w:rPr>
          <w:rFonts w:ascii="仿宋_GB2312" w:hAnsi="宋体" w:cs="宋体"/>
          <w:color w:val="000000"/>
          <w:kern w:val="0"/>
          <w:sz w:val="18"/>
          <w:szCs w:val="18"/>
        </w:rPr>
      </w:pPr>
      <w:r>
        <w:rPr>
          <w:rFonts w:hint="eastAsia" w:ascii="仿宋_GB2312" w:hAnsi="宋体" w:cs="宋体"/>
          <w:color w:val="000000"/>
          <w:kern w:val="0"/>
          <w:sz w:val="18"/>
          <w:szCs w:val="18"/>
        </w:rPr>
        <w:t>附注：1.若该工程不存在评价表中带△号的项目则此项评分按满分计。</w:t>
      </w:r>
    </w:p>
    <w:p>
      <w:pPr>
        <w:widowControl/>
        <w:adjustRightInd w:val="0"/>
        <w:snapToGrid w:val="0"/>
        <w:spacing w:line="260" w:lineRule="exact"/>
        <w:ind w:firstLine="540" w:firstLineChars="300"/>
        <w:jc w:val="left"/>
        <w:rPr>
          <w:rFonts w:ascii="仿宋_GB2312" w:hAnsi="宋体" w:cs="宋体"/>
          <w:color w:val="000000"/>
          <w:kern w:val="0"/>
          <w:sz w:val="18"/>
          <w:szCs w:val="18"/>
        </w:rPr>
      </w:pPr>
      <w:r>
        <w:rPr>
          <w:rFonts w:hint="eastAsia" w:ascii="仿宋_GB2312" w:hAnsi="宋体" w:cs="宋体"/>
          <w:color w:val="000000"/>
          <w:kern w:val="0"/>
          <w:sz w:val="18"/>
          <w:szCs w:val="18"/>
        </w:rPr>
        <w:t>2.本表中具体评价分值为:好：90分以上（含90分）；较好：75～90分（含75分）；一般：60～75分（含60分）；差：60分以下。</w:t>
      </w:r>
    </w:p>
    <w:p>
      <w:pPr>
        <w:widowControl/>
        <w:ind w:firstLine="540" w:firstLineChars="300"/>
        <w:jc w:val="left"/>
        <w:rPr>
          <w:rFonts w:ascii="仿宋" w:hAnsi="仿宋" w:eastAsia="仿宋"/>
          <w:szCs w:val="32"/>
        </w:rPr>
      </w:pPr>
      <w:r>
        <w:rPr>
          <w:rFonts w:hint="eastAsia" w:ascii="仿宋_GB2312" w:hAnsi="宋体" w:cs="宋体"/>
          <w:color w:val="000000"/>
          <w:kern w:val="0"/>
          <w:sz w:val="18"/>
          <w:szCs w:val="18"/>
        </w:rPr>
        <w:t>3.违反评价表中带*号的项目按一票否决直接评价为差。</w:t>
      </w:r>
    </w:p>
    <w:p>
      <w:pPr>
        <w:widowControl/>
        <w:jc w:val="left"/>
        <w:rPr>
          <w:rFonts w:ascii="仿宋" w:hAnsi="仿宋" w:eastAsia="仿宋"/>
          <w:szCs w:val="32"/>
        </w:rPr>
      </w:pPr>
      <w:r>
        <w:rPr>
          <w:rFonts w:ascii="仿宋" w:hAnsi="仿宋" w:eastAsia="仿宋"/>
          <w:szCs w:val="32"/>
        </w:rPr>
        <w:br w:type="page"/>
      </w:r>
    </w:p>
    <w:p>
      <w:pPr>
        <w:pBdr>
          <w:bottom w:val="single" w:color="auto" w:sz="8" w:space="1"/>
        </w:pBdr>
        <w:spacing w:line="840" w:lineRule="exact"/>
        <w:rPr>
          <w:rFonts w:ascii="仿宋" w:hAnsi="仿宋" w:eastAsia="仿宋"/>
          <w:szCs w:val="32"/>
        </w:rPr>
        <w:sectPr>
          <w:pgSz w:w="16840" w:h="11907" w:orient="landscape"/>
          <w:pgMar w:top="1474" w:right="1440" w:bottom="1247" w:left="1701" w:header="851" w:footer="992" w:gutter="57"/>
          <w:cols w:space="425" w:num="1"/>
          <w:docGrid w:linePitch="464" w:charSpace="-834"/>
        </w:sectPr>
      </w:pPr>
    </w:p>
    <w:p>
      <w:pPr>
        <w:pBdr>
          <w:bottom w:val="single" w:color="auto" w:sz="8" w:space="1"/>
        </w:pBdr>
        <w:spacing w:line="840" w:lineRule="exact"/>
        <w:rPr>
          <w:rFonts w:ascii="仿宋" w:hAnsi="仿宋" w:eastAsia="仿宋"/>
          <w:szCs w:val="32"/>
        </w:rPr>
      </w:pPr>
    </w:p>
    <w:p>
      <w:pPr>
        <w:pBdr>
          <w:bottom w:val="single" w:color="auto" w:sz="8" w:space="1"/>
        </w:pBdr>
        <w:spacing w:line="840" w:lineRule="exact"/>
        <w:rPr>
          <w:rFonts w:ascii="仿宋" w:hAnsi="仿宋" w:eastAsia="仿宋"/>
          <w:szCs w:val="32"/>
        </w:rPr>
      </w:pPr>
    </w:p>
    <w:p>
      <w:pPr>
        <w:pBdr>
          <w:bottom w:val="single" w:color="auto" w:sz="8" w:space="1"/>
        </w:pBdr>
        <w:spacing w:line="840" w:lineRule="exact"/>
        <w:rPr>
          <w:rFonts w:ascii="仿宋" w:hAnsi="仿宋" w:eastAsia="仿宋"/>
          <w:szCs w:val="32"/>
        </w:rPr>
      </w:pPr>
    </w:p>
    <w:p>
      <w:pPr>
        <w:pBdr>
          <w:bottom w:val="single" w:color="auto" w:sz="8" w:space="1"/>
        </w:pBdr>
        <w:spacing w:line="840" w:lineRule="exact"/>
        <w:rPr>
          <w:rFonts w:ascii="仿宋" w:hAnsi="仿宋" w:eastAsia="仿宋"/>
          <w:szCs w:val="32"/>
        </w:rPr>
      </w:pPr>
    </w:p>
    <w:p>
      <w:pPr>
        <w:pBdr>
          <w:bottom w:val="single" w:color="auto" w:sz="8" w:space="1"/>
        </w:pBdr>
        <w:spacing w:line="840" w:lineRule="exact"/>
        <w:rPr>
          <w:rFonts w:ascii="仿宋" w:hAnsi="仿宋" w:eastAsia="仿宋"/>
          <w:szCs w:val="32"/>
        </w:rPr>
      </w:pPr>
    </w:p>
    <w:p>
      <w:pPr>
        <w:pBdr>
          <w:bottom w:val="single" w:color="auto" w:sz="8" w:space="1"/>
        </w:pBdr>
        <w:spacing w:line="840" w:lineRule="exact"/>
        <w:rPr>
          <w:rFonts w:ascii="仿宋" w:hAnsi="仿宋" w:eastAsia="仿宋"/>
          <w:szCs w:val="32"/>
        </w:rPr>
      </w:pPr>
    </w:p>
    <w:p>
      <w:pPr>
        <w:pBdr>
          <w:bottom w:val="single" w:color="auto" w:sz="8" w:space="1"/>
        </w:pBdr>
        <w:spacing w:line="840" w:lineRule="exact"/>
        <w:rPr>
          <w:rFonts w:ascii="仿宋" w:hAnsi="仿宋" w:eastAsia="仿宋"/>
          <w:szCs w:val="32"/>
        </w:rPr>
      </w:pPr>
    </w:p>
    <w:p>
      <w:pPr>
        <w:pBdr>
          <w:bottom w:val="single" w:color="auto" w:sz="8" w:space="1"/>
        </w:pBdr>
        <w:spacing w:line="840" w:lineRule="exact"/>
        <w:rPr>
          <w:rFonts w:ascii="仿宋" w:hAnsi="仿宋" w:eastAsia="仿宋"/>
          <w:szCs w:val="32"/>
        </w:rPr>
      </w:pPr>
    </w:p>
    <w:p>
      <w:pPr>
        <w:pBdr>
          <w:bottom w:val="single" w:color="auto" w:sz="8" w:space="1"/>
        </w:pBdr>
        <w:spacing w:line="840" w:lineRule="exact"/>
        <w:rPr>
          <w:rFonts w:ascii="仿宋" w:hAnsi="仿宋" w:eastAsia="仿宋"/>
          <w:szCs w:val="32"/>
        </w:rPr>
      </w:pPr>
    </w:p>
    <w:p>
      <w:pPr>
        <w:pBdr>
          <w:bottom w:val="single" w:color="auto" w:sz="8" w:space="1"/>
        </w:pBdr>
        <w:spacing w:line="840" w:lineRule="exact"/>
        <w:rPr>
          <w:rFonts w:ascii="仿宋" w:hAnsi="仿宋" w:eastAsia="仿宋"/>
          <w:szCs w:val="32"/>
        </w:rPr>
      </w:pPr>
    </w:p>
    <w:p>
      <w:pPr>
        <w:pBdr>
          <w:bottom w:val="single" w:color="auto" w:sz="8" w:space="1"/>
        </w:pBdr>
        <w:spacing w:line="840" w:lineRule="exact"/>
        <w:rPr>
          <w:rFonts w:ascii="仿宋" w:hAnsi="仿宋" w:eastAsia="仿宋"/>
          <w:szCs w:val="32"/>
        </w:rPr>
      </w:pPr>
    </w:p>
    <w:p>
      <w:pPr>
        <w:pBdr>
          <w:bottom w:val="single" w:color="auto" w:sz="8" w:space="1"/>
        </w:pBdr>
        <w:spacing w:line="840" w:lineRule="exact"/>
        <w:rPr>
          <w:rFonts w:ascii="仿宋" w:hAnsi="仿宋" w:eastAsia="仿宋"/>
          <w:szCs w:val="32"/>
        </w:rPr>
      </w:pPr>
    </w:p>
    <w:p>
      <w:pPr>
        <w:pBdr>
          <w:bottom w:val="single" w:color="auto" w:sz="8" w:space="1"/>
        </w:pBdr>
        <w:spacing w:line="840" w:lineRule="exact"/>
        <w:rPr>
          <w:rFonts w:ascii="仿宋" w:hAnsi="仿宋" w:eastAsia="仿宋"/>
          <w:szCs w:val="32"/>
        </w:rPr>
      </w:pPr>
    </w:p>
    <w:p>
      <w:pPr>
        <w:pBdr>
          <w:bottom w:val="single" w:color="auto" w:sz="8" w:space="1"/>
        </w:pBdr>
        <w:spacing w:line="840" w:lineRule="exact"/>
        <w:rPr>
          <w:rFonts w:ascii="仿宋" w:hAnsi="仿宋" w:eastAsia="仿宋"/>
          <w:szCs w:val="32"/>
        </w:rPr>
      </w:pPr>
    </w:p>
    <w:p>
      <w:pPr>
        <w:pBdr>
          <w:bottom w:val="single" w:color="auto" w:sz="8" w:space="1"/>
        </w:pBdr>
        <w:spacing w:line="840" w:lineRule="exact"/>
        <w:rPr>
          <w:rFonts w:ascii="仿宋" w:hAnsi="仿宋" w:eastAsia="仿宋"/>
          <w:szCs w:val="32"/>
        </w:rPr>
      </w:pPr>
    </w:p>
    <w:p>
      <w:pPr>
        <w:pBdr>
          <w:bottom w:val="single" w:color="auto" w:sz="12" w:space="1"/>
        </w:pBdr>
        <w:spacing w:line="640" w:lineRule="exact"/>
        <w:ind w:firstLine="280" w:firstLineChars="100"/>
        <w:rPr>
          <w:rFonts w:ascii="仿宋_GB2312" w:hAnsi="仿宋"/>
          <w:sz w:val="28"/>
          <w:szCs w:val="28"/>
        </w:rPr>
      </w:pPr>
      <w:r>
        <w:rPr>
          <w:rFonts w:hint="eastAsia" w:ascii="仿宋_GB2312" w:hAnsi="仿宋"/>
          <w:sz w:val="28"/>
          <w:szCs w:val="28"/>
        </w:rPr>
        <w:t>湖州市住房和城乡建设局办公室</w:t>
      </w:r>
      <w:r>
        <w:rPr>
          <w:rFonts w:hint="eastAsia" w:ascii="仿宋_GB2312" w:hAnsi="仿宋" w:cs="宋体"/>
          <w:sz w:val="28"/>
          <w:szCs w:val="28"/>
        </w:rPr>
        <w:t xml:space="preserve">　           </w:t>
      </w:r>
      <w:r>
        <w:rPr>
          <w:sz w:val="28"/>
          <w:szCs w:val="28"/>
        </w:rPr>
        <w:t>201</w:t>
      </w:r>
      <w:r>
        <w:rPr>
          <w:rFonts w:hint="eastAsia"/>
          <w:sz w:val="28"/>
          <w:szCs w:val="28"/>
        </w:rPr>
        <w:t>9</w:t>
      </w:r>
      <w:r>
        <w:rPr>
          <w:sz w:val="28"/>
          <w:szCs w:val="28"/>
        </w:rPr>
        <w:t>年</w:t>
      </w:r>
      <w:r>
        <w:rPr>
          <w:rFonts w:hint="eastAsia"/>
          <w:sz w:val="28"/>
          <w:szCs w:val="28"/>
        </w:rPr>
        <w:t>5</w:t>
      </w:r>
      <w:r>
        <w:rPr>
          <w:sz w:val="28"/>
          <w:szCs w:val="28"/>
        </w:rPr>
        <w:t>月</w:t>
      </w:r>
      <w:r>
        <w:rPr>
          <w:rFonts w:hint="eastAsia"/>
          <w:sz w:val="28"/>
          <w:szCs w:val="28"/>
        </w:rPr>
        <w:t>27</w:t>
      </w:r>
      <w:r>
        <w:rPr>
          <w:sz w:val="28"/>
          <w:szCs w:val="28"/>
        </w:rPr>
        <w:t>日</w:t>
      </w:r>
      <w:r>
        <w:rPr>
          <w:rFonts w:hint="eastAsia" w:ascii="仿宋_GB2312" w:hAnsi="仿宋"/>
          <w:sz w:val="28"/>
          <w:szCs w:val="28"/>
        </w:rPr>
        <w:t>印发</w:t>
      </w:r>
    </w:p>
    <w:sectPr>
      <w:pgSz w:w="11907" w:h="16840"/>
      <w:pgMar w:top="1440" w:right="1247" w:bottom="1701" w:left="1474" w:header="851" w:footer="992" w:gutter="57"/>
      <w:cols w:space="425" w:num="1"/>
      <w:docGrid w:linePitch="464"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小标宋">
    <w:altName w:val="黑体"/>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Fonts w:hint="eastAsia"/>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17</w:t>
    </w:r>
    <w:r>
      <w:rPr>
        <w:rStyle w:val="9"/>
        <w:rFonts w:ascii="宋体" w:hAnsi="宋体" w:eastAsia="宋体"/>
        <w:sz w:val="28"/>
        <w:szCs w:val="28"/>
      </w:rPr>
      <w:fldChar w:fldCharType="end"/>
    </w:r>
    <w:r>
      <w:rPr>
        <w:rStyle w:val="9"/>
        <w:rFonts w:hint="eastAsia"/>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ED0"/>
    <w:rsid w:val="00002396"/>
    <w:rsid w:val="00002ADE"/>
    <w:rsid w:val="00006011"/>
    <w:rsid w:val="00006069"/>
    <w:rsid w:val="00006DE7"/>
    <w:rsid w:val="000077AF"/>
    <w:rsid w:val="00011569"/>
    <w:rsid w:val="000128AB"/>
    <w:rsid w:val="00014F48"/>
    <w:rsid w:val="00020BAE"/>
    <w:rsid w:val="00021B83"/>
    <w:rsid w:val="00021FAE"/>
    <w:rsid w:val="00023DC8"/>
    <w:rsid w:val="00025A90"/>
    <w:rsid w:val="00025FD7"/>
    <w:rsid w:val="0002749F"/>
    <w:rsid w:val="000309EA"/>
    <w:rsid w:val="00030D8C"/>
    <w:rsid w:val="0003201B"/>
    <w:rsid w:val="000325EF"/>
    <w:rsid w:val="00033BF4"/>
    <w:rsid w:val="0003420B"/>
    <w:rsid w:val="0003605F"/>
    <w:rsid w:val="0004256A"/>
    <w:rsid w:val="00042A1F"/>
    <w:rsid w:val="00042BA9"/>
    <w:rsid w:val="00043563"/>
    <w:rsid w:val="000436D7"/>
    <w:rsid w:val="00046E5C"/>
    <w:rsid w:val="00047800"/>
    <w:rsid w:val="00050C9D"/>
    <w:rsid w:val="000518EE"/>
    <w:rsid w:val="00056160"/>
    <w:rsid w:val="00056DAB"/>
    <w:rsid w:val="00057F67"/>
    <w:rsid w:val="00061954"/>
    <w:rsid w:val="00063EAD"/>
    <w:rsid w:val="00066308"/>
    <w:rsid w:val="000668BC"/>
    <w:rsid w:val="0007084D"/>
    <w:rsid w:val="0007087B"/>
    <w:rsid w:val="00070938"/>
    <w:rsid w:val="00070ACA"/>
    <w:rsid w:val="000710CA"/>
    <w:rsid w:val="00071A9F"/>
    <w:rsid w:val="0007498C"/>
    <w:rsid w:val="00075269"/>
    <w:rsid w:val="000776D3"/>
    <w:rsid w:val="00082E04"/>
    <w:rsid w:val="00085BB0"/>
    <w:rsid w:val="000901EF"/>
    <w:rsid w:val="00092083"/>
    <w:rsid w:val="0009340A"/>
    <w:rsid w:val="00093622"/>
    <w:rsid w:val="0009391C"/>
    <w:rsid w:val="00096D46"/>
    <w:rsid w:val="00096DD1"/>
    <w:rsid w:val="0009753C"/>
    <w:rsid w:val="000A0ECE"/>
    <w:rsid w:val="000A1A9E"/>
    <w:rsid w:val="000A6179"/>
    <w:rsid w:val="000A6767"/>
    <w:rsid w:val="000A6842"/>
    <w:rsid w:val="000A7BEC"/>
    <w:rsid w:val="000B07A7"/>
    <w:rsid w:val="000B0DF2"/>
    <w:rsid w:val="000B2394"/>
    <w:rsid w:val="000B332E"/>
    <w:rsid w:val="000B50E7"/>
    <w:rsid w:val="000C0751"/>
    <w:rsid w:val="000C168F"/>
    <w:rsid w:val="000C23A4"/>
    <w:rsid w:val="000C2BA6"/>
    <w:rsid w:val="000C4517"/>
    <w:rsid w:val="000C46FD"/>
    <w:rsid w:val="000C5BD2"/>
    <w:rsid w:val="000C703D"/>
    <w:rsid w:val="000D0B6C"/>
    <w:rsid w:val="000D136C"/>
    <w:rsid w:val="000D1824"/>
    <w:rsid w:val="000D1A4B"/>
    <w:rsid w:val="000D248A"/>
    <w:rsid w:val="000D2A2F"/>
    <w:rsid w:val="000D4665"/>
    <w:rsid w:val="000D5488"/>
    <w:rsid w:val="000D65CF"/>
    <w:rsid w:val="000D7D30"/>
    <w:rsid w:val="000D7D60"/>
    <w:rsid w:val="000E10BC"/>
    <w:rsid w:val="000E1600"/>
    <w:rsid w:val="000E1D1D"/>
    <w:rsid w:val="000E2A10"/>
    <w:rsid w:val="000E3C32"/>
    <w:rsid w:val="000E4EB0"/>
    <w:rsid w:val="000E5453"/>
    <w:rsid w:val="000E56A1"/>
    <w:rsid w:val="000E68D1"/>
    <w:rsid w:val="000E6A1C"/>
    <w:rsid w:val="000F0A6E"/>
    <w:rsid w:val="000F1B69"/>
    <w:rsid w:val="000F2FBD"/>
    <w:rsid w:val="000F37AB"/>
    <w:rsid w:val="000F3D57"/>
    <w:rsid w:val="000F5847"/>
    <w:rsid w:val="000F6377"/>
    <w:rsid w:val="000F6628"/>
    <w:rsid w:val="000F67F1"/>
    <w:rsid w:val="000F7EBF"/>
    <w:rsid w:val="0010115A"/>
    <w:rsid w:val="00103D7E"/>
    <w:rsid w:val="00104AC1"/>
    <w:rsid w:val="00105CE6"/>
    <w:rsid w:val="001068A1"/>
    <w:rsid w:val="00106F28"/>
    <w:rsid w:val="00107458"/>
    <w:rsid w:val="001108EC"/>
    <w:rsid w:val="001136EE"/>
    <w:rsid w:val="00114FA7"/>
    <w:rsid w:val="00116D9F"/>
    <w:rsid w:val="00117E3F"/>
    <w:rsid w:val="00120002"/>
    <w:rsid w:val="001204A5"/>
    <w:rsid w:val="0012103D"/>
    <w:rsid w:val="0012273F"/>
    <w:rsid w:val="00122F9B"/>
    <w:rsid w:val="0012420B"/>
    <w:rsid w:val="001261F9"/>
    <w:rsid w:val="001269A3"/>
    <w:rsid w:val="00127595"/>
    <w:rsid w:val="001276DB"/>
    <w:rsid w:val="00131527"/>
    <w:rsid w:val="00131E6A"/>
    <w:rsid w:val="001338CA"/>
    <w:rsid w:val="00136C02"/>
    <w:rsid w:val="0013792D"/>
    <w:rsid w:val="001421F1"/>
    <w:rsid w:val="00145360"/>
    <w:rsid w:val="001457A1"/>
    <w:rsid w:val="001520ED"/>
    <w:rsid w:val="00153135"/>
    <w:rsid w:val="00153C6E"/>
    <w:rsid w:val="00154698"/>
    <w:rsid w:val="001560E8"/>
    <w:rsid w:val="00156534"/>
    <w:rsid w:val="0015662D"/>
    <w:rsid w:val="00157B01"/>
    <w:rsid w:val="00157F8B"/>
    <w:rsid w:val="00161004"/>
    <w:rsid w:val="00161195"/>
    <w:rsid w:val="00161D88"/>
    <w:rsid w:val="00163016"/>
    <w:rsid w:val="0016399B"/>
    <w:rsid w:val="00167D92"/>
    <w:rsid w:val="001714C9"/>
    <w:rsid w:val="0017368A"/>
    <w:rsid w:val="0017443E"/>
    <w:rsid w:val="001756F8"/>
    <w:rsid w:val="00176851"/>
    <w:rsid w:val="00186175"/>
    <w:rsid w:val="00186F8C"/>
    <w:rsid w:val="0018752C"/>
    <w:rsid w:val="00191C33"/>
    <w:rsid w:val="001921F7"/>
    <w:rsid w:val="00194170"/>
    <w:rsid w:val="00194477"/>
    <w:rsid w:val="001950C8"/>
    <w:rsid w:val="00195EE0"/>
    <w:rsid w:val="00196EC6"/>
    <w:rsid w:val="001A0BC3"/>
    <w:rsid w:val="001A5A75"/>
    <w:rsid w:val="001A6431"/>
    <w:rsid w:val="001A7696"/>
    <w:rsid w:val="001B142B"/>
    <w:rsid w:val="001B2AE7"/>
    <w:rsid w:val="001B5C61"/>
    <w:rsid w:val="001B716A"/>
    <w:rsid w:val="001C131F"/>
    <w:rsid w:val="001C2D8E"/>
    <w:rsid w:val="001C33BB"/>
    <w:rsid w:val="001C3843"/>
    <w:rsid w:val="001C4632"/>
    <w:rsid w:val="001C70F1"/>
    <w:rsid w:val="001C75EC"/>
    <w:rsid w:val="001D0057"/>
    <w:rsid w:val="001D1058"/>
    <w:rsid w:val="001D214F"/>
    <w:rsid w:val="001D4154"/>
    <w:rsid w:val="001D4C1E"/>
    <w:rsid w:val="001D541E"/>
    <w:rsid w:val="001D6091"/>
    <w:rsid w:val="001D7319"/>
    <w:rsid w:val="001D79C8"/>
    <w:rsid w:val="001E153B"/>
    <w:rsid w:val="001E18A0"/>
    <w:rsid w:val="001E333F"/>
    <w:rsid w:val="001E3630"/>
    <w:rsid w:val="001E42DD"/>
    <w:rsid w:val="001E6D2D"/>
    <w:rsid w:val="001F040A"/>
    <w:rsid w:val="001F06C7"/>
    <w:rsid w:val="001F182B"/>
    <w:rsid w:val="001F27DB"/>
    <w:rsid w:val="001F3D65"/>
    <w:rsid w:val="001F44C4"/>
    <w:rsid w:val="001F49F7"/>
    <w:rsid w:val="001F5466"/>
    <w:rsid w:val="001F6029"/>
    <w:rsid w:val="001F6E30"/>
    <w:rsid w:val="00200C68"/>
    <w:rsid w:val="002027ED"/>
    <w:rsid w:val="00207FA9"/>
    <w:rsid w:val="00210BE1"/>
    <w:rsid w:val="00210F6D"/>
    <w:rsid w:val="002117D3"/>
    <w:rsid w:val="00215731"/>
    <w:rsid w:val="002217D4"/>
    <w:rsid w:val="00222F74"/>
    <w:rsid w:val="00224AE7"/>
    <w:rsid w:val="00224D58"/>
    <w:rsid w:val="002251EB"/>
    <w:rsid w:val="0022670E"/>
    <w:rsid w:val="002307B3"/>
    <w:rsid w:val="0023182A"/>
    <w:rsid w:val="002323AD"/>
    <w:rsid w:val="00232A4D"/>
    <w:rsid w:val="0023439A"/>
    <w:rsid w:val="00234A16"/>
    <w:rsid w:val="0023783E"/>
    <w:rsid w:val="0024184A"/>
    <w:rsid w:val="002467BF"/>
    <w:rsid w:val="002514A1"/>
    <w:rsid w:val="002542C6"/>
    <w:rsid w:val="00261C8C"/>
    <w:rsid w:val="00265904"/>
    <w:rsid w:val="00267120"/>
    <w:rsid w:val="00267804"/>
    <w:rsid w:val="00270D99"/>
    <w:rsid w:val="00273D23"/>
    <w:rsid w:val="00274F5B"/>
    <w:rsid w:val="0027518A"/>
    <w:rsid w:val="00275C89"/>
    <w:rsid w:val="002807BB"/>
    <w:rsid w:val="0028198E"/>
    <w:rsid w:val="00281E05"/>
    <w:rsid w:val="002824D5"/>
    <w:rsid w:val="0028389B"/>
    <w:rsid w:val="00283EE7"/>
    <w:rsid w:val="00285A70"/>
    <w:rsid w:val="0028626A"/>
    <w:rsid w:val="00286A16"/>
    <w:rsid w:val="00287067"/>
    <w:rsid w:val="00287CBF"/>
    <w:rsid w:val="00290C85"/>
    <w:rsid w:val="00292A72"/>
    <w:rsid w:val="0029317F"/>
    <w:rsid w:val="002959C8"/>
    <w:rsid w:val="00295E0F"/>
    <w:rsid w:val="002964C8"/>
    <w:rsid w:val="002978F7"/>
    <w:rsid w:val="002A1E98"/>
    <w:rsid w:val="002A5EAC"/>
    <w:rsid w:val="002A6CE2"/>
    <w:rsid w:val="002B2DD6"/>
    <w:rsid w:val="002B3886"/>
    <w:rsid w:val="002B3B3B"/>
    <w:rsid w:val="002B589E"/>
    <w:rsid w:val="002B6890"/>
    <w:rsid w:val="002B797A"/>
    <w:rsid w:val="002C0E14"/>
    <w:rsid w:val="002C1ABA"/>
    <w:rsid w:val="002C2ED0"/>
    <w:rsid w:val="002C34DA"/>
    <w:rsid w:val="002C3E48"/>
    <w:rsid w:val="002C5BEC"/>
    <w:rsid w:val="002D10C9"/>
    <w:rsid w:val="002D12C8"/>
    <w:rsid w:val="002D318B"/>
    <w:rsid w:val="002D3741"/>
    <w:rsid w:val="002D69B1"/>
    <w:rsid w:val="002E1836"/>
    <w:rsid w:val="002E1EE8"/>
    <w:rsid w:val="002E3BD6"/>
    <w:rsid w:val="002E43C8"/>
    <w:rsid w:val="002E48B5"/>
    <w:rsid w:val="002E62B8"/>
    <w:rsid w:val="002E751D"/>
    <w:rsid w:val="002F0BED"/>
    <w:rsid w:val="002F1967"/>
    <w:rsid w:val="002F1A8D"/>
    <w:rsid w:val="002F50FA"/>
    <w:rsid w:val="002F6E94"/>
    <w:rsid w:val="00300665"/>
    <w:rsid w:val="00300AD6"/>
    <w:rsid w:val="00301716"/>
    <w:rsid w:val="00302267"/>
    <w:rsid w:val="003039D4"/>
    <w:rsid w:val="00304292"/>
    <w:rsid w:val="00304600"/>
    <w:rsid w:val="00304EB8"/>
    <w:rsid w:val="00305527"/>
    <w:rsid w:val="00311C91"/>
    <w:rsid w:val="00312234"/>
    <w:rsid w:val="00320304"/>
    <w:rsid w:val="00320E82"/>
    <w:rsid w:val="00320EB0"/>
    <w:rsid w:val="003227F3"/>
    <w:rsid w:val="00322BE8"/>
    <w:rsid w:val="00323891"/>
    <w:rsid w:val="00323EA9"/>
    <w:rsid w:val="00325164"/>
    <w:rsid w:val="00325400"/>
    <w:rsid w:val="00325E7A"/>
    <w:rsid w:val="003315A1"/>
    <w:rsid w:val="003325A6"/>
    <w:rsid w:val="003328FC"/>
    <w:rsid w:val="00334AB9"/>
    <w:rsid w:val="00334BD7"/>
    <w:rsid w:val="00336970"/>
    <w:rsid w:val="00336E87"/>
    <w:rsid w:val="00341986"/>
    <w:rsid w:val="00341CA9"/>
    <w:rsid w:val="00343FD0"/>
    <w:rsid w:val="0034556A"/>
    <w:rsid w:val="0034582A"/>
    <w:rsid w:val="00345A39"/>
    <w:rsid w:val="003500E1"/>
    <w:rsid w:val="00355EEC"/>
    <w:rsid w:val="003566AB"/>
    <w:rsid w:val="003577BA"/>
    <w:rsid w:val="00361B41"/>
    <w:rsid w:val="003628AF"/>
    <w:rsid w:val="00362F77"/>
    <w:rsid w:val="0036304F"/>
    <w:rsid w:val="003654FC"/>
    <w:rsid w:val="0037004A"/>
    <w:rsid w:val="003703D7"/>
    <w:rsid w:val="00372B66"/>
    <w:rsid w:val="0037622F"/>
    <w:rsid w:val="003778C5"/>
    <w:rsid w:val="00381824"/>
    <w:rsid w:val="0038188A"/>
    <w:rsid w:val="003825A6"/>
    <w:rsid w:val="003826D5"/>
    <w:rsid w:val="00383500"/>
    <w:rsid w:val="0038442E"/>
    <w:rsid w:val="003865AA"/>
    <w:rsid w:val="0039014D"/>
    <w:rsid w:val="003927D8"/>
    <w:rsid w:val="003938AD"/>
    <w:rsid w:val="00395F27"/>
    <w:rsid w:val="00397A7B"/>
    <w:rsid w:val="003A036F"/>
    <w:rsid w:val="003A0C85"/>
    <w:rsid w:val="003A67E4"/>
    <w:rsid w:val="003A6B52"/>
    <w:rsid w:val="003A6DE9"/>
    <w:rsid w:val="003B030F"/>
    <w:rsid w:val="003B2F13"/>
    <w:rsid w:val="003B4CD7"/>
    <w:rsid w:val="003C0B64"/>
    <w:rsid w:val="003C1623"/>
    <w:rsid w:val="003C5745"/>
    <w:rsid w:val="003C5F95"/>
    <w:rsid w:val="003D36D2"/>
    <w:rsid w:val="003D6137"/>
    <w:rsid w:val="003E23BC"/>
    <w:rsid w:val="003E3218"/>
    <w:rsid w:val="003E4150"/>
    <w:rsid w:val="003E573B"/>
    <w:rsid w:val="003E72DF"/>
    <w:rsid w:val="003F1B3C"/>
    <w:rsid w:val="003F423D"/>
    <w:rsid w:val="003F4DDE"/>
    <w:rsid w:val="003F5E5F"/>
    <w:rsid w:val="003F6871"/>
    <w:rsid w:val="003F756B"/>
    <w:rsid w:val="00400646"/>
    <w:rsid w:val="00400E7B"/>
    <w:rsid w:val="0040143D"/>
    <w:rsid w:val="00401C41"/>
    <w:rsid w:val="00404153"/>
    <w:rsid w:val="0040634D"/>
    <w:rsid w:val="00407255"/>
    <w:rsid w:val="00407F6A"/>
    <w:rsid w:val="00412150"/>
    <w:rsid w:val="00413280"/>
    <w:rsid w:val="00415F8A"/>
    <w:rsid w:val="00416AEA"/>
    <w:rsid w:val="00421561"/>
    <w:rsid w:val="00426F93"/>
    <w:rsid w:val="004279C3"/>
    <w:rsid w:val="00430950"/>
    <w:rsid w:val="004323AD"/>
    <w:rsid w:val="004327BF"/>
    <w:rsid w:val="00433EAE"/>
    <w:rsid w:val="00433FE7"/>
    <w:rsid w:val="00434124"/>
    <w:rsid w:val="004357C1"/>
    <w:rsid w:val="0043636F"/>
    <w:rsid w:val="00441F4C"/>
    <w:rsid w:val="00442671"/>
    <w:rsid w:val="004446C2"/>
    <w:rsid w:val="0044543F"/>
    <w:rsid w:val="0044646E"/>
    <w:rsid w:val="004465D9"/>
    <w:rsid w:val="00450DF0"/>
    <w:rsid w:val="00451F3D"/>
    <w:rsid w:val="00454148"/>
    <w:rsid w:val="00454C80"/>
    <w:rsid w:val="00457705"/>
    <w:rsid w:val="004603C4"/>
    <w:rsid w:val="00461D8B"/>
    <w:rsid w:val="004625A9"/>
    <w:rsid w:val="00462B2F"/>
    <w:rsid w:val="00462C9D"/>
    <w:rsid w:val="00462CB2"/>
    <w:rsid w:val="00471293"/>
    <w:rsid w:val="00471CE6"/>
    <w:rsid w:val="00471F1F"/>
    <w:rsid w:val="00473644"/>
    <w:rsid w:val="00473AC2"/>
    <w:rsid w:val="00474CBE"/>
    <w:rsid w:val="00475B47"/>
    <w:rsid w:val="004766F3"/>
    <w:rsid w:val="00481F68"/>
    <w:rsid w:val="004824D8"/>
    <w:rsid w:val="00482F25"/>
    <w:rsid w:val="00483E33"/>
    <w:rsid w:val="00493B3B"/>
    <w:rsid w:val="00493C7E"/>
    <w:rsid w:val="00494B37"/>
    <w:rsid w:val="004956CF"/>
    <w:rsid w:val="00496C1A"/>
    <w:rsid w:val="004973D1"/>
    <w:rsid w:val="004978C2"/>
    <w:rsid w:val="004A41CA"/>
    <w:rsid w:val="004A4F95"/>
    <w:rsid w:val="004A5FFD"/>
    <w:rsid w:val="004B384A"/>
    <w:rsid w:val="004B625C"/>
    <w:rsid w:val="004B6DEE"/>
    <w:rsid w:val="004C0C35"/>
    <w:rsid w:val="004C1214"/>
    <w:rsid w:val="004C136F"/>
    <w:rsid w:val="004C4260"/>
    <w:rsid w:val="004C6017"/>
    <w:rsid w:val="004C68C8"/>
    <w:rsid w:val="004C7FBB"/>
    <w:rsid w:val="004D007D"/>
    <w:rsid w:val="004D05AF"/>
    <w:rsid w:val="004D2557"/>
    <w:rsid w:val="004D26D7"/>
    <w:rsid w:val="004D352F"/>
    <w:rsid w:val="004D3D93"/>
    <w:rsid w:val="004D6A5D"/>
    <w:rsid w:val="004D729F"/>
    <w:rsid w:val="004D7523"/>
    <w:rsid w:val="004E19CD"/>
    <w:rsid w:val="004E1A6B"/>
    <w:rsid w:val="004E2182"/>
    <w:rsid w:val="004E4609"/>
    <w:rsid w:val="004E6F2B"/>
    <w:rsid w:val="004F45F2"/>
    <w:rsid w:val="004F6E4C"/>
    <w:rsid w:val="004F706A"/>
    <w:rsid w:val="004F765E"/>
    <w:rsid w:val="00500320"/>
    <w:rsid w:val="005009EF"/>
    <w:rsid w:val="00500D58"/>
    <w:rsid w:val="00502F2A"/>
    <w:rsid w:val="0050378B"/>
    <w:rsid w:val="00504610"/>
    <w:rsid w:val="00506626"/>
    <w:rsid w:val="00506DB9"/>
    <w:rsid w:val="005100C0"/>
    <w:rsid w:val="00510771"/>
    <w:rsid w:val="00511413"/>
    <w:rsid w:val="00515150"/>
    <w:rsid w:val="00515C7F"/>
    <w:rsid w:val="0052030F"/>
    <w:rsid w:val="00523F95"/>
    <w:rsid w:val="00525653"/>
    <w:rsid w:val="0052605B"/>
    <w:rsid w:val="005316F3"/>
    <w:rsid w:val="00531C15"/>
    <w:rsid w:val="005323E2"/>
    <w:rsid w:val="005348CC"/>
    <w:rsid w:val="00535B47"/>
    <w:rsid w:val="0053603D"/>
    <w:rsid w:val="00536121"/>
    <w:rsid w:val="00537650"/>
    <w:rsid w:val="00541357"/>
    <w:rsid w:val="0054301B"/>
    <w:rsid w:val="005443C0"/>
    <w:rsid w:val="00544C34"/>
    <w:rsid w:val="00550D26"/>
    <w:rsid w:val="005518AC"/>
    <w:rsid w:val="00553BA2"/>
    <w:rsid w:val="0055528B"/>
    <w:rsid w:val="0055640E"/>
    <w:rsid w:val="005568EC"/>
    <w:rsid w:val="00556DBE"/>
    <w:rsid w:val="00557CC6"/>
    <w:rsid w:val="005600EC"/>
    <w:rsid w:val="00560CED"/>
    <w:rsid w:val="0056461B"/>
    <w:rsid w:val="00565A3E"/>
    <w:rsid w:val="0056692B"/>
    <w:rsid w:val="00566D32"/>
    <w:rsid w:val="00567B3E"/>
    <w:rsid w:val="00571676"/>
    <w:rsid w:val="005742C8"/>
    <w:rsid w:val="00580794"/>
    <w:rsid w:val="00580C55"/>
    <w:rsid w:val="00583EF6"/>
    <w:rsid w:val="00583F61"/>
    <w:rsid w:val="00585156"/>
    <w:rsid w:val="0059595D"/>
    <w:rsid w:val="005A0195"/>
    <w:rsid w:val="005A118B"/>
    <w:rsid w:val="005A56ED"/>
    <w:rsid w:val="005A5FE2"/>
    <w:rsid w:val="005A735A"/>
    <w:rsid w:val="005B19F4"/>
    <w:rsid w:val="005B2945"/>
    <w:rsid w:val="005B3547"/>
    <w:rsid w:val="005B41DE"/>
    <w:rsid w:val="005B4477"/>
    <w:rsid w:val="005B5143"/>
    <w:rsid w:val="005B56BD"/>
    <w:rsid w:val="005B57EF"/>
    <w:rsid w:val="005B6797"/>
    <w:rsid w:val="005C3921"/>
    <w:rsid w:val="005C4831"/>
    <w:rsid w:val="005C6419"/>
    <w:rsid w:val="005C7074"/>
    <w:rsid w:val="005D0341"/>
    <w:rsid w:val="005D1297"/>
    <w:rsid w:val="005D2676"/>
    <w:rsid w:val="005D365D"/>
    <w:rsid w:val="005D773B"/>
    <w:rsid w:val="005D787A"/>
    <w:rsid w:val="005E6F49"/>
    <w:rsid w:val="005F03F7"/>
    <w:rsid w:val="005F0A84"/>
    <w:rsid w:val="005F0BD5"/>
    <w:rsid w:val="005F1544"/>
    <w:rsid w:val="005F1865"/>
    <w:rsid w:val="005F2CF4"/>
    <w:rsid w:val="005F46C0"/>
    <w:rsid w:val="005F6484"/>
    <w:rsid w:val="005F7826"/>
    <w:rsid w:val="00607169"/>
    <w:rsid w:val="00607DD5"/>
    <w:rsid w:val="00607E62"/>
    <w:rsid w:val="0061714A"/>
    <w:rsid w:val="00622F4C"/>
    <w:rsid w:val="0062435D"/>
    <w:rsid w:val="00624F85"/>
    <w:rsid w:val="00625C80"/>
    <w:rsid w:val="00626B78"/>
    <w:rsid w:val="00627CED"/>
    <w:rsid w:val="006302A4"/>
    <w:rsid w:val="006320DA"/>
    <w:rsid w:val="006325EC"/>
    <w:rsid w:val="006362F9"/>
    <w:rsid w:val="00636B34"/>
    <w:rsid w:val="0064098C"/>
    <w:rsid w:val="00641BD8"/>
    <w:rsid w:val="00641BF6"/>
    <w:rsid w:val="00645B11"/>
    <w:rsid w:val="00645E98"/>
    <w:rsid w:val="00645F05"/>
    <w:rsid w:val="0065100C"/>
    <w:rsid w:val="006512E2"/>
    <w:rsid w:val="006518AE"/>
    <w:rsid w:val="006520BA"/>
    <w:rsid w:val="00653422"/>
    <w:rsid w:val="00654714"/>
    <w:rsid w:val="006554A9"/>
    <w:rsid w:val="0065576A"/>
    <w:rsid w:val="00655CFD"/>
    <w:rsid w:val="0066309B"/>
    <w:rsid w:val="006634AF"/>
    <w:rsid w:val="006652A2"/>
    <w:rsid w:val="006654C7"/>
    <w:rsid w:val="0066691F"/>
    <w:rsid w:val="006673D2"/>
    <w:rsid w:val="00670071"/>
    <w:rsid w:val="006719C9"/>
    <w:rsid w:val="00671EE9"/>
    <w:rsid w:val="00672689"/>
    <w:rsid w:val="00672C4E"/>
    <w:rsid w:val="00676271"/>
    <w:rsid w:val="0067659B"/>
    <w:rsid w:val="00677E0D"/>
    <w:rsid w:val="006804B4"/>
    <w:rsid w:val="00682E76"/>
    <w:rsid w:val="00684960"/>
    <w:rsid w:val="00691F7B"/>
    <w:rsid w:val="00694C1A"/>
    <w:rsid w:val="00694F2C"/>
    <w:rsid w:val="00695527"/>
    <w:rsid w:val="006977CE"/>
    <w:rsid w:val="006A560D"/>
    <w:rsid w:val="006A6E36"/>
    <w:rsid w:val="006B0300"/>
    <w:rsid w:val="006B09BA"/>
    <w:rsid w:val="006B2D3E"/>
    <w:rsid w:val="006B6D18"/>
    <w:rsid w:val="006B6F32"/>
    <w:rsid w:val="006C0212"/>
    <w:rsid w:val="006C04A9"/>
    <w:rsid w:val="006C201D"/>
    <w:rsid w:val="006D3DB9"/>
    <w:rsid w:val="006D4781"/>
    <w:rsid w:val="006D7567"/>
    <w:rsid w:val="006E03B7"/>
    <w:rsid w:val="006E3555"/>
    <w:rsid w:val="006E4374"/>
    <w:rsid w:val="006E4ABC"/>
    <w:rsid w:val="006E5DE4"/>
    <w:rsid w:val="006E71C3"/>
    <w:rsid w:val="006E72C9"/>
    <w:rsid w:val="006F4492"/>
    <w:rsid w:val="006F7A52"/>
    <w:rsid w:val="007016DF"/>
    <w:rsid w:val="007028C7"/>
    <w:rsid w:val="00702C45"/>
    <w:rsid w:val="0070323A"/>
    <w:rsid w:val="00703CBC"/>
    <w:rsid w:val="00704F1C"/>
    <w:rsid w:val="007106D1"/>
    <w:rsid w:val="00710812"/>
    <w:rsid w:val="00711236"/>
    <w:rsid w:val="007127D0"/>
    <w:rsid w:val="007156F2"/>
    <w:rsid w:val="00715FB5"/>
    <w:rsid w:val="007163FC"/>
    <w:rsid w:val="00724B8E"/>
    <w:rsid w:val="00726561"/>
    <w:rsid w:val="00731EA7"/>
    <w:rsid w:val="007341EC"/>
    <w:rsid w:val="007355E2"/>
    <w:rsid w:val="007359CF"/>
    <w:rsid w:val="00735DFB"/>
    <w:rsid w:val="00736B23"/>
    <w:rsid w:val="00741B8D"/>
    <w:rsid w:val="00745B62"/>
    <w:rsid w:val="007463BA"/>
    <w:rsid w:val="00747302"/>
    <w:rsid w:val="007515BC"/>
    <w:rsid w:val="00752477"/>
    <w:rsid w:val="00752676"/>
    <w:rsid w:val="00753D73"/>
    <w:rsid w:val="00754168"/>
    <w:rsid w:val="0075487B"/>
    <w:rsid w:val="00760A8D"/>
    <w:rsid w:val="007616AB"/>
    <w:rsid w:val="0076220E"/>
    <w:rsid w:val="0076616A"/>
    <w:rsid w:val="007668E6"/>
    <w:rsid w:val="007678B1"/>
    <w:rsid w:val="00773846"/>
    <w:rsid w:val="0077387E"/>
    <w:rsid w:val="00780F00"/>
    <w:rsid w:val="00781683"/>
    <w:rsid w:val="007826A2"/>
    <w:rsid w:val="00784203"/>
    <w:rsid w:val="0079115A"/>
    <w:rsid w:val="007918F5"/>
    <w:rsid w:val="00791A70"/>
    <w:rsid w:val="00793A7B"/>
    <w:rsid w:val="00793D7C"/>
    <w:rsid w:val="007955D0"/>
    <w:rsid w:val="007A291F"/>
    <w:rsid w:val="007A3163"/>
    <w:rsid w:val="007A4B13"/>
    <w:rsid w:val="007B0745"/>
    <w:rsid w:val="007B3B63"/>
    <w:rsid w:val="007B5CBB"/>
    <w:rsid w:val="007C07AB"/>
    <w:rsid w:val="007C1273"/>
    <w:rsid w:val="007C4567"/>
    <w:rsid w:val="007C75DA"/>
    <w:rsid w:val="007C7636"/>
    <w:rsid w:val="007C793C"/>
    <w:rsid w:val="007D660B"/>
    <w:rsid w:val="007D6B79"/>
    <w:rsid w:val="007E1696"/>
    <w:rsid w:val="007E2061"/>
    <w:rsid w:val="007E226D"/>
    <w:rsid w:val="007E2A0F"/>
    <w:rsid w:val="007E3623"/>
    <w:rsid w:val="007E46BF"/>
    <w:rsid w:val="007E6A15"/>
    <w:rsid w:val="007E7351"/>
    <w:rsid w:val="007F102A"/>
    <w:rsid w:val="007F1169"/>
    <w:rsid w:val="007F2F74"/>
    <w:rsid w:val="007F301C"/>
    <w:rsid w:val="007F5322"/>
    <w:rsid w:val="007F76B6"/>
    <w:rsid w:val="007F78B6"/>
    <w:rsid w:val="007F7A5E"/>
    <w:rsid w:val="0080072F"/>
    <w:rsid w:val="00800F0B"/>
    <w:rsid w:val="0081213D"/>
    <w:rsid w:val="00812C6A"/>
    <w:rsid w:val="0081655A"/>
    <w:rsid w:val="0081747F"/>
    <w:rsid w:val="00817EC2"/>
    <w:rsid w:val="008205E8"/>
    <w:rsid w:val="00821481"/>
    <w:rsid w:val="0082384D"/>
    <w:rsid w:val="008247FC"/>
    <w:rsid w:val="00824A4F"/>
    <w:rsid w:val="00825CDF"/>
    <w:rsid w:val="00831402"/>
    <w:rsid w:val="00833B9B"/>
    <w:rsid w:val="00835E07"/>
    <w:rsid w:val="00836976"/>
    <w:rsid w:val="0083721A"/>
    <w:rsid w:val="00840C95"/>
    <w:rsid w:val="008411FA"/>
    <w:rsid w:val="008413DE"/>
    <w:rsid w:val="00842B80"/>
    <w:rsid w:val="00843F0F"/>
    <w:rsid w:val="00844251"/>
    <w:rsid w:val="00844C06"/>
    <w:rsid w:val="0084633F"/>
    <w:rsid w:val="0084778F"/>
    <w:rsid w:val="0085007A"/>
    <w:rsid w:val="0085271B"/>
    <w:rsid w:val="0085526C"/>
    <w:rsid w:val="00855AD4"/>
    <w:rsid w:val="00861377"/>
    <w:rsid w:val="00862953"/>
    <w:rsid w:val="0086299F"/>
    <w:rsid w:val="00863FA4"/>
    <w:rsid w:val="00864036"/>
    <w:rsid w:val="00866B5D"/>
    <w:rsid w:val="0087201F"/>
    <w:rsid w:val="00874536"/>
    <w:rsid w:val="0087570B"/>
    <w:rsid w:val="00877859"/>
    <w:rsid w:val="0088046D"/>
    <w:rsid w:val="008805DE"/>
    <w:rsid w:val="008826B8"/>
    <w:rsid w:val="008833BF"/>
    <w:rsid w:val="00883642"/>
    <w:rsid w:val="00884C2A"/>
    <w:rsid w:val="0088727E"/>
    <w:rsid w:val="0089025E"/>
    <w:rsid w:val="0089113F"/>
    <w:rsid w:val="008935D1"/>
    <w:rsid w:val="0089649F"/>
    <w:rsid w:val="00896A62"/>
    <w:rsid w:val="00896BCC"/>
    <w:rsid w:val="008A0258"/>
    <w:rsid w:val="008A087E"/>
    <w:rsid w:val="008A38C3"/>
    <w:rsid w:val="008A52F1"/>
    <w:rsid w:val="008A5736"/>
    <w:rsid w:val="008A6E57"/>
    <w:rsid w:val="008A6E6B"/>
    <w:rsid w:val="008B2A50"/>
    <w:rsid w:val="008B3C99"/>
    <w:rsid w:val="008B41CF"/>
    <w:rsid w:val="008C0656"/>
    <w:rsid w:val="008C1320"/>
    <w:rsid w:val="008C18E6"/>
    <w:rsid w:val="008C304E"/>
    <w:rsid w:val="008C37FA"/>
    <w:rsid w:val="008C3CE0"/>
    <w:rsid w:val="008C48BD"/>
    <w:rsid w:val="008C7789"/>
    <w:rsid w:val="008D0670"/>
    <w:rsid w:val="008D19D1"/>
    <w:rsid w:val="008D19EA"/>
    <w:rsid w:val="008D370D"/>
    <w:rsid w:val="008D5B2C"/>
    <w:rsid w:val="008D6BB3"/>
    <w:rsid w:val="008E033E"/>
    <w:rsid w:val="008E0D8F"/>
    <w:rsid w:val="008E28F7"/>
    <w:rsid w:val="008E5C85"/>
    <w:rsid w:val="008E5E78"/>
    <w:rsid w:val="008E5E7F"/>
    <w:rsid w:val="008E773C"/>
    <w:rsid w:val="008F248C"/>
    <w:rsid w:val="008F5EB2"/>
    <w:rsid w:val="008F72A9"/>
    <w:rsid w:val="00900585"/>
    <w:rsid w:val="0090071A"/>
    <w:rsid w:val="00906267"/>
    <w:rsid w:val="00906988"/>
    <w:rsid w:val="00906A42"/>
    <w:rsid w:val="00912519"/>
    <w:rsid w:val="009125FC"/>
    <w:rsid w:val="00914F84"/>
    <w:rsid w:val="00915384"/>
    <w:rsid w:val="00916007"/>
    <w:rsid w:val="00916091"/>
    <w:rsid w:val="0091732A"/>
    <w:rsid w:val="00920338"/>
    <w:rsid w:val="00920D51"/>
    <w:rsid w:val="00921833"/>
    <w:rsid w:val="00923135"/>
    <w:rsid w:val="009278B1"/>
    <w:rsid w:val="00927DF1"/>
    <w:rsid w:val="0093038B"/>
    <w:rsid w:val="009312AD"/>
    <w:rsid w:val="00931E1D"/>
    <w:rsid w:val="00933049"/>
    <w:rsid w:val="00933CFA"/>
    <w:rsid w:val="00937C13"/>
    <w:rsid w:val="009404A6"/>
    <w:rsid w:val="009427A3"/>
    <w:rsid w:val="00944BB5"/>
    <w:rsid w:val="009477C7"/>
    <w:rsid w:val="00950F2A"/>
    <w:rsid w:val="00951761"/>
    <w:rsid w:val="0095418D"/>
    <w:rsid w:val="009549B9"/>
    <w:rsid w:val="00956C6A"/>
    <w:rsid w:val="00957EBA"/>
    <w:rsid w:val="00957F77"/>
    <w:rsid w:val="00957FFD"/>
    <w:rsid w:val="00960F74"/>
    <w:rsid w:val="009610F6"/>
    <w:rsid w:val="009647BE"/>
    <w:rsid w:val="00966714"/>
    <w:rsid w:val="00966B76"/>
    <w:rsid w:val="009673F3"/>
    <w:rsid w:val="00967676"/>
    <w:rsid w:val="00970F3A"/>
    <w:rsid w:val="0097220E"/>
    <w:rsid w:val="009728F8"/>
    <w:rsid w:val="00972BC3"/>
    <w:rsid w:val="00972E13"/>
    <w:rsid w:val="00974438"/>
    <w:rsid w:val="009749C3"/>
    <w:rsid w:val="00976E67"/>
    <w:rsid w:val="00980FEA"/>
    <w:rsid w:val="0098331A"/>
    <w:rsid w:val="00984FC2"/>
    <w:rsid w:val="009859C2"/>
    <w:rsid w:val="009876BE"/>
    <w:rsid w:val="00987E11"/>
    <w:rsid w:val="009925FA"/>
    <w:rsid w:val="00993823"/>
    <w:rsid w:val="0099615F"/>
    <w:rsid w:val="00997729"/>
    <w:rsid w:val="00997DC2"/>
    <w:rsid w:val="009A1035"/>
    <w:rsid w:val="009A20C9"/>
    <w:rsid w:val="009A2523"/>
    <w:rsid w:val="009A66E1"/>
    <w:rsid w:val="009A6BA8"/>
    <w:rsid w:val="009A7E66"/>
    <w:rsid w:val="009A7FEA"/>
    <w:rsid w:val="009B03D4"/>
    <w:rsid w:val="009B18F1"/>
    <w:rsid w:val="009B354D"/>
    <w:rsid w:val="009B36B5"/>
    <w:rsid w:val="009B4977"/>
    <w:rsid w:val="009B5299"/>
    <w:rsid w:val="009B666E"/>
    <w:rsid w:val="009B7C86"/>
    <w:rsid w:val="009C28B2"/>
    <w:rsid w:val="009C3369"/>
    <w:rsid w:val="009C4B57"/>
    <w:rsid w:val="009C5133"/>
    <w:rsid w:val="009C5976"/>
    <w:rsid w:val="009C7B49"/>
    <w:rsid w:val="009C7C30"/>
    <w:rsid w:val="009D1537"/>
    <w:rsid w:val="009D16AA"/>
    <w:rsid w:val="009D2901"/>
    <w:rsid w:val="009D5277"/>
    <w:rsid w:val="009D6321"/>
    <w:rsid w:val="009D6435"/>
    <w:rsid w:val="009D6F46"/>
    <w:rsid w:val="009E0A74"/>
    <w:rsid w:val="009E0EA5"/>
    <w:rsid w:val="009E1CEF"/>
    <w:rsid w:val="009E2453"/>
    <w:rsid w:val="009E305B"/>
    <w:rsid w:val="009E400D"/>
    <w:rsid w:val="009E4AE8"/>
    <w:rsid w:val="009E5552"/>
    <w:rsid w:val="009F03D7"/>
    <w:rsid w:val="009F1099"/>
    <w:rsid w:val="009F41FB"/>
    <w:rsid w:val="009F4E6B"/>
    <w:rsid w:val="009F5915"/>
    <w:rsid w:val="009F7F50"/>
    <w:rsid w:val="00A00A68"/>
    <w:rsid w:val="00A017ED"/>
    <w:rsid w:val="00A023D5"/>
    <w:rsid w:val="00A02F07"/>
    <w:rsid w:val="00A0375D"/>
    <w:rsid w:val="00A041B0"/>
    <w:rsid w:val="00A04AA4"/>
    <w:rsid w:val="00A04B8F"/>
    <w:rsid w:val="00A06848"/>
    <w:rsid w:val="00A10EF1"/>
    <w:rsid w:val="00A11152"/>
    <w:rsid w:val="00A119C9"/>
    <w:rsid w:val="00A123EC"/>
    <w:rsid w:val="00A12B64"/>
    <w:rsid w:val="00A12D93"/>
    <w:rsid w:val="00A14AEB"/>
    <w:rsid w:val="00A1698F"/>
    <w:rsid w:val="00A173E1"/>
    <w:rsid w:val="00A17E39"/>
    <w:rsid w:val="00A200F2"/>
    <w:rsid w:val="00A215BA"/>
    <w:rsid w:val="00A228E8"/>
    <w:rsid w:val="00A2290C"/>
    <w:rsid w:val="00A22DFA"/>
    <w:rsid w:val="00A25CE8"/>
    <w:rsid w:val="00A30ABA"/>
    <w:rsid w:val="00A30ABF"/>
    <w:rsid w:val="00A32A3C"/>
    <w:rsid w:val="00A32D56"/>
    <w:rsid w:val="00A33EA1"/>
    <w:rsid w:val="00A34ED2"/>
    <w:rsid w:val="00A50F0A"/>
    <w:rsid w:val="00A52293"/>
    <w:rsid w:val="00A53D02"/>
    <w:rsid w:val="00A6087F"/>
    <w:rsid w:val="00A62106"/>
    <w:rsid w:val="00A63392"/>
    <w:rsid w:val="00A63528"/>
    <w:rsid w:val="00A65C44"/>
    <w:rsid w:val="00A667A7"/>
    <w:rsid w:val="00A7347E"/>
    <w:rsid w:val="00A734CD"/>
    <w:rsid w:val="00A74A87"/>
    <w:rsid w:val="00A74FC5"/>
    <w:rsid w:val="00A75C67"/>
    <w:rsid w:val="00A770AB"/>
    <w:rsid w:val="00A77DF8"/>
    <w:rsid w:val="00A80363"/>
    <w:rsid w:val="00A812C0"/>
    <w:rsid w:val="00A8287B"/>
    <w:rsid w:val="00A82EAE"/>
    <w:rsid w:val="00A86470"/>
    <w:rsid w:val="00A902AD"/>
    <w:rsid w:val="00A906B7"/>
    <w:rsid w:val="00A90D45"/>
    <w:rsid w:val="00A91EAA"/>
    <w:rsid w:val="00A94FA7"/>
    <w:rsid w:val="00A95DE5"/>
    <w:rsid w:val="00A95EC0"/>
    <w:rsid w:val="00A96DF5"/>
    <w:rsid w:val="00A97307"/>
    <w:rsid w:val="00AA000A"/>
    <w:rsid w:val="00AA0EB1"/>
    <w:rsid w:val="00AA0EDF"/>
    <w:rsid w:val="00AA14F8"/>
    <w:rsid w:val="00AA2BFD"/>
    <w:rsid w:val="00AA4A81"/>
    <w:rsid w:val="00AA4C51"/>
    <w:rsid w:val="00AA5F81"/>
    <w:rsid w:val="00AA609E"/>
    <w:rsid w:val="00AA6217"/>
    <w:rsid w:val="00AB5071"/>
    <w:rsid w:val="00AB6A58"/>
    <w:rsid w:val="00AB6F41"/>
    <w:rsid w:val="00AC3011"/>
    <w:rsid w:val="00AC3B82"/>
    <w:rsid w:val="00AC41B5"/>
    <w:rsid w:val="00AC4845"/>
    <w:rsid w:val="00AC5AC6"/>
    <w:rsid w:val="00AC69E0"/>
    <w:rsid w:val="00AC729A"/>
    <w:rsid w:val="00AD1267"/>
    <w:rsid w:val="00AD3D87"/>
    <w:rsid w:val="00AD4AA7"/>
    <w:rsid w:val="00AD4E17"/>
    <w:rsid w:val="00AD583E"/>
    <w:rsid w:val="00AD58C8"/>
    <w:rsid w:val="00AD636C"/>
    <w:rsid w:val="00AE0F93"/>
    <w:rsid w:val="00AE19F8"/>
    <w:rsid w:val="00AE2A72"/>
    <w:rsid w:val="00AE36CB"/>
    <w:rsid w:val="00AE6917"/>
    <w:rsid w:val="00AF1C7E"/>
    <w:rsid w:val="00AF2F86"/>
    <w:rsid w:val="00AF3206"/>
    <w:rsid w:val="00AF3A30"/>
    <w:rsid w:val="00AF3D20"/>
    <w:rsid w:val="00AF5374"/>
    <w:rsid w:val="00AF5BA1"/>
    <w:rsid w:val="00AF5FAD"/>
    <w:rsid w:val="00AF63B4"/>
    <w:rsid w:val="00AF6EAC"/>
    <w:rsid w:val="00AF6FBE"/>
    <w:rsid w:val="00AF7CEE"/>
    <w:rsid w:val="00B01A00"/>
    <w:rsid w:val="00B02EEC"/>
    <w:rsid w:val="00B0424D"/>
    <w:rsid w:val="00B04C31"/>
    <w:rsid w:val="00B05528"/>
    <w:rsid w:val="00B058E7"/>
    <w:rsid w:val="00B10477"/>
    <w:rsid w:val="00B10D61"/>
    <w:rsid w:val="00B149A0"/>
    <w:rsid w:val="00B15E31"/>
    <w:rsid w:val="00B15E7E"/>
    <w:rsid w:val="00B21254"/>
    <w:rsid w:val="00B21C2F"/>
    <w:rsid w:val="00B23B92"/>
    <w:rsid w:val="00B24914"/>
    <w:rsid w:val="00B27005"/>
    <w:rsid w:val="00B27128"/>
    <w:rsid w:val="00B27DD2"/>
    <w:rsid w:val="00B36C76"/>
    <w:rsid w:val="00B36CD4"/>
    <w:rsid w:val="00B37273"/>
    <w:rsid w:val="00B417ED"/>
    <w:rsid w:val="00B44948"/>
    <w:rsid w:val="00B45281"/>
    <w:rsid w:val="00B45643"/>
    <w:rsid w:val="00B45CC0"/>
    <w:rsid w:val="00B46833"/>
    <w:rsid w:val="00B53CA0"/>
    <w:rsid w:val="00B54F4D"/>
    <w:rsid w:val="00B555B3"/>
    <w:rsid w:val="00B55B0D"/>
    <w:rsid w:val="00B615D8"/>
    <w:rsid w:val="00B61752"/>
    <w:rsid w:val="00B62BDC"/>
    <w:rsid w:val="00B630EE"/>
    <w:rsid w:val="00B6332C"/>
    <w:rsid w:val="00B724C7"/>
    <w:rsid w:val="00B72FF3"/>
    <w:rsid w:val="00B75793"/>
    <w:rsid w:val="00B76337"/>
    <w:rsid w:val="00B768A6"/>
    <w:rsid w:val="00B807C4"/>
    <w:rsid w:val="00B80AAC"/>
    <w:rsid w:val="00B81D22"/>
    <w:rsid w:val="00B82734"/>
    <w:rsid w:val="00B829B6"/>
    <w:rsid w:val="00B83197"/>
    <w:rsid w:val="00B83B33"/>
    <w:rsid w:val="00B83F33"/>
    <w:rsid w:val="00B85BAF"/>
    <w:rsid w:val="00B86B00"/>
    <w:rsid w:val="00B877C7"/>
    <w:rsid w:val="00B87B0C"/>
    <w:rsid w:val="00B90581"/>
    <w:rsid w:val="00B90591"/>
    <w:rsid w:val="00B92B44"/>
    <w:rsid w:val="00B9337C"/>
    <w:rsid w:val="00B95023"/>
    <w:rsid w:val="00B9612E"/>
    <w:rsid w:val="00B961BB"/>
    <w:rsid w:val="00BA0B4C"/>
    <w:rsid w:val="00BA22B8"/>
    <w:rsid w:val="00BA48F2"/>
    <w:rsid w:val="00BA5BE3"/>
    <w:rsid w:val="00BA6EF7"/>
    <w:rsid w:val="00BA7B1A"/>
    <w:rsid w:val="00BB0681"/>
    <w:rsid w:val="00BB08E7"/>
    <w:rsid w:val="00BB13F6"/>
    <w:rsid w:val="00BB19F7"/>
    <w:rsid w:val="00BB24D0"/>
    <w:rsid w:val="00BB3AF7"/>
    <w:rsid w:val="00BB49A9"/>
    <w:rsid w:val="00BB6342"/>
    <w:rsid w:val="00BB7893"/>
    <w:rsid w:val="00BB7A2E"/>
    <w:rsid w:val="00BC00D4"/>
    <w:rsid w:val="00BC0B63"/>
    <w:rsid w:val="00BC3433"/>
    <w:rsid w:val="00BC44A8"/>
    <w:rsid w:val="00BC6351"/>
    <w:rsid w:val="00BC6AB9"/>
    <w:rsid w:val="00BC70E9"/>
    <w:rsid w:val="00BD03CA"/>
    <w:rsid w:val="00BD1344"/>
    <w:rsid w:val="00BD13D0"/>
    <w:rsid w:val="00BD3413"/>
    <w:rsid w:val="00BD6CB7"/>
    <w:rsid w:val="00BD79B9"/>
    <w:rsid w:val="00BE376D"/>
    <w:rsid w:val="00BE37DC"/>
    <w:rsid w:val="00BE4AED"/>
    <w:rsid w:val="00BE7AC7"/>
    <w:rsid w:val="00BF0678"/>
    <w:rsid w:val="00BF1D6E"/>
    <w:rsid w:val="00BF2C4A"/>
    <w:rsid w:val="00BF3B0E"/>
    <w:rsid w:val="00BF545A"/>
    <w:rsid w:val="00BF624C"/>
    <w:rsid w:val="00C019E4"/>
    <w:rsid w:val="00C02A18"/>
    <w:rsid w:val="00C02DF2"/>
    <w:rsid w:val="00C04CF1"/>
    <w:rsid w:val="00C1038F"/>
    <w:rsid w:val="00C14F70"/>
    <w:rsid w:val="00C15508"/>
    <w:rsid w:val="00C1662E"/>
    <w:rsid w:val="00C16A9C"/>
    <w:rsid w:val="00C24808"/>
    <w:rsid w:val="00C257FD"/>
    <w:rsid w:val="00C26070"/>
    <w:rsid w:val="00C32DDA"/>
    <w:rsid w:val="00C34FE9"/>
    <w:rsid w:val="00C36B14"/>
    <w:rsid w:val="00C37057"/>
    <w:rsid w:val="00C40D6D"/>
    <w:rsid w:val="00C419E4"/>
    <w:rsid w:val="00C44F3B"/>
    <w:rsid w:val="00C4531C"/>
    <w:rsid w:val="00C47358"/>
    <w:rsid w:val="00C473FE"/>
    <w:rsid w:val="00C50A72"/>
    <w:rsid w:val="00C50BA3"/>
    <w:rsid w:val="00C51EEB"/>
    <w:rsid w:val="00C5276A"/>
    <w:rsid w:val="00C53274"/>
    <w:rsid w:val="00C54D7E"/>
    <w:rsid w:val="00C5532B"/>
    <w:rsid w:val="00C56D4A"/>
    <w:rsid w:val="00C574ED"/>
    <w:rsid w:val="00C602F3"/>
    <w:rsid w:val="00C6212F"/>
    <w:rsid w:val="00C62C8F"/>
    <w:rsid w:val="00C63099"/>
    <w:rsid w:val="00C631F2"/>
    <w:rsid w:val="00C64959"/>
    <w:rsid w:val="00C65094"/>
    <w:rsid w:val="00C67BAF"/>
    <w:rsid w:val="00C712CB"/>
    <w:rsid w:val="00C72498"/>
    <w:rsid w:val="00C72DEE"/>
    <w:rsid w:val="00C75264"/>
    <w:rsid w:val="00C7551D"/>
    <w:rsid w:val="00C762E2"/>
    <w:rsid w:val="00C762E6"/>
    <w:rsid w:val="00C76C54"/>
    <w:rsid w:val="00C80B74"/>
    <w:rsid w:val="00C849F9"/>
    <w:rsid w:val="00C870E1"/>
    <w:rsid w:val="00C87671"/>
    <w:rsid w:val="00C90DB7"/>
    <w:rsid w:val="00C92920"/>
    <w:rsid w:val="00C931BC"/>
    <w:rsid w:val="00C9389F"/>
    <w:rsid w:val="00C93ED7"/>
    <w:rsid w:val="00C95CF1"/>
    <w:rsid w:val="00C970CA"/>
    <w:rsid w:val="00C97222"/>
    <w:rsid w:val="00C978EE"/>
    <w:rsid w:val="00CA0C13"/>
    <w:rsid w:val="00CA1385"/>
    <w:rsid w:val="00CA272B"/>
    <w:rsid w:val="00CA3AE7"/>
    <w:rsid w:val="00CB282C"/>
    <w:rsid w:val="00CB3FBC"/>
    <w:rsid w:val="00CB4940"/>
    <w:rsid w:val="00CB6C82"/>
    <w:rsid w:val="00CB6D39"/>
    <w:rsid w:val="00CC0BDE"/>
    <w:rsid w:val="00CC7378"/>
    <w:rsid w:val="00CD6437"/>
    <w:rsid w:val="00CD6FD7"/>
    <w:rsid w:val="00CD7201"/>
    <w:rsid w:val="00CE08A6"/>
    <w:rsid w:val="00CE0B12"/>
    <w:rsid w:val="00CE0F86"/>
    <w:rsid w:val="00CE20C4"/>
    <w:rsid w:val="00CE25E0"/>
    <w:rsid w:val="00CE468C"/>
    <w:rsid w:val="00CE497B"/>
    <w:rsid w:val="00CE607A"/>
    <w:rsid w:val="00CE711D"/>
    <w:rsid w:val="00CF042C"/>
    <w:rsid w:val="00CF0F22"/>
    <w:rsid w:val="00CF1C81"/>
    <w:rsid w:val="00CF4BE2"/>
    <w:rsid w:val="00CF6BB9"/>
    <w:rsid w:val="00CF6E0D"/>
    <w:rsid w:val="00CF6FC9"/>
    <w:rsid w:val="00CF777F"/>
    <w:rsid w:val="00D00219"/>
    <w:rsid w:val="00D00E71"/>
    <w:rsid w:val="00D0119D"/>
    <w:rsid w:val="00D04043"/>
    <w:rsid w:val="00D042C3"/>
    <w:rsid w:val="00D04E00"/>
    <w:rsid w:val="00D0599B"/>
    <w:rsid w:val="00D06403"/>
    <w:rsid w:val="00D101C9"/>
    <w:rsid w:val="00D10F3F"/>
    <w:rsid w:val="00D15BD0"/>
    <w:rsid w:val="00D16F6E"/>
    <w:rsid w:val="00D17771"/>
    <w:rsid w:val="00D1780A"/>
    <w:rsid w:val="00D20505"/>
    <w:rsid w:val="00D23571"/>
    <w:rsid w:val="00D24C16"/>
    <w:rsid w:val="00D25356"/>
    <w:rsid w:val="00D268F5"/>
    <w:rsid w:val="00D3387D"/>
    <w:rsid w:val="00D33F75"/>
    <w:rsid w:val="00D36FF4"/>
    <w:rsid w:val="00D41AD2"/>
    <w:rsid w:val="00D43DD0"/>
    <w:rsid w:val="00D443E3"/>
    <w:rsid w:val="00D45180"/>
    <w:rsid w:val="00D50556"/>
    <w:rsid w:val="00D50A99"/>
    <w:rsid w:val="00D510B7"/>
    <w:rsid w:val="00D5131C"/>
    <w:rsid w:val="00D51F99"/>
    <w:rsid w:val="00D528D8"/>
    <w:rsid w:val="00D53595"/>
    <w:rsid w:val="00D54C1B"/>
    <w:rsid w:val="00D54D55"/>
    <w:rsid w:val="00D55547"/>
    <w:rsid w:val="00D603A8"/>
    <w:rsid w:val="00D6200C"/>
    <w:rsid w:val="00D63372"/>
    <w:rsid w:val="00D63DA0"/>
    <w:rsid w:val="00D647B5"/>
    <w:rsid w:val="00D674F3"/>
    <w:rsid w:val="00D70321"/>
    <w:rsid w:val="00D74CE4"/>
    <w:rsid w:val="00D75157"/>
    <w:rsid w:val="00D75E50"/>
    <w:rsid w:val="00D76437"/>
    <w:rsid w:val="00D81DC1"/>
    <w:rsid w:val="00D8292A"/>
    <w:rsid w:val="00D91E9C"/>
    <w:rsid w:val="00D9410D"/>
    <w:rsid w:val="00D94250"/>
    <w:rsid w:val="00D94FFB"/>
    <w:rsid w:val="00D95213"/>
    <w:rsid w:val="00D96B28"/>
    <w:rsid w:val="00D97430"/>
    <w:rsid w:val="00D978B1"/>
    <w:rsid w:val="00DA0804"/>
    <w:rsid w:val="00DA30CD"/>
    <w:rsid w:val="00DA376F"/>
    <w:rsid w:val="00DA4B38"/>
    <w:rsid w:val="00DA55B5"/>
    <w:rsid w:val="00DA61A2"/>
    <w:rsid w:val="00DB0CFB"/>
    <w:rsid w:val="00DB1347"/>
    <w:rsid w:val="00DB1D37"/>
    <w:rsid w:val="00DB2820"/>
    <w:rsid w:val="00DB282F"/>
    <w:rsid w:val="00DB5431"/>
    <w:rsid w:val="00DB5F1C"/>
    <w:rsid w:val="00DB6DE8"/>
    <w:rsid w:val="00DC0AAE"/>
    <w:rsid w:val="00DC2126"/>
    <w:rsid w:val="00DC2E84"/>
    <w:rsid w:val="00DC31AD"/>
    <w:rsid w:val="00DC413B"/>
    <w:rsid w:val="00DD1468"/>
    <w:rsid w:val="00DD2C08"/>
    <w:rsid w:val="00DD3A76"/>
    <w:rsid w:val="00DD490A"/>
    <w:rsid w:val="00DD7896"/>
    <w:rsid w:val="00DE2585"/>
    <w:rsid w:val="00DE3582"/>
    <w:rsid w:val="00DE3A27"/>
    <w:rsid w:val="00DE45C8"/>
    <w:rsid w:val="00DE51AA"/>
    <w:rsid w:val="00DE7588"/>
    <w:rsid w:val="00DF04BE"/>
    <w:rsid w:val="00DF15AB"/>
    <w:rsid w:val="00DF3718"/>
    <w:rsid w:val="00DF3929"/>
    <w:rsid w:val="00DF77F7"/>
    <w:rsid w:val="00DF7A99"/>
    <w:rsid w:val="00E0054A"/>
    <w:rsid w:val="00E00A36"/>
    <w:rsid w:val="00E01213"/>
    <w:rsid w:val="00E02F69"/>
    <w:rsid w:val="00E03256"/>
    <w:rsid w:val="00E032DC"/>
    <w:rsid w:val="00E048FF"/>
    <w:rsid w:val="00E1046E"/>
    <w:rsid w:val="00E11DE1"/>
    <w:rsid w:val="00E130AE"/>
    <w:rsid w:val="00E1763A"/>
    <w:rsid w:val="00E210D7"/>
    <w:rsid w:val="00E21C1D"/>
    <w:rsid w:val="00E22661"/>
    <w:rsid w:val="00E229E1"/>
    <w:rsid w:val="00E26A07"/>
    <w:rsid w:val="00E31176"/>
    <w:rsid w:val="00E329A9"/>
    <w:rsid w:val="00E33DBB"/>
    <w:rsid w:val="00E3443B"/>
    <w:rsid w:val="00E349E2"/>
    <w:rsid w:val="00E350A3"/>
    <w:rsid w:val="00E35A64"/>
    <w:rsid w:val="00E40501"/>
    <w:rsid w:val="00E432A1"/>
    <w:rsid w:val="00E44710"/>
    <w:rsid w:val="00E460ED"/>
    <w:rsid w:val="00E46B98"/>
    <w:rsid w:val="00E5064E"/>
    <w:rsid w:val="00E527D8"/>
    <w:rsid w:val="00E544A3"/>
    <w:rsid w:val="00E613A3"/>
    <w:rsid w:val="00E61659"/>
    <w:rsid w:val="00E62940"/>
    <w:rsid w:val="00E65048"/>
    <w:rsid w:val="00E660DF"/>
    <w:rsid w:val="00E66826"/>
    <w:rsid w:val="00E66833"/>
    <w:rsid w:val="00E668E8"/>
    <w:rsid w:val="00E6727B"/>
    <w:rsid w:val="00E7054E"/>
    <w:rsid w:val="00E722FE"/>
    <w:rsid w:val="00E72BFD"/>
    <w:rsid w:val="00E72F6E"/>
    <w:rsid w:val="00E730F4"/>
    <w:rsid w:val="00E74F9E"/>
    <w:rsid w:val="00E77906"/>
    <w:rsid w:val="00E8078C"/>
    <w:rsid w:val="00E80DFE"/>
    <w:rsid w:val="00E91245"/>
    <w:rsid w:val="00E91D69"/>
    <w:rsid w:val="00E91E2C"/>
    <w:rsid w:val="00E9216F"/>
    <w:rsid w:val="00E9231D"/>
    <w:rsid w:val="00E93C2D"/>
    <w:rsid w:val="00E954DF"/>
    <w:rsid w:val="00E96E31"/>
    <w:rsid w:val="00EA195C"/>
    <w:rsid w:val="00EA25F0"/>
    <w:rsid w:val="00EA3D65"/>
    <w:rsid w:val="00EA40A6"/>
    <w:rsid w:val="00EA58F3"/>
    <w:rsid w:val="00EA5A9E"/>
    <w:rsid w:val="00EA643A"/>
    <w:rsid w:val="00EA78B3"/>
    <w:rsid w:val="00EA7ECA"/>
    <w:rsid w:val="00EB0966"/>
    <w:rsid w:val="00EB4BCE"/>
    <w:rsid w:val="00EB56C1"/>
    <w:rsid w:val="00EB666B"/>
    <w:rsid w:val="00EB7C3B"/>
    <w:rsid w:val="00EB7D9F"/>
    <w:rsid w:val="00EC41E3"/>
    <w:rsid w:val="00EC4FD5"/>
    <w:rsid w:val="00EC5593"/>
    <w:rsid w:val="00EC7896"/>
    <w:rsid w:val="00ED42E9"/>
    <w:rsid w:val="00ED440C"/>
    <w:rsid w:val="00ED4ECB"/>
    <w:rsid w:val="00ED5AC5"/>
    <w:rsid w:val="00ED7448"/>
    <w:rsid w:val="00ED7DA3"/>
    <w:rsid w:val="00EE0B21"/>
    <w:rsid w:val="00EE162E"/>
    <w:rsid w:val="00EE37C8"/>
    <w:rsid w:val="00EE4E03"/>
    <w:rsid w:val="00EE51A0"/>
    <w:rsid w:val="00EF03C4"/>
    <w:rsid w:val="00EF04E0"/>
    <w:rsid w:val="00EF1CAE"/>
    <w:rsid w:val="00EF3A12"/>
    <w:rsid w:val="00EF6A35"/>
    <w:rsid w:val="00EF77C1"/>
    <w:rsid w:val="00F00460"/>
    <w:rsid w:val="00F0087C"/>
    <w:rsid w:val="00F01156"/>
    <w:rsid w:val="00F02695"/>
    <w:rsid w:val="00F10130"/>
    <w:rsid w:val="00F12A90"/>
    <w:rsid w:val="00F12C2E"/>
    <w:rsid w:val="00F1323A"/>
    <w:rsid w:val="00F1436E"/>
    <w:rsid w:val="00F20DCB"/>
    <w:rsid w:val="00F2255B"/>
    <w:rsid w:val="00F225D0"/>
    <w:rsid w:val="00F23A73"/>
    <w:rsid w:val="00F31033"/>
    <w:rsid w:val="00F3149E"/>
    <w:rsid w:val="00F31D0F"/>
    <w:rsid w:val="00F31D36"/>
    <w:rsid w:val="00F32380"/>
    <w:rsid w:val="00F3445A"/>
    <w:rsid w:val="00F34D24"/>
    <w:rsid w:val="00F37B08"/>
    <w:rsid w:val="00F41AAE"/>
    <w:rsid w:val="00F42070"/>
    <w:rsid w:val="00F42E61"/>
    <w:rsid w:val="00F43327"/>
    <w:rsid w:val="00F43E1F"/>
    <w:rsid w:val="00F45B4C"/>
    <w:rsid w:val="00F45FF4"/>
    <w:rsid w:val="00F46404"/>
    <w:rsid w:val="00F46A65"/>
    <w:rsid w:val="00F47796"/>
    <w:rsid w:val="00F47C6E"/>
    <w:rsid w:val="00F50012"/>
    <w:rsid w:val="00F51B34"/>
    <w:rsid w:val="00F52BAE"/>
    <w:rsid w:val="00F5370F"/>
    <w:rsid w:val="00F54DAE"/>
    <w:rsid w:val="00F5569B"/>
    <w:rsid w:val="00F558A4"/>
    <w:rsid w:val="00F5593D"/>
    <w:rsid w:val="00F66644"/>
    <w:rsid w:val="00F6792F"/>
    <w:rsid w:val="00F7264C"/>
    <w:rsid w:val="00F727A2"/>
    <w:rsid w:val="00F73154"/>
    <w:rsid w:val="00F73F1C"/>
    <w:rsid w:val="00F74753"/>
    <w:rsid w:val="00F7495E"/>
    <w:rsid w:val="00F773B0"/>
    <w:rsid w:val="00F80C43"/>
    <w:rsid w:val="00F82050"/>
    <w:rsid w:val="00F82B07"/>
    <w:rsid w:val="00F84B2F"/>
    <w:rsid w:val="00F9117A"/>
    <w:rsid w:val="00F91239"/>
    <w:rsid w:val="00F915F7"/>
    <w:rsid w:val="00F91B8C"/>
    <w:rsid w:val="00F91FBB"/>
    <w:rsid w:val="00F920F6"/>
    <w:rsid w:val="00F9217B"/>
    <w:rsid w:val="00F93F3F"/>
    <w:rsid w:val="00F94BEB"/>
    <w:rsid w:val="00F954B9"/>
    <w:rsid w:val="00F9663A"/>
    <w:rsid w:val="00FA0294"/>
    <w:rsid w:val="00FA0DE4"/>
    <w:rsid w:val="00FA258F"/>
    <w:rsid w:val="00FA4780"/>
    <w:rsid w:val="00FA4EBC"/>
    <w:rsid w:val="00FA5526"/>
    <w:rsid w:val="00FA5D12"/>
    <w:rsid w:val="00FA7F82"/>
    <w:rsid w:val="00FB32C9"/>
    <w:rsid w:val="00FB3E6A"/>
    <w:rsid w:val="00FB47C9"/>
    <w:rsid w:val="00FB503C"/>
    <w:rsid w:val="00FB6BF0"/>
    <w:rsid w:val="00FB7144"/>
    <w:rsid w:val="00FC12D6"/>
    <w:rsid w:val="00FC384A"/>
    <w:rsid w:val="00FC6F3E"/>
    <w:rsid w:val="00FC7E87"/>
    <w:rsid w:val="00FD0CB1"/>
    <w:rsid w:val="00FD340A"/>
    <w:rsid w:val="00FD4F76"/>
    <w:rsid w:val="00FD52E4"/>
    <w:rsid w:val="00FD53E1"/>
    <w:rsid w:val="00FD59CE"/>
    <w:rsid w:val="00FD67F9"/>
    <w:rsid w:val="00FD7D25"/>
    <w:rsid w:val="00FE078A"/>
    <w:rsid w:val="00FE5002"/>
    <w:rsid w:val="00FE54BC"/>
    <w:rsid w:val="00FE683B"/>
    <w:rsid w:val="00FE7961"/>
    <w:rsid w:val="00FE7BEA"/>
    <w:rsid w:val="00FE7E38"/>
    <w:rsid w:val="00FF0240"/>
    <w:rsid w:val="00FF1611"/>
    <w:rsid w:val="00FF4A3A"/>
    <w:rsid w:val="00FF5EB8"/>
    <w:rsid w:val="00FF72D5"/>
    <w:rsid w:val="09BC40D2"/>
    <w:rsid w:val="0F633C03"/>
    <w:rsid w:val="0F8C5233"/>
    <w:rsid w:val="12AF7896"/>
    <w:rsid w:val="13396864"/>
    <w:rsid w:val="16BE6987"/>
    <w:rsid w:val="1E4709DC"/>
    <w:rsid w:val="20297FB6"/>
    <w:rsid w:val="21301490"/>
    <w:rsid w:val="252C4CE3"/>
    <w:rsid w:val="2F5F30FB"/>
    <w:rsid w:val="30466A2B"/>
    <w:rsid w:val="331C28A1"/>
    <w:rsid w:val="346B4F2F"/>
    <w:rsid w:val="3D3A4DED"/>
    <w:rsid w:val="3EA053B9"/>
    <w:rsid w:val="41AC5893"/>
    <w:rsid w:val="422B3B39"/>
    <w:rsid w:val="470678CB"/>
    <w:rsid w:val="48FE0501"/>
    <w:rsid w:val="4EAF1785"/>
    <w:rsid w:val="5A716E65"/>
    <w:rsid w:val="623236FC"/>
    <w:rsid w:val="672D13A0"/>
    <w:rsid w:val="674A49FB"/>
    <w:rsid w:val="68A11CED"/>
    <w:rsid w:val="68F94F5A"/>
    <w:rsid w:val="6B4B7538"/>
    <w:rsid w:val="6D2E60C5"/>
    <w:rsid w:val="715B5DE1"/>
    <w:rsid w:val="716942AB"/>
    <w:rsid w:val="72E012E8"/>
    <w:rsid w:val="74AF30CE"/>
    <w:rsid w:val="751F6936"/>
    <w:rsid w:val="771646B4"/>
    <w:rsid w:val="79CC01A8"/>
    <w:rsid w:val="7B180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日期 Char"/>
    <w:basedOn w:val="8"/>
    <w:link w:val="2"/>
    <w:semiHidden/>
    <w:qFormat/>
    <w:uiPriority w:val="99"/>
    <w:rPr>
      <w:rFonts w:ascii="Times New Roman" w:hAnsi="Times New Roman" w:eastAsia="仿宋_GB2312" w:cs="Times New Roman"/>
      <w:sz w:val="32"/>
      <w:szCs w:val="20"/>
    </w:rPr>
  </w:style>
  <w:style w:type="paragraph" w:customStyle="1" w:styleId="13">
    <w:name w:val="Default"/>
    <w:qFormat/>
    <w:uiPriority w:val="0"/>
    <w:pPr>
      <w:widowControl w:val="0"/>
      <w:autoSpaceDE w:val="0"/>
      <w:autoSpaceDN w:val="0"/>
      <w:adjustRightInd w:val="0"/>
    </w:pPr>
    <w:rPr>
      <w:rFonts w:ascii="Times New Roman" w:hAnsi="Times New Roman" w:eastAsia="微软雅黑" w:cs="Times New Roman"/>
      <w:color w:val="000000"/>
      <w:sz w:val="24"/>
      <w:szCs w:val="24"/>
      <w:lang w:val="en-US" w:eastAsia="zh-CN" w:bidi="ar-SA"/>
    </w:rPr>
  </w:style>
  <w:style w:type="paragraph" w:customStyle="1" w:styleId="14">
    <w:name w:val="Char"/>
    <w:basedOn w:val="1"/>
    <w:qFormat/>
    <w:uiPriority w:val="0"/>
  </w:style>
  <w:style w:type="character" w:customStyle="1" w:styleId="15">
    <w:name w:val="批注框文本 Char"/>
    <w:basedOn w:val="8"/>
    <w:link w:val="3"/>
    <w:semiHidden/>
    <w:qFormat/>
    <w:uiPriority w:val="99"/>
    <w:rPr>
      <w:rFonts w:ascii="Times New Roman" w:hAnsi="Times New Roman" w:eastAsia="仿宋_GB2312" w:cs="Times New Roman"/>
      <w:sz w:val="18"/>
      <w:szCs w:val="18"/>
    </w:rPr>
  </w:style>
  <w:style w:type="paragraph" w:customStyle="1" w:styleId="16">
    <w:name w:val="11111定格"/>
    <w:basedOn w:val="1"/>
    <w:qFormat/>
    <w:uiPriority w:val="0"/>
    <w:pPr>
      <w:snapToGrid w:val="0"/>
      <w:ind w:firstLine="646"/>
    </w:pPr>
    <w:rPr>
      <w:rFonts w:cs="黑体"/>
      <w:color w:val="00000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95277E-4348-4130-9BC4-AD80468C7CBD}">
  <ds:schemaRefs/>
</ds:datastoreItem>
</file>

<file path=docProps/app.xml><?xml version="1.0" encoding="utf-8"?>
<Properties xmlns="http://schemas.openxmlformats.org/officeDocument/2006/extended-properties" xmlns:vt="http://schemas.openxmlformats.org/officeDocument/2006/docPropsVTypes">
  <Template>Normal</Template>
  <Company>Win7w.Com</Company>
  <Pages>22</Pages>
  <Words>1732</Words>
  <Characters>9878</Characters>
  <Lines>82</Lines>
  <Paragraphs>23</Paragraphs>
  <TotalTime>1</TotalTime>
  <ScaleCrop>false</ScaleCrop>
  <LinksUpToDate>false</LinksUpToDate>
  <CharactersWithSpaces>11587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2019-05-28T02:26:00Z</dcterms:created>
  <dc:creator>建设局</dc:creator>
  <cp:lastModifiedBy>苏士鹤</cp:lastModifiedBy>
  <cp:lastPrinted>2018-06-25T09:47:00Z</cp:lastPrinted>
  <dcterms:modified xsi:type="dcterms:W3CDTF">2019-05-29T08:38:35Z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