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60" w:lineRule="exact"/>
        <w:jc w:val="center"/>
        <w:rPr>
          <w:rFonts w:ascii="宋体" w:hAnsi="宋体" w:cs="宋体"/>
          <w:b/>
          <w:bCs/>
          <w:sz w:val="52"/>
          <w:szCs w:val="52"/>
        </w:rPr>
      </w:pPr>
      <w:r>
        <w:rPr>
          <w:rFonts w:hint="eastAsia" w:ascii="宋体" w:hAnsi="宋体" w:cs="宋体"/>
          <w:b/>
          <w:bCs/>
          <w:sz w:val="52"/>
          <w:szCs w:val="52"/>
        </w:rPr>
        <w:t>湖州市疾病预防控制中心防火墙等</w:t>
      </w:r>
    </w:p>
    <w:p>
      <w:pPr>
        <w:spacing w:line="1160" w:lineRule="exact"/>
        <w:jc w:val="center"/>
        <w:rPr>
          <w:rFonts w:ascii="宋体" w:hAnsi="宋体" w:cs="宋体"/>
          <w:b/>
          <w:bCs/>
          <w:sz w:val="52"/>
          <w:szCs w:val="52"/>
        </w:rPr>
      </w:pPr>
      <w:r>
        <w:rPr>
          <w:rFonts w:hint="eastAsia" w:ascii="宋体" w:hAnsi="宋体" w:cs="宋体"/>
          <w:b/>
          <w:bCs/>
          <w:sz w:val="52"/>
          <w:szCs w:val="52"/>
        </w:rPr>
        <w:t>采购项目公开招标文件</w:t>
      </w:r>
    </w:p>
    <w:p>
      <w:pPr>
        <w:jc w:val="center"/>
        <w:rPr>
          <w:rFonts w:ascii="宋体" w:hAnsi="宋体" w:cs="宋体"/>
          <w:b/>
          <w:bCs/>
          <w:sz w:val="28"/>
          <w:szCs w:val="28"/>
        </w:rPr>
      </w:pPr>
    </w:p>
    <w:p>
      <w:pPr>
        <w:jc w:val="center"/>
        <w:rPr>
          <w:rFonts w:ascii="宋体" w:hAnsi="宋体" w:cs="宋体"/>
          <w:b/>
          <w:bCs/>
          <w:sz w:val="48"/>
        </w:rPr>
      </w:pPr>
    </w:p>
    <w:p>
      <w:pPr>
        <w:jc w:val="center"/>
        <w:rPr>
          <w:rFonts w:ascii="宋体" w:hAnsi="宋体" w:cs="宋体"/>
          <w:b/>
          <w:bCs/>
          <w:sz w:val="48"/>
        </w:rPr>
      </w:pPr>
    </w:p>
    <w:p>
      <w:pPr>
        <w:rPr>
          <w:rFonts w:ascii="宋体" w:hAnsi="宋体" w:cs="宋体"/>
          <w:b/>
          <w:bCs/>
          <w:sz w:val="48"/>
        </w:rPr>
      </w:pPr>
    </w:p>
    <w:p>
      <w:pPr>
        <w:ind w:firstLine="1601" w:firstLineChars="445"/>
        <w:rPr>
          <w:rFonts w:hint="eastAsia" w:ascii="宋体" w:hAnsi="宋体" w:eastAsia="宋体" w:cs="宋体"/>
          <w:b/>
          <w:bCs/>
          <w:sz w:val="36"/>
          <w:lang w:eastAsia="zh-CN"/>
        </w:rPr>
      </w:pPr>
      <w:r>
        <w:rPr>
          <w:rFonts w:hint="eastAsia" w:ascii="宋体" w:hAnsi="宋体" w:cs="宋体"/>
          <w:b/>
          <w:bCs/>
          <w:sz w:val="36"/>
        </w:rPr>
        <w:t>招标文件编号:</w:t>
      </w:r>
      <w:r>
        <w:rPr>
          <w:rFonts w:hint="eastAsia" w:ascii="宋体" w:hAnsi="宋体" w:cs="宋体"/>
          <w:b/>
          <w:bCs/>
          <w:sz w:val="36"/>
          <w:lang w:eastAsia="zh-CN"/>
        </w:rPr>
        <w:t>HZGZ2022-56</w:t>
      </w:r>
    </w:p>
    <w:p>
      <w:pPr>
        <w:ind w:firstLine="1601" w:firstLineChars="445"/>
        <w:rPr>
          <w:rFonts w:ascii="宋体" w:hAnsi="宋体" w:cs="宋体"/>
          <w:b/>
          <w:bCs/>
          <w:sz w:val="36"/>
        </w:rPr>
      </w:pPr>
      <w:r>
        <w:rPr>
          <w:rFonts w:hint="eastAsia" w:ascii="宋体" w:hAnsi="宋体" w:cs="宋体"/>
          <w:b/>
          <w:bCs/>
          <w:sz w:val="36"/>
        </w:rPr>
        <w:t>财政审批编号: HZCG【2022】25670号</w:t>
      </w:r>
    </w:p>
    <w:p>
      <w:pPr>
        <w:jc w:val="center"/>
        <w:rPr>
          <w:rFonts w:ascii="宋体" w:hAnsi="宋体" w:cs="宋体"/>
          <w:b/>
          <w:bCs/>
          <w:sz w:val="36"/>
        </w:rPr>
      </w:pPr>
    </w:p>
    <w:p>
      <w:pPr>
        <w:rPr>
          <w:rFonts w:ascii="宋体" w:hAnsi="宋体" w:cs="宋体"/>
          <w:b/>
          <w:bCs/>
          <w:sz w:val="36"/>
        </w:rPr>
      </w:pPr>
    </w:p>
    <w:p>
      <w:pPr>
        <w:pStyle w:val="2"/>
        <w:ind w:firstLine="210"/>
        <w:rPr>
          <w:rFonts w:ascii="宋体" w:hAnsi="宋体" w:cs="宋体"/>
        </w:rPr>
      </w:pPr>
    </w:p>
    <w:p>
      <w:pPr>
        <w:spacing w:line="940" w:lineRule="exact"/>
        <w:rPr>
          <w:rFonts w:ascii="宋体" w:hAnsi="宋体" w:cs="宋体"/>
          <w:b/>
          <w:bCs/>
          <w:sz w:val="30"/>
          <w:szCs w:val="30"/>
          <w:u w:val="single"/>
        </w:rPr>
      </w:pPr>
      <w:r>
        <w:rPr>
          <w:rFonts w:hint="eastAsia" w:ascii="宋体" w:hAnsi="宋体" w:cs="宋体"/>
          <w:b/>
          <w:bCs/>
          <w:sz w:val="30"/>
          <w:szCs w:val="30"/>
        </w:rPr>
        <w:t>采购人：</w:t>
      </w:r>
      <w:r>
        <w:rPr>
          <w:rFonts w:hint="eastAsia" w:ascii="宋体" w:hAnsi="宋体" w:cs="宋体"/>
          <w:b/>
          <w:sz w:val="30"/>
          <w:szCs w:val="30"/>
        </w:rPr>
        <w:t>湖州市疾病预防控制中心</w:t>
      </w:r>
    </w:p>
    <w:p>
      <w:pPr>
        <w:spacing w:line="940" w:lineRule="exact"/>
        <w:rPr>
          <w:rFonts w:ascii="宋体" w:hAnsi="宋体" w:cs="宋体"/>
          <w:b/>
          <w:bCs/>
          <w:sz w:val="28"/>
          <w:szCs w:val="28"/>
          <w:u w:val="single"/>
        </w:rPr>
      </w:pPr>
      <w:r>
        <w:rPr>
          <w:rFonts w:hint="eastAsia" w:ascii="宋体" w:hAnsi="宋体" w:cs="宋体"/>
          <w:b/>
          <w:bCs/>
          <w:sz w:val="30"/>
          <w:szCs w:val="30"/>
        </w:rPr>
        <w:t>集中采购机构：</w:t>
      </w:r>
      <w:r>
        <w:rPr>
          <w:rFonts w:hint="eastAsia" w:ascii="宋体" w:hAnsi="宋体" w:cs="宋体"/>
          <w:b/>
          <w:bCs/>
          <w:sz w:val="28"/>
          <w:szCs w:val="28"/>
        </w:rPr>
        <w:t>湖州市政府采购中心（盖章）</w:t>
      </w:r>
    </w:p>
    <w:p>
      <w:pPr>
        <w:spacing w:line="940" w:lineRule="exact"/>
        <w:rPr>
          <w:rFonts w:ascii="宋体" w:hAnsi="宋体" w:cs="宋体"/>
          <w:b/>
          <w:bCs/>
          <w:sz w:val="30"/>
          <w:szCs w:val="30"/>
        </w:rPr>
      </w:pPr>
      <w:r>
        <w:rPr>
          <w:rFonts w:hint="eastAsia" w:ascii="宋体" w:hAnsi="宋体" w:cs="宋体"/>
          <w:b/>
          <w:bCs/>
          <w:sz w:val="30"/>
          <w:szCs w:val="30"/>
        </w:rPr>
        <w:t>日期：2022年</w:t>
      </w:r>
      <w:r>
        <w:rPr>
          <w:rFonts w:hint="eastAsia" w:ascii="宋体" w:hAnsi="宋体" w:cs="宋体"/>
          <w:b/>
          <w:bCs/>
          <w:sz w:val="30"/>
          <w:szCs w:val="30"/>
          <w:lang w:val="en-US" w:eastAsia="zh-CN"/>
        </w:rPr>
        <w:t>11</w:t>
      </w:r>
      <w:r>
        <w:rPr>
          <w:rFonts w:hint="eastAsia" w:ascii="宋体" w:hAnsi="宋体" w:cs="宋体"/>
          <w:b/>
          <w:bCs/>
          <w:sz w:val="30"/>
          <w:szCs w:val="30"/>
        </w:rPr>
        <w:t>月</w:t>
      </w:r>
      <w:r>
        <w:rPr>
          <w:rFonts w:hint="eastAsia" w:ascii="宋体" w:hAnsi="宋体" w:cs="宋体"/>
          <w:b/>
          <w:bCs/>
          <w:sz w:val="30"/>
          <w:szCs w:val="30"/>
          <w:lang w:val="en-US" w:eastAsia="zh-CN"/>
        </w:rPr>
        <w:t>23</w:t>
      </w:r>
      <w:r>
        <w:rPr>
          <w:rFonts w:hint="eastAsia" w:ascii="宋体" w:hAnsi="宋体" w:cs="宋体"/>
          <w:b/>
          <w:bCs/>
          <w:sz w:val="30"/>
          <w:szCs w:val="30"/>
        </w:rPr>
        <w:t>日</w:t>
      </w:r>
    </w:p>
    <w:p>
      <w:pPr>
        <w:pStyle w:val="2"/>
        <w:ind w:firstLine="301"/>
        <w:rPr>
          <w:rFonts w:ascii="宋体" w:hAnsi="宋体" w:cs="宋体"/>
          <w:b/>
          <w:bCs/>
          <w:sz w:val="30"/>
          <w:szCs w:val="30"/>
        </w:rPr>
      </w:pPr>
    </w:p>
    <w:p>
      <w:pPr>
        <w:pStyle w:val="24"/>
        <w:rPr>
          <w:rFonts w:ascii="宋体" w:hAnsi="宋体" w:cs="宋体"/>
          <w:b/>
          <w:bCs/>
          <w:sz w:val="30"/>
          <w:szCs w:val="30"/>
        </w:rPr>
      </w:pPr>
    </w:p>
    <w:p/>
    <w:p>
      <w:pPr>
        <w:pStyle w:val="24"/>
        <w:rPr>
          <w:rFonts w:ascii="宋体" w:hAnsi="宋体" w:cs="宋体"/>
          <w:b/>
          <w:bCs/>
          <w:sz w:val="30"/>
          <w:szCs w:val="30"/>
        </w:rPr>
      </w:pPr>
    </w:p>
    <w:p>
      <w:pPr>
        <w:pStyle w:val="2"/>
        <w:ind w:firstLine="0" w:firstLineChars="0"/>
        <w:rPr>
          <w:rFonts w:ascii="宋体" w:hAnsi="宋体" w:cs="宋体"/>
        </w:rPr>
      </w:pPr>
    </w:p>
    <w:p>
      <w:pPr>
        <w:adjustRightInd w:val="0"/>
        <w:snapToGrid w:val="0"/>
        <w:spacing w:line="500" w:lineRule="exact"/>
        <w:jc w:val="center"/>
        <w:rPr>
          <w:rFonts w:ascii="宋体" w:hAnsi="宋体" w:cs="宋体"/>
          <w:b/>
          <w:snapToGrid w:val="0"/>
          <w:sz w:val="32"/>
          <w:szCs w:val="32"/>
        </w:rPr>
      </w:pPr>
      <w:r>
        <w:rPr>
          <w:rFonts w:hint="eastAsia" w:ascii="宋体" w:hAnsi="宋体" w:cs="宋体"/>
          <w:b/>
          <w:snapToGrid w:val="0"/>
          <w:sz w:val="32"/>
          <w:szCs w:val="32"/>
        </w:rPr>
        <w:t>目         录</w:t>
      </w:r>
    </w:p>
    <w:p>
      <w:pPr>
        <w:adjustRightInd w:val="0"/>
        <w:snapToGrid w:val="0"/>
        <w:spacing w:line="500" w:lineRule="exact"/>
        <w:rPr>
          <w:rFonts w:ascii="仿宋" w:hAnsi="仿宋" w:eastAsia="仿宋" w:cs="仿宋"/>
          <w:bCs/>
          <w:snapToGrid w:val="0"/>
          <w:sz w:val="28"/>
        </w:rPr>
      </w:pPr>
    </w:p>
    <w:p>
      <w:pPr>
        <w:pStyle w:val="22"/>
        <w:spacing w:line="480" w:lineRule="exact"/>
        <w:rPr>
          <w:rFonts w:ascii="仿宋" w:hAnsi="仿宋" w:eastAsia="仿宋" w:cs="仿宋"/>
          <w:b w:val="0"/>
          <w:kern w:val="0"/>
          <w:sz w:val="28"/>
          <w:szCs w:val="28"/>
        </w:rPr>
      </w:pPr>
      <w:r>
        <w:rPr>
          <w:rFonts w:hint="eastAsia" w:ascii="仿宋" w:hAnsi="仿宋" w:eastAsia="仿宋" w:cs="仿宋"/>
          <w:b w:val="0"/>
          <w:kern w:val="0"/>
          <w:sz w:val="28"/>
          <w:szCs w:val="28"/>
        </w:rPr>
        <w:t>招标公告</w:t>
      </w:r>
      <w:r>
        <w:rPr>
          <w:rFonts w:hint="eastAsia" w:ascii="仿宋" w:hAnsi="仿宋" w:eastAsia="仿宋" w:cs="仿宋"/>
          <w:b w:val="0"/>
          <w:kern w:val="0"/>
          <w:sz w:val="28"/>
          <w:szCs w:val="28"/>
        </w:rPr>
        <w:tab/>
      </w:r>
      <w:r>
        <w:rPr>
          <w:rFonts w:hint="eastAsia" w:ascii="仿宋" w:hAnsi="仿宋" w:eastAsia="仿宋" w:cs="仿宋"/>
          <w:b w:val="0"/>
          <w:kern w:val="0"/>
          <w:sz w:val="28"/>
          <w:szCs w:val="28"/>
        </w:rPr>
        <w:t>................................................3</w:t>
      </w:r>
    </w:p>
    <w:p>
      <w:pPr>
        <w:pStyle w:val="22"/>
        <w:tabs>
          <w:tab w:val="right" w:leader="dot" w:pos="8494"/>
        </w:tabs>
        <w:rPr>
          <w:rFonts w:ascii="仿宋" w:hAnsi="仿宋" w:eastAsia="仿宋" w:cs="仿宋"/>
          <w:b w:val="0"/>
          <w:bCs w:val="0"/>
          <w:caps w:val="0"/>
          <w:sz w:val="28"/>
          <w:szCs w:val="28"/>
        </w:rPr>
      </w:pPr>
      <w:bookmarkStart w:id="0" w:name="OLE_LINK1"/>
      <w:bookmarkStart w:id="1" w:name="OLE_LINK4"/>
      <w:bookmarkStart w:id="2" w:name="OLE_LINK3"/>
      <w:bookmarkStart w:id="3" w:name="OLE_LINK5"/>
      <w:bookmarkStart w:id="4" w:name="OLE_LINK6"/>
      <w:r>
        <w:rPr>
          <w:rStyle w:val="38"/>
          <w:rFonts w:hint="eastAsia" w:ascii="仿宋" w:hAnsi="仿宋" w:eastAsia="仿宋" w:cs="仿宋"/>
          <w:b w:val="0"/>
          <w:sz w:val="28"/>
          <w:szCs w:val="28"/>
        </w:rPr>
        <w:fldChar w:fldCharType="begin"/>
      </w:r>
      <w:r>
        <w:rPr>
          <w:rStyle w:val="38"/>
          <w:rFonts w:hint="eastAsia" w:ascii="仿宋" w:hAnsi="仿宋" w:eastAsia="仿宋" w:cs="仿宋"/>
          <w:b w:val="0"/>
          <w:sz w:val="28"/>
          <w:szCs w:val="28"/>
        </w:rPr>
        <w:instrText xml:space="preserve"> TOC \o "1-3" \h \z \u </w:instrText>
      </w:r>
      <w:r>
        <w:rPr>
          <w:rStyle w:val="38"/>
          <w:rFonts w:hint="eastAsia" w:ascii="仿宋" w:hAnsi="仿宋" w:eastAsia="仿宋" w:cs="仿宋"/>
          <w:b w:val="0"/>
          <w:sz w:val="28"/>
          <w:szCs w:val="28"/>
        </w:rPr>
        <w:fldChar w:fldCharType="separate"/>
      </w:r>
      <w:r>
        <w:fldChar w:fldCharType="begin"/>
      </w:r>
      <w:r>
        <w:instrText xml:space="preserve"> HYPERLINK \l "_Toc36454312" </w:instrText>
      </w:r>
      <w:r>
        <w:fldChar w:fldCharType="separate"/>
      </w:r>
      <w:r>
        <w:rPr>
          <w:rStyle w:val="38"/>
          <w:rFonts w:hint="eastAsia" w:ascii="仿宋" w:hAnsi="仿宋" w:eastAsia="仿宋" w:cs="仿宋"/>
          <w:b w:val="0"/>
          <w:sz w:val="28"/>
          <w:szCs w:val="28"/>
        </w:rPr>
        <w:t>第一章  投标人须知</w:t>
      </w:r>
      <w:r>
        <w:rPr>
          <w:rFonts w:hint="eastAsia" w:ascii="仿宋" w:hAnsi="仿宋" w:eastAsia="仿宋" w:cs="仿宋"/>
          <w:b w:val="0"/>
          <w:sz w:val="28"/>
          <w:szCs w:val="28"/>
        </w:rPr>
        <w:tab/>
      </w:r>
      <w:r>
        <w:rPr>
          <w:rFonts w:hint="eastAsia" w:ascii="仿宋" w:hAnsi="仿宋" w:eastAsia="仿宋" w:cs="仿宋"/>
          <w:b w:val="0"/>
          <w:sz w:val="28"/>
          <w:szCs w:val="28"/>
        </w:rPr>
        <w:fldChar w:fldCharType="begin"/>
      </w:r>
      <w:r>
        <w:rPr>
          <w:rFonts w:hint="eastAsia" w:ascii="仿宋" w:hAnsi="仿宋" w:eastAsia="仿宋" w:cs="仿宋"/>
          <w:b w:val="0"/>
          <w:sz w:val="28"/>
          <w:szCs w:val="28"/>
        </w:rPr>
        <w:instrText xml:space="preserve"> PAGEREF _Toc36454312 \h </w:instrText>
      </w:r>
      <w:r>
        <w:rPr>
          <w:rFonts w:hint="eastAsia" w:ascii="仿宋" w:hAnsi="仿宋" w:eastAsia="仿宋" w:cs="仿宋"/>
          <w:b w:val="0"/>
          <w:sz w:val="28"/>
          <w:szCs w:val="28"/>
        </w:rPr>
        <w:fldChar w:fldCharType="separate"/>
      </w:r>
      <w:r>
        <w:rPr>
          <w:rFonts w:hint="eastAsia" w:ascii="仿宋" w:hAnsi="仿宋" w:eastAsia="仿宋" w:cs="仿宋"/>
          <w:b w:val="0"/>
          <w:sz w:val="28"/>
          <w:szCs w:val="28"/>
        </w:rPr>
        <w:t>7</w:t>
      </w:r>
      <w:r>
        <w:rPr>
          <w:rFonts w:hint="eastAsia" w:ascii="仿宋" w:hAnsi="仿宋" w:eastAsia="仿宋" w:cs="仿宋"/>
          <w:b w:val="0"/>
          <w:sz w:val="28"/>
          <w:szCs w:val="28"/>
        </w:rPr>
        <w:fldChar w:fldCharType="end"/>
      </w:r>
      <w:r>
        <w:rPr>
          <w:rFonts w:hint="eastAsia" w:ascii="仿宋" w:hAnsi="仿宋" w:eastAsia="仿宋" w:cs="仿宋"/>
          <w:b w:val="0"/>
          <w:sz w:val="28"/>
          <w:szCs w:val="28"/>
        </w:rPr>
        <w:fldChar w:fldCharType="end"/>
      </w:r>
    </w:p>
    <w:p>
      <w:pPr>
        <w:pStyle w:val="26"/>
        <w:tabs>
          <w:tab w:val="right" w:leader="dot" w:pos="8494"/>
        </w:tabs>
        <w:rPr>
          <w:rFonts w:ascii="仿宋" w:hAnsi="仿宋" w:eastAsia="仿宋" w:cs="仿宋"/>
          <w:smallCaps w:val="0"/>
          <w:sz w:val="28"/>
          <w:szCs w:val="28"/>
        </w:rPr>
      </w:pPr>
      <w:r>
        <w:fldChar w:fldCharType="begin"/>
      </w:r>
      <w:r>
        <w:instrText xml:space="preserve"> HYPERLINK \l "_Toc36454313" </w:instrText>
      </w:r>
      <w:r>
        <w:fldChar w:fldCharType="separate"/>
      </w:r>
      <w:r>
        <w:rPr>
          <w:rStyle w:val="38"/>
          <w:rFonts w:hint="eastAsia" w:ascii="仿宋" w:hAnsi="仿宋" w:eastAsia="仿宋" w:cs="仿宋"/>
          <w:sz w:val="28"/>
          <w:szCs w:val="28"/>
        </w:rPr>
        <w:t>前   附  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_Toc36454313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6"/>
        <w:tabs>
          <w:tab w:val="right" w:leader="dot" w:pos="8494"/>
        </w:tabs>
        <w:rPr>
          <w:rFonts w:ascii="仿宋" w:hAnsi="仿宋" w:eastAsia="仿宋" w:cs="仿宋"/>
          <w:smallCaps w:val="0"/>
          <w:sz w:val="28"/>
          <w:szCs w:val="28"/>
        </w:rPr>
      </w:pPr>
      <w:r>
        <w:fldChar w:fldCharType="begin"/>
      </w:r>
      <w:r>
        <w:instrText xml:space="preserve"> HYPERLINK \l "_Toc36454314" </w:instrText>
      </w:r>
      <w:r>
        <w:fldChar w:fldCharType="separate"/>
      </w:r>
      <w:r>
        <w:rPr>
          <w:rStyle w:val="38"/>
          <w:rFonts w:hint="eastAsia" w:ascii="仿宋" w:hAnsi="仿宋" w:eastAsia="仿宋" w:cs="仿宋"/>
          <w:sz w:val="28"/>
          <w:szCs w:val="28"/>
        </w:rPr>
        <w:t>一、总  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_Toc36454314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6"/>
        <w:tabs>
          <w:tab w:val="right" w:leader="dot" w:pos="8494"/>
        </w:tabs>
        <w:rPr>
          <w:rFonts w:ascii="仿宋" w:hAnsi="仿宋" w:eastAsia="仿宋" w:cs="仿宋"/>
          <w:smallCaps w:val="0"/>
          <w:sz w:val="28"/>
          <w:szCs w:val="28"/>
        </w:rPr>
      </w:pPr>
      <w:r>
        <w:fldChar w:fldCharType="begin"/>
      </w:r>
      <w:r>
        <w:instrText xml:space="preserve"> HYPERLINK \l "_Toc36454315" </w:instrText>
      </w:r>
      <w:r>
        <w:fldChar w:fldCharType="separate"/>
      </w:r>
      <w:r>
        <w:rPr>
          <w:rStyle w:val="38"/>
          <w:rFonts w:hint="eastAsia" w:ascii="仿宋" w:hAnsi="仿宋" w:eastAsia="仿宋" w:cs="仿宋"/>
          <w:sz w:val="28"/>
          <w:szCs w:val="28"/>
        </w:rPr>
        <w:t>二、招标文件的说明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_Toc36454315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6"/>
        <w:tabs>
          <w:tab w:val="right" w:leader="dot" w:pos="8494"/>
        </w:tabs>
        <w:rPr>
          <w:rFonts w:ascii="仿宋" w:hAnsi="仿宋" w:eastAsia="仿宋" w:cs="仿宋"/>
          <w:smallCaps w:val="0"/>
          <w:sz w:val="28"/>
          <w:szCs w:val="28"/>
        </w:rPr>
      </w:pPr>
      <w:r>
        <w:fldChar w:fldCharType="begin"/>
      </w:r>
      <w:r>
        <w:instrText xml:space="preserve"> HYPERLINK \l "_Toc36454316" </w:instrText>
      </w:r>
      <w:r>
        <w:fldChar w:fldCharType="separate"/>
      </w:r>
      <w:r>
        <w:rPr>
          <w:rStyle w:val="38"/>
          <w:rFonts w:hint="eastAsia" w:ascii="仿宋" w:hAnsi="仿宋" w:eastAsia="仿宋" w:cs="仿宋"/>
          <w:sz w:val="28"/>
          <w:szCs w:val="28"/>
        </w:rPr>
        <w:t>三、投标文件的编制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_Toc36454316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6"/>
        <w:tabs>
          <w:tab w:val="right" w:leader="dot" w:pos="8494"/>
        </w:tabs>
        <w:rPr>
          <w:rFonts w:ascii="仿宋" w:hAnsi="仿宋" w:eastAsia="仿宋" w:cs="仿宋"/>
          <w:smallCaps w:val="0"/>
          <w:sz w:val="28"/>
          <w:szCs w:val="28"/>
        </w:rPr>
      </w:pPr>
      <w:r>
        <w:fldChar w:fldCharType="begin"/>
      </w:r>
      <w:r>
        <w:instrText xml:space="preserve"> HYPERLINK \l "_Toc36454317" </w:instrText>
      </w:r>
      <w:r>
        <w:fldChar w:fldCharType="separate"/>
      </w:r>
      <w:r>
        <w:rPr>
          <w:rStyle w:val="38"/>
          <w:rFonts w:hint="eastAsia" w:ascii="仿宋" w:hAnsi="仿宋" w:eastAsia="仿宋" w:cs="仿宋"/>
          <w:sz w:val="28"/>
          <w:szCs w:val="28"/>
        </w:rPr>
        <w:t>四、投标文件的提交</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_Toc36454317 \h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6"/>
        <w:tabs>
          <w:tab w:val="right" w:leader="dot" w:pos="8494"/>
        </w:tabs>
        <w:rPr>
          <w:rFonts w:ascii="仿宋" w:hAnsi="仿宋" w:eastAsia="仿宋" w:cs="仿宋"/>
          <w:smallCaps w:val="0"/>
          <w:sz w:val="28"/>
          <w:szCs w:val="28"/>
        </w:rPr>
      </w:pPr>
      <w:r>
        <w:fldChar w:fldCharType="begin"/>
      </w:r>
      <w:r>
        <w:instrText xml:space="preserve"> HYPERLINK \l "_Toc36454318" </w:instrText>
      </w:r>
      <w:r>
        <w:fldChar w:fldCharType="separate"/>
      </w:r>
      <w:r>
        <w:rPr>
          <w:rStyle w:val="38"/>
          <w:rFonts w:hint="eastAsia" w:ascii="仿宋" w:hAnsi="仿宋" w:eastAsia="仿宋" w:cs="仿宋"/>
          <w:sz w:val="28"/>
          <w:szCs w:val="28"/>
        </w:rPr>
        <w:t>五、开标程序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_Toc36454318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6"/>
        <w:tabs>
          <w:tab w:val="right" w:leader="dot" w:pos="8494"/>
        </w:tabs>
        <w:rPr>
          <w:rFonts w:ascii="仿宋" w:hAnsi="仿宋" w:eastAsia="仿宋" w:cs="仿宋"/>
          <w:smallCaps w:val="0"/>
          <w:sz w:val="28"/>
          <w:szCs w:val="28"/>
        </w:rPr>
      </w:pPr>
      <w:r>
        <w:fldChar w:fldCharType="begin"/>
      </w:r>
      <w:r>
        <w:instrText xml:space="preserve"> HYPERLINK \l "_Toc36454319" </w:instrText>
      </w:r>
      <w:r>
        <w:fldChar w:fldCharType="separate"/>
      </w:r>
      <w:r>
        <w:rPr>
          <w:rStyle w:val="38"/>
          <w:rFonts w:hint="eastAsia" w:ascii="仿宋" w:hAnsi="仿宋" w:eastAsia="仿宋" w:cs="仿宋"/>
          <w:snapToGrid w:val="0"/>
          <w:sz w:val="28"/>
          <w:szCs w:val="28"/>
        </w:rPr>
        <w:t>六、评标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_Toc36454319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6"/>
        <w:tabs>
          <w:tab w:val="right" w:leader="dot" w:pos="8494"/>
        </w:tabs>
        <w:rPr>
          <w:rFonts w:ascii="仿宋" w:hAnsi="仿宋" w:eastAsia="仿宋" w:cs="仿宋"/>
          <w:smallCaps w:val="0"/>
          <w:sz w:val="28"/>
          <w:szCs w:val="28"/>
        </w:rPr>
      </w:pPr>
      <w:r>
        <w:fldChar w:fldCharType="begin"/>
      </w:r>
      <w:r>
        <w:instrText xml:space="preserve"> HYPERLINK \l "_Toc36454320" </w:instrText>
      </w:r>
      <w:r>
        <w:fldChar w:fldCharType="separate"/>
      </w:r>
      <w:r>
        <w:rPr>
          <w:rStyle w:val="38"/>
          <w:rFonts w:hint="eastAsia" w:ascii="仿宋" w:hAnsi="仿宋" w:eastAsia="仿宋" w:cs="仿宋"/>
          <w:sz w:val="28"/>
          <w:szCs w:val="28"/>
        </w:rPr>
        <w:t>七、投标无效的情形</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_Toc36454320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6"/>
        <w:tabs>
          <w:tab w:val="right" w:leader="dot" w:pos="8494"/>
        </w:tabs>
        <w:rPr>
          <w:rFonts w:ascii="仿宋" w:hAnsi="仿宋" w:eastAsia="仿宋" w:cs="仿宋"/>
          <w:smallCaps w:val="0"/>
          <w:sz w:val="28"/>
          <w:szCs w:val="28"/>
        </w:rPr>
      </w:pPr>
      <w:r>
        <w:fldChar w:fldCharType="begin"/>
      </w:r>
      <w:r>
        <w:instrText xml:space="preserve"> HYPERLINK \l "_Toc36454321" </w:instrText>
      </w:r>
      <w:r>
        <w:fldChar w:fldCharType="separate"/>
      </w:r>
      <w:r>
        <w:rPr>
          <w:rStyle w:val="38"/>
          <w:rFonts w:hint="eastAsia" w:ascii="仿宋" w:hAnsi="仿宋" w:eastAsia="仿宋" w:cs="仿宋"/>
          <w:sz w:val="28"/>
          <w:szCs w:val="28"/>
        </w:rPr>
        <w:t>八、合同的授予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_Toc36454321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6"/>
        <w:tabs>
          <w:tab w:val="right" w:leader="dot" w:pos="8494"/>
        </w:tabs>
        <w:rPr>
          <w:rFonts w:ascii="仿宋" w:hAnsi="仿宋" w:eastAsia="仿宋" w:cs="仿宋"/>
          <w:smallCaps w:val="0"/>
          <w:sz w:val="28"/>
          <w:szCs w:val="28"/>
        </w:rPr>
      </w:pPr>
      <w:r>
        <w:fldChar w:fldCharType="begin"/>
      </w:r>
      <w:r>
        <w:instrText xml:space="preserve"> HYPERLINK \l "_Toc36454322" </w:instrText>
      </w:r>
      <w:r>
        <w:fldChar w:fldCharType="separate"/>
      </w:r>
      <w:r>
        <w:rPr>
          <w:rStyle w:val="38"/>
          <w:rFonts w:hint="eastAsia" w:ascii="仿宋" w:hAnsi="仿宋" w:eastAsia="仿宋" w:cs="仿宋"/>
          <w:sz w:val="28"/>
          <w:szCs w:val="28"/>
        </w:rPr>
        <w:t>九、质疑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_Toc36454322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2"/>
        <w:tabs>
          <w:tab w:val="right" w:leader="dot" w:pos="8494"/>
        </w:tabs>
        <w:rPr>
          <w:rFonts w:ascii="仿宋" w:hAnsi="仿宋" w:eastAsia="仿宋" w:cs="仿宋"/>
          <w:b w:val="0"/>
          <w:bCs w:val="0"/>
          <w:caps w:val="0"/>
          <w:sz w:val="28"/>
          <w:szCs w:val="28"/>
        </w:rPr>
      </w:pPr>
      <w:r>
        <w:fldChar w:fldCharType="begin"/>
      </w:r>
      <w:r>
        <w:instrText xml:space="preserve"> HYPERLINK \l "_Toc36454323" </w:instrText>
      </w:r>
      <w:r>
        <w:fldChar w:fldCharType="separate"/>
      </w:r>
      <w:r>
        <w:rPr>
          <w:rStyle w:val="38"/>
          <w:rFonts w:hint="eastAsia" w:ascii="仿宋" w:hAnsi="仿宋" w:eastAsia="仿宋" w:cs="仿宋"/>
          <w:b w:val="0"/>
          <w:sz w:val="28"/>
          <w:szCs w:val="28"/>
        </w:rPr>
        <w:t>第二章  招标需求</w:t>
      </w:r>
      <w:r>
        <w:rPr>
          <w:rFonts w:hint="eastAsia" w:ascii="仿宋" w:hAnsi="仿宋" w:eastAsia="仿宋" w:cs="仿宋"/>
          <w:b w:val="0"/>
          <w:sz w:val="28"/>
          <w:szCs w:val="28"/>
        </w:rPr>
        <w:tab/>
      </w:r>
      <w:r>
        <w:rPr>
          <w:rFonts w:hint="eastAsia" w:ascii="仿宋" w:hAnsi="仿宋" w:eastAsia="仿宋" w:cs="仿宋"/>
          <w:b w:val="0"/>
          <w:sz w:val="28"/>
          <w:szCs w:val="28"/>
        </w:rPr>
        <w:fldChar w:fldCharType="begin"/>
      </w:r>
      <w:r>
        <w:rPr>
          <w:rFonts w:hint="eastAsia" w:ascii="仿宋" w:hAnsi="仿宋" w:eastAsia="仿宋" w:cs="仿宋"/>
          <w:b w:val="0"/>
          <w:sz w:val="28"/>
          <w:szCs w:val="28"/>
        </w:rPr>
        <w:instrText xml:space="preserve"> PAGEREF _Toc36454323 \h </w:instrText>
      </w:r>
      <w:r>
        <w:rPr>
          <w:rFonts w:hint="eastAsia" w:ascii="仿宋" w:hAnsi="仿宋" w:eastAsia="仿宋" w:cs="仿宋"/>
          <w:b w:val="0"/>
          <w:sz w:val="28"/>
          <w:szCs w:val="28"/>
        </w:rPr>
        <w:fldChar w:fldCharType="separate"/>
      </w:r>
      <w:r>
        <w:rPr>
          <w:rFonts w:hint="eastAsia" w:ascii="仿宋" w:hAnsi="仿宋" w:eastAsia="仿宋" w:cs="仿宋"/>
          <w:b w:val="0"/>
          <w:sz w:val="28"/>
          <w:szCs w:val="28"/>
        </w:rPr>
        <w:t>21</w:t>
      </w:r>
      <w:r>
        <w:rPr>
          <w:rFonts w:hint="eastAsia" w:ascii="仿宋" w:hAnsi="仿宋" w:eastAsia="仿宋" w:cs="仿宋"/>
          <w:b w:val="0"/>
          <w:sz w:val="28"/>
          <w:szCs w:val="28"/>
        </w:rPr>
        <w:fldChar w:fldCharType="end"/>
      </w:r>
      <w:r>
        <w:rPr>
          <w:rFonts w:hint="eastAsia" w:ascii="仿宋" w:hAnsi="仿宋" w:eastAsia="仿宋" w:cs="仿宋"/>
          <w:b w:val="0"/>
          <w:sz w:val="28"/>
          <w:szCs w:val="28"/>
        </w:rPr>
        <w:fldChar w:fldCharType="end"/>
      </w:r>
    </w:p>
    <w:p>
      <w:pPr>
        <w:pStyle w:val="22"/>
        <w:tabs>
          <w:tab w:val="right" w:leader="dot" w:pos="8494"/>
        </w:tabs>
        <w:rPr>
          <w:rFonts w:ascii="仿宋" w:hAnsi="仿宋" w:eastAsia="仿宋" w:cs="仿宋"/>
          <w:b w:val="0"/>
          <w:bCs w:val="0"/>
          <w:caps w:val="0"/>
          <w:sz w:val="28"/>
          <w:szCs w:val="28"/>
        </w:rPr>
      </w:pPr>
      <w:r>
        <w:fldChar w:fldCharType="begin"/>
      </w:r>
      <w:r>
        <w:instrText xml:space="preserve"> HYPERLINK \l "_Toc36454324" </w:instrText>
      </w:r>
      <w:r>
        <w:fldChar w:fldCharType="separate"/>
      </w:r>
      <w:r>
        <w:rPr>
          <w:rStyle w:val="38"/>
          <w:rFonts w:hint="eastAsia" w:ascii="仿宋" w:hAnsi="仿宋" w:eastAsia="仿宋" w:cs="仿宋"/>
          <w:b w:val="0"/>
          <w:sz w:val="28"/>
          <w:szCs w:val="28"/>
        </w:rPr>
        <w:t>第三章  合同主要条款</w:t>
      </w:r>
      <w:r>
        <w:rPr>
          <w:rFonts w:hint="eastAsia" w:ascii="仿宋" w:hAnsi="仿宋" w:eastAsia="仿宋" w:cs="仿宋"/>
          <w:b w:val="0"/>
          <w:sz w:val="28"/>
          <w:szCs w:val="28"/>
        </w:rPr>
        <w:tab/>
      </w:r>
      <w:r>
        <w:rPr>
          <w:rFonts w:hint="eastAsia" w:ascii="仿宋" w:hAnsi="仿宋" w:eastAsia="仿宋" w:cs="仿宋"/>
          <w:b w:val="0"/>
          <w:sz w:val="28"/>
          <w:szCs w:val="28"/>
        </w:rPr>
        <w:fldChar w:fldCharType="begin"/>
      </w:r>
      <w:r>
        <w:rPr>
          <w:rFonts w:hint="eastAsia" w:ascii="仿宋" w:hAnsi="仿宋" w:eastAsia="仿宋" w:cs="仿宋"/>
          <w:b w:val="0"/>
          <w:sz w:val="28"/>
          <w:szCs w:val="28"/>
        </w:rPr>
        <w:instrText xml:space="preserve"> PAGEREF _Toc36454324 \h </w:instrText>
      </w:r>
      <w:r>
        <w:rPr>
          <w:rFonts w:hint="eastAsia" w:ascii="仿宋" w:hAnsi="仿宋" w:eastAsia="仿宋" w:cs="仿宋"/>
          <w:b w:val="0"/>
          <w:sz w:val="28"/>
          <w:szCs w:val="28"/>
        </w:rPr>
        <w:fldChar w:fldCharType="separate"/>
      </w:r>
      <w:r>
        <w:rPr>
          <w:rFonts w:hint="eastAsia" w:ascii="仿宋" w:hAnsi="仿宋" w:eastAsia="仿宋" w:cs="仿宋"/>
          <w:b w:val="0"/>
          <w:sz w:val="28"/>
          <w:szCs w:val="28"/>
        </w:rPr>
        <w:t>63</w:t>
      </w:r>
      <w:r>
        <w:rPr>
          <w:rFonts w:hint="eastAsia" w:ascii="仿宋" w:hAnsi="仿宋" w:eastAsia="仿宋" w:cs="仿宋"/>
          <w:b w:val="0"/>
          <w:sz w:val="28"/>
          <w:szCs w:val="28"/>
        </w:rPr>
        <w:fldChar w:fldCharType="end"/>
      </w:r>
      <w:r>
        <w:rPr>
          <w:rFonts w:hint="eastAsia" w:ascii="仿宋" w:hAnsi="仿宋" w:eastAsia="仿宋" w:cs="仿宋"/>
          <w:b w:val="0"/>
          <w:sz w:val="28"/>
          <w:szCs w:val="28"/>
        </w:rPr>
        <w:fldChar w:fldCharType="end"/>
      </w:r>
    </w:p>
    <w:p>
      <w:pPr>
        <w:pStyle w:val="22"/>
        <w:tabs>
          <w:tab w:val="right" w:leader="dot" w:pos="8494"/>
        </w:tabs>
        <w:rPr>
          <w:rFonts w:ascii="仿宋" w:hAnsi="仿宋" w:eastAsia="仿宋" w:cs="仿宋"/>
          <w:b w:val="0"/>
          <w:bCs w:val="0"/>
          <w:caps w:val="0"/>
          <w:sz w:val="28"/>
          <w:szCs w:val="28"/>
        </w:rPr>
      </w:pPr>
      <w:r>
        <w:fldChar w:fldCharType="begin"/>
      </w:r>
      <w:r>
        <w:instrText xml:space="preserve"> HYPERLINK \l "_Toc36454325" </w:instrText>
      </w:r>
      <w:r>
        <w:fldChar w:fldCharType="separate"/>
      </w:r>
      <w:r>
        <w:rPr>
          <w:rStyle w:val="38"/>
          <w:rFonts w:hint="eastAsia" w:ascii="仿宋" w:hAnsi="仿宋" w:eastAsia="仿宋" w:cs="仿宋"/>
          <w:b w:val="0"/>
          <w:sz w:val="28"/>
          <w:szCs w:val="28"/>
        </w:rPr>
        <w:t>第四章  投标文件的格式附件</w:t>
      </w:r>
      <w:r>
        <w:rPr>
          <w:rFonts w:hint="eastAsia" w:ascii="仿宋" w:hAnsi="仿宋" w:eastAsia="仿宋" w:cs="仿宋"/>
          <w:b w:val="0"/>
          <w:sz w:val="28"/>
          <w:szCs w:val="28"/>
        </w:rPr>
        <w:tab/>
      </w:r>
      <w:r>
        <w:rPr>
          <w:rFonts w:hint="eastAsia" w:ascii="仿宋" w:hAnsi="仿宋" w:eastAsia="仿宋" w:cs="仿宋"/>
          <w:b w:val="0"/>
          <w:sz w:val="28"/>
          <w:szCs w:val="28"/>
        </w:rPr>
        <w:fldChar w:fldCharType="begin"/>
      </w:r>
      <w:r>
        <w:rPr>
          <w:rFonts w:hint="eastAsia" w:ascii="仿宋" w:hAnsi="仿宋" w:eastAsia="仿宋" w:cs="仿宋"/>
          <w:b w:val="0"/>
          <w:sz w:val="28"/>
          <w:szCs w:val="28"/>
        </w:rPr>
        <w:instrText xml:space="preserve"> PAGEREF _Toc36454325 \h </w:instrText>
      </w:r>
      <w:r>
        <w:rPr>
          <w:rFonts w:hint="eastAsia" w:ascii="仿宋" w:hAnsi="仿宋" w:eastAsia="仿宋" w:cs="仿宋"/>
          <w:b w:val="0"/>
          <w:sz w:val="28"/>
          <w:szCs w:val="28"/>
        </w:rPr>
        <w:fldChar w:fldCharType="separate"/>
      </w:r>
      <w:r>
        <w:rPr>
          <w:rFonts w:hint="eastAsia" w:ascii="仿宋" w:hAnsi="仿宋" w:eastAsia="仿宋" w:cs="仿宋"/>
          <w:b w:val="0"/>
          <w:sz w:val="28"/>
          <w:szCs w:val="28"/>
        </w:rPr>
        <w:t>72</w:t>
      </w:r>
      <w:r>
        <w:rPr>
          <w:rFonts w:hint="eastAsia" w:ascii="仿宋" w:hAnsi="仿宋" w:eastAsia="仿宋" w:cs="仿宋"/>
          <w:b w:val="0"/>
          <w:sz w:val="28"/>
          <w:szCs w:val="28"/>
        </w:rPr>
        <w:fldChar w:fldCharType="end"/>
      </w:r>
      <w:r>
        <w:rPr>
          <w:rFonts w:hint="eastAsia" w:ascii="仿宋" w:hAnsi="仿宋" w:eastAsia="仿宋" w:cs="仿宋"/>
          <w:b w:val="0"/>
          <w:sz w:val="28"/>
          <w:szCs w:val="28"/>
        </w:rPr>
        <w:fldChar w:fldCharType="end"/>
      </w:r>
    </w:p>
    <w:p>
      <w:pPr>
        <w:pStyle w:val="22"/>
        <w:tabs>
          <w:tab w:val="right" w:leader="dot" w:pos="8494"/>
        </w:tabs>
        <w:rPr>
          <w:rFonts w:ascii="仿宋" w:hAnsi="仿宋" w:eastAsia="仿宋" w:cs="仿宋"/>
          <w:b w:val="0"/>
          <w:bCs w:val="0"/>
          <w:caps w:val="0"/>
          <w:sz w:val="28"/>
          <w:szCs w:val="28"/>
        </w:rPr>
      </w:pPr>
      <w:r>
        <w:fldChar w:fldCharType="begin"/>
      </w:r>
      <w:r>
        <w:instrText xml:space="preserve"> HYPERLINK \l "_Toc36454326" </w:instrText>
      </w:r>
      <w:r>
        <w:fldChar w:fldCharType="separate"/>
      </w:r>
      <w:r>
        <w:rPr>
          <w:rStyle w:val="38"/>
          <w:rFonts w:hint="eastAsia" w:ascii="仿宋" w:hAnsi="仿宋" w:eastAsia="仿宋" w:cs="仿宋"/>
          <w:b w:val="0"/>
          <w:sz w:val="28"/>
          <w:szCs w:val="28"/>
        </w:rPr>
        <w:t>第五章  评标办法及标准</w:t>
      </w:r>
      <w:r>
        <w:rPr>
          <w:rFonts w:hint="eastAsia" w:ascii="仿宋" w:hAnsi="仿宋" w:eastAsia="仿宋" w:cs="仿宋"/>
          <w:b w:val="0"/>
          <w:sz w:val="28"/>
          <w:szCs w:val="28"/>
        </w:rPr>
        <w:tab/>
      </w:r>
      <w:r>
        <w:rPr>
          <w:rFonts w:hint="eastAsia" w:ascii="仿宋" w:hAnsi="仿宋" w:eastAsia="仿宋" w:cs="仿宋"/>
          <w:b w:val="0"/>
          <w:sz w:val="28"/>
          <w:szCs w:val="28"/>
        </w:rPr>
        <w:fldChar w:fldCharType="begin"/>
      </w:r>
      <w:r>
        <w:rPr>
          <w:rFonts w:hint="eastAsia" w:ascii="仿宋" w:hAnsi="仿宋" w:eastAsia="仿宋" w:cs="仿宋"/>
          <w:b w:val="0"/>
          <w:sz w:val="28"/>
          <w:szCs w:val="28"/>
        </w:rPr>
        <w:instrText xml:space="preserve"> PAGEREF _Toc36454326 \h </w:instrText>
      </w:r>
      <w:r>
        <w:rPr>
          <w:rFonts w:hint="eastAsia" w:ascii="仿宋" w:hAnsi="仿宋" w:eastAsia="仿宋" w:cs="仿宋"/>
          <w:b w:val="0"/>
          <w:sz w:val="28"/>
          <w:szCs w:val="28"/>
        </w:rPr>
        <w:fldChar w:fldCharType="separate"/>
      </w:r>
      <w:r>
        <w:rPr>
          <w:rFonts w:hint="eastAsia" w:ascii="仿宋" w:hAnsi="仿宋" w:eastAsia="仿宋" w:cs="仿宋"/>
          <w:b w:val="0"/>
          <w:sz w:val="28"/>
          <w:szCs w:val="28"/>
        </w:rPr>
        <w:t>87</w:t>
      </w:r>
      <w:r>
        <w:rPr>
          <w:rFonts w:hint="eastAsia" w:ascii="仿宋" w:hAnsi="仿宋" w:eastAsia="仿宋" w:cs="仿宋"/>
          <w:b w:val="0"/>
          <w:sz w:val="28"/>
          <w:szCs w:val="28"/>
        </w:rPr>
        <w:fldChar w:fldCharType="end"/>
      </w:r>
      <w:r>
        <w:rPr>
          <w:rFonts w:hint="eastAsia" w:ascii="仿宋" w:hAnsi="仿宋" w:eastAsia="仿宋" w:cs="仿宋"/>
          <w:b w:val="0"/>
          <w:sz w:val="28"/>
          <w:szCs w:val="28"/>
        </w:rPr>
        <w:fldChar w:fldCharType="end"/>
      </w:r>
    </w:p>
    <w:p>
      <w:pPr>
        <w:pStyle w:val="22"/>
        <w:spacing w:line="480" w:lineRule="exact"/>
        <w:jc w:val="both"/>
        <w:rPr>
          <w:rStyle w:val="38"/>
          <w:rFonts w:ascii="仿宋" w:hAnsi="仿宋" w:eastAsia="仿宋" w:cs="仿宋"/>
          <w:b w:val="0"/>
          <w:sz w:val="28"/>
          <w:szCs w:val="28"/>
        </w:rPr>
      </w:pPr>
      <w:r>
        <w:rPr>
          <w:rStyle w:val="38"/>
          <w:rFonts w:hint="eastAsia" w:ascii="仿宋" w:hAnsi="仿宋" w:eastAsia="仿宋" w:cs="仿宋"/>
          <w:b w:val="0"/>
          <w:sz w:val="28"/>
          <w:szCs w:val="28"/>
        </w:rPr>
        <w:fldChar w:fldCharType="end"/>
      </w:r>
    </w:p>
    <w:p>
      <w:pPr>
        <w:rPr>
          <w:rStyle w:val="38"/>
          <w:rFonts w:ascii="仿宋" w:hAnsi="仿宋" w:eastAsia="仿宋" w:cs="仿宋"/>
          <w:sz w:val="28"/>
          <w:szCs w:val="28"/>
        </w:rPr>
      </w:pPr>
    </w:p>
    <w:p>
      <w:pPr>
        <w:pStyle w:val="7"/>
      </w:pPr>
    </w:p>
    <w:p>
      <w:pPr>
        <w:pStyle w:val="22"/>
        <w:spacing w:line="480" w:lineRule="exact"/>
        <w:jc w:val="center"/>
        <w:rPr>
          <w:rFonts w:ascii="仿宋" w:hAnsi="仿宋" w:eastAsia="仿宋" w:cs="仿宋"/>
          <w:b w:val="0"/>
          <w:sz w:val="28"/>
          <w:szCs w:val="28"/>
        </w:rPr>
      </w:pPr>
      <w:r>
        <w:rPr>
          <w:rFonts w:hint="eastAsia" w:ascii="仿宋" w:hAnsi="仿宋" w:eastAsia="仿宋" w:cs="仿宋"/>
          <w:sz w:val="28"/>
          <w:szCs w:val="28"/>
        </w:rPr>
        <w:t>湖州市疾病预防控制中心防火墙等采购项目招标公告</w:t>
      </w:r>
    </w:p>
    <w:bookmarkEnd w:id="0"/>
    <w:bookmarkEnd w:id="1"/>
    <w:bookmarkEnd w:id="2"/>
    <w:bookmarkEnd w:id="3"/>
    <w:bookmarkEnd w:id="4"/>
    <w:p>
      <w:pPr>
        <w:pBdr>
          <w:top w:val="single" w:color="auto" w:sz="4" w:space="1"/>
          <w:left w:val="single" w:color="auto" w:sz="4" w:space="4"/>
          <w:bottom w:val="single" w:color="auto" w:sz="4" w:space="1"/>
          <w:right w:val="single" w:color="auto" w:sz="4" w:space="4"/>
        </w:pBdr>
        <w:spacing w:line="400" w:lineRule="exact"/>
        <w:rPr>
          <w:rFonts w:ascii="仿宋" w:hAnsi="仿宋" w:eastAsia="仿宋" w:cs="仿宋"/>
          <w:sz w:val="28"/>
          <w:szCs w:val="28"/>
        </w:rPr>
      </w:pPr>
      <w:bookmarkStart w:id="5" w:name="OLE_LINK7"/>
      <w:r>
        <w:rPr>
          <w:rFonts w:hint="eastAsia" w:ascii="仿宋" w:hAnsi="仿宋" w:eastAsia="仿宋" w:cs="仿宋"/>
          <w:sz w:val="28"/>
          <w:szCs w:val="28"/>
        </w:rPr>
        <w:t>项目概况</w:t>
      </w:r>
    </w:p>
    <w:p>
      <w:pPr>
        <w:pBdr>
          <w:top w:val="single" w:color="auto" w:sz="4" w:space="1"/>
          <w:left w:val="single" w:color="auto" w:sz="4" w:space="4"/>
          <w:bottom w:val="single" w:color="auto" w:sz="4" w:space="1"/>
          <w:right w:val="single" w:color="auto" w:sz="4" w:space="4"/>
        </w:pBd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湖州市疾病预防控制中心防火墙等采购项目的潜在投标人应注册成为政采云平台供应商后登录浙江政府采购云平台（</w:t>
      </w:r>
      <w:r>
        <w:fldChar w:fldCharType="begin"/>
      </w:r>
      <w:r>
        <w:instrText xml:space="preserve"> HYPERLINK "http://www.zcygov.cn/" </w:instrText>
      </w:r>
      <w:r>
        <w:fldChar w:fldCharType="separate"/>
      </w:r>
      <w:r>
        <w:rPr>
          <w:rFonts w:hint="eastAsia" w:ascii="仿宋" w:hAnsi="仿宋" w:eastAsia="仿宋" w:cs="仿宋"/>
          <w:sz w:val="28"/>
          <w:szCs w:val="28"/>
        </w:rPr>
        <w:t>http://www.zcygov.cn/</w:t>
      </w:r>
      <w:r>
        <w:rPr>
          <w:rFonts w:hint="eastAsia" w:ascii="仿宋" w:hAnsi="仿宋" w:eastAsia="仿宋" w:cs="仿宋"/>
          <w:sz w:val="28"/>
          <w:szCs w:val="28"/>
        </w:rPr>
        <w:fldChar w:fldCharType="end"/>
      </w:r>
      <w:r>
        <w:rPr>
          <w:rFonts w:hint="eastAsia" w:ascii="仿宋" w:hAnsi="仿宋" w:eastAsia="仿宋" w:cs="仿宋"/>
          <w:sz w:val="28"/>
          <w:szCs w:val="28"/>
        </w:rPr>
        <w:t>）进行申请。申请通过后请自行在浙江政府采购网（http://zfcg.czt.zj.gov.cn/）或者湖州市公共资源交易信息网（</w:t>
      </w:r>
      <w:r>
        <w:fldChar w:fldCharType="begin"/>
      </w:r>
      <w:r>
        <w:instrText xml:space="preserve"> HYPERLINK "http://ggzy.huzhou.gov.cn/hzfront/）下载获取招标文件，并于2020年7月" </w:instrText>
      </w:r>
      <w:r>
        <w:fldChar w:fldCharType="separate"/>
      </w:r>
      <w:r>
        <w:rPr>
          <w:rStyle w:val="38"/>
          <w:rFonts w:hint="eastAsia" w:ascii="仿宋" w:hAnsi="仿宋" w:eastAsia="仿宋" w:cs="仿宋"/>
          <w:color w:val="auto"/>
          <w:sz w:val="28"/>
          <w:szCs w:val="28"/>
          <w:u w:val="none"/>
        </w:rPr>
        <w:t>http://ggzy.huzhou.gov.cn/hzfront/）下载获取招标文件，并于2022年</w:t>
      </w:r>
      <w:r>
        <w:rPr>
          <w:rStyle w:val="38"/>
          <w:rFonts w:hint="eastAsia" w:ascii="仿宋" w:hAnsi="仿宋" w:eastAsia="仿宋" w:cs="仿宋"/>
          <w:color w:val="auto"/>
          <w:sz w:val="28"/>
          <w:szCs w:val="28"/>
          <w:u w:val="none"/>
          <w:lang w:val="en-US" w:eastAsia="zh-CN"/>
        </w:rPr>
        <w:t>12</w:t>
      </w:r>
      <w:r>
        <w:rPr>
          <w:rStyle w:val="38"/>
          <w:rFonts w:hint="eastAsia" w:ascii="仿宋" w:hAnsi="仿宋" w:eastAsia="仿宋" w:cs="仿宋"/>
          <w:bCs/>
          <w:color w:val="auto"/>
          <w:sz w:val="28"/>
          <w:szCs w:val="28"/>
          <w:u w:val="none"/>
        </w:rPr>
        <w:t>月</w:t>
      </w:r>
      <w:r>
        <w:rPr>
          <w:rStyle w:val="38"/>
          <w:rFonts w:hint="eastAsia" w:ascii="仿宋" w:hAnsi="仿宋" w:eastAsia="仿宋" w:cs="仿宋"/>
          <w:bCs/>
          <w:color w:val="auto"/>
          <w:sz w:val="28"/>
          <w:szCs w:val="28"/>
          <w:u w:val="none"/>
        </w:rPr>
        <w:fldChar w:fldCharType="end"/>
      </w:r>
      <w:r>
        <w:rPr>
          <w:rStyle w:val="38"/>
          <w:rFonts w:hint="eastAsia" w:ascii="仿宋" w:hAnsi="仿宋" w:eastAsia="仿宋" w:cs="仿宋"/>
          <w:bCs/>
          <w:color w:val="auto"/>
          <w:sz w:val="28"/>
          <w:szCs w:val="28"/>
          <w:u w:val="none"/>
          <w:lang w:val="en-US" w:eastAsia="zh-CN"/>
        </w:rPr>
        <w:t>15</w:t>
      </w:r>
      <w:r>
        <w:rPr>
          <w:rFonts w:hint="eastAsia" w:ascii="仿宋" w:hAnsi="仿宋" w:eastAsia="仿宋" w:cs="仿宋"/>
          <w:bCs/>
          <w:sz w:val="28"/>
          <w:szCs w:val="28"/>
        </w:rPr>
        <w:t>日9:00（北京时间）前在政采云平台上传递交投标文件</w:t>
      </w:r>
      <w:r>
        <w:rPr>
          <w:rFonts w:hint="eastAsia" w:ascii="仿宋" w:hAnsi="仿宋" w:eastAsia="仿宋" w:cs="仿宋"/>
          <w:sz w:val="28"/>
          <w:szCs w:val="28"/>
        </w:rPr>
        <w:t>。</w:t>
      </w:r>
    </w:p>
    <w:p>
      <w:pPr>
        <w:spacing w:line="400" w:lineRule="exact"/>
        <w:rPr>
          <w:rFonts w:ascii="仿宋" w:hAnsi="仿宋" w:eastAsia="仿宋" w:cs="仿宋"/>
          <w:b/>
          <w:sz w:val="28"/>
          <w:szCs w:val="28"/>
        </w:rPr>
      </w:pPr>
      <w:bookmarkStart w:id="6" w:name="_Toc28359002"/>
      <w:bookmarkStart w:id="7" w:name="_Toc28359079"/>
      <w:bookmarkStart w:id="8" w:name="_Toc35393621"/>
      <w:bookmarkStart w:id="9" w:name="_Toc35393790"/>
      <w:bookmarkStart w:id="10" w:name="_Hlk24379207"/>
      <w:r>
        <w:rPr>
          <w:rFonts w:hint="eastAsia" w:ascii="仿宋" w:hAnsi="仿宋" w:eastAsia="仿宋" w:cs="仿宋"/>
          <w:b/>
          <w:sz w:val="28"/>
          <w:szCs w:val="28"/>
        </w:rPr>
        <w:t>一、项目基本情况</w:t>
      </w:r>
      <w:bookmarkEnd w:id="6"/>
      <w:bookmarkEnd w:id="7"/>
      <w:bookmarkEnd w:id="8"/>
      <w:bookmarkEnd w:id="9"/>
    </w:p>
    <w:p>
      <w:pPr>
        <w:spacing w:line="40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项目编号：</w:t>
      </w:r>
      <w:r>
        <w:rPr>
          <w:rFonts w:hint="eastAsia" w:ascii="仿宋" w:hAnsi="仿宋" w:eastAsia="仿宋" w:cs="仿宋"/>
          <w:sz w:val="28"/>
          <w:szCs w:val="28"/>
          <w:lang w:eastAsia="zh-CN"/>
        </w:rPr>
        <w:t>HZGZ2022-56</w:t>
      </w:r>
    </w:p>
    <w:p>
      <w:pPr>
        <w:spacing w:line="400" w:lineRule="exact"/>
        <w:ind w:firstLine="560" w:firstLineChars="200"/>
        <w:rPr>
          <w:rFonts w:ascii="仿宋" w:hAnsi="仿宋" w:eastAsia="仿宋" w:cs="仿宋"/>
          <w:color w:val="FF0000"/>
          <w:sz w:val="28"/>
          <w:szCs w:val="28"/>
        </w:rPr>
      </w:pPr>
      <w:r>
        <w:rPr>
          <w:rFonts w:hint="eastAsia" w:ascii="仿宋" w:hAnsi="仿宋" w:eastAsia="仿宋" w:cs="仿宋"/>
          <w:sz w:val="28"/>
          <w:szCs w:val="28"/>
        </w:rPr>
        <w:t>财政审批编号：HZCG【2022】25670号</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项目名称：湖州市疾病预防控制中心防火墙等采购项目</w:t>
      </w:r>
      <w:bookmarkEnd w:id="10"/>
      <w:r>
        <w:rPr>
          <w:rFonts w:hint="eastAsia" w:ascii="仿宋" w:hAnsi="仿宋" w:eastAsia="仿宋" w:cs="仿宋"/>
          <w:sz w:val="28"/>
          <w:szCs w:val="28"/>
        </w:rPr>
        <w:t xml:space="preserve">    </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预算金额：95万元</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供货期限：签订合同后30日历天内供货并完成安装调试</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本项目不接受联合体投标和进口产品投标。</w:t>
      </w:r>
    </w:p>
    <w:p>
      <w:pPr>
        <w:spacing w:line="400" w:lineRule="exact"/>
        <w:rPr>
          <w:rFonts w:ascii="仿宋" w:hAnsi="仿宋" w:eastAsia="仿宋" w:cs="仿宋"/>
          <w:b/>
          <w:sz w:val="28"/>
          <w:szCs w:val="28"/>
        </w:rPr>
      </w:pPr>
      <w:bookmarkStart w:id="11" w:name="_Toc28359003"/>
      <w:bookmarkStart w:id="12" w:name="_Toc35393622"/>
      <w:bookmarkStart w:id="13" w:name="_Toc28359080"/>
      <w:bookmarkStart w:id="14" w:name="_Toc35393791"/>
      <w:r>
        <w:rPr>
          <w:rFonts w:hint="eastAsia" w:ascii="仿宋" w:hAnsi="仿宋" w:eastAsia="仿宋" w:cs="仿宋"/>
          <w:b/>
          <w:sz w:val="28"/>
          <w:szCs w:val="28"/>
        </w:rPr>
        <w:t>二、申请人的资格要求</w:t>
      </w:r>
      <w:bookmarkEnd w:id="11"/>
      <w:bookmarkEnd w:id="12"/>
      <w:bookmarkEnd w:id="13"/>
      <w:bookmarkEnd w:id="14"/>
    </w:p>
    <w:p>
      <w:pPr>
        <w:spacing w:line="400" w:lineRule="exact"/>
        <w:ind w:firstLine="560" w:firstLineChars="200"/>
        <w:rPr>
          <w:rFonts w:ascii="仿宋" w:hAnsi="仿宋" w:eastAsia="仿宋" w:cs="仿宋"/>
          <w:sz w:val="28"/>
          <w:szCs w:val="28"/>
        </w:rPr>
      </w:pPr>
      <w:r>
        <w:rPr>
          <w:rFonts w:hint="eastAsia" w:ascii="仿宋" w:hAnsi="仿宋" w:eastAsia="仿宋" w:cs="仿宋"/>
          <w:bCs/>
          <w:sz w:val="28"/>
          <w:szCs w:val="28"/>
        </w:rPr>
        <w:t>1、符合《中华人民共和国政府采购法》第二十二条和《关于规范政府采购</w:t>
      </w:r>
      <w:r>
        <w:rPr>
          <w:rFonts w:hint="eastAsia" w:ascii="仿宋" w:hAnsi="仿宋" w:eastAsia="仿宋" w:cs="仿宋"/>
          <w:sz w:val="28"/>
          <w:szCs w:val="28"/>
        </w:rPr>
        <w:t>供应商资格设定及资格审查的通知》(浙财采监[2013]24号)第六条规定，且未被“信用中国”（www.creditchina.gov.cn）、中国政府采购网（www.ccgp.gov.cn）列入失信被执行人、重大税收违法案件当事人名单、政府采购严重违法失信行为记录名单；</w:t>
      </w:r>
    </w:p>
    <w:p>
      <w:pPr>
        <w:spacing w:line="400" w:lineRule="exact"/>
        <w:ind w:firstLine="560" w:firstLineChars="200"/>
        <w:rPr>
          <w:rFonts w:ascii="仿宋" w:hAnsi="仿宋" w:eastAsia="仿宋" w:cs="仿宋"/>
          <w:sz w:val="28"/>
          <w:szCs w:val="28"/>
        </w:rPr>
      </w:pPr>
      <w:bookmarkStart w:id="15" w:name="_Toc35393792"/>
      <w:bookmarkStart w:id="16" w:name="_Toc28359004"/>
      <w:bookmarkStart w:id="17" w:name="_Toc28359081"/>
      <w:bookmarkStart w:id="18" w:name="_Toc35393623"/>
      <w:r>
        <w:rPr>
          <w:rFonts w:hint="eastAsia" w:ascii="仿宋" w:hAnsi="仿宋" w:eastAsia="仿宋" w:cs="仿宋"/>
          <w:sz w:val="28"/>
          <w:szCs w:val="28"/>
        </w:rPr>
        <w:t>2、落实政府采购政策需满足的资格要求：无。</w:t>
      </w:r>
    </w:p>
    <w:p>
      <w:pPr>
        <w:spacing w:line="400" w:lineRule="exact"/>
        <w:rPr>
          <w:rFonts w:ascii="仿宋" w:hAnsi="仿宋" w:eastAsia="仿宋" w:cs="仿宋"/>
          <w:b/>
          <w:sz w:val="28"/>
          <w:szCs w:val="28"/>
        </w:rPr>
      </w:pPr>
      <w:r>
        <w:rPr>
          <w:rFonts w:hint="eastAsia" w:ascii="仿宋" w:hAnsi="仿宋" w:eastAsia="仿宋" w:cs="仿宋"/>
          <w:b/>
          <w:sz w:val="28"/>
          <w:szCs w:val="28"/>
        </w:rPr>
        <w:t>三、获取招标文件</w:t>
      </w:r>
      <w:bookmarkEnd w:id="15"/>
      <w:bookmarkEnd w:id="16"/>
      <w:bookmarkEnd w:id="17"/>
      <w:bookmarkEnd w:id="18"/>
    </w:p>
    <w:p>
      <w:pPr>
        <w:spacing w:line="400" w:lineRule="exact"/>
        <w:ind w:firstLine="540"/>
        <w:rPr>
          <w:rFonts w:ascii="仿宋" w:hAnsi="仿宋" w:eastAsia="仿宋" w:cs="仿宋"/>
          <w:sz w:val="28"/>
          <w:szCs w:val="28"/>
        </w:rPr>
      </w:pPr>
      <w:r>
        <w:rPr>
          <w:rFonts w:hint="eastAsia" w:ascii="仿宋" w:hAnsi="仿宋" w:eastAsia="仿宋" w:cs="仿宋"/>
          <w:sz w:val="28"/>
          <w:szCs w:val="28"/>
        </w:rPr>
        <w:t>时间：公告发布时间 至 投标截止时间</w:t>
      </w:r>
    </w:p>
    <w:p>
      <w:pPr>
        <w:spacing w:line="400" w:lineRule="exact"/>
        <w:ind w:firstLine="540"/>
        <w:rPr>
          <w:rFonts w:ascii="仿宋" w:hAnsi="仿宋" w:eastAsia="仿宋" w:cs="仿宋"/>
          <w:sz w:val="28"/>
          <w:szCs w:val="28"/>
          <w:u w:val="single"/>
        </w:rPr>
      </w:pPr>
      <w:r>
        <w:rPr>
          <w:rFonts w:hint="eastAsia" w:ascii="仿宋" w:hAnsi="仿宋" w:eastAsia="仿宋" w:cs="仿宋"/>
          <w:sz w:val="28"/>
          <w:szCs w:val="28"/>
        </w:rPr>
        <w:t>方式：网上在线申请。注册成为政采云平台供应商后登录浙江政府采购云平台（</w:t>
      </w:r>
      <w:r>
        <w:fldChar w:fldCharType="begin"/>
      </w:r>
      <w:r>
        <w:instrText xml:space="preserve"> HYPERLINK "http://www.zcygov.cn/" </w:instrText>
      </w:r>
      <w:r>
        <w:fldChar w:fldCharType="separate"/>
      </w:r>
      <w:r>
        <w:rPr>
          <w:rFonts w:hint="eastAsia" w:ascii="仿宋" w:hAnsi="仿宋" w:eastAsia="仿宋" w:cs="仿宋"/>
          <w:sz w:val="28"/>
          <w:szCs w:val="28"/>
        </w:rPr>
        <w:t>http://www.zcygov.cn/</w:t>
      </w:r>
      <w:r>
        <w:rPr>
          <w:rFonts w:hint="eastAsia" w:ascii="仿宋" w:hAnsi="仿宋" w:eastAsia="仿宋" w:cs="仿宋"/>
          <w:sz w:val="28"/>
          <w:szCs w:val="28"/>
        </w:rPr>
        <w:fldChar w:fldCharType="end"/>
      </w:r>
      <w:r>
        <w:rPr>
          <w:rFonts w:hint="eastAsia" w:ascii="仿宋" w:hAnsi="仿宋" w:eastAsia="仿宋" w:cs="仿宋"/>
          <w:sz w:val="28"/>
          <w:szCs w:val="28"/>
        </w:rPr>
        <w:t>）进行申请。申请通过后请自行在浙江政府采购网（http://zfcg.czt.zj.gov.cn/）或者湖州市公共资源交易信息网（http://ggzy.huzhou.gov.cn/hzfront/）下载。</w:t>
      </w:r>
    </w:p>
    <w:p>
      <w:pPr>
        <w:spacing w:line="400" w:lineRule="exact"/>
        <w:ind w:firstLine="540"/>
        <w:rPr>
          <w:rFonts w:ascii="仿宋" w:hAnsi="仿宋" w:eastAsia="仿宋" w:cs="仿宋"/>
          <w:sz w:val="28"/>
          <w:szCs w:val="28"/>
        </w:rPr>
      </w:pPr>
      <w:r>
        <w:rPr>
          <w:rFonts w:hint="eastAsia" w:ascii="仿宋" w:hAnsi="仿宋" w:eastAsia="仿宋" w:cs="仿宋"/>
          <w:sz w:val="28"/>
          <w:szCs w:val="28"/>
        </w:rPr>
        <w:t>投标保证金：不缴纳</w:t>
      </w:r>
    </w:p>
    <w:p>
      <w:pPr>
        <w:spacing w:line="400" w:lineRule="exact"/>
        <w:ind w:firstLine="540"/>
        <w:rPr>
          <w:rFonts w:ascii="仿宋" w:hAnsi="仿宋" w:eastAsia="仿宋" w:cs="仿宋"/>
          <w:sz w:val="28"/>
          <w:szCs w:val="28"/>
        </w:rPr>
      </w:pPr>
      <w:r>
        <w:rPr>
          <w:rFonts w:hint="eastAsia" w:ascii="仿宋" w:hAnsi="仿宋" w:eastAsia="仿宋" w:cs="仿宋"/>
          <w:sz w:val="28"/>
          <w:szCs w:val="28"/>
        </w:rPr>
        <w:t>售价：免工本费</w:t>
      </w:r>
    </w:p>
    <w:p>
      <w:pPr>
        <w:spacing w:line="400" w:lineRule="exact"/>
        <w:rPr>
          <w:rFonts w:ascii="仿宋" w:hAnsi="仿宋" w:eastAsia="仿宋" w:cs="仿宋"/>
          <w:b/>
          <w:sz w:val="28"/>
          <w:szCs w:val="28"/>
        </w:rPr>
      </w:pPr>
      <w:bookmarkStart w:id="19" w:name="_Toc28359005"/>
      <w:bookmarkStart w:id="20" w:name="_Toc28359082"/>
      <w:bookmarkStart w:id="21" w:name="_Toc35393624"/>
      <w:bookmarkStart w:id="22" w:name="_Toc35393793"/>
      <w:r>
        <w:rPr>
          <w:rFonts w:hint="eastAsia" w:ascii="仿宋" w:hAnsi="仿宋" w:eastAsia="仿宋" w:cs="仿宋"/>
          <w:b/>
          <w:sz w:val="28"/>
          <w:szCs w:val="28"/>
        </w:rPr>
        <w:t>四、提交投标文件</w:t>
      </w:r>
      <w:bookmarkEnd w:id="19"/>
      <w:bookmarkEnd w:id="20"/>
      <w:r>
        <w:rPr>
          <w:rFonts w:hint="eastAsia" w:ascii="仿宋" w:hAnsi="仿宋" w:eastAsia="仿宋" w:cs="仿宋"/>
          <w:b/>
          <w:sz w:val="28"/>
          <w:szCs w:val="28"/>
        </w:rPr>
        <w:t>截止时间、开标时间和</w:t>
      </w:r>
      <w:bookmarkEnd w:id="21"/>
      <w:bookmarkEnd w:id="22"/>
      <w:r>
        <w:rPr>
          <w:rFonts w:hint="eastAsia" w:ascii="仿宋" w:hAnsi="仿宋" w:eastAsia="仿宋" w:cs="仿宋"/>
          <w:b/>
          <w:sz w:val="28"/>
          <w:szCs w:val="28"/>
        </w:rPr>
        <w:t>方式</w:t>
      </w:r>
    </w:p>
    <w:p>
      <w:pPr>
        <w:spacing w:line="400" w:lineRule="exact"/>
        <w:ind w:firstLine="560" w:firstLineChars="200"/>
        <w:rPr>
          <w:rFonts w:ascii="仿宋" w:hAnsi="仿宋" w:eastAsia="仿宋" w:cs="仿宋"/>
          <w:bCs/>
          <w:sz w:val="28"/>
          <w:szCs w:val="28"/>
        </w:rPr>
      </w:pPr>
      <w:r>
        <w:rPr>
          <w:rFonts w:hint="eastAsia" w:ascii="仿宋" w:hAnsi="仿宋" w:eastAsia="仿宋" w:cs="仿宋"/>
          <w:bCs/>
          <w:sz w:val="28"/>
          <w:szCs w:val="28"/>
        </w:rPr>
        <w:t>截止（开标）时间： 2022年</w:t>
      </w:r>
      <w:r>
        <w:rPr>
          <w:rFonts w:hint="eastAsia" w:ascii="仿宋" w:hAnsi="仿宋" w:eastAsia="仿宋" w:cs="仿宋"/>
          <w:bCs/>
          <w:sz w:val="28"/>
          <w:szCs w:val="28"/>
          <w:lang w:val="en-US" w:eastAsia="zh-CN"/>
        </w:rPr>
        <w:t>12</w:t>
      </w:r>
      <w:r>
        <w:rPr>
          <w:rFonts w:hint="eastAsia" w:ascii="仿宋" w:hAnsi="仿宋" w:eastAsia="仿宋" w:cs="仿宋"/>
          <w:bCs/>
          <w:sz w:val="28"/>
          <w:szCs w:val="28"/>
        </w:rPr>
        <w:t>月</w:t>
      </w:r>
      <w:r>
        <w:rPr>
          <w:rFonts w:hint="eastAsia" w:ascii="仿宋" w:hAnsi="仿宋" w:eastAsia="仿宋" w:cs="仿宋"/>
          <w:bCs/>
          <w:sz w:val="28"/>
          <w:szCs w:val="28"/>
          <w:lang w:val="en-US" w:eastAsia="zh-CN"/>
        </w:rPr>
        <w:t>15</w:t>
      </w:r>
      <w:r>
        <w:rPr>
          <w:rFonts w:hint="eastAsia" w:ascii="仿宋" w:hAnsi="仿宋" w:eastAsia="仿宋" w:cs="仿宋"/>
          <w:bCs/>
          <w:sz w:val="28"/>
          <w:szCs w:val="28"/>
        </w:rPr>
        <w:t>日9:00（北京时间）</w:t>
      </w:r>
    </w:p>
    <w:p>
      <w:pPr>
        <w:spacing w:line="400" w:lineRule="exact"/>
        <w:ind w:firstLine="560" w:firstLineChars="200"/>
        <w:rPr>
          <w:rFonts w:ascii="仿宋" w:hAnsi="仿宋" w:eastAsia="仿宋" w:cs="仿宋"/>
          <w:bCs/>
          <w:sz w:val="28"/>
          <w:szCs w:val="28"/>
          <w:u w:val="single"/>
        </w:rPr>
      </w:pPr>
      <w:r>
        <w:rPr>
          <w:rFonts w:hint="eastAsia" w:ascii="仿宋" w:hAnsi="仿宋" w:eastAsia="仿宋" w:cs="仿宋"/>
          <w:sz w:val="28"/>
          <w:szCs w:val="28"/>
        </w:rPr>
        <w:t>方式：政采云平台提交电子投标文件。</w:t>
      </w:r>
    </w:p>
    <w:p>
      <w:pPr>
        <w:spacing w:line="400" w:lineRule="exact"/>
        <w:rPr>
          <w:rFonts w:ascii="仿宋" w:hAnsi="仿宋" w:eastAsia="仿宋" w:cs="仿宋"/>
          <w:b/>
          <w:sz w:val="28"/>
          <w:szCs w:val="28"/>
        </w:rPr>
      </w:pPr>
      <w:bookmarkStart w:id="23" w:name="_Toc35393794"/>
      <w:bookmarkStart w:id="24" w:name="_Toc28359007"/>
      <w:bookmarkStart w:id="25" w:name="_Toc35393625"/>
      <w:bookmarkStart w:id="26" w:name="_Toc28359084"/>
      <w:r>
        <w:rPr>
          <w:rFonts w:hint="eastAsia" w:ascii="仿宋" w:hAnsi="仿宋" w:eastAsia="仿宋" w:cs="仿宋"/>
          <w:b/>
          <w:sz w:val="28"/>
          <w:szCs w:val="28"/>
        </w:rPr>
        <w:t>五、公告期限</w:t>
      </w:r>
      <w:bookmarkEnd w:id="23"/>
      <w:bookmarkEnd w:id="24"/>
      <w:bookmarkEnd w:id="25"/>
      <w:bookmarkEnd w:id="26"/>
    </w:p>
    <w:p>
      <w:pPr>
        <w:spacing w:line="4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自本公告发布之日起5个工作日。</w:t>
      </w:r>
    </w:p>
    <w:p>
      <w:pPr>
        <w:spacing w:line="400" w:lineRule="exact"/>
        <w:rPr>
          <w:rFonts w:ascii="仿宋" w:hAnsi="仿宋" w:eastAsia="仿宋" w:cs="仿宋"/>
          <w:b/>
          <w:sz w:val="28"/>
          <w:szCs w:val="28"/>
        </w:rPr>
      </w:pPr>
      <w:bookmarkStart w:id="27" w:name="_Toc35393626"/>
      <w:bookmarkStart w:id="28" w:name="_Toc35393795"/>
      <w:r>
        <w:rPr>
          <w:rFonts w:hint="eastAsia" w:ascii="仿宋" w:hAnsi="仿宋" w:eastAsia="仿宋" w:cs="仿宋"/>
          <w:b/>
          <w:sz w:val="28"/>
          <w:szCs w:val="28"/>
        </w:rPr>
        <w:t>六、其他补充事宜</w:t>
      </w:r>
      <w:bookmarkEnd w:id="27"/>
      <w:bookmarkEnd w:id="28"/>
    </w:p>
    <w:p>
      <w:pPr>
        <w:spacing w:line="400" w:lineRule="exact"/>
        <w:ind w:firstLine="560" w:firstLineChars="200"/>
        <w:rPr>
          <w:rFonts w:ascii="仿宋" w:hAnsi="仿宋" w:eastAsia="仿宋"/>
          <w:sz w:val="28"/>
          <w:szCs w:val="28"/>
        </w:rPr>
      </w:pPr>
      <w:bookmarkStart w:id="29" w:name="_Toc28359008"/>
      <w:bookmarkStart w:id="30" w:name="_Toc35393796"/>
      <w:bookmarkStart w:id="31" w:name="_Toc28359085"/>
      <w:bookmarkStart w:id="32" w:name="_Toc35393627"/>
      <w:r>
        <w:rPr>
          <w:rFonts w:hint="eastAsia" w:ascii="仿宋" w:hAnsi="仿宋" w:eastAsia="仿宋"/>
          <w:sz w:val="28"/>
          <w:szCs w:val="28"/>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400" w:lineRule="exact"/>
        <w:rPr>
          <w:rFonts w:ascii="仿宋" w:hAnsi="仿宋" w:eastAsia="仿宋"/>
          <w:sz w:val="28"/>
          <w:szCs w:val="28"/>
        </w:rPr>
      </w:pPr>
      <w:r>
        <w:rPr>
          <w:rFonts w:hint="eastAsia" w:ascii="仿宋" w:hAnsi="仿宋" w:eastAsia="仿宋"/>
          <w:sz w:val="28"/>
          <w:szCs w:val="28"/>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400" w:lineRule="exact"/>
        <w:rPr>
          <w:rFonts w:ascii="仿宋" w:hAnsi="仿宋" w:eastAsia="仿宋"/>
          <w:sz w:val="28"/>
          <w:szCs w:val="28"/>
        </w:rPr>
      </w:pPr>
      <w:r>
        <w:rPr>
          <w:rFonts w:hint="eastAsia" w:ascii="仿宋" w:hAnsi="仿宋" w:eastAsia="仿宋"/>
          <w:sz w:val="28"/>
          <w:szCs w:val="28"/>
        </w:rPr>
        <w:t xml:space="preserve">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400" w:lineRule="exac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b/>
          <w:bCs/>
          <w:sz w:val="28"/>
          <w:szCs w:val="28"/>
        </w:rPr>
        <w:t xml:space="preserve"> 4.其他事项：</w:t>
      </w:r>
      <w:r>
        <w:rPr>
          <w:rFonts w:hint="eastAsia" w:ascii="仿宋" w:hAnsi="仿宋" w:eastAsia="仿宋"/>
          <w:sz w:val="28"/>
          <w:szCs w:val="28"/>
        </w:rPr>
        <w:t>1、本项目实行电子投标，应按照本项目招标文件和政采云平台的要求编制、加密并提交投标文件, 投标人的法定代表人或其授权代表或个体工商户不需要参加现场投标和开标。</w:t>
      </w:r>
    </w:p>
    <w:p>
      <w:pPr>
        <w:spacing w:line="400" w:lineRule="exact"/>
        <w:rPr>
          <w:rFonts w:ascii="仿宋" w:hAnsi="仿宋" w:eastAsia="仿宋"/>
          <w:sz w:val="28"/>
          <w:szCs w:val="28"/>
        </w:rPr>
      </w:pPr>
      <w:r>
        <w:rPr>
          <w:rFonts w:hint="eastAsia" w:ascii="仿宋" w:hAnsi="仿宋" w:eastAsia="仿宋"/>
          <w:sz w:val="28"/>
          <w:szCs w:val="28"/>
        </w:rPr>
        <w:t>供应商在使用系统进行投标的过程中遇到涉及平台使用的任何问题，可致电政采云平台技术支持热线咨询，联系方式：400-881-7190。</w:t>
      </w:r>
    </w:p>
    <w:p>
      <w:pPr>
        <w:spacing w:line="400" w:lineRule="exact"/>
        <w:rPr>
          <w:rFonts w:ascii="仿宋" w:hAnsi="仿宋" w:eastAsia="仿宋"/>
          <w:sz w:val="28"/>
          <w:szCs w:val="28"/>
        </w:rPr>
      </w:pPr>
      <w:r>
        <w:rPr>
          <w:rFonts w:hint="eastAsia" w:ascii="仿宋" w:hAnsi="仿宋" w:eastAsia="仿宋"/>
          <w:sz w:val="28"/>
          <w:szCs w:val="28"/>
        </w:rPr>
        <w:t>2、投标人应在开标前完成CA数字证书办理。（办理流程详见http://zfcg.czt.zj.gov.cn/bidClientTemplate/2019-05-27/12945.html）。</w:t>
      </w:r>
    </w:p>
    <w:p>
      <w:pPr>
        <w:spacing w:line="400" w:lineRule="exact"/>
        <w:rPr>
          <w:rFonts w:ascii="仿宋" w:hAnsi="仿宋" w:eastAsia="仿宋"/>
          <w:sz w:val="28"/>
          <w:szCs w:val="28"/>
        </w:rPr>
      </w:pPr>
      <w:r>
        <w:rPr>
          <w:rFonts w:hint="eastAsia" w:ascii="仿宋" w:hAnsi="仿宋" w:eastAsia="仿宋"/>
          <w:sz w:val="28"/>
          <w:szCs w:val="28"/>
        </w:rPr>
        <w:t>3、投标人通过“政采云”平台电子交易客户端制作投标文件，电子交易客户端请供应商自行前往浙江省政府采购网下载并安装，（下载网址：</w:t>
      </w:r>
    </w:p>
    <w:p>
      <w:pPr>
        <w:spacing w:line="400" w:lineRule="exact"/>
        <w:rPr>
          <w:rFonts w:ascii="仿宋" w:hAnsi="仿宋" w:eastAsia="仿宋"/>
          <w:sz w:val="28"/>
          <w:szCs w:val="28"/>
        </w:rPr>
      </w:pPr>
      <w:r>
        <w:rPr>
          <w:rFonts w:hint="eastAsia" w:ascii="仿宋" w:hAnsi="仿宋" w:eastAsia="仿宋"/>
          <w:sz w:val="28"/>
          <w:szCs w:val="28"/>
        </w:rPr>
        <w:t>http://zfcg.czt.zj.gov.cn/bidClientTemplate/2019-09-24/12975.html），电子投标具体流程详见政采云平台帮助文档视频材料：“政府采购项目电子交易管理操作视频-供应商”。</w:t>
      </w:r>
    </w:p>
    <w:p>
      <w:pPr>
        <w:spacing w:line="400" w:lineRule="exact"/>
        <w:rPr>
          <w:rFonts w:ascii="仿宋" w:hAnsi="仿宋" w:eastAsia="仿宋"/>
          <w:sz w:val="28"/>
          <w:szCs w:val="28"/>
        </w:rPr>
      </w:pPr>
      <w:r>
        <w:rPr>
          <w:rFonts w:hint="eastAsia" w:ascii="仿宋" w:hAnsi="仿宋" w:eastAsia="仿宋"/>
          <w:sz w:val="28"/>
          <w:szCs w:val="28"/>
        </w:rPr>
        <w:t>4、投标人应当在投标截止时间前完成电子投标文件的传输提交，并可以补充、修改或者撤回电子投标文件。补充或者修改电子投标文件的，应当先行撤回原文件，补充、修改后重新传输提交。投标截止时间前未完成传输的，视为撤回投标文件。投标截止时间后传输提交的投标文件，将被政采云平台拒收。</w:t>
      </w:r>
    </w:p>
    <w:p>
      <w:pPr>
        <w:spacing w:line="400" w:lineRule="exact"/>
        <w:rPr>
          <w:rFonts w:ascii="仿宋" w:hAnsi="仿宋" w:eastAsia="仿宋"/>
          <w:sz w:val="28"/>
          <w:szCs w:val="28"/>
        </w:rPr>
      </w:pPr>
      <w:r>
        <w:rPr>
          <w:rFonts w:hint="eastAsia" w:ascii="仿宋" w:hAnsi="仿宋" w:eastAsia="仿宋"/>
          <w:sz w:val="28"/>
          <w:szCs w:val="28"/>
        </w:rPr>
        <w:t>5、投标人在“政府采购云平台”完成“电子加密投标文件”的上传递交后，还可以（EMS邮寄形式）在投标截止时间前递交以介质（U盘）存储的数据电文形式的“备份投标文件”，“备份投标文件”应当密封包装并在包装上标注投标项目名称、投标单位名称并加盖公章。</w:t>
      </w:r>
    </w:p>
    <w:p>
      <w:pPr>
        <w:spacing w:line="400" w:lineRule="exact"/>
        <w:rPr>
          <w:rFonts w:ascii="仿宋" w:hAnsi="仿宋" w:eastAsia="仿宋"/>
          <w:sz w:val="28"/>
          <w:szCs w:val="28"/>
        </w:rPr>
      </w:pPr>
      <w:r>
        <w:rPr>
          <w:rFonts w:hint="eastAsia" w:ascii="仿宋" w:hAnsi="仿宋" w:eastAsia="仿宋"/>
          <w:sz w:val="28"/>
          <w:szCs w:val="28"/>
        </w:rPr>
        <w:t>EMS接收人：范女士 电话：0572-2220019</w:t>
      </w:r>
    </w:p>
    <w:p>
      <w:pPr>
        <w:spacing w:line="400" w:lineRule="exact"/>
        <w:rPr>
          <w:rFonts w:ascii="仿宋" w:hAnsi="仿宋" w:eastAsia="仿宋"/>
          <w:sz w:val="28"/>
          <w:szCs w:val="28"/>
        </w:rPr>
      </w:pPr>
      <w:r>
        <w:rPr>
          <w:rFonts w:hint="eastAsia" w:ascii="仿宋" w:hAnsi="仿宋" w:eastAsia="仿宋"/>
          <w:sz w:val="28"/>
          <w:szCs w:val="28"/>
        </w:rPr>
        <w:t>邮寄地址：湖州市金盖山路66号市民服务中心2号楼2楼238室。</w:t>
      </w:r>
    </w:p>
    <w:p>
      <w:pPr>
        <w:spacing w:line="400" w:lineRule="exact"/>
        <w:rPr>
          <w:rFonts w:ascii="仿宋" w:hAnsi="仿宋" w:eastAsia="仿宋"/>
          <w:sz w:val="28"/>
          <w:szCs w:val="28"/>
        </w:rPr>
      </w:pPr>
      <w:r>
        <w:rPr>
          <w:rFonts w:hint="eastAsia" w:ascii="仿宋" w:hAnsi="仿宋" w:eastAsia="仿宋"/>
          <w:sz w:val="28"/>
          <w:szCs w:val="28"/>
        </w:rPr>
        <w:t>6、供应商按照规定方式获取招标文件的，可以自获取招标文件之日或者招标文件公告期限届满之日（公告发布后的第6个工作日）起7个工作日内、且在提交投标文件截止时间当天之前，以书面形式向采购人或采购代理机构提出质疑。</w:t>
      </w:r>
    </w:p>
    <w:p>
      <w:pPr>
        <w:spacing w:line="400" w:lineRule="exact"/>
        <w:rPr>
          <w:rFonts w:ascii="仿宋" w:hAnsi="仿宋" w:eastAsia="仿宋"/>
          <w:sz w:val="28"/>
          <w:szCs w:val="28"/>
        </w:rPr>
      </w:pPr>
      <w:r>
        <w:rPr>
          <w:rFonts w:hint="eastAsia" w:ascii="仿宋" w:hAnsi="仿宋" w:eastAsia="仿宋"/>
          <w:sz w:val="28"/>
          <w:szCs w:val="28"/>
        </w:rPr>
        <w:t>质疑供应商对采购人、采购代理机构的答复不满意，或者采购人、采购代理机构未在规定时间内作出答复的，可以在答复期满后15个工作日内向同级财政部门提起投诉。</w:t>
      </w:r>
    </w:p>
    <w:p>
      <w:pPr>
        <w:spacing w:line="400" w:lineRule="exact"/>
        <w:rPr>
          <w:rFonts w:ascii="仿宋" w:hAnsi="仿宋" w:eastAsia="仿宋"/>
          <w:sz w:val="28"/>
          <w:szCs w:val="28"/>
        </w:rPr>
      </w:pPr>
      <w:r>
        <w:rPr>
          <w:rFonts w:hint="eastAsia" w:ascii="仿宋" w:hAnsi="仿宋" w:eastAsia="仿宋"/>
          <w:sz w:val="28"/>
          <w:szCs w:val="28"/>
        </w:rPr>
        <w:t>“规定方式获取招标文件”是指：供应商按本项目招标公告要求向集中采购机构申请获取招标文件通过后下载招标文件。</w:t>
      </w:r>
    </w:p>
    <w:p>
      <w:pPr>
        <w:spacing w:line="400" w:lineRule="exact"/>
        <w:rPr>
          <w:rFonts w:ascii="仿宋" w:hAnsi="仿宋" w:eastAsia="仿宋"/>
          <w:sz w:val="28"/>
          <w:szCs w:val="28"/>
        </w:rPr>
      </w:pPr>
      <w:r>
        <w:rPr>
          <w:rFonts w:hint="eastAsia" w:ascii="仿宋" w:hAnsi="仿宋" w:eastAsia="仿宋"/>
          <w:sz w:val="28"/>
          <w:szCs w:val="28"/>
        </w:rPr>
        <w:t>7、投标答疑时间：供应商对招标文件有异议的，应当在2022年</w:t>
      </w:r>
      <w:r>
        <w:rPr>
          <w:rFonts w:hint="eastAsia" w:ascii="仿宋" w:hAnsi="仿宋" w:eastAsia="仿宋"/>
          <w:sz w:val="28"/>
          <w:szCs w:val="28"/>
          <w:lang w:val="en-US" w:eastAsia="zh-CN"/>
        </w:rPr>
        <w:t>12</w:t>
      </w:r>
      <w:r>
        <w:rPr>
          <w:rFonts w:hint="eastAsia" w:ascii="仿宋" w:hAnsi="仿宋" w:eastAsia="仿宋"/>
          <w:sz w:val="28"/>
          <w:szCs w:val="28"/>
        </w:rPr>
        <w:t>月</w:t>
      </w:r>
      <w:r>
        <w:rPr>
          <w:rFonts w:hint="eastAsia" w:ascii="仿宋" w:hAnsi="仿宋" w:eastAsia="仿宋"/>
          <w:sz w:val="28"/>
          <w:szCs w:val="28"/>
          <w:lang w:val="en-US" w:eastAsia="zh-CN"/>
        </w:rPr>
        <w:t>7</w:t>
      </w:r>
      <w:r>
        <w:rPr>
          <w:rFonts w:hint="eastAsia" w:ascii="仿宋" w:hAnsi="仿宋" w:eastAsia="仿宋"/>
          <w:sz w:val="28"/>
          <w:szCs w:val="28"/>
        </w:rPr>
        <w:t>日下午17:00前以书面（含传真、电邮）形式向集中采购机构一次性提出，集中采购机构将在规定的时间内统一进行澄清和修改，并书面（含传真、电邮）通知所有获取招标文件的供应商。供应商未按规定要求提出的，则视同认可招标文件，但法律法规及规范性文件有明确规定的除外。</w:t>
      </w:r>
    </w:p>
    <w:p>
      <w:pPr>
        <w:spacing w:line="400" w:lineRule="exact"/>
        <w:rPr>
          <w:rFonts w:ascii="仿宋" w:hAnsi="仿宋" w:eastAsia="仿宋"/>
          <w:sz w:val="28"/>
          <w:szCs w:val="28"/>
        </w:rPr>
      </w:pPr>
      <w:r>
        <w:rPr>
          <w:rFonts w:hint="eastAsia" w:ascii="仿宋" w:hAnsi="仿宋" w:eastAsia="仿宋"/>
          <w:sz w:val="28"/>
          <w:szCs w:val="28"/>
        </w:rPr>
        <w:t>8、采购项目需要落实的政府采购政策：包括保护环境、节约能源、促进中小企业发展等，详见招标文件。</w:t>
      </w:r>
    </w:p>
    <w:p>
      <w:pPr>
        <w:spacing w:line="400" w:lineRule="exact"/>
        <w:rPr>
          <w:rFonts w:ascii="仿宋" w:hAnsi="仿宋" w:eastAsia="仿宋"/>
          <w:sz w:val="28"/>
          <w:szCs w:val="28"/>
        </w:rPr>
      </w:pPr>
      <w:r>
        <w:rPr>
          <w:rFonts w:hint="eastAsia" w:ascii="仿宋" w:hAnsi="仿宋" w:eastAsia="仿宋"/>
          <w:sz w:val="28"/>
          <w:szCs w:val="28"/>
        </w:rPr>
        <w:t>9、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-2151055、18698580797）。</w:t>
      </w:r>
    </w:p>
    <w:p>
      <w:pPr>
        <w:spacing w:line="400" w:lineRule="exact"/>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七、对本次招标提出询问，请按以下方式联系。</w:t>
      </w:r>
      <w:bookmarkEnd w:id="29"/>
      <w:bookmarkEnd w:id="30"/>
      <w:bookmarkEnd w:id="31"/>
      <w:bookmarkEnd w:id="32"/>
    </w:p>
    <w:p>
      <w:pPr>
        <w:widowControl/>
        <w:spacing w:line="40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1、采购人信息</w:t>
      </w:r>
    </w:p>
    <w:p>
      <w:pPr>
        <w:spacing w:line="400" w:lineRule="exact"/>
        <w:ind w:firstLine="980" w:firstLineChars="35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名称：湖州市疾病预防控制中心</w:t>
      </w:r>
    </w:p>
    <w:p>
      <w:pPr>
        <w:spacing w:line="400" w:lineRule="exact"/>
        <w:ind w:firstLine="980" w:firstLineChars="350"/>
        <w:jc w:val="left"/>
        <w:rPr>
          <w:rFonts w:ascii="仿宋" w:hAnsi="仿宋" w:eastAsia="仿宋" w:cs="仿宋"/>
          <w:color w:val="000000" w:themeColor="text1"/>
          <w:sz w:val="28"/>
          <w:szCs w:val="28"/>
          <w14:textFill>
            <w14:solidFill>
              <w14:schemeClr w14:val="tx1"/>
            </w14:solidFill>
          </w14:textFill>
        </w:rPr>
      </w:pPr>
      <w:bookmarkStart w:id="33" w:name="_Toc28359009"/>
      <w:bookmarkStart w:id="34" w:name="_Toc28359086"/>
      <w:r>
        <w:rPr>
          <w:rFonts w:hint="eastAsia" w:ascii="仿宋" w:hAnsi="仿宋" w:eastAsia="仿宋" w:cs="仿宋"/>
          <w:color w:val="000000" w:themeColor="text1"/>
          <w:sz w:val="28"/>
          <w:szCs w:val="28"/>
          <w14:textFill>
            <w14:solidFill>
              <w14:schemeClr w14:val="tx1"/>
            </w14:solidFill>
          </w14:textFill>
        </w:rPr>
        <w:t>地址：浙江省湖州市吴兴区长兴路999号</w:t>
      </w:r>
    </w:p>
    <w:p>
      <w:pPr>
        <w:spacing w:line="400" w:lineRule="exact"/>
        <w:ind w:firstLine="980" w:firstLineChars="35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联系人：高女士  质疑函接收人：高女士</w:t>
      </w:r>
    </w:p>
    <w:p>
      <w:pPr>
        <w:spacing w:line="400" w:lineRule="exact"/>
        <w:ind w:firstLine="980" w:firstLineChars="35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联系方式：0572-2131259</w:t>
      </w:r>
    </w:p>
    <w:p>
      <w:pPr>
        <w:spacing w:line="40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2、采购代理机构信息</w:t>
      </w:r>
      <w:bookmarkEnd w:id="33"/>
      <w:bookmarkEnd w:id="34"/>
    </w:p>
    <w:p>
      <w:pPr>
        <w:spacing w:line="400" w:lineRule="exact"/>
        <w:ind w:firstLine="980" w:firstLineChars="35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名称：湖州市政府采购中心</w:t>
      </w:r>
    </w:p>
    <w:p>
      <w:pPr>
        <w:spacing w:line="400" w:lineRule="exact"/>
        <w:ind w:firstLine="980" w:firstLineChars="35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地址：</w:t>
      </w:r>
      <w:r>
        <w:rPr>
          <w:rFonts w:hint="eastAsia" w:ascii="仿宋" w:hAnsi="仿宋" w:eastAsia="仿宋" w:cs="仿宋"/>
          <w:color w:val="000000" w:themeColor="text1"/>
          <w:kern w:val="0"/>
          <w:sz w:val="28"/>
          <w:szCs w:val="28"/>
          <w14:textFill>
            <w14:solidFill>
              <w14:schemeClr w14:val="tx1"/>
            </w14:solidFill>
          </w14:textFill>
        </w:rPr>
        <w:t>湖州市金盖山路66号市民服务中心2号楼2楼</w:t>
      </w:r>
    </w:p>
    <w:p>
      <w:pPr>
        <w:spacing w:line="400" w:lineRule="exact"/>
        <w:ind w:firstLine="980" w:firstLineChars="35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质疑函接收人：范女士</w:t>
      </w:r>
    </w:p>
    <w:p>
      <w:pPr>
        <w:spacing w:line="400" w:lineRule="exact"/>
        <w:ind w:firstLine="980" w:firstLineChars="35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联系方式：</w:t>
      </w:r>
      <w:bookmarkStart w:id="35" w:name="_Toc28359087"/>
      <w:bookmarkStart w:id="36" w:name="_Toc28359010"/>
      <w:r>
        <w:rPr>
          <w:rFonts w:hint="eastAsia" w:ascii="仿宋" w:hAnsi="仿宋" w:eastAsia="仿宋" w:cs="仿宋"/>
          <w:color w:val="000000" w:themeColor="text1"/>
          <w:sz w:val="28"/>
          <w:szCs w:val="28"/>
          <w14:textFill>
            <w14:solidFill>
              <w14:schemeClr w14:val="tx1"/>
            </w14:solidFill>
          </w14:textFill>
        </w:rPr>
        <w:t>0572-2220019   传真：0572-2220061</w:t>
      </w:r>
    </w:p>
    <w:p>
      <w:pPr>
        <w:spacing w:line="400" w:lineRule="exact"/>
        <w:ind w:firstLine="980" w:firstLineChars="35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邮箱：zfcgfzx@huzhou.gov.cn</w:t>
      </w:r>
    </w:p>
    <w:p>
      <w:pPr>
        <w:spacing w:line="4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3、项目联系方式</w:t>
      </w:r>
      <w:bookmarkEnd w:id="35"/>
      <w:bookmarkEnd w:id="36"/>
    </w:p>
    <w:p>
      <w:pPr>
        <w:spacing w:line="400" w:lineRule="exact"/>
        <w:ind w:firstLine="980" w:firstLineChars="35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项目联系人：顾女士    电话：0572-2220019</w:t>
      </w:r>
    </w:p>
    <w:p>
      <w:pPr>
        <w:snapToGrid w:val="0"/>
        <w:spacing w:line="4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4、同级政府采购监督管理部门</w:t>
      </w:r>
    </w:p>
    <w:p>
      <w:pPr>
        <w:snapToGrid w:val="0"/>
        <w:spacing w:line="400" w:lineRule="exact"/>
        <w:ind w:firstLine="980" w:firstLineChars="35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名称：湖州市财政局政府采购监管处 </w:t>
      </w:r>
    </w:p>
    <w:p>
      <w:pPr>
        <w:snapToGrid w:val="0"/>
        <w:spacing w:line="400" w:lineRule="exact"/>
        <w:ind w:firstLine="980" w:firstLineChars="35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联系人：李女士    监督投诉电话：0572-</w:t>
      </w:r>
      <w:bookmarkEnd w:id="5"/>
      <w:r>
        <w:rPr>
          <w:rFonts w:hint="eastAsia" w:ascii="仿宋" w:hAnsi="仿宋" w:eastAsia="仿宋" w:cs="仿宋"/>
          <w:color w:val="000000" w:themeColor="text1"/>
          <w:sz w:val="28"/>
          <w:szCs w:val="28"/>
          <w14:textFill>
            <w14:solidFill>
              <w14:schemeClr w14:val="tx1"/>
            </w14:solidFill>
          </w14:textFill>
        </w:rPr>
        <w:t>2150086</w:t>
      </w:r>
      <w:r>
        <w:rPr>
          <w:rFonts w:hint="eastAsia" w:ascii="仿宋" w:hAnsi="仿宋" w:eastAsia="仿宋" w:cs="仿宋"/>
          <w:bCs/>
          <w:color w:val="000000" w:themeColor="text1"/>
          <w:sz w:val="28"/>
          <w:szCs w:val="28"/>
          <w14:textFill>
            <w14:solidFill>
              <w14:schemeClr w14:val="tx1"/>
            </w14:solidFill>
          </w14:textFill>
        </w:rPr>
        <w:br w:type="page"/>
      </w:r>
    </w:p>
    <w:p>
      <w:pPr>
        <w:pStyle w:val="4"/>
        <w:jc w:val="center"/>
        <w:rPr>
          <w:rFonts w:ascii="仿宋" w:hAnsi="仿宋" w:eastAsia="仿宋" w:cs="仿宋"/>
          <w:color w:val="000000" w:themeColor="text1"/>
          <w:sz w:val="28"/>
          <w:szCs w:val="28"/>
          <w14:textFill>
            <w14:solidFill>
              <w14:schemeClr w14:val="tx1"/>
            </w14:solidFill>
          </w14:textFill>
        </w:rPr>
      </w:pPr>
      <w:bookmarkStart w:id="37" w:name="_Toc36454312"/>
      <w:r>
        <w:rPr>
          <w:rFonts w:hint="eastAsia" w:ascii="仿宋" w:hAnsi="仿宋" w:eastAsia="仿宋" w:cs="仿宋"/>
          <w:color w:val="000000" w:themeColor="text1"/>
          <w:sz w:val="28"/>
          <w:szCs w:val="28"/>
          <w14:textFill>
            <w14:solidFill>
              <w14:schemeClr w14:val="tx1"/>
            </w14:solidFill>
          </w14:textFill>
        </w:rPr>
        <w:t>第一章  投标人须知</w:t>
      </w:r>
      <w:bookmarkEnd w:id="37"/>
    </w:p>
    <w:p>
      <w:pPr>
        <w:pStyle w:val="5"/>
        <w:spacing w:line="440" w:lineRule="exact"/>
        <w:jc w:val="center"/>
        <w:rPr>
          <w:rFonts w:ascii="仿宋" w:hAnsi="仿宋" w:eastAsia="仿宋" w:cs="仿宋"/>
          <w:color w:val="000000" w:themeColor="text1"/>
          <w:sz w:val="28"/>
          <w:szCs w:val="28"/>
          <w14:textFill>
            <w14:solidFill>
              <w14:schemeClr w14:val="tx1"/>
            </w14:solidFill>
          </w14:textFill>
        </w:rPr>
      </w:pPr>
      <w:bookmarkStart w:id="38" w:name="_Toc36454313"/>
      <w:r>
        <w:rPr>
          <w:rFonts w:hint="eastAsia" w:ascii="仿宋" w:hAnsi="仿宋" w:eastAsia="仿宋" w:cs="仿宋"/>
          <w:color w:val="000000" w:themeColor="text1"/>
          <w:sz w:val="28"/>
          <w:szCs w:val="28"/>
          <w14:textFill>
            <w14:solidFill>
              <w14:schemeClr w14:val="tx1"/>
            </w14:solidFill>
          </w14:textFill>
        </w:rPr>
        <w:t>前   附  表</w:t>
      </w:r>
      <w:bookmarkEnd w:id="38"/>
    </w:p>
    <w:tbl>
      <w:tblPr>
        <w:tblStyle w:val="31"/>
        <w:tblW w:w="9501"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20"/>
        <w:gridCol w:w="6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0" w:type="dxa"/>
            <w:vAlign w:val="center"/>
          </w:tcPr>
          <w:p>
            <w:pPr>
              <w:spacing w:line="300" w:lineRule="exact"/>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序号</w:t>
            </w:r>
          </w:p>
        </w:tc>
        <w:tc>
          <w:tcPr>
            <w:tcW w:w="2520" w:type="dxa"/>
            <w:vAlign w:val="center"/>
          </w:tcPr>
          <w:p>
            <w:pPr>
              <w:spacing w:line="300" w:lineRule="exact"/>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项  目</w:t>
            </w:r>
          </w:p>
        </w:tc>
        <w:tc>
          <w:tcPr>
            <w:tcW w:w="6261" w:type="dxa"/>
            <w:vAlign w:val="center"/>
          </w:tcPr>
          <w:p>
            <w:pPr>
              <w:spacing w:line="300" w:lineRule="exact"/>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pPr>
              <w:spacing w:line="30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w:t>
            </w:r>
          </w:p>
        </w:tc>
        <w:tc>
          <w:tcPr>
            <w:tcW w:w="2520" w:type="dxa"/>
            <w:vAlign w:val="center"/>
          </w:tcPr>
          <w:p>
            <w:pPr>
              <w:spacing w:line="30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项目名称</w:t>
            </w:r>
          </w:p>
        </w:tc>
        <w:tc>
          <w:tcPr>
            <w:tcW w:w="6261" w:type="dxa"/>
            <w:vAlign w:val="center"/>
          </w:tcPr>
          <w:p>
            <w:pPr>
              <w:spacing w:line="300" w:lineRule="exact"/>
              <w:jc w:val="center"/>
              <w:rPr>
                <w:rFonts w:ascii="仿宋" w:hAnsi="仿宋" w:eastAsia="仿宋" w:cs="仿宋"/>
                <w:bCs/>
                <w:color w:val="000000" w:themeColor="text1"/>
                <w:spacing w:val="-4"/>
                <w:sz w:val="28"/>
                <w:szCs w:val="28"/>
                <w14:textFill>
                  <w14:solidFill>
                    <w14:schemeClr w14:val="tx1"/>
                  </w14:solidFill>
                </w14:textFill>
              </w:rPr>
            </w:pPr>
            <w:r>
              <w:rPr>
                <w:rFonts w:hint="eastAsia" w:ascii="仿宋" w:hAnsi="仿宋" w:eastAsia="仿宋" w:cs="仿宋"/>
                <w:bCs/>
                <w:color w:val="000000" w:themeColor="text1"/>
                <w:spacing w:val="-4"/>
                <w:sz w:val="28"/>
                <w:szCs w:val="28"/>
                <w14:textFill>
                  <w14:solidFill>
                    <w14:schemeClr w14:val="tx1"/>
                  </w14:solidFill>
                </w14:textFill>
              </w:rPr>
              <w:t>湖州市疾病预防控制中心防火墙等采购项目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pPr>
              <w:spacing w:line="30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w:t>
            </w:r>
          </w:p>
        </w:tc>
        <w:tc>
          <w:tcPr>
            <w:tcW w:w="2520" w:type="dxa"/>
            <w:vAlign w:val="center"/>
          </w:tcPr>
          <w:p>
            <w:pPr>
              <w:spacing w:line="30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编号</w:t>
            </w:r>
          </w:p>
        </w:tc>
        <w:tc>
          <w:tcPr>
            <w:tcW w:w="6261" w:type="dxa"/>
            <w:vAlign w:val="center"/>
          </w:tcPr>
          <w:p>
            <w:pPr>
              <w:spacing w:line="300" w:lineRule="exact"/>
              <w:rPr>
                <w:rFonts w:hint="eastAsia" w:ascii="仿宋" w:hAnsi="仿宋" w:eastAsia="仿宋" w:cs="仿宋"/>
                <w:bCs/>
                <w:color w:val="000000" w:themeColor="text1"/>
                <w:spacing w:val="-4"/>
                <w:sz w:val="28"/>
                <w:szCs w:val="28"/>
                <w:u w:val="single"/>
                <w:lang w:eastAsia="zh-CN"/>
                <w14:textFill>
                  <w14:solidFill>
                    <w14:schemeClr w14:val="tx1"/>
                  </w14:solidFill>
                </w14:textFill>
              </w:rPr>
            </w:pPr>
            <w:r>
              <w:rPr>
                <w:rFonts w:hint="eastAsia" w:ascii="仿宋" w:hAnsi="仿宋" w:eastAsia="仿宋" w:cs="仿宋"/>
                <w:bCs/>
                <w:color w:val="000000" w:themeColor="text1"/>
                <w:spacing w:val="-4"/>
                <w:sz w:val="28"/>
                <w:szCs w:val="28"/>
                <w14:textFill>
                  <w14:solidFill>
                    <w14:schemeClr w14:val="tx1"/>
                  </w14:solidFill>
                </w14:textFill>
              </w:rPr>
              <w:t>招标文件编号：</w:t>
            </w:r>
            <w:r>
              <w:rPr>
                <w:rFonts w:hint="eastAsia" w:ascii="仿宋" w:hAnsi="仿宋" w:eastAsia="仿宋" w:cs="仿宋"/>
                <w:bCs/>
                <w:color w:val="000000" w:themeColor="text1"/>
                <w:spacing w:val="-4"/>
                <w:sz w:val="28"/>
                <w:szCs w:val="28"/>
                <w:lang w:eastAsia="zh-CN"/>
                <w14:textFill>
                  <w14:solidFill>
                    <w14:schemeClr w14:val="tx1"/>
                  </w14:solidFill>
                </w14:textFill>
              </w:rPr>
              <w:t>HZGZ2022-56</w:t>
            </w:r>
          </w:p>
          <w:p>
            <w:pPr>
              <w:spacing w:line="300" w:lineRule="exact"/>
              <w:rPr>
                <w:rFonts w:ascii="仿宋" w:hAnsi="仿宋" w:eastAsia="仿宋" w:cs="仿宋"/>
                <w:bCs/>
                <w:color w:val="000000" w:themeColor="text1"/>
                <w:spacing w:val="-4"/>
                <w:sz w:val="28"/>
                <w:szCs w:val="28"/>
                <w:u w:val="single"/>
                <w14:textFill>
                  <w14:solidFill>
                    <w14:schemeClr w14:val="tx1"/>
                  </w14:solidFill>
                </w14:textFill>
              </w:rPr>
            </w:pPr>
            <w:r>
              <w:rPr>
                <w:rFonts w:hint="eastAsia" w:ascii="仿宋" w:hAnsi="仿宋" w:eastAsia="仿宋" w:cs="仿宋"/>
                <w:bCs/>
                <w:color w:val="000000" w:themeColor="text1"/>
                <w:spacing w:val="-4"/>
                <w:sz w:val="28"/>
                <w:szCs w:val="28"/>
                <w14:textFill>
                  <w14:solidFill>
                    <w14:schemeClr w14:val="tx1"/>
                  </w14:solidFill>
                </w14:textFill>
              </w:rPr>
              <w:t>财政审批编号：HZCG【2022】12829号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pPr>
              <w:spacing w:line="30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3</w:t>
            </w:r>
          </w:p>
        </w:tc>
        <w:tc>
          <w:tcPr>
            <w:tcW w:w="2520" w:type="dxa"/>
            <w:vAlign w:val="center"/>
          </w:tcPr>
          <w:p>
            <w:pPr>
              <w:spacing w:line="30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招标内容</w:t>
            </w:r>
          </w:p>
        </w:tc>
        <w:tc>
          <w:tcPr>
            <w:tcW w:w="6261" w:type="dxa"/>
            <w:vAlign w:val="center"/>
          </w:tcPr>
          <w:p>
            <w:pPr>
              <w:spacing w:line="3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Cs/>
                <w:color w:val="000000" w:themeColor="text1"/>
                <w:spacing w:val="-4"/>
                <w:sz w:val="28"/>
                <w:szCs w:val="28"/>
                <w14:textFill>
                  <w14:solidFill>
                    <w14:schemeClr w14:val="tx1"/>
                  </w14:solidFill>
                </w14:textFill>
              </w:rPr>
              <w:t>详见《招标文件》第二章内容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pPr>
              <w:spacing w:line="30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4</w:t>
            </w:r>
          </w:p>
        </w:tc>
        <w:tc>
          <w:tcPr>
            <w:tcW w:w="2520" w:type="dxa"/>
            <w:vAlign w:val="center"/>
          </w:tcPr>
          <w:p>
            <w:pPr>
              <w:spacing w:line="30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项目交货及安装地点</w:t>
            </w:r>
          </w:p>
        </w:tc>
        <w:tc>
          <w:tcPr>
            <w:tcW w:w="6261" w:type="dxa"/>
            <w:vAlign w:val="center"/>
          </w:tcPr>
          <w:p>
            <w:pPr>
              <w:spacing w:line="30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由采购人指定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pPr>
              <w:spacing w:line="30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5</w:t>
            </w:r>
          </w:p>
        </w:tc>
        <w:tc>
          <w:tcPr>
            <w:tcW w:w="2520" w:type="dxa"/>
            <w:vAlign w:val="center"/>
          </w:tcPr>
          <w:p>
            <w:pPr>
              <w:spacing w:line="30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合同履行期限</w:t>
            </w:r>
          </w:p>
        </w:tc>
        <w:tc>
          <w:tcPr>
            <w:tcW w:w="6261" w:type="dxa"/>
            <w:vAlign w:val="center"/>
          </w:tcPr>
          <w:p>
            <w:pPr>
              <w:spacing w:line="30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bCs/>
                <w:sz w:val="28"/>
                <w:szCs w:val="28"/>
              </w:rPr>
              <w:t>签订合同后30日历天内供货并完成安装调试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bottom w:val="single" w:color="auto" w:sz="4" w:space="0"/>
            </w:tcBorders>
            <w:vAlign w:val="center"/>
          </w:tcPr>
          <w:p>
            <w:pPr>
              <w:spacing w:line="30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6</w:t>
            </w:r>
          </w:p>
        </w:tc>
        <w:tc>
          <w:tcPr>
            <w:tcW w:w="2520" w:type="dxa"/>
            <w:tcBorders>
              <w:bottom w:val="single" w:color="auto" w:sz="4" w:space="0"/>
            </w:tcBorders>
            <w:vAlign w:val="center"/>
          </w:tcPr>
          <w:p>
            <w:pPr>
              <w:spacing w:line="30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投标保证金</w:t>
            </w:r>
          </w:p>
        </w:tc>
        <w:tc>
          <w:tcPr>
            <w:tcW w:w="6261" w:type="dxa"/>
            <w:tcBorders>
              <w:bottom w:val="single" w:color="auto" w:sz="4" w:space="0"/>
            </w:tcBorders>
            <w:vAlign w:val="center"/>
          </w:tcPr>
          <w:p>
            <w:pPr>
              <w:spacing w:line="44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bCs/>
                <w:color w:val="000000" w:themeColor="text1"/>
                <w:sz w:val="28"/>
                <w:szCs w:val="28"/>
                <w:shd w:val="pct10" w:color="auto" w:fill="FFFFFF"/>
                <w14:textFill>
                  <w14:solidFill>
                    <w14:schemeClr w14:val="tx1"/>
                  </w14:solidFill>
                </w14:textFill>
              </w:rPr>
            </w:pPr>
            <w:r>
              <w:rPr>
                <w:rFonts w:hint="eastAsia" w:ascii="仿宋" w:hAnsi="仿宋" w:eastAsia="仿宋" w:cs="仿宋"/>
                <w:bCs/>
                <w:color w:val="000000" w:themeColor="text1"/>
                <w:sz w:val="28"/>
                <w:szCs w:val="28"/>
                <w:shd w:val="pct10" w:color="auto" w:fill="FFFFFF"/>
                <w14:textFill>
                  <w14:solidFill>
                    <w14:schemeClr w14:val="tx1"/>
                  </w14:solidFill>
                </w14:textFill>
              </w:rPr>
              <w:t>7</w:t>
            </w:r>
          </w:p>
        </w:tc>
        <w:tc>
          <w:tcPr>
            <w:tcW w:w="25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投标答疑截止时间</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2022年</w:t>
            </w:r>
            <w:r>
              <w:rPr>
                <w:rFonts w:hint="eastAsia" w:ascii="仿宋" w:hAnsi="仿宋" w:eastAsia="仿宋" w:cs="仿宋"/>
                <w:color w:val="000000" w:themeColor="text1"/>
                <w:sz w:val="28"/>
                <w:szCs w:val="28"/>
                <w:lang w:val="en-US" w:eastAsia="zh-CN"/>
                <w14:textFill>
                  <w14:solidFill>
                    <w14:schemeClr w14:val="tx1"/>
                  </w14:solidFill>
                </w14:textFill>
              </w:rPr>
              <w:t>12</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日下午17:00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0" w:type="dxa"/>
            <w:tcBorders>
              <w:top w:val="single" w:color="auto" w:sz="4" w:space="0"/>
            </w:tcBorders>
            <w:vAlign w:val="center"/>
          </w:tcPr>
          <w:p>
            <w:pPr>
              <w:snapToGrid w:val="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w:t>
            </w:r>
          </w:p>
        </w:tc>
        <w:tc>
          <w:tcPr>
            <w:tcW w:w="2520" w:type="dxa"/>
            <w:tcBorders>
              <w:top w:val="single" w:color="auto" w:sz="4" w:space="0"/>
            </w:tcBorders>
            <w:vAlign w:val="center"/>
          </w:tcPr>
          <w:p>
            <w:pPr>
              <w:snapToGrid w:val="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是否允许转包与分包</w:t>
            </w:r>
          </w:p>
        </w:tc>
        <w:tc>
          <w:tcPr>
            <w:tcW w:w="6261" w:type="dxa"/>
            <w:tcBorders>
              <w:top w:val="single" w:color="auto" w:sz="4" w:space="0"/>
            </w:tcBorders>
            <w:vAlign w:val="center"/>
          </w:tcPr>
          <w:p>
            <w:pPr>
              <w:snapToGrid w:val="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转包：否            分包：否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0" w:type="dxa"/>
            <w:vAlign w:val="center"/>
          </w:tcPr>
          <w:p>
            <w:pPr>
              <w:snapToGrid w:val="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w:t>
            </w:r>
          </w:p>
        </w:tc>
        <w:tc>
          <w:tcPr>
            <w:tcW w:w="2520" w:type="dxa"/>
            <w:vAlign w:val="center"/>
          </w:tcPr>
          <w:p>
            <w:pPr>
              <w:snapToGrid w:val="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是否现场踏勘</w:t>
            </w:r>
          </w:p>
        </w:tc>
        <w:tc>
          <w:tcPr>
            <w:tcW w:w="6261" w:type="dxa"/>
            <w:vAlign w:val="center"/>
          </w:tcPr>
          <w:p>
            <w:pPr>
              <w:snapToGrid w:val="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否    具体要求详见第二章对应内容。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0" w:type="dxa"/>
            <w:vAlign w:val="center"/>
          </w:tcPr>
          <w:p>
            <w:pPr>
              <w:snapToGrid w:val="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10</w:t>
            </w:r>
          </w:p>
        </w:tc>
        <w:tc>
          <w:tcPr>
            <w:tcW w:w="2520" w:type="dxa"/>
            <w:vAlign w:val="center"/>
          </w:tcPr>
          <w:p>
            <w:pPr>
              <w:snapToGrid w:val="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是否提供演示</w:t>
            </w:r>
          </w:p>
        </w:tc>
        <w:tc>
          <w:tcPr>
            <w:tcW w:w="6261" w:type="dxa"/>
            <w:vAlign w:val="center"/>
          </w:tcPr>
          <w:p>
            <w:pPr>
              <w:snapToGrid w:val="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否    具体要求详见第二章对应内容。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720" w:type="dxa"/>
            <w:vAlign w:val="center"/>
          </w:tcPr>
          <w:p>
            <w:pPr>
              <w:snapToGrid w:val="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w:t>
            </w:r>
          </w:p>
        </w:tc>
        <w:tc>
          <w:tcPr>
            <w:tcW w:w="2520" w:type="dxa"/>
            <w:vAlign w:val="center"/>
          </w:tcPr>
          <w:p>
            <w:pPr>
              <w:snapToGrid w:val="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是否提供样品</w:t>
            </w:r>
          </w:p>
        </w:tc>
        <w:tc>
          <w:tcPr>
            <w:tcW w:w="6261" w:type="dxa"/>
            <w:vAlign w:val="center"/>
          </w:tcPr>
          <w:p>
            <w:pPr>
              <w:snapToGrid w:val="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否     具体要求详见第二章对应内容。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0" w:type="dxa"/>
            <w:vAlign w:val="center"/>
          </w:tcPr>
          <w:p>
            <w:pPr>
              <w:spacing w:line="30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12</w:t>
            </w:r>
          </w:p>
        </w:tc>
        <w:tc>
          <w:tcPr>
            <w:tcW w:w="2520" w:type="dxa"/>
            <w:vAlign w:val="center"/>
          </w:tcPr>
          <w:p>
            <w:pPr>
              <w:spacing w:line="30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投标形式</w:t>
            </w:r>
          </w:p>
        </w:tc>
        <w:tc>
          <w:tcPr>
            <w:tcW w:w="6261" w:type="dxa"/>
            <w:vAlign w:val="center"/>
          </w:tcPr>
          <w:p>
            <w:pPr>
              <w:snapToGrid w:val="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政采云平台提交电子投标文件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20" w:type="dxa"/>
            <w:vAlign w:val="center"/>
          </w:tcPr>
          <w:p>
            <w:pPr>
              <w:spacing w:line="30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13</w:t>
            </w:r>
          </w:p>
        </w:tc>
        <w:tc>
          <w:tcPr>
            <w:tcW w:w="2520" w:type="dxa"/>
            <w:vAlign w:val="center"/>
          </w:tcPr>
          <w:p>
            <w:pPr>
              <w:spacing w:line="3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开标时间</w:t>
            </w:r>
          </w:p>
          <w:p>
            <w:pPr>
              <w:spacing w:line="3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（投标截止时间）</w:t>
            </w:r>
          </w:p>
        </w:tc>
        <w:tc>
          <w:tcPr>
            <w:tcW w:w="6261" w:type="dxa"/>
            <w:vAlign w:val="center"/>
          </w:tcPr>
          <w:p>
            <w:pPr>
              <w:snapToGrid w:val="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2022年</w:t>
            </w:r>
            <w:r>
              <w:rPr>
                <w:rFonts w:hint="eastAsia" w:ascii="仿宋" w:hAnsi="仿宋" w:eastAsia="仿宋" w:cs="仿宋"/>
                <w:color w:val="000000" w:themeColor="text1"/>
                <w:sz w:val="28"/>
                <w:szCs w:val="28"/>
                <w:lang w:val="en-US" w:eastAsia="zh-CN"/>
                <w14:textFill>
                  <w14:solidFill>
                    <w14:schemeClr w14:val="tx1"/>
                  </w14:solidFill>
                </w14:textFill>
              </w:rPr>
              <w:t>12</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15</w:t>
            </w:r>
            <w:r>
              <w:rPr>
                <w:rFonts w:hint="eastAsia" w:ascii="仿宋" w:hAnsi="仿宋" w:eastAsia="仿宋" w:cs="仿宋"/>
                <w:color w:val="000000" w:themeColor="text1"/>
                <w:sz w:val="28"/>
                <w:szCs w:val="28"/>
                <w14:textFill>
                  <w14:solidFill>
                    <w14:schemeClr w14:val="tx1"/>
                  </w14:solidFill>
                </w14:textFill>
              </w:rPr>
              <w:t>日9：00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spacing w:line="30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14</w:t>
            </w:r>
          </w:p>
        </w:tc>
        <w:tc>
          <w:tcPr>
            <w:tcW w:w="2520" w:type="dxa"/>
            <w:vAlign w:val="center"/>
          </w:tcPr>
          <w:p>
            <w:pPr>
              <w:spacing w:line="30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开标地点</w:t>
            </w:r>
          </w:p>
        </w:tc>
        <w:tc>
          <w:tcPr>
            <w:tcW w:w="6261" w:type="dxa"/>
            <w:vAlign w:val="center"/>
          </w:tcPr>
          <w:p>
            <w:pPr>
              <w:snapToGrid w:val="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湖州市金盖山路66号市民服务中心2号楼2楼，</w:t>
            </w:r>
          </w:p>
          <w:p>
            <w:pPr>
              <w:snapToGrid w:val="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详见2楼休息区公告栏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0" w:type="dxa"/>
            <w:vAlign w:val="center"/>
          </w:tcPr>
          <w:p>
            <w:pPr>
              <w:spacing w:line="30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15</w:t>
            </w:r>
          </w:p>
        </w:tc>
        <w:tc>
          <w:tcPr>
            <w:tcW w:w="2520" w:type="dxa"/>
            <w:vAlign w:val="center"/>
          </w:tcPr>
          <w:p>
            <w:pPr>
              <w:spacing w:line="30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投标有效期</w:t>
            </w:r>
          </w:p>
        </w:tc>
        <w:tc>
          <w:tcPr>
            <w:tcW w:w="6261" w:type="dxa"/>
            <w:vAlign w:val="center"/>
          </w:tcPr>
          <w:p>
            <w:pPr>
              <w:snapToGrid w:val="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spacing w:line="30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16</w:t>
            </w:r>
          </w:p>
        </w:tc>
        <w:tc>
          <w:tcPr>
            <w:tcW w:w="2520" w:type="dxa"/>
            <w:vAlign w:val="center"/>
          </w:tcPr>
          <w:p>
            <w:pPr>
              <w:spacing w:line="30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服务期</w:t>
            </w:r>
          </w:p>
        </w:tc>
        <w:tc>
          <w:tcPr>
            <w:tcW w:w="6261" w:type="dxa"/>
            <w:vAlign w:val="center"/>
          </w:tcPr>
          <w:p>
            <w:pPr>
              <w:snapToGrid w:val="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20" w:type="dxa"/>
            <w:vAlign w:val="center"/>
          </w:tcPr>
          <w:p>
            <w:pPr>
              <w:spacing w:line="30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17</w:t>
            </w:r>
          </w:p>
        </w:tc>
        <w:tc>
          <w:tcPr>
            <w:tcW w:w="2520" w:type="dxa"/>
            <w:vAlign w:val="center"/>
          </w:tcPr>
          <w:p>
            <w:pPr>
              <w:spacing w:line="300" w:lineRule="exact"/>
              <w:jc w:val="center"/>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履约保证金</w:t>
            </w:r>
          </w:p>
        </w:tc>
        <w:tc>
          <w:tcPr>
            <w:tcW w:w="6261" w:type="dxa"/>
            <w:vAlign w:val="center"/>
          </w:tcPr>
          <w:p>
            <w:pPr>
              <w:spacing w:line="300" w:lineRule="exact"/>
              <w:jc w:val="center"/>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20" w:type="dxa"/>
            <w:vAlign w:val="center"/>
          </w:tcPr>
          <w:p>
            <w:pPr>
              <w:spacing w:line="30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18</w:t>
            </w:r>
          </w:p>
        </w:tc>
        <w:tc>
          <w:tcPr>
            <w:tcW w:w="2520" w:type="dxa"/>
            <w:vAlign w:val="center"/>
          </w:tcPr>
          <w:p>
            <w:pPr>
              <w:spacing w:line="30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评标办法及标准</w:t>
            </w:r>
          </w:p>
        </w:tc>
        <w:tc>
          <w:tcPr>
            <w:tcW w:w="6261" w:type="dxa"/>
            <w:vAlign w:val="center"/>
          </w:tcPr>
          <w:p>
            <w:pPr>
              <w:spacing w:line="30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综合评分法，评分标准详见招标文件第五章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0" w:type="dxa"/>
            <w:vAlign w:val="center"/>
          </w:tcPr>
          <w:p>
            <w:pPr>
              <w:spacing w:line="30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19</w:t>
            </w:r>
          </w:p>
        </w:tc>
        <w:tc>
          <w:tcPr>
            <w:tcW w:w="2520" w:type="dxa"/>
            <w:vAlign w:val="center"/>
          </w:tcPr>
          <w:p>
            <w:pPr>
              <w:spacing w:line="38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采购人</w:t>
            </w:r>
          </w:p>
        </w:tc>
        <w:tc>
          <w:tcPr>
            <w:tcW w:w="6261" w:type="dxa"/>
            <w:vAlign w:val="center"/>
          </w:tcPr>
          <w:p>
            <w:pPr>
              <w:spacing w:line="300" w:lineRule="exact"/>
              <w:ind w:firstLine="560" w:firstLineChars="200"/>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湖州市疾病预防控制中心</w:t>
            </w:r>
          </w:p>
          <w:p>
            <w:pPr>
              <w:spacing w:line="30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联系人：高女士   电话:0572-2131259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501" w:type="dxa"/>
            <w:gridSpan w:val="3"/>
            <w:vAlign w:val="center"/>
          </w:tcPr>
          <w:p>
            <w:pPr>
              <w:spacing w:line="300" w:lineRule="exact"/>
              <w:jc w:val="center"/>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本招标文件的解释权属湖州市政府采购中心、</w:t>
            </w:r>
            <w:r>
              <w:rPr>
                <w:rFonts w:hint="eastAsia" w:ascii="仿宋" w:hAnsi="仿宋" w:eastAsia="仿宋" w:cs="仿宋"/>
                <w:bCs/>
                <w:color w:val="000000" w:themeColor="text1"/>
                <w:sz w:val="28"/>
                <w:szCs w:val="28"/>
                <w:u w:val="single"/>
                <w14:textFill>
                  <w14:solidFill>
                    <w14:schemeClr w14:val="tx1"/>
                  </w14:solidFill>
                </w14:textFill>
              </w:rPr>
              <w:t>湖州市疾病预防控制中心</w:t>
            </w:r>
          </w:p>
        </w:tc>
      </w:tr>
    </w:tbl>
    <w:p>
      <w:pPr>
        <w:rPr>
          <w:rFonts w:ascii="仿宋" w:hAnsi="仿宋" w:eastAsia="仿宋" w:cs="仿宋"/>
          <w:sz w:val="28"/>
          <w:szCs w:val="28"/>
        </w:rPr>
      </w:pPr>
    </w:p>
    <w:p>
      <w:pPr>
        <w:pStyle w:val="5"/>
        <w:spacing w:line="440" w:lineRule="exact"/>
        <w:jc w:val="center"/>
        <w:rPr>
          <w:rFonts w:ascii="仿宋" w:hAnsi="仿宋" w:eastAsia="仿宋" w:cs="仿宋"/>
          <w:sz w:val="28"/>
          <w:szCs w:val="28"/>
        </w:rPr>
      </w:pPr>
      <w:bookmarkStart w:id="39" w:name="_Toc36454314"/>
      <w:r>
        <w:rPr>
          <w:rFonts w:hint="eastAsia" w:ascii="仿宋" w:hAnsi="仿宋" w:eastAsia="仿宋" w:cs="仿宋"/>
          <w:sz w:val="28"/>
          <w:szCs w:val="28"/>
        </w:rPr>
        <w:t>一、总  则</w:t>
      </w:r>
      <w:bookmarkEnd w:id="39"/>
    </w:p>
    <w:p>
      <w:pPr>
        <w:spacing w:line="440" w:lineRule="exact"/>
        <w:rPr>
          <w:rFonts w:ascii="仿宋" w:hAnsi="仿宋" w:eastAsia="仿宋" w:cs="仿宋"/>
          <w:sz w:val="28"/>
          <w:szCs w:val="28"/>
        </w:rPr>
      </w:pPr>
      <w:r>
        <w:rPr>
          <w:rFonts w:hint="eastAsia" w:ascii="仿宋" w:hAnsi="仿宋" w:eastAsia="仿宋" w:cs="仿宋"/>
          <w:b/>
          <w:sz w:val="28"/>
          <w:szCs w:val="28"/>
        </w:rPr>
        <w:t>1. 适用范围</w:t>
      </w:r>
      <w:r>
        <w:rPr>
          <w:rFonts w:hint="eastAsia" w:ascii="仿宋" w:hAnsi="仿宋" w:eastAsia="仿宋" w:cs="仿宋"/>
          <w:sz w:val="28"/>
          <w:szCs w:val="28"/>
        </w:rPr>
        <w:t>：本招标文件适用于本项目的招标、评标、定标、验收、合同履约、付款等（如法律、法规、规章及省级以上规范性文件另有规定的，从其规定）。</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采购人、项目名称、编号及相关内容见投标人须知前附表。</w:t>
      </w:r>
      <w:bookmarkStart w:id="40" w:name="_Toc495916957"/>
    </w:p>
    <w:p>
      <w:pPr>
        <w:spacing w:line="440" w:lineRule="exact"/>
        <w:rPr>
          <w:rFonts w:ascii="仿宋" w:hAnsi="仿宋" w:eastAsia="仿宋" w:cs="仿宋"/>
          <w:b/>
          <w:sz w:val="28"/>
          <w:szCs w:val="28"/>
        </w:rPr>
      </w:pPr>
      <w:r>
        <w:rPr>
          <w:rFonts w:hint="eastAsia" w:ascii="仿宋" w:hAnsi="仿宋" w:eastAsia="仿宋" w:cs="仿宋"/>
          <w:b/>
          <w:sz w:val="28"/>
          <w:szCs w:val="28"/>
        </w:rPr>
        <w:t>2、定义</w:t>
      </w:r>
      <w:bookmarkEnd w:id="40"/>
      <w:r>
        <w:rPr>
          <w:rFonts w:hint="eastAsia" w:ascii="仿宋" w:hAnsi="仿宋" w:eastAsia="仿宋" w:cs="仿宋"/>
          <w:b/>
          <w:sz w:val="28"/>
          <w:szCs w:val="28"/>
        </w:rPr>
        <w:t xml:space="preserve"> </w:t>
      </w:r>
    </w:p>
    <w:p>
      <w:pPr>
        <w:snapToGrid w:val="0"/>
        <w:spacing w:line="460" w:lineRule="exact"/>
        <w:ind w:firstLine="420" w:firstLineChars="150"/>
        <w:rPr>
          <w:rFonts w:ascii="仿宋" w:hAnsi="仿宋" w:eastAsia="仿宋" w:cs="仿宋"/>
          <w:sz w:val="28"/>
          <w:szCs w:val="28"/>
        </w:rPr>
      </w:pPr>
      <w:r>
        <w:rPr>
          <w:rFonts w:hint="eastAsia" w:ascii="仿宋" w:hAnsi="仿宋" w:eastAsia="仿宋" w:cs="仿宋"/>
          <w:sz w:val="28"/>
          <w:szCs w:val="28"/>
        </w:rPr>
        <w:t>(1)、“集中采购机构”系指组织本项目采购的湖州市政府采购中心。</w:t>
      </w:r>
    </w:p>
    <w:p>
      <w:pPr>
        <w:snapToGrid w:val="0"/>
        <w:spacing w:line="460" w:lineRule="exact"/>
        <w:ind w:firstLine="420" w:firstLineChars="150"/>
        <w:rPr>
          <w:rFonts w:ascii="仿宋" w:hAnsi="仿宋" w:eastAsia="仿宋" w:cs="仿宋"/>
          <w:sz w:val="28"/>
          <w:szCs w:val="28"/>
        </w:rPr>
      </w:pPr>
      <w:r>
        <w:rPr>
          <w:rFonts w:hint="eastAsia" w:ascii="仿宋" w:hAnsi="仿宋" w:eastAsia="仿宋" w:cs="仿宋"/>
          <w:sz w:val="28"/>
          <w:szCs w:val="28"/>
        </w:rPr>
        <w:t>(2)、“投标人”系指提交投标文件的单位。</w:t>
      </w:r>
    </w:p>
    <w:p>
      <w:pPr>
        <w:snapToGrid w:val="0"/>
        <w:spacing w:line="460" w:lineRule="exact"/>
        <w:ind w:firstLine="420" w:firstLineChars="150"/>
        <w:rPr>
          <w:rFonts w:ascii="仿宋" w:hAnsi="仿宋" w:eastAsia="仿宋" w:cs="仿宋"/>
          <w:sz w:val="28"/>
          <w:szCs w:val="28"/>
        </w:rPr>
      </w:pPr>
      <w:r>
        <w:rPr>
          <w:rFonts w:hint="eastAsia" w:ascii="仿宋" w:hAnsi="仿宋" w:eastAsia="仿宋" w:cs="仿宋"/>
          <w:sz w:val="28"/>
          <w:szCs w:val="28"/>
        </w:rPr>
        <w:t>(3)、“采购人” 系指委托集中采购机构采购本次货物、服务项目的国家机关、事业单位和团体组织。</w:t>
      </w:r>
    </w:p>
    <w:p>
      <w:pPr>
        <w:spacing w:line="400" w:lineRule="exact"/>
        <w:ind w:firstLine="560" w:firstLineChars="200"/>
        <w:rPr>
          <w:rFonts w:ascii="仿宋" w:hAnsi="仿宋" w:eastAsia="仿宋" w:cs="仿宋"/>
          <w:sz w:val="28"/>
          <w:szCs w:val="28"/>
        </w:rPr>
      </w:pPr>
      <w:r>
        <w:rPr>
          <w:rFonts w:hint="eastAsia" w:ascii="仿宋" w:hAnsi="仿宋" w:eastAsia="仿宋" w:cs="仿宋"/>
          <w:b/>
          <w:bCs/>
          <w:sz w:val="28"/>
          <w:szCs w:val="28"/>
        </w:rPr>
        <w:t>3.采购预算：</w:t>
      </w:r>
      <w:r>
        <w:rPr>
          <w:rFonts w:hint="eastAsia" w:ascii="仿宋" w:hAnsi="仿宋" w:eastAsia="仿宋" w:cs="仿宋"/>
          <w:sz w:val="28"/>
          <w:szCs w:val="28"/>
        </w:rPr>
        <w:t xml:space="preserve">    </w:t>
      </w:r>
    </w:p>
    <w:p>
      <w:pPr>
        <w:spacing w:line="4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预算金额：95万元</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采购人用于采购本项目的资金已得到政府有关部门的批准，其资金来源已落实。         </w:t>
      </w:r>
    </w:p>
    <w:p>
      <w:pPr>
        <w:spacing w:line="440" w:lineRule="exact"/>
        <w:rPr>
          <w:rFonts w:ascii="仿宋" w:hAnsi="仿宋" w:eastAsia="仿宋" w:cs="仿宋"/>
          <w:b/>
          <w:bCs/>
          <w:sz w:val="28"/>
          <w:szCs w:val="28"/>
        </w:rPr>
      </w:pPr>
      <w:r>
        <w:rPr>
          <w:rFonts w:hint="eastAsia" w:ascii="仿宋" w:hAnsi="仿宋" w:eastAsia="仿宋" w:cs="仿宋"/>
          <w:b/>
          <w:bCs/>
          <w:sz w:val="28"/>
          <w:szCs w:val="28"/>
        </w:rPr>
        <w:t>4.采购方式 ：公开招标</w:t>
      </w:r>
    </w:p>
    <w:p>
      <w:pPr>
        <w:spacing w:line="440" w:lineRule="exact"/>
        <w:rPr>
          <w:rFonts w:ascii="仿宋" w:hAnsi="仿宋" w:eastAsia="仿宋" w:cs="仿宋"/>
          <w:b/>
          <w:sz w:val="28"/>
          <w:szCs w:val="28"/>
        </w:rPr>
      </w:pPr>
      <w:r>
        <w:rPr>
          <w:rFonts w:hint="eastAsia" w:ascii="仿宋" w:hAnsi="仿宋" w:eastAsia="仿宋" w:cs="仿宋"/>
          <w:b/>
          <w:sz w:val="28"/>
          <w:szCs w:val="28"/>
        </w:rPr>
        <w:t>5.投标人的资格条件</w:t>
      </w:r>
    </w:p>
    <w:p>
      <w:pPr>
        <w:snapToGrid w:val="0"/>
        <w:spacing w:line="460" w:lineRule="exact"/>
        <w:ind w:firstLine="700" w:firstLineChars="250"/>
        <w:rPr>
          <w:rFonts w:ascii="仿宋" w:hAnsi="仿宋" w:eastAsia="仿宋" w:cs="仿宋"/>
          <w:sz w:val="28"/>
          <w:szCs w:val="28"/>
        </w:rPr>
      </w:pPr>
      <w:r>
        <w:rPr>
          <w:rFonts w:hint="eastAsia" w:ascii="仿宋" w:hAnsi="仿宋" w:eastAsia="仿宋" w:cs="仿宋"/>
          <w:bCs/>
          <w:sz w:val="28"/>
          <w:szCs w:val="28"/>
        </w:rPr>
        <w:t>5.1</w:t>
      </w:r>
      <w:r>
        <w:rPr>
          <w:rFonts w:hint="eastAsia" w:ascii="仿宋" w:hAnsi="仿宋" w:eastAsia="仿宋" w:cs="仿宋"/>
          <w:sz w:val="28"/>
          <w:szCs w:val="28"/>
        </w:rPr>
        <w:t>符合《中华人民共和国政府采购法》第二十二条</w:t>
      </w:r>
      <w:r>
        <w:rPr>
          <w:rFonts w:hint="eastAsia" w:ascii="仿宋" w:hAnsi="仿宋" w:eastAsia="仿宋" w:cs="仿宋"/>
          <w:bCs/>
          <w:sz w:val="28"/>
          <w:szCs w:val="28"/>
        </w:rPr>
        <w:t>和《关于规范政府采购供应商资格设定及资格审查的通知》（浙财采监[2013]24号）第六条规定，</w:t>
      </w:r>
      <w:r>
        <w:rPr>
          <w:rFonts w:hint="eastAsia" w:ascii="仿宋" w:hAnsi="仿宋" w:eastAsia="仿宋" w:cs="仿宋"/>
          <w:sz w:val="28"/>
          <w:szCs w:val="28"/>
        </w:rPr>
        <w:t>且未被“信用中国”（www.creditchina.gov.cn）、中国政府采购网（www.ccgp.gov.cn）列入失信被执行人、重大税收违法案件当事人名单、政府采购严重违法失信行为记录名单。</w:t>
      </w:r>
    </w:p>
    <w:p>
      <w:pPr>
        <w:snapToGrid w:val="0"/>
        <w:spacing w:line="460" w:lineRule="exact"/>
        <w:ind w:firstLine="700" w:firstLineChars="250"/>
        <w:rPr>
          <w:rFonts w:ascii="仿宋" w:hAnsi="仿宋" w:eastAsia="仿宋" w:cs="仿宋"/>
          <w:sz w:val="28"/>
          <w:szCs w:val="28"/>
        </w:rPr>
      </w:pPr>
      <w:r>
        <w:rPr>
          <w:rFonts w:hint="eastAsia" w:ascii="仿宋" w:hAnsi="仿宋" w:eastAsia="仿宋" w:cs="仿宋"/>
          <w:sz w:val="28"/>
          <w:szCs w:val="28"/>
        </w:rPr>
        <w:t>5.2落实政府采购政策需满足的资格要求：无。</w:t>
      </w:r>
    </w:p>
    <w:p>
      <w:pPr>
        <w:spacing w:line="440" w:lineRule="exact"/>
        <w:rPr>
          <w:rFonts w:ascii="仿宋" w:hAnsi="仿宋" w:eastAsia="仿宋" w:cs="仿宋"/>
          <w:b/>
          <w:bCs/>
          <w:sz w:val="28"/>
          <w:szCs w:val="28"/>
        </w:rPr>
      </w:pPr>
      <w:r>
        <w:rPr>
          <w:rFonts w:hint="eastAsia" w:ascii="仿宋" w:hAnsi="仿宋" w:eastAsia="仿宋" w:cs="仿宋"/>
          <w:b/>
          <w:bCs/>
          <w:sz w:val="28"/>
          <w:szCs w:val="28"/>
        </w:rPr>
        <w:t>6.投标费用</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投标人应承担其编制投标文件和提交投标文件所涉及的一切费用。不论投标结果如何，集中采购机构对上述费用不负任何责任。</w:t>
      </w:r>
    </w:p>
    <w:p>
      <w:pPr>
        <w:pStyle w:val="5"/>
        <w:spacing w:line="440" w:lineRule="exact"/>
        <w:jc w:val="center"/>
        <w:rPr>
          <w:rFonts w:ascii="仿宋" w:hAnsi="仿宋" w:eastAsia="仿宋" w:cs="仿宋"/>
          <w:bCs w:val="0"/>
          <w:sz w:val="28"/>
          <w:szCs w:val="28"/>
        </w:rPr>
      </w:pPr>
      <w:bookmarkStart w:id="41" w:name="_Toc36454315"/>
      <w:r>
        <w:rPr>
          <w:rFonts w:hint="eastAsia" w:ascii="仿宋" w:hAnsi="仿宋" w:eastAsia="仿宋" w:cs="仿宋"/>
          <w:bCs w:val="0"/>
          <w:sz w:val="28"/>
          <w:szCs w:val="28"/>
        </w:rPr>
        <w:t>二、招标文件的说明</w:t>
      </w:r>
      <w:bookmarkEnd w:id="41"/>
    </w:p>
    <w:p>
      <w:pPr>
        <w:spacing w:line="440" w:lineRule="exact"/>
        <w:rPr>
          <w:rFonts w:ascii="仿宋" w:hAnsi="仿宋" w:eastAsia="仿宋" w:cs="仿宋"/>
          <w:b/>
          <w:bCs/>
          <w:sz w:val="28"/>
          <w:szCs w:val="28"/>
        </w:rPr>
      </w:pPr>
      <w:r>
        <w:rPr>
          <w:rFonts w:hint="eastAsia" w:ascii="仿宋" w:hAnsi="仿宋" w:eastAsia="仿宋" w:cs="仿宋"/>
          <w:b/>
          <w:bCs/>
          <w:sz w:val="28"/>
          <w:szCs w:val="28"/>
        </w:rPr>
        <w:t>7.招标文件的组成</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7.1招标文件包括以下内容</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第一章 投标人须知</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第二章 </w:t>
      </w:r>
      <w:r>
        <w:rPr>
          <w:rFonts w:hint="eastAsia" w:ascii="仿宋" w:hAnsi="仿宋" w:eastAsia="仿宋" w:cs="仿宋"/>
          <w:bCs/>
          <w:sz w:val="28"/>
          <w:szCs w:val="28"/>
        </w:rPr>
        <w:t>招标项目内容、数量、规格和技术要求</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第三章 合同主要条款</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第四章 投标文件格式</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第五章 评标办法及标准</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7.2集中采购机构在投标截止时间前，以书面形式发出的对招标文件的澄清或修改内容，均为招标文件的组成部分，对采购人、集中采购机构和投标人起约束作用。</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7.3投标人获取招标文件后，应仔细检查招标文件的所有内容，如有残缺等问题，均应在获得招标文件后3日内向集中采购机构书面提出，否则，由此引起的损失由投标人自己承担。投标人同时应认真审阅招标文件中所有的事项、格式、条款和规范要求（包括补充内容）等所有内容，若投标人的投标文件没有按招标文件要求提交全部资料，或投标文件没有对招标文件做出实质性响应，其风险由投标人自行承担，并根据有关条款规定，该投标有可能被拒绝。</w:t>
      </w:r>
    </w:p>
    <w:p>
      <w:pPr>
        <w:spacing w:line="440" w:lineRule="exact"/>
        <w:rPr>
          <w:rFonts w:ascii="仿宋" w:hAnsi="仿宋" w:eastAsia="仿宋" w:cs="仿宋"/>
          <w:b/>
          <w:bCs/>
          <w:sz w:val="28"/>
          <w:szCs w:val="28"/>
        </w:rPr>
      </w:pPr>
      <w:r>
        <w:rPr>
          <w:rFonts w:hint="eastAsia" w:ascii="仿宋" w:hAnsi="仿宋" w:eastAsia="仿宋" w:cs="仿宋"/>
          <w:b/>
          <w:bCs/>
          <w:sz w:val="28"/>
          <w:szCs w:val="28"/>
        </w:rPr>
        <w:t>8.招标文件答疑</w:t>
      </w:r>
    </w:p>
    <w:p>
      <w:pPr>
        <w:spacing w:line="440" w:lineRule="exact"/>
        <w:ind w:firstLine="600"/>
        <w:rPr>
          <w:rFonts w:ascii="仿宋" w:hAnsi="仿宋" w:eastAsia="仿宋" w:cs="仿宋"/>
          <w:sz w:val="28"/>
          <w:szCs w:val="28"/>
        </w:rPr>
      </w:pPr>
      <w:r>
        <w:rPr>
          <w:rFonts w:hint="eastAsia" w:ascii="仿宋" w:hAnsi="仿宋" w:eastAsia="仿宋" w:cs="仿宋"/>
          <w:sz w:val="28"/>
          <w:szCs w:val="28"/>
        </w:rPr>
        <w:t>投标人对招标文件有异议的，应当在</w:t>
      </w:r>
      <w:r>
        <w:rPr>
          <w:rFonts w:hint="eastAsia" w:ascii="仿宋" w:hAnsi="仿宋" w:eastAsia="仿宋" w:cs="仿宋"/>
          <w:b/>
          <w:sz w:val="28"/>
          <w:szCs w:val="28"/>
        </w:rPr>
        <w:t>招标公告中规定的时间</w:t>
      </w:r>
      <w:r>
        <w:rPr>
          <w:rFonts w:hint="eastAsia" w:ascii="仿宋" w:hAnsi="仿宋" w:eastAsia="仿宋" w:cs="仿宋"/>
          <w:sz w:val="28"/>
          <w:szCs w:val="28"/>
        </w:rPr>
        <w:t>以书面（含传真、电邮）形式向集中采购机构一次性提出，采购人和集中采购机构将在规定的时间内统一进行澄清和修改，并书面（含传真、电邮）通知所有获取招标文件的供应商。供应商未按规定要求提出的，则视同认可招标文件，但法律法规及规范性文件有明确规定的除外。</w:t>
      </w:r>
      <w:r>
        <w:rPr>
          <w:rFonts w:hint="eastAsia" w:ascii="仿宋" w:hAnsi="仿宋" w:eastAsia="仿宋" w:cs="仿宋"/>
          <w:b/>
          <w:sz w:val="28"/>
          <w:szCs w:val="28"/>
        </w:rPr>
        <w:t>逾期提出集中采购机构将不予受理。</w:t>
      </w:r>
    </w:p>
    <w:p>
      <w:pPr>
        <w:spacing w:line="440" w:lineRule="exact"/>
        <w:rPr>
          <w:rFonts w:ascii="仿宋" w:hAnsi="仿宋" w:eastAsia="仿宋" w:cs="仿宋"/>
          <w:b/>
          <w:bCs/>
          <w:sz w:val="28"/>
          <w:szCs w:val="28"/>
        </w:rPr>
      </w:pPr>
      <w:r>
        <w:rPr>
          <w:rFonts w:hint="eastAsia" w:ascii="仿宋" w:hAnsi="仿宋" w:eastAsia="仿宋" w:cs="仿宋"/>
          <w:b/>
          <w:bCs/>
          <w:sz w:val="28"/>
          <w:szCs w:val="28"/>
        </w:rPr>
        <w:t>9.招标文件的澄清、修改</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9.1在投标截止时间前，采购人和集中采购机构对已发出的招标文件进行必要澄清或者修改时，将依法在财政部门指定的政府采购信息发布媒体上发布更正公告，并以书面形式通知所有招标文件收受人。该澄清或者修改的内容为招标文件的组成部分，对所有投标人有约束力。投标人在收到招标文件的澄清修改函后，应以书面形式予以确认。</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9.2采购人和集中采购机构可以视采购具体情况，延长投标截止时间和开标时间，并将变更时间书面通知所有招标文件收受人，并在财政部门指定的政府采购信息发布媒体上发布变更公告。</w:t>
      </w:r>
    </w:p>
    <w:p>
      <w:pPr>
        <w:pStyle w:val="5"/>
        <w:spacing w:line="440" w:lineRule="exact"/>
        <w:jc w:val="center"/>
        <w:rPr>
          <w:rFonts w:ascii="仿宋" w:hAnsi="仿宋" w:eastAsia="仿宋" w:cs="仿宋"/>
          <w:bCs w:val="0"/>
          <w:sz w:val="28"/>
          <w:szCs w:val="28"/>
        </w:rPr>
      </w:pPr>
      <w:bookmarkStart w:id="42" w:name="_Toc36454316"/>
      <w:r>
        <w:rPr>
          <w:rFonts w:hint="eastAsia" w:ascii="仿宋" w:hAnsi="仿宋" w:eastAsia="仿宋" w:cs="仿宋"/>
          <w:bCs w:val="0"/>
          <w:sz w:val="28"/>
          <w:szCs w:val="28"/>
        </w:rPr>
        <w:t>三、投标文件的编制</w:t>
      </w:r>
      <w:bookmarkEnd w:id="42"/>
    </w:p>
    <w:p>
      <w:pPr>
        <w:spacing w:line="440" w:lineRule="exact"/>
        <w:rPr>
          <w:rFonts w:ascii="仿宋" w:hAnsi="仿宋" w:eastAsia="仿宋" w:cs="仿宋"/>
          <w:b/>
          <w:bCs/>
          <w:sz w:val="28"/>
          <w:szCs w:val="28"/>
        </w:rPr>
      </w:pPr>
      <w:r>
        <w:rPr>
          <w:rFonts w:hint="eastAsia" w:ascii="仿宋" w:hAnsi="仿宋" w:eastAsia="仿宋" w:cs="仿宋"/>
          <w:b/>
          <w:bCs/>
          <w:sz w:val="28"/>
          <w:szCs w:val="28"/>
        </w:rPr>
        <w:t>10.投标文件的语言及度量衡单位</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10.1投标文件及投标人与采购人和集中采购机构就投标有关的通知、信函和文件原则上均应使用简体中文。若投标人所提供的资料为外文的，需同时提供中文译文。</w:t>
      </w:r>
    </w:p>
    <w:p>
      <w:pPr>
        <w:spacing w:line="440" w:lineRule="exact"/>
        <w:ind w:firstLine="560" w:firstLineChars="200"/>
        <w:rPr>
          <w:rFonts w:ascii="仿宋" w:hAnsi="仿宋" w:eastAsia="仿宋" w:cs="仿宋"/>
          <w:b/>
          <w:bCs/>
          <w:sz w:val="28"/>
          <w:szCs w:val="28"/>
        </w:rPr>
      </w:pPr>
      <w:r>
        <w:rPr>
          <w:rFonts w:hint="eastAsia" w:ascii="仿宋" w:hAnsi="仿宋" w:eastAsia="仿宋" w:cs="仿宋"/>
          <w:sz w:val="28"/>
          <w:szCs w:val="28"/>
        </w:rPr>
        <w:t>10.2除技术规范中另有规定外，投标文件所使用的度量衡单位，均采用我国法定计量单位。</w:t>
      </w:r>
    </w:p>
    <w:p>
      <w:pPr>
        <w:snapToGrid w:val="0"/>
        <w:spacing w:line="460" w:lineRule="exact"/>
        <w:jc w:val="left"/>
        <w:rPr>
          <w:rFonts w:ascii="仿宋" w:hAnsi="仿宋" w:eastAsia="仿宋" w:cs="仿宋"/>
          <w:b/>
          <w:bCs/>
          <w:sz w:val="28"/>
          <w:szCs w:val="28"/>
        </w:rPr>
      </w:pPr>
      <w:r>
        <w:rPr>
          <w:rFonts w:hint="eastAsia" w:ascii="仿宋" w:hAnsi="仿宋" w:eastAsia="仿宋" w:cs="仿宋"/>
          <w:b/>
          <w:sz w:val="28"/>
          <w:szCs w:val="28"/>
        </w:rPr>
        <w:t>11.</w:t>
      </w:r>
      <w:r>
        <w:rPr>
          <w:rFonts w:hint="eastAsia" w:ascii="仿宋" w:hAnsi="仿宋" w:eastAsia="仿宋" w:cs="仿宋"/>
          <w:b/>
          <w:bCs/>
          <w:sz w:val="28"/>
          <w:szCs w:val="28"/>
        </w:rPr>
        <w:t>投标文件的形式与效力</w:t>
      </w:r>
    </w:p>
    <w:p>
      <w:pPr>
        <w:snapToGrid w:val="0"/>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11.1供应商应准备电子投标文件，按政采云平台“政府采购项目电子交易管理操作视频-供应商”及本项目招标文件要求提交；</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bCs/>
          <w:sz w:val="28"/>
          <w:szCs w:val="28"/>
        </w:rPr>
        <w:t>11.2</w:t>
      </w:r>
      <w:r>
        <w:rPr>
          <w:rFonts w:hint="eastAsia" w:ascii="仿宋" w:hAnsi="仿宋" w:eastAsia="仿宋" w:cs="仿宋"/>
          <w:kern w:val="0"/>
          <w:sz w:val="28"/>
          <w:szCs w:val="28"/>
        </w:rPr>
        <w:t>投标人在政府采购云平台完成电子加密投标文件的上传递交后，还可以（EMS邮寄形式）在投标截止时间前递交以介质（U盘）存储的数据电文形式的备份投标文件，备份投标文件应当密封包装并在包装上标注投标项目名称、投标单位名称并加盖公章。</w:t>
      </w:r>
    </w:p>
    <w:p>
      <w:pPr>
        <w:snapToGrid w:val="0"/>
        <w:spacing w:line="460" w:lineRule="exact"/>
        <w:ind w:firstLine="560" w:firstLineChars="200"/>
        <w:rPr>
          <w:rFonts w:ascii="仿宋" w:hAnsi="仿宋" w:eastAsia="仿宋" w:cs="仿宋"/>
          <w:bCs/>
          <w:sz w:val="28"/>
          <w:szCs w:val="28"/>
        </w:rPr>
      </w:pPr>
      <w:r>
        <w:rPr>
          <w:rFonts w:hint="eastAsia" w:ascii="仿宋" w:hAnsi="仿宋" w:eastAsia="仿宋" w:cs="仿宋"/>
          <w:kern w:val="0"/>
          <w:sz w:val="28"/>
          <w:szCs w:val="28"/>
        </w:rPr>
        <w:t>通过政府采购云平台成功上传递交的电子加密投标文件已按时解密的，备份投标文件自动失效；</w:t>
      </w:r>
      <w:r>
        <w:rPr>
          <w:rFonts w:hint="eastAsia" w:ascii="仿宋" w:hAnsi="仿宋" w:eastAsia="仿宋" w:cs="仿宋"/>
          <w:bCs/>
          <w:sz w:val="28"/>
          <w:szCs w:val="28"/>
        </w:rPr>
        <w:t>电子加密投标文件解密失败的，启用备份投标文件；启用成功的投标文件作为评标依据。</w:t>
      </w:r>
    </w:p>
    <w:p>
      <w:pPr>
        <w:snapToGrid w:val="0"/>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投标截止时间前，投标供应商仅递交了“备份投标文件”而未将“电子加密投标文件”成功上传至“政府采购云平台”的，投标无效。</w:t>
      </w:r>
    </w:p>
    <w:p>
      <w:pPr>
        <w:spacing w:line="440" w:lineRule="exact"/>
        <w:rPr>
          <w:rFonts w:ascii="仿宋" w:hAnsi="仿宋" w:eastAsia="仿宋" w:cs="仿宋"/>
          <w:b/>
          <w:sz w:val="28"/>
          <w:szCs w:val="28"/>
        </w:rPr>
      </w:pPr>
      <w:r>
        <w:rPr>
          <w:rFonts w:hint="eastAsia" w:ascii="仿宋" w:hAnsi="仿宋" w:eastAsia="仿宋" w:cs="仿宋"/>
          <w:b/>
          <w:sz w:val="28"/>
          <w:szCs w:val="28"/>
        </w:rPr>
        <w:t>12.电子投标文件的组成</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投标人应当按照招标文件的要求编制电子投标文件。电子投标文件应对招标文件提出的要求和条件做出实质性响应。电子投标文件由资格部分、商务部分、技术部分和价格部分组成（</w:t>
      </w:r>
      <w:r>
        <w:rPr>
          <w:rFonts w:hint="eastAsia" w:ascii="仿宋" w:hAnsi="仿宋" w:eastAsia="仿宋" w:cs="仿宋"/>
          <w:b/>
          <w:sz w:val="28"/>
          <w:szCs w:val="28"/>
        </w:rPr>
        <w:t>电子投标文件中所盖公章均采用CA签章</w:t>
      </w:r>
      <w:r>
        <w:rPr>
          <w:rFonts w:hint="eastAsia" w:ascii="仿宋" w:hAnsi="仿宋" w:eastAsia="仿宋" w:cs="仿宋"/>
          <w:sz w:val="28"/>
          <w:szCs w:val="28"/>
        </w:rPr>
        <w:t>）。</w:t>
      </w:r>
    </w:p>
    <w:p>
      <w:pPr>
        <w:spacing w:line="440" w:lineRule="exact"/>
        <w:rPr>
          <w:rFonts w:ascii="仿宋" w:hAnsi="仿宋" w:eastAsia="仿宋" w:cs="仿宋"/>
          <w:b/>
          <w:sz w:val="28"/>
          <w:szCs w:val="28"/>
        </w:rPr>
      </w:pPr>
      <w:r>
        <w:rPr>
          <w:rFonts w:hint="eastAsia" w:ascii="仿宋" w:hAnsi="仿宋" w:eastAsia="仿宋" w:cs="仿宋"/>
          <w:sz w:val="28"/>
          <w:szCs w:val="28"/>
        </w:rPr>
        <w:t xml:space="preserve">    </w:t>
      </w:r>
      <w:r>
        <w:rPr>
          <w:rFonts w:hint="eastAsia" w:ascii="仿宋" w:hAnsi="仿宋" w:eastAsia="仿宋" w:cs="仿宋"/>
          <w:b/>
          <w:sz w:val="28"/>
          <w:szCs w:val="28"/>
        </w:rPr>
        <w:t>12.1资格部分</w:t>
      </w:r>
      <w:r>
        <w:rPr>
          <w:rFonts w:hint="eastAsia" w:ascii="仿宋" w:hAnsi="仿宋" w:eastAsia="仿宋" w:cs="仿宋"/>
          <w:b/>
          <w:bCs/>
          <w:sz w:val="28"/>
          <w:szCs w:val="28"/>
        </w:rPr>
        <w:t>包括下列内容：</w:t>
      </w:r>
    </w:p>
    <w:p>
      <w:pPr>
        <w:snapToGrid w:val="0"/>
        <w:spacing w:line="460" w:lineRule="exact"/>
        <w:ind w:firstLine="548" w:firstLineChars="196"/>
        <w:jc w:val="left"/>
        <w:rPr>
          <w:rFonts w:ascii="仿宋" w:hAnsi="仿宋" w:eastAsia="仿宋" w:cs="仿宋"/>
          <w:sz w:val="28"/>
          <w:szCs w:val="28"/>
        </w:rPr>
      </w:pPr>
      <w:r>
        <w:rPr>
          <w:rFonts w:hint="eastAsia" w:ascii="仿宋" w:hAnsi="仿宋" w:eastAsia="仿宋" w:cs="仿宋"/>
          <w:sz w:val="28"/>
          <w:szCs w:val="28"/>
        </w:rPr>
        <w:t>12.1.1投标声明书(格式见附件1，含重大违法记录声明)；</w:t>
      </w:r>
    </w:p>
    <w:p>
      <w:pPr>
        <w:snapToGrid w:val="0"/>
        <w:spacing w:line="460" w:lineRule="exact"/>
        <w:ind w:firstLine="548" w:firstLineChars="196"/>
        <w:rPr>
          <w:rFonts w:ascii="仿宋" w:hAnsi="仿宋" w:eastAsia="仿宋" w:cs="仿宋"/>
          <w:sz w:val="28"/>
          <w:szCs w:val="28"/>
        </w:rPr>
      </w:pPr>
      <w:r>
        <w:rPr>
          <w:rFonts w:hint="eastAsia" w:ascii="仿宋" w:hAnsi="仿宋" w:eastAsia="仿宋" w:cs="仿宋"/>
          <w:sz w:val="28"/>
          <w:szCs w:val="28"/>
        </w:rPr>
        <w:t>12.1.2提供法定代表人授权委托书(原件、格式见附件2、附件3)、授权代理人有效身份证明（复印件）以及授权代理人个人社保缴纳证明（缴纳凭证或人社部门出具的证明）；</w:t>
      </w:r>
    </w:p>
    <w:p>
      <w:pPr>
        <w:snapToGrid w:val="0"/>
        <w:spacing w:line="460" w:lineRule="exact"/>
        <w:ind w:firstLine="548" w:firstLineChars="196"/>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12.1.3联合投标协议书、联合投标授权委托书（若需要）;</w:t>
      </w:r>
    </w:p>
    <w:p>
      <w:pPr>
        <w:snapToGrid w:val="0"/>
        <w:spacing w:line="460" w:lineRule="exact"/>
        <w:ind w:firstLine="548" w:firstLineChars="196"/>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请将以上资格部分材料上传政采云平台做资格审查，采购人或评标委员会仅根据上传的资格部分文件材料进行审查。</w:t>
      </w:r>
    </w:p>
    <w:p>
      <w:pPr>
        <w:snapToGrid w:val="0"/>
        <w:spacing w:line="460" w:lineRule="exact"/>
        <w:ind w:firstLine="548" w:firstLineChars="196"/>
        <w:jc w:val="left"/>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12.2商务部分</w:t>
      </w:r>
      <w:r>
        <w:rPr>
          <w:rFonts w:hint="eastAsia" w:ascii="仿宋" w:hAnsi="仿宋" w:eastAsia="仿宋" w:cs="仿宋"/>
          <w:b/>
          <w:bCs/>
          <w:color w:val="000000" w:themeColor="text1"/>
          <w:sz w:val="28"/>
          <w:szCs w:val="28"/>
          <w14:textFill>
            <w14:solidFill>
              <w14:schemeClr w14:val="tx1"/>
            </w14:solidFill>
          </w14:textFill>
        </w:rPr>
        <w:t>主要包括下列内容：</w:t>
      </w:r>
    </w:p>
    <w:p>
      <w:pPr>
        <w:snapToGrid w:val="0"/>
        <w:spacing w:line="4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12.2.1评分索引表（格式见附件4，主要用于评委对应评分内容，包括商务部分、技术部分）</w:t>
      </w:r>
    </w:p>
    <w:p>
      <w:pPr>
        <w:snapToGrid w:val="0"/>
        <w:spacing w:line="46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12.2.2企业荣誉与业绩（见附件5、附件6）；</w:t>
      </w:r>
    </w:p>
    <w:p>
      <w:pPr>
        <w:snapToGrid w:val="0"/>
        <w:spacing w:line="46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12.2.3认证证书；</w:t>
      </w:r>
    </w:p>
    <w:p>
      <w:pPr>
        <w:snapToGrid w:val="0"/>
        <w:spacing w:line="46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12.2.4</w:t>
      </w:r>
      <w:r>
        <w:rPr>
          <w:rFonts w:hint="eastAsia" w:ascii="仿宋" w:hAnsi="仿宋" w:eastAsia="仿宋"/>
          <w:bCs/>
          <w:kern w:val="0"/>
          <w:sz w:val="28"/>
          <w:szCs w:val="28"/>
        </w:rPr>
        <w:t>技术</w:t>
      </w:r>
      <w:r>
        <w:rPr>
          <w:rFonts w:ascii="仿宋" w:hAnsi="仿宋" w:eastAsia="仿宋"/>
          <w:bCs/>
          <w:kern w:val="0"/>
          <w:sz w:val="28"/>
          <w:szCs w:val="28"/>
        </w:rPr>
        <w:t>团队力量</w:t>
      </w:r>
      <w:r>
        <w:rPr>
          <w:rFonts w:hint="eastAsia" w:ascii="仿宋" w:hAnsi="仿宋" w:eastAsia="仿宋" w:cs="仿宋"/>
          <w:color w:val="000000"/>
          <w:sz w:val="28"/>
          <w:szCs w:val="28"/>
        </w:rPr>
        <w:t>（格式自拟）；</w:t>
      </w:r>
    </w:p>
    <w:p>
      <w:pPr>
        <w:snapToGrid w:val="0"/>
        <w:spacing w:line="460" w:lineRule="exact"/>
        <w:ind w:firstLine="560" w:firstLineChars="200"/>
        <w:jc w:val="left"/>
        <w:rPr>
          <w:rFonts w:ascii="仿宋" w:hAnsi="仿宋" w:eastAsia="仿宋" w:cs="仿宋"/>
          <w:color w:val="000000"/>
          <w:sz w:val="28"/>
          <w:szCs w:val="28"/>
          <w:lang w:val="en"/>
        </w:rPr>
      </w:pPr>
      <w:r>
        <w:rPr>
          <w:rFonts w:hint="eastAsia" w:ascii="仿宋" w:hAnsi="仿宋" w:eastAsia="仿宋" w:cs="仿宋"/>
          <w:color w:val="000000"/>
          <w:sz w:val="28"/>
          <w:szCs w:val="28"/>
        </w:rPr>
        <w:t>12.2.</w:t>
      </w:r>
      <w:r>
        <w:rPr>
          <w:rFonts w:ascii="仿宋" w:hAnsi="仿宋" w:eastAsia="仿宋" w:cs="仿宋"/>
          <w:color w:val="000000"/>
          <w:sz w:val="28"/>
          <w:szCs w:val="28"/>
          <w:lang w:val="en"/>
        </w:rPr>
        <w:t>5</w:t>
      </w:r>
      <w:r>
        <w:rPr>
          <w:rFonts w:hint="eastAsia" w:ascii="仿宋" w:hAnsi="仿宋" w:eastAsia="仿宋"/>
          <w:bCs/>
          <w:kern w:val="0"/>
          <w:sz w:val="28"/>
          <w:szCs w:val="28"/>
        </w:rPr>
        <w:t>售后服务承诺</w:t>
      </w:r>
      <w:r>
        <w:rPr>
          <w:rFonts w:hint="eastAsia" w:ascii="仿宋" w:hAnsi="仿宋" w:eastAsia="仿宋" w:cs="仿宋"/>
          <w:color w:val="000000"/>
          <w:sz w:val="28"/>
          <w:szCs w:val="28"/>
        </w:rPr>
        <w:t>（格式自拟）</w:t>
      </w:r>
      <w:r>
        <w:rPr>
          <w:rFonts w:ascii="仿宋" w:hAnsi="仿宋" w:eastAsia="仿宋" w:cs="仿宋"/>
          <w:color w:val="000000"/>
          <w:sz w:val="28"/>
          <w:szCs w:val="28"/>
          <w:lang w:val="en"/>
        </w:rPr>
        <w:t>;</w:t>
      </w:r>
    </w:p>
    <w:p>
      <w:pPr>
        <w:snapToGrid w:val="0"/>
        <w:spacing w:line="46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12.2.</w:t>
      </w:r>
      <w:r>
        <w:rPr>
          <w:rFonts w:ascii="仿宋" w:hAnsi="仿宋" w:eastAsia="仿宋" w:cs="仿宋"/>
          <w:color w:val="000000"/>
          <w:sz w:val="28"/>
          <w:szCs w:val="28"/>
          <w:lang w:val="en"/>
        </w:rPr>
        <w:t>6</w:t>
      </w:r>
      <w:r>
        <w:rPr>
          <w:rFonts w:hint="eastAsia" w:ascii="仿宋" w:hAnsi="仿宋" w:eastAsia="仿宋" w:cs="仿宋"/>
          <w:color w:val="000000"/>
          <w:sz w:val="28"/>
          <w:szCs w:val="28"/>
        </w:rPr>
        <w:t>商务条款偏离表（格式见附件7）；</w:t>
      </w:r>
    </w:p>
    <w:p>
      <w:pPr>
        <w:snapToGrid w:val="0"/>
        <w:spacing w:line="46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12.2.</w:t>
      </w:r>
      <w:r>
        <w:rPr>
          <w:rFonts w:ascii="仿宋" w:hAnsi="仿宋" w:eastAsia="仿宋" w:cs="仿宋"/>
          <w:color w:val="000000"/>
          <w:sz w:val="28"/>
          <w:szCs w:val="28"/>
          <w:lang w:val="en"/>
        </w:rPr>
        <w:t>7</w:t>
      </w:r>
      <w:r>
        <w:rPr>
          <w:rFonts w:hint="eastAsia" w:ascii="仿宋" w:hAnsi="仿宋" w:eastAsia="仿宋" w:cs="仿宋"/>
          <w:color w:val="000000"/>
          <w:sz w:val="28"/>
          <w:szCs w:val="28"/>
        </w:rPr>
        <w:t>政策分相关证明资料；</w:t>
      </w:r>
    </w:p>
    <w:p>
      <w:pPr>
        <w:snapToGrid w:val="0"/>
        <w:spacing w:line="46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12.2.</w:t>
      </w:r>
      <w:r>
        <w:rPr>
          <w:rFonts w:ascii="仿宋" w:hAnsi="仿宋" w:eastAsia="仿宋" w:cs="仿宋"/>
          <w:color w:val="000000"/>
          <w:sz w:val="28"/>
          <w:szCs w:val="28"/>
          <w:lang w:val="en"/>
        </w:rPr>
        <w:t>8</w:t>
      </w:r>
      <w:r>
        <w:rPr>
          <w:rFonts w:hint="eastAsia" w:ascii="仿宋" w:hAnsi="仿宋" w:eastAsia="仿宋" w:cs="仿宋"/>
          <w:color w:val="000000"/>
          <w:sz w:val="28"/>
          <w:szCs w:val="28"/>
        </w:rPr>
        <w:t>投标人认为要说明的其他内容；</w:t>
      </w:r>
    </w:p>
    <w:p>
      <w:pPr>
        <w:spacing w:line="440" w:lineRule="exact"/>
        <w:ind w:firstLine="560"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12.3技术部分主要包括下列内容：</w:t>
      </w:r>
    </w:p>
    <w:p>
      <w:pPr>
        <w:snapToGrid w:val="0"/>
        <w:spacing w:line="46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12.3.1</w:t>
      </w:r>
      <w:r>
        <w:rPr>
          <w:rFonts w:hint="eastAsia" w:ascii="仿宋" w:hAnsi="仿宋" w:eastAsia="仿宋"/>
          <w:bCs/>
          <w:kern w:val="0"/>
          <w:sz w:val="28"/>
          <w:szCs w:val="28"/>
        </w:rPr>
        <w:t>投标货物技术性能</w:t>
      </w:r>
      <w:r>
        <w:rPr>
          <w:rFonts w:hint="eastAsia" w:ascii="仿宋" w:hAnsi="仿宋" w:eastAsia="仿宋" w:cs="仿宋"/>
          <w:color w:val="000000"/>
          <w:sz w:val="28"/>
          <w:szCs w:val="28"/>
        </w:rPr>
        <w:t>（格式自拟）；</w:t>
      </w:r>
    </w:p>
    <w:p>
      <w:pPr>
        <w:snapToGrid w:val="0"/>
        <w:spacing w:line="46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12.3.2项目实施方案（格式自拟）；</w:t>
      </w:r>
    </w:p>
    <w:p>
      <w:pPr>
        <w:snapToGrid w:val="0"/>
        <w:spacing w:line="46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12.3.6投标方认为需要的其他文件资料。</w:t>
      </w:r>
    </w:p>
    <w:p>
      <w:pPr>
        <w:spacing w:line="440" w:lineRule="exact"/>
        <w:ind w:firstLine="560"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12.4价格部分主要包括下列内容：</w:t>
      </w:r>
    </w:p>
    <w:p>
      <w:pPr>
        <w:spacing w:line="4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12.4.1开标一览表（报价表）（格式见附件8）;</w:t>
      </w:r>
    </w:p>
    <w:p>
      <w:pPr>
        <w:spacing w:line="4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12.4.2中小企业声明函（若有，格式见附件9）；</w:t>
      </w:r>
    </w:p>
    <w:p>
      <w:pPr>
        <w:spacing w:line="4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12.4.3残疾人福利企业声明函（若有，格式见附件10）</w:t>
      </w:r>
    </w:p>
    <w:p>
      <w:pPr>
        <w:spacing w:line="4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12.4.4属于监狱企业的证明文件（若有）。</w:t>
      </w:r>
    </w:p>
    <w:p>
      <w:pPr>
        <w:spacing w:line="400" w:lineRule="exact"/>
        <w:ind w:firstLine="548" w:firstLineChars="196"/>
        <w:rPr>
          <w:rFonts w:ascii="仿宋" w:hAnsi="仿宋" w:eastAsia="仿宋" w:cs="仿宋"/>
          <w:b/>
          <w:color w:val="000000" w:themeColor="text1"/>
          <w:sz w:val="28"/>
          <w:szCs w:val="28"/>
          <w:u w:val="single"/>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注：法定代表人授权委托书、投标声明书、投标项目报价明细表必须按招标文件格式要求正确签署并加盖投标人电子签章。</w:t>
      </w:r>
      <w:r>
        <w:rPr>
          <w:rFonts w:hint="eastAsia" w:ascii="仿宋" w:hAnsi="仿宋" w:eastAsia="仿宋" w:cs="仿宋"/>
          <w:b/>
          <w:color w:val="000000" w:themeColor="text1"/>
          <w:sz w:val="28"/>
          <w:szCs w:val="28"/>
          <w:u w:val="single"/>
          <w14:textFill>
            <w14:solidFill>
              <w14:schemeClr w14:val="tx1"/>
            </w14:solidFill>
          </w14:textFill>
        </w:rPr>
        <w:t>资格部分、商务部分及技术部分中不得出现项目价格部分内容，否则将作无效标处理。</w:t>
      </w:r>
    </w:p>
    <w:p>
      <w:pPr>
        <w:spacing w:line="400" w:lineRule="exact"/>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13.投标报价</w:t>
      </w:r>
    </w:p>
    <w:p>
      <w:pPr>
        <w:spacing w:line="440" w:lineRule="exact"/>
        <w:ind w:firstLine="560" w:firstLineChars="200"/>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u w:val="single"/>
          <w14:textFill>
            <w14:solidFill>
              <w14:schemeClr w14:val="tx1"/>
            </w14:solidFill>
          </w14:textFill>
        </w:rPr>
        <w:t>13.1投标人对同一投标货物不得同时出现可选择性品牌和一个品牌中的可选择性型号，</w:t>
      </w:r>
      <w:r>
        <w:rPr>
          <w:rFonts w:hint="eastAsia" w:ascii="仿宋" w:hAnsi="仿宋" w:eastAsia="仿宋" w:cs="仿宋"/>
          <w:color w:val="000000" w:themeColor="text1"/>
          <w:sz w:val="28"/>
          <w:szCs w:val="28"/>
          <w14:textFill>
            <w14:solidFill>
              <w14:schemeClr w14:val="tx1"/>
            </w14:solidFill>
          </w14:textFill>
        </w:rPr>
        <w:t>采购人和集中采购机构不接受备选方案。</w:t>
      </w:r>
    </w:p>
    <w:p>
      <w:pPr>
        <w:spacing w:line="4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13.2投标人应按招标文件规定的报价格式进行投标报价。投标文件只允许有一个报价，任何有选择性的报价将不予接受。</w:t>
      </w:r>
    </w:p>
    <w:p>
      <w:pPr>
        <w:spacing w:line="4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13.3开标一览表（报价表）上的价格应包括货物价格、标准附件、备品备件、专用工具、运输、装卸、安装调试、验收合格所需的各种费用及必要的保险费用和各项税金等完成采购项目所需的所有费用的总和，应为履行合同的最终价格，其市场风险由投标人承担。</w:t>
      </w:r>
    </w:p>
    <w:p>
      <w:pPr>
        <w:spacing w:line="440" w:lineRule="exact"/>
        <w:ind w:firstLine="560" w:firstLineChars="200"/>
        <w:rPr>
          <w:rFonts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t>13.4投标人在填报</w:t>
      </w:r>
      <w:r>
        <w:rPr>
          <w:rFonts w:hint="eastAsia" w:ascii="仿宋" w:hAnsi="仿宋" w:eastAsia="仿宋" w:cs="仿宋"/>
          <w:bCs/>
          <w:color w:val="000000" w:themeColor="text1"/>
          <w:sz w:val="28"/>
          <w:szCs w:val="28"/>
          <w14:textFill>
            <w14:solidFill>
              <w14:schemeClr w14:val="tx1"/>
            </w14:solidFill>
          </w14:textFill>
        </w:rPr>
        <w:t>投标项目报价明细表</w:t>
      </w:r>
      <w:r>
        <w:rPr>
          <w:rFonts w:hint="eastAsia" w:ascii="仿宋" w:hAnsi="仿宋" w:eastAsia="仿宋" w:cs="仿宋"/>
          <w:color w:val="000000" w:themeColor="text1"/>
          <w:sz w:val="28"/>
          <w:szCs w:val="28"/>
          <w14:textFill>
            <w14:solidFill>
              <w14:schemeClr w14:val="tx1"/>
            </w14:solidFill>
          </w14:textFill>
        </w:rPr>
        <w:t>时必须</w:t>
      </w:r>
      <w:r>
        <w:rPr>
          <w:rFonts w:hint="eastAsia" w:ascii="仿宋" w:hAnsi="仿宋" w:eastAsia="仿宋" w:cs="仿宋"/>
          <w:sz w:val="28"/>
          <w:szCs w:val="28"/>
        </w:rPr>
        <w:t>按照采购需求货物清单内容逐项报价，不得随意更改序号、货物名称、单位、数量，</w:t>
      </w:r>
      <w:r>
        <w:rPr>
          <w:rFonts w:hint="eastAsia" w:ascii="仿宋" w:hAnsi="仿宋" w:eastAsia="仿宋" w:cs="仿宋"/>
          <w:b/>
          <w:sz w:val="28"/>
          <w:szCs w:val="28"/>
        </w:rPr>
        <w:t>否则有可能被视为无效投标</w:t>
      </w:r>
      <w:r>
        <w:rPr>
          <w:rFonts w:hint="eastAsia" w:ascii="仿宋" w:hAnsi="仿宋" w:eastAsia="仿宋" w:cs="仿宋"/>
          <w:sz w:val="28"/>
          <w:szCs w:val="28"/>
        </w:rPr>
        <w:t>。</w:t>
      </w:r>
    </w:p>
    <w:p>
      <w:pPr>
        <w:spacing w:line="440" w:lineRule="exact"/>
        <w:ind w:firstLine="560" w:firstLineChars="200"/>
        <w:rPr>
          <w:rFonts w:ascii="仿宋" w:hAnsi="仿宋" w:eastAsia="仿宋" w:cs="仿宋"/>
          <w:b/>
          <w:bCs/>
          <w:sz w:val="28"/>
          <w:szCs w:val="28"/>
        </w:rPr>
      </w:pPr>
      <w:r>
        <w:rPr>
          <w:rFonts w:hint="eastAsia" w:ascii="仿宋" w:hAnsi="仿宋" w:eastAsia="仿宋" w:cs="仿宋"/>
          <w:sz w:val="28"/>
          <w:szCs w:val="28"/>
        </w:rPr>
        <w:t>13.5投标文件中的单价、合价、总价全部采用人民币表示。</w:t>
      </w:r>
    </w:p>
    <w:p>
      <w:pPr>
        <w:spacing w:line="440" w:lineRule="exact"/>
        <w:rPr>
          <w:rFonts w:ascii="仿宋" w:hAnsi="仿宋" w:eastAsia="仿宋" w:cs="仿宋"/>
          <w:b/>
          <w:bCs/>
          <w:sz w:val="28"/>
          <w:szCs w:val="28"/>
        </w:rPr>
      </w:pPr>
      <w:r>
        <w:rPr>
          <w:rFonts w:hint="eastAsia" w:ascii="仿宋" w:hAnsi="仿宋" w:eastAsia="仿宋" w:cs="仿宋"/>
          <w:b/>
          <w:bCs/>
          <w:sz w:val="28"/>
          <w:szCs w:val="28"/>
        </w:rPr>
        <w:t>14.投标有效期</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14.1投标有效期见本须知前附表第15项（120日历天）所规定的期限，在此期限内，凡符合本招标文件要求的投标文件均保持有效。</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14.2在特殊情况下，采购人和集中采购机构在原定投标有效期内，可以根据需要以书面形式向投标人提出延长投标有效期的要求，对此要求投标人须以书面形式予以答复。投标人可以拒绝采购人和集中采购机构这种要求。同意延长投标有效期的投标人既不能要求也不允许修改其投标文件。</w:t>
      </w:r>
    </w:p>
    <w:p>
      <w:pPr>
        <w:spacing w:line="440" w:lineRule="exact"/>
        <w:rPr>
          <w:rFonts w:ascii="仿宋" w:hAnsi="仿宋" w:eastAsia="仿宋" w:cs="仿宋"/>
          <w:b/>
          <w:bCs/>
          <w:sz w:val="28"/>
          <w:szCs w:val="28"/>
        </w:rPr>
      </w:pPr>
      <w:r>
        <w:rPr>
          <w:rFonts w:hint="eastAsia" w:ascii="仿宋" w:hAnsi="仿宋" w:eastAsia="仿宋" w:cs="仿宋"/>
          <w:b/>
          <w:bCs/>
          <w:sz w:val="28"/>
          <w:szCs w:val="28"/>
        </w:rPr>
        <w:t>15.投标保证金</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本项目不向投标人收取投标保证金。</w:t>
      </w:r>
    </w:p>
    <w:p>
      <w:pPr>
        <w:spacing w:line="440" w:lineRule="exact"/>
        <w:rPr>
          <w:rFonts w:ascii="仿宋" w:hAnsi="仿宋" w:eastAsia="仿宋" w:cs="仿宋"/>
          <w:b/>
          <w:bCs/>
          <w:sz w:val="28"/>
          <w:szCs w:val="28"/>
        </w:rPr>
      </w:pPr>
      <w:r>
        <w:rPr>
          <w:rFonts w:hint="eastAsia" w:ascii="仿宋" w:hAnsi="仿宋" w:eastAsia="仿宋" w:cs="仿宋"/>
          <w:b/>
          <w:bCs/>
          <w:sz w:val="28"/>
          <w:szCs w:val="28"/>
        </w:rPr>
        <w:t>16.投标文件的签署</w:t>
      </w:r>
    </w:p>
    <w:p>
      <w:pPr>
        <w:spacing w:line="440" w:lineRule="exact"/>
        <w:ind w:firstLine="560" w:firstLineChars="200"/>
        <w:rPr>
          <w:rFonts w:ascii="仿宋" w:hAnsi="仿宋" w:eastAsia="仿宋" w:cs="仿宋"/>
          <w:b/>
          <w:bCs/>
          <w:sz w:val="28"/>
          <w:szCs w:val="28"/>
        </w:rPr>
      </w:pPr>
      <w:r>
        <w:rPr>
          <w:rFonts w:hint="eastAsia" w:ascii="仿宋" w:hAnsi="仿宋" w:eastAsia="仿宋" w:cs="仿宋"/>
          <w:sz w:val="28"/>
          <w:szCs w:val="28"/>
        </w:rPr>
        <w:t>供应商应根据政采云平台“政府采购项目电子交易管理操作视频-供应商”及本招标文件规定的格式和顺序编制电子投标文件并进行关联定位。</w:t>
      </w:r>
    </w:p>
    <w:p>
      <w:pPr>
        <w:spacing w:line="440" w:lineRule="exact"/>
        <w:ind w:firstLine="560" w:firstLineChars="200"/>
        <w:rPr>
          <w:rFonts w:ascii="仿宋" w:hAnsi="仿宋" w:eastAsia="仿宋" w:cs="仿宋"/>
          <w:b/>
          <w:bCs/>
          <w:sz w:val="28"/>
          <w:szCs w:val="28"/>
        </w:rPr>
      </w:pPr>
      <w:r>
        <w:rPr>
          <w:rFonts w:hint="eastAsia" w:ascii="仿宋" w:hAnsi="仿宋" w:eastAsia="仿宋" w:cs="仿宋"/>
          <w:b/>
          <w:bCs/>
          <w:sz w:val="28"/>
          <w:szCs w:val="28"/>
        </w:rPr>
        <w:t>投标人须按资格部分、商务部分、技术部分和价格部分编制投标文件，资格部分、商务部分和技术部分的投标文件不得体现价格部分内容。</w:t>
      </w:r>
    </w:p>
    <w:p>
      <w:pPr>
        <w:autoSpaceDE w:val="0"/>
        <w:autoSpaceDN w:val="0"/>
        <w:adjustRightInd w:val="0"/>
        <w:spacing w:line="440" w:lineRule="exact"/>
        <w:ind w:firstLine="565" w:firstLineChars="202"/>
        <w:jc w:val="left"/>
        <w:rPr>
          <w:rFonts w:ascii="仿宋" w:hAnsi="仿宋" w:eastAsia="仿宋" w:cs="仿宋"/>
          <w:sz w:val="28"/>
          <w:szCs w:val="28"/>
        </w:rPr>
      </w:pPr>
      <w:r>
        <w:rPr>
          <w:rFonts w:hint="eastAsia" w:ascii="仿宋" w:hAnsi="仿宋" w:eastAsia="仿宋" w:cs="仿宋"/>
          <w:b/>
          <w:bCs/>
          <w:kern w:val="0"/>
          <w:sz w:val="28"/>
          <w:szCs w:val="28"/>
        </w:rPr>
        <w:t>投标文件需按招标文件要求的格式填写并签字盖章。</w:t>
      </w:r>
    </w:p>
    <w:p>
      <w:pPr>
        <w:pStyle w:val="5"/>
        <w:spacing w:line="440" w:lineRule="exact"/>
        <w:jc w:val="center"/>
        <w:rPr>
          <w:rFonts w:ascii="仿宋" w:hAnsi="仿宋" w:eastAsia="仿宋" w:cs="仿宋"/>
          <w:bCs w:val="0"/>
          <w:sz w:val="28"/>
          <w:szCs w:val="28"/>
        </w:rPr>
      </w:pPr>
      <w:bookmarkStart w:id="43" w:name="_Toc36454317"/>
      <w:r>
        <w:rPr>
          <w:rFonts w:hint="eastAsia" w:ascii="仿宋" w:hAnsi="仿宋" w:eastAsia="仿宋" w:cs="仿宋"/>
          <w:bCs w:val="0"/>
          <w:sz w:val="28"/>
          <w:szCs w:val="28"/>
        </w:rPr>
        <w:t>四、投标文件的提交</w:t>
      </w:r>
      <w:bookmarkEnd w:id="43"/>
    </w:p>
    <w:p>
      <w:pPr>
        <w:spacing w:line="440" w:lineRule="exact"/>
        <w:rPr>
          <w:rFonts w:ascii="仿宋" w:hAnsi="仿宋" w:eastAsia="仿宋" w:cs="仿宋"/>
          <w:b/>
          <w:bCs/>
          <w:sz w:val="28"/>
          <w:szCs w:val="28"/>
        </w:rPr>
      </w:pPr>
      <w:r>
        <w:rPr>
          <w:rFonts w:hint="eastAsia" w:ascii="仿宋" w:hAnsi="仿宋" w:eastAsia="仿宋" w:cs="仿宋"/>
          <w:b/>
          <w:bCs/>
          <w:sz w:val="28"/>
          <w:szCs w:val="28"/>
        </w:rPr>
        <w:t>17.投标文件的提交及提交截止时间</w:t>
      </w:r>
    </w:p>
    <w:p>
      <w:pPr>
        <w:spacing w:line="440" w:lineRule="exact"/>
        <w:ind w:firstLine="560" w:firstLineChars="200"/>
        <w:rPr>
          <w:rFonts w:ascii="仿宋" w:hAnsi="仿宋" w:eastAsia="仿宋" w:cs="仿宋"/>
          <w:b/>
          <w:sz w:val="28"/>
          <w:szCs w:val="28"/>
        </w:rPr>
      </w:pPr>
      <w:r>
        <w:rPr>
          <w:rFonts w:hint="eastAsia" w:ascii="仿宋" w:hAnsi="仿宋" w:eastAsia="仿宋" w:cs="仿宋"/>
          <w:b/>
          <w:sz w:val="28"/>
          <w:szCs w:val="28"/>
        </w:rPr>
        <w:t>17.1投标人应当在投标截止时间前完成电子投标文件的传输提交，并可以补充、修改或者撤回电子投标文件。补充或者修改电子投标文件的，应当先行撤回原文件，补充、修改后重新传输提交。投标截止时间前未完成传输的，视为撤回投标文件。</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17.2集中采购机构可通过修改招标文件酌情延长投标截止时间，在此情况下，投标人的所有权利和义务以及投标人的投标截止时间均应以延长后新的截止时间为准；</w:t>
      </w:r>
    </w:p>
    <w:p>
      <w:pPr>
        <w:spacing w:line="440" w:lineRule="exact"/>
        <w:rPr>
          <w:rFonts w:ascii="仿宋" w:hAnsi="仿宋" w:eastAsia="仿宋" w:cs="仿宋"/>
          <w:b/>
          <w:bCs/>
          <w:sz w:val="28"/>
          <w:szCs w:val="28"/>
        </w:rPr>
      </w:pPr>
      <w:r>
        <w:rPr>
          <w:rFonts w:hint="eastAsia" w:ascii="仿宋" w:hAnsi="仿宋" w:eastAsia="仿宋" w:cs="仿宋"/>
          <w:b/>
          <w:bCs/>
          <w:sz w:val="28"/>
          <w:szCs w:val="28"/>
        </w:rPr>
        <w:t>18.迟交的投标文件</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投标截止时间后传输提交的投标文件，将被政采云平台拒收。</w:t>
      </w:r>
    </w:p>
    <w:p>
      <w:pPr>
        <w:spacing w:line="440" w:lineRule="exact"/>
        <w:rPr>
          <w:rFonts w:ascii="仿宋" w:hAnsi="仿宋" w:eastAsia="仿宋" w:cs="仿宋"/>
          <w:b/>
          <w:bCs/>
          <w:sz w:val="28"/>
          <w:szCs w:val="28"/>
        </w:rPr>
      </w:pPr>
      <w:r>
        <w:rPr>
          <w:rFonts w:hint="eastAsia" w:ascii="仿宋" w:hAnsi="仿宋" w:eastAsia="仿宋" w:cs="仿宋"/>
          <w:b/>
          <w:bCs/>
          <w:sz w:val="28"/>
          <w:szCs w:val="28"/>
        </w:rPr>
        <w:t>19.投标文件的撤回</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在投标截止时间至规定的投标有效期满之间的这段时间，投标人不得撤回其投标。</w:t>
      </w:r>
    </w:p>
    <w:p>
      <w:pPr>
        <w:pStyle w:val="5"/>
        <w:spacing w:line="440" w:lineRule="exact"/>
        <w:jc w:val="center"/>
        <w:rPr>
          <w:rFonts w:ascii="仿宋" w:hAnsi="仿宋" w:eastAsia="仿宋" w:cs="仿宋"/>
          <w:bCs w:val="0"/>
          <w:sz w:val="28"/>
          <w:szCs w:val="28"/>
        </w:rPr>
      </w:pPr>
      <w:bookmarkStart w:id="44" w:name="_Toc36454318"/>
      <w:r>
        <w:rPr>
          <w:rFonts w:hint="eastAsia" w:ascii="仿宋" w:hAnsi="仿宋" w:eastAsia="仿宋" w:cs="仿宋"/>
          <w:bCs w:val="0"/>
          <w:sz w:val="28"/>
          <w:szCs w:val="28"/>
        </w:rPr>
        <w:t>五、开标程序</w:t>
      </w:r>
      <w:bookmarkEnd w:id="44"/>
    </w:p>
    <w:p>
      <w:pPr>
        <w:spacing w:line="440" w:lineRule="exact"/>
        <w:rPr>
          <w:rFonts w:ascii="仿宋" w:hAnsi="仿宋" w:eastAsia="仿宋" w:cs="仿宋"/>
          <w:b/>
          <w:bCs/>
          <w:sz w:val="28"/>
          <w:szCs w:val="28"/>
        </w:rPr>
      </w:pPr>
      <w:r>
        <w:rPr>
          <w:rFonts w:hint="eastAsia" w:ascii="仿宋" w:hAnsi="仿宋" w:eastAsia="仿宋" w:cs="仿宋"/>
          <w:b/>
          <w:bCs/>
          <w:sz w:val="28"/>
          <w:szCs w:val="28"/>
        </w:rPr>
        <w:t>20.开标程序</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20.1集中采购机构和采购人将于本须知《前附表》第13、14项规定的时间和地点举行开标会；</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20.2开标会由集中采购机构和采购人共同主持；</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20.3本项目采用政采云电子招投标开标程序</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投标截止时间后，投标人登录政采云平台，用“项目采购-开标评标”功能对电子投标文件进行在线解密。在线解密电子投标文件时间为</w:t>
      </w:r>
      <w:r>
        <w:rPr>
          <w:rFonts w:hint="eastAsia" w:ascii="仿宋" w:hAnsi="仿宋" w:eastAsia="仿宋" w:cs="仿宋"/>
          <w:b/>
          <w:sz w:val="28"/>
          <w:szCs w:val="28"/>
        </w:rPr>
        <w:t>开标时间起30分钟内</w:t>
      </w:r>
      <w:r>
        <w:rPr>
          <w:rFonts w:hint="eastAsia" w:ascii="仿宋" w:hAnsi="仿宋" w:eastAsia="仿宋" w:cs="仿宋"/>
          <w:sz w:val="28"/>
          <w:szCs w:val="28"/>
        </w:rPr>
        <w:t>。</w:t>
      </w:r>
      <w:r>
        <w:rPr>
          <w:rFonts w:hint="eastAsia" w:ascii="仿宋" w:hAnsi="仿宋" w:eastAsia="仿宋" w:cs="仿宋"/>
          <w:b/>
          <w:sz w:val="28"/>
          <w:szCs w:val="28"/>
          <w:u w:val="single"/>
        </w:rPr>
        <w:t>如投标人在开标开始后30分钟内解密失败，投标无效</w:t>
      </w:r>
      <w:r>
        <w:rPr>
          <w:rFonts w:hint="eastAsia" w:ascii="仿宋" w:hAnsi="仿宋" w:eastAsia="仿宋" w:cs="仿宋"/>
          <w:sz w:val="28"/>
          <w:szCs w:val="28"/>
          <w:u w:val="single"/>
        </w:rPr>
        <w:t>。</w:t>
      </w:r>
    </w:p>
    <w:p>
      <w:pPr>
        <w:spacing w:line="440" w:lineRule="exact"/>
        <w:ind w:firstLine="560" w:firstLineChars="200"/>
        <w:rPr>
          <w:rFonts w:ascii="仿宋" w:hAnsi="仿宋" w:eastAsia="仿宋" w:cs="仿宋"/>
          <w:sz w:val="28"/>
          <w:szCs w:val="28"/>
          <w:u w:val="single"/>
        </w:rPr>
      </w:pPr>
      <w:r>
        <w:rPr>
          <w:rFonts w:hint="eastAsia" w:ascii="仿宋" w:hAnsi="仿宋" w:eastAsia="仿宋" w:cs="仿宋"/>
          <w:sz w:val="28"/>
          <w:szCs w:val="28"/>
          <w:u w:val="single"/>
        </w:rPr>
        <w:t>说明：政采云平台如对电子开评标程序有调整的，按调整后的程序操作。</w:t>
      </w:r>
    </w:p>
    <w:p>
      <w:pPr>
        <w:pStyle w:val="5"/>
        <w:spacing w:line="440" w:lineRule="exact"/>
        <w:ind w:firstLine="3332" w:firstLineChars="1190"/>
        <w:rPr>
          <w:rFonts w:ascii="仿宋" w:hAnsi="仿宋" w:eastAsia="仿宋" w:cs="仿宋"/>
          <w:bCs w:val="0"/>
          <w:snapToGrid w:val="0"/>
          <w:sz w:val="28"/>
          <w:szCs w:val="28"/>
        </w:rPr>
      </w:pPr>
      <w:bookmarkStart w:id="45" w:name="_Toc36454319"/>
      <w:r>
        <w:rPr>
          <w:rFonts w:hint="eastAsia" w:ascii="仿宋" w:hAnsi="仿宋" w:eastAsia="仿宋" w:cs="仿宋"/>
          <w:bCs w:val="0"/>
          <w:snapToGrid w:val="0"/>
          <w:sz w:val="28"/>
          <w:szCs w:val="28"/>
        </w:rPr>
        <w:t>六、评标</w:t>
      </w:r>
      <w:bookmarkEnd w:id="45"/>
    </w:p>
    <w:p>
      <w:pPr>
        <w:spacing w:line="440" w:lineRule="exact"/>
        <w:rPr>
          <w:rFonts w:ascii="仿宋" w:hAnsi="仿宋" w:eastAsia="仿宋" w:cs="仿宋"/>
          <w:b/>
          <w:bCs/>
          <w:snapToGrid w:val="0"/>
          <w:sz w:val="28"/>
          <w:szCs w:val="28"/>
        </w:rPr>
      </w:pPr>
      <w:r>
        <w:rPr>
          <w:rFonts w:hint="eastAsia" w:ascii="仿宋" w:hAnsi="仿宋" w:eastAsia="仿宋" w:cs="仿宋"/>
          <w:b/>
          <w:bCs/>
          <w:snapToGrid w:val="0"/>
          <w:sz w:val="28"/>
          <w:szCs w:val="28"/>
        </w:rPr>
        <w:t>21.</w:t>
      </w:r>
      <w:r>
        <w:rPr>
          <w:rFonts w:hint="eastAsia" w:ascii="仿宋" w:hAnsi="仿宋" w:eastAsia="仿宋" w:cs="仿宋"/>
          <w:b/>
          <w:bCs/>
          <w:sz w:val="28"/>
          <w:szCs w:val="28"/>
        </w:rPr>
        <w:t>评标委员会与评标</w:t>
      </w:r>
    </w:p>
    <w:p>
      <w:pPr>
        <w:spacing w:line="440" w:lineRule="exact"/>
        <w:ind w:firstLine="560"/>
        <w:rPr>
          <w:rFonts w:ascii="仿宋" w:hAnsi="仿宋" w:eastAsia="仿宋" w:cs="仿宋"/>
          <w:sz w:val="28"/>
          <w:szCs w:val="28"/>
        </w:rPr>
      </w:pPr>
      <w:r>
        <w:rPr>
          <w:rFonts w:hint="eastAsia" w:ascii="仿宋" w:hAnsi="仿宋" w:eastAsia="仿宋" w:cs="仿宋"/>
          <w:sz w:val="28"/>
          <w:szCs w:val="28"/>
        </w:rPr>
        <w:t>评标委员会由集中采购机构依法组建，负责评标活动。评标</w:t>
      </w:r>
      <w:r>
        <w:rPr>
          <w:rFonts w:hint="eastAsia" w:ascii="仿宋" w:hAnsi="仿宋" w:eastAsia="仿宋" w:cs="仿宋"/>
          <w:snapToGrid w:val="0"/>
          <w:sz w:val="28"/>
          <w:szCs w:val="28"/>
        </w:rPr>
        <w:t>委员会</w:t>
      </w:r>
      <w:r>
        <w:rPr>
          <w:rFonts w:hint="eastAsia" w:ascii="仿宋" w:hAnsi="仿宋" w:eastAsia="仿宋" w:cs="仿宋"/>
          <w:sz w:val="28"/>
          <w:szCs w:val="28"/>
        </w:rPr>
        <w:t>遵循公正、公平、科学合理，竞争择优的原则。</w:t>
      </w:r>
    </w:p>
    <w:p>
      <w:pPr>
        <w:spacing w:line="440" w:lineRule="exact"/>
        <w:rPr>
          <w:rFonts w:ascii="仿宋" w:hAnsi="仿宋" w:eastAsia="仿宋" w:cs="仿宋"/>
          <w:b/>
          <w:bCs/>
          <w:sz w:val="28"/>
          <w:szCs w:val="28"/>
        </w:rPr>
      </w:pPr>
      <w:r>
        <w:rPr>
          <w:rFonts w:hint="eastAsia" w:ascii="仿宋" w:hAnsi="仿宋" w:eastAsia="仿宋" w:cs="仿宋"/>
          <w:b/>
          <w:bCs/>
          <w:sz w:val="28"/>
          <w:szCs w:val="28"/>
        </w:rPr>
        <w:t>22.评标过程的保密</w:t>
      </w:r>
    </w:p>
    <w:p>
      <w:pPr>
        <w:spacing w:line="440" w:lineRule="exact"/>
        <w:ind w:firstLine="500"/>
        <w:rPr>
          <w:rFonts w:ascii="仿宋" w:hAnsi="仿宋" w:eastAsia="仿宋" w:cs="仿宋"/>
          <w:sz w:val="28"/>
          <w:szCs w:val="28"/>
        </w:rPr>
      </w:pPr>
      <w:r>
        <w:rPr>
          <w:rFonts w:hint="eastAsia" w:ascii="仿宋" w:hAnsi="仿宋" w:eastAsia="仿宋" w:cs="仿宋"/>
          <w:sz w:val="28"/>
          <w:szCs w:val="28"/>
        </w:rPr>
        <w:t>22.1开标后，直至授予中标供应商合同为止，凡属于对投标文件的审查、澄清、评价和比较的有关资料、中标候选人的推荐情况及与评标有关的其他任何情况均严格保密。</w:t>
      </w:r>
    </w:p>
    <w:p>
      <w:pPr>
        <w:spacing w:line="440" w:lineRule="exact"/>
        <w:ind w:firstLine="500"/>
        <w:rPr>
          <w:rFonts w:ascii="仿宋" w:hAnsi="仿宋" w:eastAsia="仿宋" w:cs="仿宋"/>
          <w:sz w:val="28"/>
          <w:szCs w:val="28"/>
        </w:rPr>
      </w:pPr>
      <w:r>
        <w:rPr>
          <w:rFonts w:hint="eastAsia" w:ascii="仿宋" w:hAnsi="仿宋" w:eastAsia="仿宋" w:cs="仿宋"/>
          <w:sz w:val="28"/>
          <w:szCs w:val="28"/>
        </w:rPr>
        <w:t>22.2 在投标文件的评审和比较、中标候选人推荐以及授予合同的过程中，投标人向采购人、集中采购机构和评标委员会施加影响的任何行为，都将会导致其投标被拒绝。</w:t>
      </w:r>
    </w:p>
    <w:p>
      <w:pPr>
        <w:spacing w:line="440" w:lineRule="exact"/>
        <w:rPr>
          <w:rFonts w:ascii="仿宋" w:hAnsi="仿宋" w:eastAsia="仿宋" w:cs="仿宋"/>
          <w:b/>
          <w:bCs/>
          <w:sz w:val="28"/>
          <w:szCs w:val="28"/>
        </w:rPr>
      </w:pPr>
      <w:r>
        <w:rPr>
          <w:rFonts w:hint="eastAsia" w:ascii="仿宋" w:hAnsi="仿宋" w:eastAsia="仿宋" w:cs="仿宋"/>
          <w:b/>
          <w:bCs/>
          <w:sz w:val="28"/>
          <w:szCs w:val="28"/>
        </w:rPr>
        <w:t>23.投标文件的澄清</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为有助于投标文件的审查、评价和比较，评标委员会可以要求投标人对于投标文件中含义不明确、同类问题表述不一致或者有明显文字和计算错误的内容作必要的澄清、说明或补正。</w:t>
      </w:r>
    </w:p>
    <w:p>
      <w:pPr>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评审中需要投标人对投标、响应文件作出澄清、说明或者补正的，评标委员会和投标人应当通过政采云平台交换数据电文。给予投标人提交澄清说明或补正的时间不少于半小时，投标人已经明确表示澄清说明或补正完毕的除外。</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投标人通过政采云平台交换的数据电文必须进行电子签章。</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根据本须知第25条规定，凡属于评标委员会在评标中发现的计算错误进行核实的修改不在此列。</w:t>
      </w:r>
    </w:p>
    <w:p>
      <w:pPr>
        <w:spacing w:line="440" w:lineRule="exact"/>
        <w:rPr>
          <w:rFonts w:ascii="仿宋" w:hAnsi="仿宋" w:eastAsia="仿宋" w:cs="仿宋"/>
          <w:b/>
          <w:bCs/>
          <w:sz w:val="28"/>
          <w:szCs w:val="28"/>
        </w:rPr>
      </w:pPr>
      <w:r>
        <w:rPr>
          <w:rFonts w:hint="eastAsia" w:ascii="仿宋" w:hAnsi="仿宋" w:eastAsia="仿宋" w:cs="仿宋"/>
          <w:b/>
          <w:bCs/>
          <w:sz w:val="28"/>
          <w:szCs w:val="28"/>
        </w:rPr>
        <w:t>24.投标文件的评定</w:t>
      </w:r>
    </w:p>
    <w:p>
      <w:pPr>
        <w:spacing w:line="440" w:lineRule="exact"/>
        <w:ind w:firstLine="500"/>
        <w:rPr>
          <w:rFonts w:ascii="仿宋" w:hAnsi="仿宋" w:eastAsia="仿宋" w:cs="仿宋"/>
          <w:sz w:val="28"/>
          <w:szCs w:val="28"/>
        </w:rPr>
      </w:pPr>
      <w:r>
        <w:rPr>
          <w:rFonts w:hint="eastAsia" w:ascii="仿宋" w:hAnsi="仿宋" w:eastAsia="仿宋" w:cs="仿宋"/>
          <w:sz w:val="28"/>
          <w:szCs w:val="28"/>
        </w:rPr>
        <w:t>24.1资格性审查</w:t>
      </w:r>
    </w:p>
    <w:p>
      <w:pPr>
        <w:spacing w:line="440" w:lineRule="exact"/>
        <w:ind w:firstLine="500"/>
        <w:rPr>
          <w:rFonts w:ascii="仿宋" w:hAnsi="仿宋" w:eastAsia="仿宋" w:cs="仿宋"/>
          <w:sz w:val="28"/>
          <w:szCs w:val="28"/>
        </w:rPr>
      </w:pPr>
      <w:r>
        <w:rPr>
          <w:rFonts w:hint="eastAsia" w:ascii="仿宋" w:hAnsi="仿宋" w:eastAsia="仿宋" w:cs="仿宋"/>
          <w:sz w:val="28"/>
          <w:szCs w:val="28"/>
        </w:rPr>
        <w:t>依据法律、法规和招标文件规定，对投标文件中的资格文件逐项进行审查，以确定投标人是否具备投标资格。资格性审查由采购人负责。</w:t>
      </w:r>
    </w:p>
    <w:p>
      <w:pPr>
        <w:spacing w:line="440" w:lineRule="exact"/>
        <w:ind w:firstLine="500"/>
        <w:rPr>
          <w:rFonts w:ascii="仿宋" w:hAnsi="仿宋" w:eastAsia="仿宋" w:cs="仿宋"/>
          <w:sz w:val="28"/>
          <w:szCs w:val="28"/>
        </w:rPr>
      </w:pPr>
      <w:r>
        <w:rPr>
          <w:rFonts w:hint="eastAsia" w:ascii="仿宋" w:hAnsi="仿宋" w:eastAsia="仿宋" w:cs="仿宋"/>
          <w:sz w:val="28"/>
          <w:szCs w:val="28"/>
        </w:rPr>
        <w:t>24.2符合性审查</w:t>
      </w:r>
    </w:p>
    <w:p>
      <w:pPr>
        <w:spacing w:line="440" w:lineRule="exact"/>
        <w:ind w:firstLine="500"/>
        <w:rPr>
          <w:rFonts w:ascii="仿宋" w:hAnsi="仿宋" w:eastAsia="仿宋" w:cs="仿宋"/>
          <w:sz w:val="28"/>
          <w:szCs w:val="28"/>
        </w:rPr>
      </w:pPr>
      <w:r>
        <w:rPr>
          <w:rFonts w:hint="eastAsia" w:ascii="仿宋" w:hAnsi="仿宋" w:eastAsia="仿宋" w:cs="仿宋"/>
          <w:sz w:val="28"/>
          <w:szCs w:val="28"/>
        </w:rPr>
        <w:t>评标时，评标委员会将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p>
    <w:p>
      <w:pPr>
        <w:spacing w:line="440" w:lineRule="exact"/>
        <w:ind w:firstLine="560" w:firstLineChars="200"/>
        <w:rPr>
          <w:rFonts w:ascii="仿宋" w:hAnsi="仿宋" w:eastAsia="仿宋" w:cs="仿宋"/>
          <w:b/>
          <w:bCs/>
          <w:sz w:val="28"/>
          <w:szCs w:val="28"/>
        </w:rPr>
      </w:pPr>
      <w:r>
        <w:rPr>
          <w:rFonts w:hint="eastAsia" w:ascii="仿宋" w:hAnsi="仿宋" w:eastAsia="仿宋" w:cs="仿宋"/>
          <w:b/>
          <w:bCs/>
          <w:sz w:val="28"/>
          <w:szCs w:val="28"/>
        </w:rPr>
        <w:t>24.3如果投标文件实质上不响应招标文件的各项要求，评标委员会将予以拒绝，并且不允许投标人通过修改或撤销其不符合要求的差异或保留，使之成为具有响应性的投标。</w:t>
      </w:r>
    </w:p>
    <w:p>
      <w:pPr>
        <w:spacing w:line="440" w:lineRule="exact"/>
        <w:rPr>
          <w:rFonts w:ascii="仿宋" w:hAnsi="仿宋" w:eastAsia="仿宋" w:cs="仿宋"/>
          <w:b/>
          <w:bCs/>
          <w:sz w:val="28"/>
          <w:szCs w:val="28"/>
        </w:rPr>
      </w:pPr>
      <w:r>
        <w:rPr>
          <w:rFonts w:hint="eastAsia" w:ascii="仿宋" w:hAnsi="仿宋" w:eastAsia="仿宋" w:cs="仿宋"/>
          <w:b/>
          <w:bCs/>
          <w:sz w:val="28"/>
          <w:szCs w:val="28"/>
        </w:rPr>
        <w:t>25.投标文件报价前后不一致的修正</w:t>
      </w:r>
    </w:p>
    <w:p>
      <w:pPr>
        <w:spacing w:line="440" w:lineRule="exact"/>
        <w:ind w:firstLine="500"/>
        <w:rPr>
          <w:rFonts w:ascii="仿宋" w:hAnsi="仿宋" w:eastAsia="仿宋" w:cs="仿宋"/>
          <w:sz w:val="28"/>
          <w:szCs w:val="28"/>
        </w:rPr>
      </w:pPr>
      <w:r>
        <w:rPr>
          <w:rFonts w:hint="eastAsia" w:ascii="仿宋" w:hAnsi="仿宋" w:eastAsia="仿宋" w:cs="仿宋"/>
          <w:sz w:val="28"/>
          <w:szCs w:val="28"/>
        </w:rPr>
        <w:t>投标文件报价出现前后不一致的，除本招标文件另有规定外，按照下列规定修正：</w:t>
      </w:r>
    </w:p>
    <w:p>
      <w:pPr>
        <w:spacing w:line="440" w:lineRule="exact"/>
        <w:ind w:firstLine="500"/>
        <w:rPr>
          <w:rFonts w:ascii="仿宋" w:hAnsi="仿宋" w:eastAsia="仿宋" w:cs="仿宋"/>
          <w:sz w:val="28"/>
          <w:szCs w:val="28"/>
        </w:rPr>
      </w:pPr>
      <w:r>
        <w:rPr>
          <w:rFonts w:hint="eastAsia" w:ascii="仿宋" w:hAnsi="仿宋" w:eastAsia="仿宋" w:cs="仿宋"/>
          <w:sz w:val="28"/>
          <w:szCs w:val="28"/>
        </w:rPr>
        <w:t>25.1投标文件中开标一览表（报价表）内容与投标文件中</w:t>
      </w:r>
      <w:r>
        <w:rPr>
          <w:rFonts w:hint="eastAsia" w:ascii="仿宋" w:hAnsi="仿宋" w:eastAsia="仿宋" w:cs="仿宋"/>
          <w:bCs/>
          <w:sz w:val="28"/>
          <w:szCs w:val="28"/>
        </w:rPr>
        <w:t>投标项目报价</w:t>
      </w:r>
      <w:r>
        <w:rPr>
          <w:rFonts w:hint="eastAsia" w:ascii="仿宋" w:hAnsi="仿宋" w:eastAsia="仿宋" w:cs="仿宋"/>
          <w:sz w:val="28"/>
          <w:szCs w:val="28"/>
        </w:rPr>
        <w:t>明细表内容不一致的，以开标一览表（报价表）为准；</w:t>
      </w:r>
    </w:p>
    <w:p>
      <w:pPr>
        <w:spacing w:line="440" w:lineRule="exact"/>
        <w:ind w:firstLine="500"/>
        <w:rPr>
          <w:rFonts w:ascii="仿宋" w:hAnsi="仿宋" w:eastAsia="仿宋" w:cs="仿宋"/>
          <w:sz w:val="28"/>
          <w:szCs w:val="28"/>
        </w:rPr>
      </w:pPr>
      <w:r>
        <w:rPr>
          <w:rFonts w:hint="eastAsia" w:ascii="仿宋" w:hAnsi="仿宋" w:eastAsia="仿宋" w:cs="仿宋"/>
          <w:sz w:val="28"/>
          <w:szCs w:val="28"/>
        </w:rPr>
        <w:t>25.2投标文件的大写金额和小写金额不一致的，以大写金额为准；</w:t>
      </w:r>
    </w:p>
    <w:p>
      <w:pPr>
        <w:spacing w:line="440" w:lineRule="exact"/>
        <w:ind w:firstLine="500"/>
        <w:rPr>
          <w:rFonts w:ascii="仿宋" w:hAnsi="仿宋" w:eastAsia="仿宋" w:cs="仿宋"/>
          <w:sz w:val="28"/>
          <w:szCs w:val="28"/>
        </w:rPr>
      </w:pPr>
      <w:r>
        <w:rPr>
          <w:rFonts w:hint="eastAsia" w:ascii="仿宋" w:hAnsi="仿宋" w:eastAsia="仿宋" w:cs="仿宋"/>
          <w:sz w:val="28"/>
          <w:szCs w:val="28"/>
        </w:rPr>
        <w:t>25.3单价金额小数点或者百分比有明显错位的，以开标一览表的总价为准，并修改单价；</w:t>
      </w:r>
    </w:p>
    <w:p>
      <w:pPr>
        <w:spacing w:line="440" w:lineRule="exact"/>
        <w:ind w:firstLine="500"/>
        <w:rPr>
          <w:rFonts w:ascii="仿宋" w:hAnsi="仿宋" w:eastAsia="仿宋" w:cs="仿宋"/>
          <w:sz w:val="28"/>
          <w:szCs w:val="28"/>
        </w:rPr>
      </w:pPr>
      <w:r>
        <w:rPr>
          <w:rFonts w:hint="eastAsia" w:ascii="仿宋" w:hAnsi="仿宋" w:eastAsia="仿宋" w:cs="仿宋"/>
          <w:spacing w:val="-8"/>
          <w:sz w:val="28"/>
          <w:szCs w:val="28"/>
        </w:rPr>
        <w:t>25.4</w:t>
      </w:r>
      <w:r>
        <w:rPr>
          <w:rFonts w:hint="eastAsia" w:ascii="仿宋" w:hAnsi="仿宋" w:eastAsia="仿宋" w:cs="仿宋"/>
          <w:sz w:val="28"/>
          <w:szCs w:val="28"/>
        </w:rPr>
        <w:t>总价金额与按单价汇总金额不一致的，以单价金额计算结果为准。</w:t>
      </w:r>
    </w:p>
    <w:p>
      <w:pPr>
        <w:spacing w:line="440" w:lineRule="exact"/>
        <w:ind w:firstLine="500"/>
        <w:rPr>
          <w:rFonts w:ascii="仿宋" w:hAnsi="仿宋" w:eastAsia="仿宋" w:cs="仿宋"/>
          <w:sz w:val="28"/>
          <w:szCs w:val="28"/>
        </w:rPr>
      </w:pPr>
      <w:r>
        <w:rPr>
          <w:rFonts w:hint="eastAsia" w:ascii="仿宋" w:hAnsi="仿宋" w:eastAsia="仿宋" w:cs="仿宋"/>
          <w:sz w:val="28"/>
          <w:szCs w:val="28"/>
        </w:rPr>
        <w:t>25.5同时出现两种以上不一致的，按照前款规定的顺序修正。修正后的报价经投标人确认后产生约束力，投标人不确认的，其投标无效。</w:t>
      </w:r>
    </w:p>
    <w:p>
      <w:pPr>
        <w:tabs>
          <w:tab w:val="left" w:pos="5685"/>
        </w:tabs>
        <w:spacing w:line="440" w:lineRule="exact"/>
        <w:rPr>
          <w:rFonts w:ascii="仿宋" w:hAnsi="仿宋" w:eastAsia="仿宋" w:cs="仿宋"/>
          <w:b/>
          <w:bCs/>
          <w:sz w:val="28"/>
          <w:szCs w:val="28"/>
        </w:rPr>
      </w:pPr>
      <w:r>
        <w:rPr>
          <w:rFonts w:hint="eastAsia" w:ascii="仿宋" w:hAnsi="仿宋" w:eastAsia="仿宋" w:cs="仿宋"/>
          <w:b/>
          <w:bCs/>
          <w:sz w:val="28"/>
          <w:szCs w:val="28"/>
        </w:rPr>
        <w:t>26.投标文件的评审、比较和否决</w:t>
      </w:r>
      <w:r>
        <w:rPr>
          <w:rFonts w:hint="eastAsia" w:ascii="仿宋" w:hAnsi="仿宋" w:eastAsia="仿宋" w:cs="仿宋"/>
          <w:b/>
          <w:bCs/>
          <w:sz w:val="28"/>
          <w:szCs w:val="28"/>
        </w:rPr>
        <w:tab/>
      </w:r>
    </w:p>
    <w:p>
      <w:pPr>
        <w:spacing w:line="440" w:lineRule="exact"/>
        <w:ind w:firstLine="500"/>
        <w:rPr>
          <w:rFonts w:ascii="仿宋" w:hAnsi="仿宋" w:eastAsia="仿宋" w:cs="仿宋"/>
          <w:sz w:val="28"/>
          <w:szCs w:val="28"/>
        </w:rPr>
      </w:pPr>
      <w:r>
        <w:rPr>
          <w:rFonts w:hint="eastAsia" w:ascii="仿宋" w:hAnsi="仿宋" w:eastAsia="仿宋" w:cs="仿宋"/>
          <w:sz w:val="28"/>
          <w:szCs w:val="28"/>
        </w:rPr>
        <w:t>26.1评标委员会将对在实质上响应招标文件要求的投标文件进行评估和比较。</w:t>
      </w:r>
    </w:p>
    <w:p>
      <w:pPr>
        <w:spacing w:line="440" w:lineRule="exact"/>
        <w:ind w:firstLine="500"/>
        <w:rPr>
          <w:rFonts w:ascii="仿宋" w:hAnsi="仿宋" w:eastAsia="仿宋" w:cs="仿宋"/>
          <w:sz w:val="28"/>
          <w:szCs w:val="28"/>
        </w:rPr>
      </w:pPr>
      <w:r>
        <w:rPr>
          <w:rFonts w:hint="eastAsia" w:ascii="仿宋" w:hAnsi="仿宋" w:eastAsia="仿宋" w:cs="仿宋"/>
          <w:sz w:val="28"/>
          <w:szCs w:val="28"/>
        </w:rPr>
        <w:t>26.2 在评审过程中,评标委员会可以要求投标人就投标文件中含义不明确的内容进行说明并提供相关材料。</w:t>
      </w:r>
    </w:p>
    <w:p>
      <w:pPr>
        <w:spacing w:line="440" w:lineRule="exact"/>
        <w:ind w:firstLine="500"/>
        <w:rPr>
          <w:rFonts w:ascii="仿宋" w:hAnsi="仿宋" w:eastAsia="仿宋" w:cs="仿宋"/>
          <w:sz w:val="28"/>
          <w:szCs w:val="28"/>
        </w:rPr>
      </w:pPr>
      <w:r>
        <w:rPr>
          <w:rFonts w:hint="eastAsia" w:ascii="仿宋" w:hAnsi="仿宋" w:eastAsia="仿宋" w:cs="仿宋"/>
          <w:sz w:val="28"/>
          <w:szCs w:val="28"/>
        </w:rPr>
        <w:t>26.3在评审过程中，如发现与招标文件要求相偏离的，评标委员会应对其偏离情形进行必要的书面核实。</w:t>
      </w:r>
    </w:p>
    <w:p>
      <w:pPr>
        <w:spacing w:line="440" w:lineRule="exact"/>
        <w:ind w:firstLine="500"/>
        <w:rPr>
          <w:rFonts w:ascii="仿宋" w:hAnsi="仿宋" w:eastAsia="仿宋" w:cs="仿宋"/>
          <w:sz w:val="28"/>
          <w:szCs w:val="28"/>
        </w:rPr>
      </w:pPr>
      <w:r>
        <w:rPr>
          <w:rFonts w:hint="eastAsia" w:ascii="仿宋" w:hAnsi="仿宋" w:eastAsia="仿宋" w:cs="仿宋"/>
          <w:sz w:val="28"/>
          <w:szCs w:val="28"/>
        </w:rPr>
        <w:t>26.4在评审过程中，如属于实质性偏离或符合无效响应条件的，应当询问相关投标人，并允许其进行陈述申辩，但不允许其对偏离条款进行补充、修正或撤回。</w:t>
      </w:r>
    </w:p>
    <w:p>
      <w:pPr>
        <w:spacing w:line="440" w:lineRule="exact"/>
        <w:ind w:firstLine="500"/>
        <w:rPr>
          <w:rFonts w:ascii="仿宋" w:hAnsi="仿宋" w:eastAsia="仿宋" w:cs="仿宋"/>
          <w:sz w:val="28"/>
          <w:szCs w:val="28"/>
          <w:u w:val="single"/>
        </w:rPr>
      </w:pPr>
      <w:r>
        <w:rPr>
          <w:rFonts w:hint="eastAsia" w:ascii="仿宋" w:hAnsi="仿宋" w:eastAsia="仿宋" w:cs="仿宋"/>
          <w:sz w:val="28"/>
          <w:szCs w:val="28"/>
        </w:rPr>
        <w:t>26.5在评审过程中，如发现投标文件同一内容前后描述不一致的，评标委员会有权对其做出不利的判定。</w:t>
      </w:r>
    </w:p>
    <w:p>
      <w:pPr>
        <w:spacing w:line="440" w:lineRule="exact"/>
        <w:ind w:firstLine="500"/>
        <w:rPr>
          <w:rFonts w:ascii="仿宋" w:hAnsi="仿宋" w:eastAsia="仿宋" w:cs="仿宋"/>
          <w:sz w:val="28"/>
          <w:szCs w:val="28"/>
        </w:rPr>
      </w:pPr>
      <w:r>
        <w:rPr>
          <w:rFonts w:hint="eastAsia" w:ascii="仿宋" w:hAnsi="仿宋" w:eastAsia="仿宋" w:cs="仿宋"/>
          <w:sz w:val="28"/>
          <w:szCs w:val="28"/>
        </w:rPr>
        <w:t>26.6 评标委员会依据招标文件规定的评标标准和方法，对投标文件进行评审和比较，向集中采购机构提交书面评标报告，并推荐合格的中标候选人。</w:t>
      </w:r>
    </w:p>
    <w:p>
      <w:pPr>
        <w:spacing w:line="440" w:lineRule="exact"/>
        <w:rPr>
          <w:rFonts w:ascii="仿宋" w:hAnsi="仿宋" w:eastAsia="仿宋" w:cs="仿宋"/>
          <w:b/>
          <w:bCs/>
          <w:sz w:val="28"/>
          <w:szCs w:val="28"/>
        </w:rPr>
      </w:pPr>
      <w:r>
        <w:rPr>
          <w:rFonts w:hint="eastAsia" w:ascii="仿宋" w:hAnsi="仿宋" w:eastAsia="仿宋" w:cs="仿宋"/>
          <w:b/>
          <w:bCs/>
          <w:sz w:val="28"/>
          <w:szCs w:val="28"/>
        </w:rPr>
        <w:t>27.废标</w:t>
      </w:r>
    </w:p>
    <w:p>
      <w:pPr>
        <w:spacing w:line="440" w:lineRule="exact"/>
        <w:ind w:firstLine="560" w:firstLineChars="200"/>
        <w:rPr>
          <w:rFonts w:ascii="仿宋" w:hAnsi="仿宋" w:eastAsia="仿宋" w:cs="仿宋"/>
          <w:b/>
          <w:bCs/>
          <w:sz w:val="28"/>
          <w:szCs w:val="28"/>
        </w:rPr>
      </w:pPr>
      <w:r>
        <w:rPr>
          <w:rFonts w:hint="eastAsia" w:ascii="仿宋" w:hAnsi="仿宋" w:eastAsia="仿宋" w:cs="仿宋"/>
          <w:b/>
          <w:bCs/>
          <w:sz w:val="28"/>
          <w:szCs w:val="28"/>
        </w:rPr>
        <w:t>在招标采购中，出现下列情形之一的，应予废标（</w:t>
      </w:r>
      <w:r>
        <w:rPr>
          <w:rFonts w:hint="eastAsia" w:ascii="仿宋" w:hAnsi="仿宋" w:eastAsia="仿宋" w:cs="仿宋"/>
          <w:b/>
          <w:snapToGrid w:val="0"/>
          <w:sz w:val="28"/>
          <w:szCs w:val="28"/>
        </w:rPr>
        <w:t>法律、法规、规章、省级及以上监管部门规定的其他情形除外）</w:t>
      </w:r>
      <w:r>
        <w:rPr>
          <w:rFonts w:hint="eastAsia" w:ascii="仿宋" w:hAnsi="仿宋" w:eastAsia="仿宋" w:cs="仿宋"/>
          <w:b/>
          <w:bCs/>
          <w:sz w:val="28"/>
          <w:szCs w:val="28"/>
        </w:rPr>
        <w:t>：</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27.1符合专业条件的供应商或者对招标文件作实质响应的供应商不足三家的；</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27.2出现影响采购公正的违法、违规行为的；</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27.3因重大变故，采购任务取消的;</w:t>
      </w:r>
    </w:p>
    <w:p>
      <w:pPr>
        <w:spacing w:line="440" w:lineRule="exact"/>
        <w:ind w:firstLine="560" w:firstLineChars="200"/>
        <w:rPr>
          <w:rFonts w:ascii="仿宋" w:hAnsi="仿宋" w:eastAsia="仿宋" w:cs="仿宋"/>
          <w:b/>
          <w:snapToGrid w:val="0"/>
          <w:sz w:val="28"/>
          <w:szCs w:val="28"/>
        </w:rPr>
      </w:pPr>
      <w:r>
        <w:rPr>
          <w:rFonts w:hint="eastAsia" w:ascii="仿宋" w:hAnsi="仿宋" w:eastAsia="仿宋" w:cs="仿宋"/>
          <w:bCs/>
          <w:sz w:val="28"/>
          <w:szCs w:val="28"/>
        </w:rPr>
        <w:t>27.4投标人的报价均超采购预算的，采购人不能支付的。</w:t>
      </w:r>
    </w:p>
    <w:p>
      <w:pPr>
        <w:spacing w:line="440" w:lineRule="exact"/>
        <w:rPr>
          <w:rFonts w:ascii="仿宋" w:hAnsi="仿宋" w:eastAsia="仿宋" w:cs="仿宋"/>
          <w:b/>
          <w:bCs/>
          <w:sz w:val="28"/>
          <w:szCs w:val="28"/>
        </w:rPr>
      </w:pPr>
      <w:r>
        <w:rPr>
          <w:rFonts w:hint="eastAsia" w:ascii="仿宋" w:hAnsi="仿宋" w:eastAsia="仿宋" w:cs="仿宋"/>
          <w:b/>
          <w:bCs/>
          <w:sz w:val="28"/>
          <w:szCs w:val="28"/>
        </w:rPr>
        <w:t>28.定标</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28.1集中采购机构在评标结束后2个工作日内将评标报告送交采购人确认，采购人应在收到评标报告后五个工作日内依法确定中标供应商，并将确认意见书面形式回复集中采购机构，逾期未复视为同意。</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28.2中标供应商确定后，中标结果在财政部门指定的政府采购信息发布媒体上公告。</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28.3在发布公告的同时，采购人和集中采购机构向中标供应商发出中标通知书，中标通知书对采购人和中标供应商具有同等法律效力。</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28.4中标通知书发出后，采购人改变中标结果，或者中标供应商放弃中标，应当承担相应的法律责任。</w:t>
      </w:r>
    </w:p>
    <w:p>
      <w:pPr>
        <w:pStyle w:val="5"/>
        <w:jc w:val="center"/>
        <w:rPr>
          <w:rFonts w:ascii="仿宋" w:hAnsi="仿宋" w:eastAsia="仿宋" w:cs="仿宋"/>
          <w:sz w:val="28"/>
          <w:szCs w:val="28"/>
        </w:rPr>
      </w:pPr>
      <w:bookmarkStart w:id="46" w:name="_Toc36454320"/>
      <w:r>
        <w:rPr>
          <w:rFonts w:hint="eastAsia" w:ascii="仿宋" w:hAnsi="仿宋" w:eastAsia="仿宋" w:cs="仿宋"/>
          <w:sz w:val="28"/>
          <w:szCs w:val="28"/>
        </w:rPr>
        <w:t>七、投标无效的情形</w:t>
      </w:r>
      <w:bookmarkEnd w:id="46"/>
    </w:p>
    <w:p>
      <w:pPr>
        <w:spacing w:line="440" w:lineRule="exact"/>
        <w:ind w:firstLine="560" w:firstLineChars="200"/>
        <w:rPr>
          <w:rFonts w:ascii="仿宋" w:hAnsi="仿宋" w:eastAsia="仿宋" w:cs="仿宋"/>
          <w:b/>
          <w:sz w:val="28"/>
          <w:szCs w:val="28"/>
        </w:rPr>
      </w:pPr>
      <w:r>
        <w:rPr>
          <w:rFonts w:hint="eastAsia" w:ascii="仿宋" w:hAnsi="仿宋" w:eastAsia="仿宋" w:cs="仿宋"/>
          <w:b/>
          <w:sz w:val="28"/>
          <w:szCs w:val="28"/>
        </w:rPr>
        <w:t>29.投标文件有下列情况之一者, 投标文件将被视为无效：</w:t>
      </w:r>
    </w:p>
    <w:p>
      <w:pPr>
        <w:spacing w:line="440" w:lineRule="exact"/>
        <w:ind w:firstLine="560" w:firstLineChars="200"/>
        <w:rPr>
          <w:rFonts w:ascii="仿宋" w:hAnsi="仿宋" w:eastAsia="仿宋" w:cs="仿宋"/>
          <w:b/>
          <w:sz w:val="28"/>
          <w:szCs w:val="28"/>
        </w:rPr>
      </w:pPr>
      <w:r>
        <w:rPr>
          <w:rFonts w:hint="eastAsia" w:ascii="仿宋" w:hAnsi="仿宋" w:eastAsia="仿宋" w:cs="仿宋"/>
          <w:b/>
          <w:sz w:val="28"/>
          <w:szCs w:val="28"/>
        </w:rPr>
        <w:t>29.1资格审查没有通过的（指投标文件中下列情形：1.未提供投标声明书的；2.被列入失信被执行人、重大税收违法案件当事人名单、政府采购严重违法失信行为记录名单的；3.未提供法定代表人授权委托书及授权代理人有效身份证明的；4.未提供依法缴纳税收证明和社会保障资金证明的；5.联合体投标未提供联合体协议和联合体投标授权委托书的；6.未提供招标公告中投标人特定条件要求的其他资质复印件的；）；</w:t>
      </w:r>
    </w:p>
    <w:p>
      <w:pPr>
        <w:spacing w:line="440" w:lineRule="exact"/>
        <w:ind w:firstLine="560" w:firstLineChars="200"/>
        <w:rPr>
          <w:rFonts w:ascii="仿宋" w:hAnsi="仿宋" w:eastAsia="仿宋" w:cs="仿宋"/>
          <w:b/>
          <w:sz w:val="28"/>
          <w:szCs w:val="28"/>
        </w:rPr>
      </w:pPr>
      <w:r>
        <w:rPr>
          <w:rFonts w:hint="eastAsia" w:ascii="仿宋" w:hAnsi="仿宋" w:eastAsia="仿宋" w:cs="仿宋"/>
          <w:b/>
          <w:sz w:val="28"/>
          <w:szCs w:val="28"/>
        </w:rPr>
        <w:t>29.2电子投标文件在规定时间内解密失败的；</w:t>
      </w:r>
    </w:p>
    <w:p>
      <w:pPr>
        <w:spacing w:line="440" w:lineRule="exact"/>
        <w:ind w:firstLine="560" w:firstLineChars="200"/>
        <w:rPr>
          <w:rFonts w:ascii="仿宋" w:hAnsi="仿宋" w:eastAsia="仿宋" w:cs="仿宋"/>
          <w:b/>
          <w:sz w:val="28"/>
          <w:szCs w:val="28"/>
        </w:rPr>
      </w:pPr>
      <w:r>
        <w:rPr>
          <w:rFonts w:hint="eastAsia" w:ascii="仿宋" w:hAnsi="仿宋" w:eastAsia="仿宋" w:cs="仿宋"/>
          <w:b/>
          <w:sz w:val="28"/>
          <w:szCs w:val="28"/>
        </w:rPr>
        <w:t>29.3未按照招标文件规定的要求签署、盖章的；</w:t>
      </w:r>
    </w:p>
    <w:p>
      <w:pPr>
        <w:spacing w:line="440" w:lineRule="exact"/>
        <w:ind w:firstLine="548" w:firstLineChars="196"/>
        <w:rPr>
          <w:rFonts w:ascii="仿宋" w:hAnsi="仿宋" w:eastAsia="仿宋" w:cs="仿宋"/>
          <w:b/>
          <w:sz w:val="28"/>
          <w:szCs w:val="28"/>
        </w:rPr>
      </w:pPr>
      <w:r>
        <w:rPr>
          <w:rFonts w:hint="eastAsia" w:ascii="仿宋" w:hAnsi="仿宋" w:eastAsia="仿宋" w:cs="仿宋"/>
          <w:b/>
          <w:sz w:val="28"/>
          <w:szCs w:val="28"/>
        </w:rPr>
        <w:t>29.4投标文件中资格部分、商务部分、技术部分中出现价格部分内容的；</w:t>
      </w:r>
    </w:p>
    <w:p>
      <w:pPr>
        <w:spacing w:line="440" w:lineRule="exact"/>
        <w:ind w:firstLine="560" w:firstLineChars="200"/>
        <w:rPr>
          <w:rFonts w:ascii="仿宋" w:hAnsi="仿宋" w:eastAsia="仿宋" w:cs="仿宋"/>
          <w:b/>
          <w:sz w:val="28"/>
          <w:szCs w:val="28"/>
        </w:rPr>
      </w:pPr>
      <w:r>
        <w:rPr>
          <w:rFonts w:hint="eastAsia" w:ascii="仿宋" w:hAnsi="仿宋" w:eastAsia="仿宋" w:cs="仿宋"/>
          <w:b/>
          <w:sz w:val="28"/>
          <w:szCs w:val="28"/>
        </w:rPr>
        <w:t>29.5投标人在一份投标文件中对同一采购项目有两个或两个以上报价的；</w:t>
      </w:r>
    </w:p>
    <w:p>
      <w:pPr>
        <w:spacing w:line="440" w:lineRule="exact"/>
        <w:ind w:firstLine="560" w:firstLineChars="200"/>
        <w:rPr>
          <w:rFonts w:ascii="仿宋" w:hAnsi="仿宋" w:eastAsia="仿宋" w:cs="仿宋"/>
          <w:b/>
          <w:sz w:val="28"/>
          <w:szCs w:val="28"/>
        </w:rPr>
      </w:pPr>
      <w:r>
        <w:rPr>
          <w:rFonts w:hint="eastAsia" w:ascii="仿宋" w:hAnsi="仿宋" w:eastAsia="仿宋" w:cs="仿宋"/>
          <w:b/>
          <w:sz w:val="28"/>
          <w:szCs w:val="28"/>
        </w:rPr>
        <w:t>29.6投标报价超过招标文件中规定的预算金额或者最高限价的；</w:t>
      </w:r>
    </w:p>
    <w:p>
      <w:pPr>
        <w:spacing w:line="440" w:lineRule="exact"/>
        <w:ind w:firstLine="560" w:firstLineChars="200"/>
        <w:rPr>
          <w:rFonts w:ascii="仿宋" w:hAnsi="仿宋" w:eastAsia="仿宋" w:cs="仿宋"/>
          <w:b/>
          <w:snapToGrid w:val="0"/>
          <w:sz w:val="28"/>
          <w:szCs w:val="28"/>
        </w:rPr>
      </w:pPr>
      <w:r>
        <w:rPr>
          <w:rFonts w:hint="eastAsia" w:ascii="仿宋" w:hAnsi="仿宋" w:eastAsia="仿宋" w:cs="仿宋"/>
          <w:b/>
          <w:sz w:val="28"/>
          <w:szCs w:val="28"/>
        </w:rPr>
        <w:t>29.7投标文件</w:t>
      </w:r>
      <w:r>
        <w:rPr>
          <w:rFonts w:hint="eastAsia" w:ascii="仿宋" w:hAnsi="仿宋" w:eastAsia="仿宋" w:cs="仿宋"/>
          <w:b/>
          <w:snapToGrid w:val="0"/>
          <w:sz w:val="28"/>
          <w:szCs w:val="28"/>
        </w:rPr>
        <w:t>载明的招标项目完成期限超过招标文件规定的期限，采购人不能接受的；</w:t>
      </w:r>
    </w:p>
    <w:p>
      <w:pPr>
        <w:spacing w:line="440" w:lineRule="exact"/>
        <w:ind w:firstLine="560" w:firstLineChars="200"/>
        <w:rPr>
          <w:rFonts w:ascii="仿宋" w:hAnsi="仿宋" w:eastAsia="仿宋" w:cs="仿宋"/>
          <w:b/>
          <w:snapToGrid w:val="0"/>
          <w:sz w:val="28"/>
          <w:szCs w:val="28"/>
        </w:rPr>
      </w:pPr>
      <w:r>
        <w:rPr>
          <w:rFonts w:hint="eastAsia" w:ascii="仿宋" w:hAnsi="仿宋" w:eastAsia="仿宋" w:cs="仿宋"/>
          <w:b/>
          <w:snapToGrid w:val="0"/>
          <w:sz w:val="28"/>
          <w:szCs w:val="28"/>
        </w:rPr>
        <w:t>29.8</w:t>
      </w:r>
      <w:r>
        <w:rPr>
          <w:rFonts w:hint="eastAsia" w:ascii="仿宋" w:hAnsi="仿宋" w:eastAsia="仿宋" w:cs="仿宋"/>
          <w:b/>
          <w:sz w:val="28"/>
          <w:szCs w:val="28"/>
        </w:rPr>
        <w:t>投标文件</w:t>
      </w:r>
      <w:r>
        <w:rPr>
          <w:rFonts w:hint="eastAsia" w:ascii="仿宋" w:hAnsi="仿宋" w:eastAsia="仿宋" w:cs="仿宋"/>
          <w:b/>
          <w:snapToGrid w:val="0"/>
          <w:sz w:val="28"/>
          <w:szCs w:val="28"/>
        </w:rPr>
        <w:t>载明的投标有效期、质量保证期少于招标文件规定期限的；</w:t>
      </w:r>
    </w:p>
    <w:p>
      <w:pPr>
        <w:spacing w:line="440" w:lineRule="exact"/>
        <w:ind w:firstLine="560" w:firstLineChars="200"/>
        <w:rPr>
          <w:rFonts w:ascii="仿宋" w:hAnsi="仿宋" w:eastAsia="仿宋" w:cs="仿宋"/>
          <w:b/>
          <w:sz w:val="28"/>
          <w:szCs w:val="28"/>
        </w:rPr>
      </w:pPr>
      <w:r>
        <w:rPr>
          <w:rFonts w:hint="eastAsia" w:ascii="仿宋" w:hAnsi="仿宋" w:eastAsia="仿宋" w:cs="仿宋"/>
          <w:b/>
          <w:sz w:val="28"/>
          <w:szCs w:val="28"/>
        </w:rPr>
        <w:t>29.9投标文件未响应招标文件规定的付款方式的；</w:t>
      </w:r>
    </w:p>
    <w:p>
      <w:pPr>
        <w:spacing w:line="440" w:lineRule="exact"/>
        <w:ind w:firstLine="548" w:firstLineChars="196"/>
        <w:rPr>
          <w:rFonts w:ascii="仿宋" w:hAnsi="仿宋" w:eastAsia="仿宋" w:cs="仿宋"/>
          <w:b/>
          <w:snapToGrid w:val="0"/>
          <w:sz w:val="28"/>
          <w:szCs w:val="28"/>
        </w:rPr>
      </w:pPr>
      <w:r>
        <w:rPr>
          <w:rFonts w:hint="eastAsia" w:ascii="仿宋" w:hAnsi="仿宋" w:eastAsia="仿宋" w:cs="仿宋"/>
          <w:b/>
          <w:sz w:val="28"/>
          <w:szCs w:val="28"/>
        </w:rPr>
        <w:t>29.10投标货物的</w:t>
      </w:r>
      <w:r>
        <w:rPr>
          <w:rFonts w:hint="eastAsia" w:ascii="仿宋" w:hAnsi="仿宋" w:eastAsia="仿宋" w:cs="仿宋"/>
          <w:b/>
          <w:snapToGrid w:val="0"/>
          <w:sz w:val="28"/>
          <w:szCs w:val="28"/>
        </w:rPr>
        <w:t>技术规范、技术标准明显不符合国家强制性要求的；</w:t>
      </w:r>
    </w:p>
    <w:p>
      <w:pPr>
        <w:spacing w:line="440" w:lineRule="exact"/>
        <w:ind w:firstLine="600"/>
        <w:rPr>
          <w:rFonts w:ascii="仿宋" w:hAnsi="仿宋" w:eastAsia="仿宋" w:cs="仿宋"/>
          <w:b/>
          <w:snapToGrid w:val="0"/>
          <w:sz w:val="28"/>
          <w:szCs w:val="28"/>
        </w:rPr>
      </w:pPr>
      <w:r>
        <w:rPr>
          <w:rFonts w:hint="eastAsia" w:ascii="仿宋" w:hAnsi="仿宋" w:eastAsia="仿宋" w:cs="仿宋"/>
          <w:b/>
          <w:snapToGrid w:val="0"/>
          <w:sz w:val="28"/>
          <w:szCs w:val="28"/>
        </w:rPr>
        <w:t>29.11投标货物载明的验收标准和方法等不符合国家规定及招标文件要求的；</w:t>
      </w:r>
    </w:p>
    <w:p>
      <w:pPr>
        <w:spacing w:line="440" w:lineRule="exact"/>
        <w:ind w:firstLine="600"/>
        <w:rPr>
          <w:rFonts w:ascii="仿宋" w:hAnsi="仿宋" w:eastAsia="仿宋" w:cs="仿宋"/>
          <w:b/>
          <w:sz w:val="28"/>
          <w:szCs w:val="28"/>
        </w:rPr>
      </w:pPr>
      <w:r>
        <w:rPr>
          <w:rFonts w:hint="eastAsia" w:ascii="仿宋" w:hAnsi="仿宋" w:eastAsia="仿宋" w:cs="仿宋"/>
          <w:b/>
          <w:sz w:val="28"/>
          <w:szCs w:val="28"/>
        </w:rPr>
        <w:t>29.12投标文件字迹模糊辨认不清的（评标委员会一致认为难以确认）；</w:t>
      </w:r>
    </w:p>
    <w:p>
      <w:pPr>
        <w:spacing w:line="440" w:lineRule="exact"/>
        <w:ind w:firstLine="560" w:firstLineChars="200"/>
        <w:rPr>
          <w:rFonts w:ascii="仿宋" w:hAnsi="仿宋" w:eastAsia="仿宋" w:cs="仿宋"/>
          <w:b/>
          <w:kern w:val="0"/>
          <w:sz w:val="28"/>
          <w:szCs w:val="28"/>
        </w:rPr>
      </w:pPr>
      <w:r>
        <w:rPr>
          <w:rFonts w:hint="eastAsia" w:ascii="仿宋" w:hAnsi="仿宋" w:eastAsia="仿宋" w:cs="仿宋"/>
          <w:b/>
          <w:snapToGrid w:val="0"/>
          <w:sz w:val="28"/>
          <w:szCs w:val="28"/>
        </w:rPr>
        <w:t>29.13</w:t>
      </w:r>
      <w:r>
        <w:rPr>
          <w:rFonts w:hint="eastAsia" w:ascii="仿宋" w:hAnsi="仿宋" w:eastAsia="仿宋" w:cs="仿宋"/>
          <w:b/>
          <w:kern w:val="0"/>
          <w:sz w:val="28"/>
          <w:szCs w:val="28"/>
        </w:rPr>
        <w:t>提供不真实资料的；</w:t>
      </w:r>
    </w:p>
    <w:p>
      <w:pPr>
        <w:spacing w:line="440" w:lineRule="exact"/>
        <w:ind w:firstLine="560" w:firstLineChars="200"/>
        <w:rPr>
          <w:rFonts w:ascii="仿宋" w:hAnsi="仿宋" w:eastAsia="仿宋" w:cs="仿宋"/>
          <w:b/>
          <w:sz w:val="28"/>
          <w:szCs w:val="28"/>
        </w:rPr>
      </w:pPr>
      <w:r>
        <w:rPr>
          <w:rFonts w:hint="eastAsia" w:ascii="仿宋" w:hAnsi="仿宋" w:eastAsia="仿宋" w:cs="仿宋"/>
          <w:b/>
          <w:snapToGrid w:val="0"/>
          <w:sz w:val="28"/>
          <w:szCs w:val="28"/>
        </w:rPr>
        <w:t>29.14</w:t>
      </w:r>
      <w:r>
        <w:rPr>
          <w:rFonts w:hint="eastAsia" w:ascii="仿宋" w:hAnsi="仿宋" w:eastAsia="仿宋" w:cs="仿宋"/>
          <w:b/>
          <w:sz w:val="28"/>
          <w:szCs w:val="28"/>
        </w:rPr>
        <w:t>投标货物的</w:t>
      </w:r>
      <w:r>
        <w:rPr>
          <w:rFonts w:hint="eastAsia" w:ascii="仿宋" w:hAnsi="仿宋" w:eastAsia="仿宋" w:cs="仿宋"/>
          <w:b/>
          <w:snapToGrid w:val="0"/>
          <w:sz w:val="28"/>
          <w:szCs w:val="28"/>
        </w:rPr>
        <w:t>技术指标、参数等存在实质性偏离</w:t>
      </w:r>
      <w:r>
        <w:rPr>
          <w:rFonts w:hint="eastAsia" w:ascii="仿宋" w:hAnsi="仿宋" w:eastAsia="仿宋" w:cs="仿宋"/>
          <w:b/>
          <w:sz w:val="28"/>
          <w:szCs w:val="28"/>
        </w:rPr>
        <w:t>（评标委员会一致认定）</w:t>
      </w:r>
      <w:r>
        <w:rPr>
          <w:rFonts w:hint="eastAsia" w:ascii="仿宋" w:hAnsi="仿宋" w:eastAsia="仿宋" w:cs="仿宋"/>
          <w:b/>
          <w:snapToGrid w:val="0"/>
          <w:sz w:val="28"/>
          <w:szCs w:val="28"/>
        </w:rPr>
        <w:t>的；</w:t>
      </w:r>
    </w:p>
    <w:p>
      <w:pPr>
        <w:spacing w:line="440" w:lineRule="exact"/>
        <w:ind w:firstLine="560" w:firstLineChars="200"/>
        <w:rPr>
          <w:rFonts w:ascii="仿宋" w:hAnsi="仿宋" w:eastAsia="仿宋" w:cs="仿宋"/>
          <w:b/>
          <w:snapToGrid w:val="0"/>
          <w:color w:val="000000"/>
          <w:sz w:val="28"/>
          <w:szCs w:val="28"/>
        </w:rPr>
      </w:pPr>
      <w:r>
        <w:rPr>
          <w:rFonts w:hint="eastAsia" w:ascii="仿宋" w:hAnsi="仿宋" w:eastAsia="仿宋" w:cs="仿宋"/>
          <w:b/>
          <w:snapToGrid w:val="0"/>
          <w:color w:val="000000"/>
          <w:sz w:val="28"/>
          <w:szCs w:val="28"/>
        </w:rPr>
        <w:t>29.15未满足招标文件中打“</w:t>
      </w:r>
      <w:r>
        <w:rPr>
          <w:rFonts w:hint="eastAsia" w:ascii="仿宋" w:hAnsi="仿宋" w:eastAsia="仿宋" w:cs="仿宋"/>
          <w:kern w:val="0"/>
          <w:sz w:val="28"/>
          <w:szCs w:val="28"/>
        </w:rPr>
        <w:t>★</w:t>
      </w:r>
      <w:r>
        <w:rPr>
          <w:rFonts w:hint="eastAsia" w:ascii="仿宋" w:hAnsi="仿宋" w:eastAsia="仿宋" w:cs="仿宋"/>
          <w:b/>
          <w:snapToGrid w:val="0"/>
          <w:color w:val="000000"/>
          <w:sz w:val="28"/>
          <w:szCs w:val="28"/>
        </w:rPr>
        <w:t>”条款的；</w:t>
      </w:r>
    </w:p>
    <w:p>
      <w:pPr>
        <w:spacing w:line="440" w:lineRule="exact"/>
        <w:ind w:firstLine="560" w:firstLineChars="200"/>
        <w:rPr>
          <w:rFonts w:ascii="仿宋" w:hAnsi="仿宋" w:eastAsia="仿宋" w:cs="仿宋"/>
          <w:b/>
          <w:snapToGrid w:val="0"/>
          <w:sz w:val="28"/>
          <w:szCs w:val="28"/>
        </w:rPr>
      </w:pPr>
      <w:r>
        <w:rPr>
          <w:rFonts w:hint="eastAsia" w:ascii="仿宋" w:hAnsi="仿宋" w:eastAsia="仿宋" w:cs="仿宋"/>
          <w:b/>
          <w:snapToGrid w:val="0"/>
          <w:sz w:val="28"/>
          <w:szCs w:val="28"/>
        </w:rPr>
        <w:t>29.16</w:t>
      </w:r>
      <w:r>
        <w:rPr>
          <w:rFonts w:hint="eastAsia" w:ascii="仿宋" w:hAnsi="仿宋" w:eastAsia="仿宋" w:cs="仿宋"/>
          <w:b/>
          <w:snapToGrid w:val="0"/>
          <w:kern w:val="0"/>
          <w:sz w:val="28"/>
          <w:szCs w:val="28"/>
        </w:rPr>
        <w:t>不符合法律、法规和招标文件规定的其他实质</w:t>
      </w:r>
      <w:r>
        <w:rPr>
          <w:rFonts w:hint="eastAsia" w:ascii="仿宋" w:hAnsi="仿宋" w:eastAsia="仿宋" w:cs="仿宋"/>
          <w:b/>
          <w:snapToGrid w:val="0"/>
          <w:sz w:val="28"/>
          <w:szCs w:val="28"/>
        </w:rPr>
        <w:t>性要求</w:t>
      </w:r>
      <w:r>
        <w:rPr>
          <w:rFonts w:hint="eastAsia" w:ascii="仿宋" w:hAnsi="仿宋" w:eastAsia="仿宋" w:cs="仿宋"/>
          <w:b/>
          <w:sz w:val="28"/>
          <w:szCs w:val="28"/>
        </w:rPr>
        <w:t>（评标委员会一致认定）</w:t>
      </w:r>
      <w:r>
        <w:rPr>
          <w:rFonts w:hint="eastAsia" w:ascii="仿宋" w:hAnsi="仿宋" w:eastAsia="仿宋" w:cs="仿宋"/>
          <w:b/>
          <w:snapToGrid w:val="0"/>
          <w:sz w:val="28"/>
          <w:szCs w:val="28"/>
        </w:rPr>
        <w:t>的；</w:t>
      </w:r>
    </w:p>
    <w:p>
      <w:pPr>
        <w:spacing w:line="440" w:lineRule="exact"/>
        <w:ind w:firstLine="548" w:firstLineChars="196"/>
        <w:rPr>
          <w:rFonts w:ascii="仿宋" w:hAnsi="仿宋" w:eastAsia="仿宋" w:cs="仿宋"/>
          <w:b/>
          <w:snapToGrid w:val="0"/>
          <w:sz w:val="28"/>
          <w:szCs w:val="28"/>
        </w:rPr>
      </w:pPr>
      <w:r>
        <w:rPr>
          <w:rFonts w:hint="eastAsia" w:ascii="仿宋" w:hAnsi="仿宋" w:eastAsia="仿宋" w:cs="仿宋"/>
          <w:b/>
          <w:snapToGrid w:val="0"/>
          <w:sz w:val="28"/>
          <w:szCs w:val="28"/>
        </w:rPr>
        <w:t>29.17二分之一以上的评委认为供应商报价明显高于市场平均价的；</w:t>
      </w:r>
    </w:p>
    <w:p>
      <w:pPr>
        <w:snapToGrid w:val="0"/>
        <w:spacing w:line="460" w:lineRule="exact"/>
        <w:ind w:firstLine="560" w:firstLineChars="200"/>
        <w:rPr>
          <w:rFonts w:ascii="仿宋" w:hAnsi="仿宋" w:eastAsia="仿宋" w:cs="仿宋"/>
          <w:b/>
          <w:sz w:val="28"/>
          <w:szCs w:val="28"/>
        </w:rPr>
      </w:pPr>
      <w:r>
        <w:rPr>
          <w:rFonts w:hint="eastAsia" w:ascii="仿宋" w:hAnsi="仿宋" w:eastAsia="仿宋" w:cs="仿宋"/>
          <w:b/>
          <w:snapToGrid w:val="0"/>
          <w:sz w:val="28"/>
          <w:szCs w:val="28"/>
        </w:rPr>
        <w:t>29.18</w:t>
      </w:r>
      <w:r>
        <w:rPr>
          <w:rFonts w:hint="eastAsia" w:ascii="仿宋" w:hAnsi="仿宋" w:eastAsia="仿宋" w:cs="仿宋"/>
          <w:b/>
          <w:sz w:val="28"/>
          <w:szCs w:val="28"/>
        </w:rPr>
        <w:t>评标委员会认为投标人的报价明显低于其他通过符合性审查投标人的报价，有可能影响产品质量或者不能诚信履约，且不能在评标现场合理的时间内证明其报价合理性的；</w:t>
      </w:r>
    </w:p>
    <w:p>
      <w:pPr>
        <w:snapToGrid w:val="0"/>
        <w:spacing w:line="460" w:lineRule="exact"/>
        <w:ind w:firstLine="560" w:firstLineChars="200"/>
        <w:rPr>
          <w:rFonts w:ascii="仿宋" w:hAnsi="仿宋" w:eastAsia="仿宋" w:cs="仿宋"/>
          <w:b/>
          <w:sz w:val="28"/>
          <w:szCs w:val="28"/>
        </w:rPr>
      </w:pPr>
      <w:r>
        <w:rPr>
          <w:rFonts w:hint="eastAsia" w:ascii="仿宋" w:hAnsi="仿宋" w:eastAsia="仿宋" w:cs="仿宋"/>
          <w:b/>
          <w:snapToGrid w:val="0"/>
          <w:sz w:val="28"/>
          <w:szCs w:val="28"/>
        </w:rPr>
        <w:t>29.19</w:t>
      </w:r>
      <w:r>
        <w:rPr>
          <w:rFonts w:hint="eastAsia" w:ascii="仿宋" w:hAnsi="仿宋" w:eastAsia="仿宋" w:cs="仿宋"/>
          <w:b/>
          <w:sz w:val="28"/>
          <w:szCs w:val="28"/>
        </w:rPr>
        <w:t>投标文件含有采购人不能接受的附加条件的；</w:t>
      </w:r>
    </w:p>
    <w:p>
      <w:pPr>
        <w:snapToGrid w:val="0"/>
        <w:spacing w:line="460" w:lineRule="exact"/>
        <w:ind w:firstLine="560" w:firstLineChars="200"/>
        <w:rPr>
          <w:rFonts w:ascii="仿宋" w:hAnsi="仿宋" w:eastAsia="仿宋" w:cs="仿宋"/>
          <w:b/>
          <w:snapToGrid w:val="0"/>
          <w:sz w:val="28"/>
          <w:szCs w:val="28"/>
        </w:rPr>
      </w:pPr>
      <w:r>
        <w:rPr>
          <w:rFonts w:hint="eastAsia" w:ascii="仿宋" w:hAnsi="仿宋" w:eastAsia="仿宋" w:cs="仿宋"/>
          <w:b/>
          <w:snapToGrid w:val="0"/>
          <w:sz w:val="28"/>
          <w:szCs w:val="28"/>
        </w:rPr>
        <w:t>29.20</w:t>
      </w:r>
      <w:r>
        <w:rPr>
          <w:rFonts w:hint="eastAsia" w:ascii="仿宋" w:hAnsi="仿宋" w:eastAsia="仿宋" w:cs="仿宋"/>
          <w:b/>
          <w:sz w:val="28"/>
          <w:szCs w:val="28"/>
        </w:rPr>
        <w:t>投标人被视为串通投标的；</w:t>
      </w:r>
    </w:p>
    <w:p>
      <w:pPr>
        <w:spacing w:line="440" w:lineRule="exact"/>
        <w:ind w:firstLine="560" w:firstLineChars="200"/>
        <w:rPr>
          <w:rFonts w:ascii="仿宋" w:hAnsi="仿宋" w:eastAsia="仿宋" w:cs="仿宋"/>
          <w:b/>
          <w:snapToGrid w:val="0"/>
          <w:color w:val="000000"/>
          <w:sz w:val="28"/>
          <w:szCs w:val="28"/>
        </w:rPr>
      </w:pPr>
      <w:r>
        <w:rPr>
          <w:rFonts w:hint="eastAsia" w:ascii="仿宋" w:hAnsi="仿宋" w:eastAsia="仿宋" w:cs="仿宋"/>
          <w:b/>
          <w:snapToGrid w:val="0"/>
          <w:sz w:val="28"/>
          <w:szCs w:val="28"/>
        </w:rPr>
        <w:t>29.21</w:t>
      </w:r>
      <w:r>
        <w:rPr>
          <w:rFonts w:hint="eastAsia" w:ascii="仿宋" w:hAnsi="仿宋" w:eastAsia="仿宋" w:cs="仿宋"/>
          <w:b/>
          <w:snapToGrid w:val="0"/>
          <w:color w:val="000000"/>
          <w:sz w:val="28"/>
          <w:szCs w:val="28"/>
        </w:rPr>
        <w:t>投标产品为进口产品且未经</w:t>
      </w:r>
      <w:r>
        <w:rPr>
          <w:rFonts w:hint="eastAsia" w:ascii="仿宋" w:hAnsi="仿宋" w:eastAsia="仿宋" w:cs="仿宋"/>
          <w:b/>
          <w:color w:val="000000"/>
          <w:sz w:val="28"/>
          <w:szCs w:val="28"/>
        </w:rPr>
        <w:t>批准</w:t>
      </w:r>
      <w:r>
        <w:rPr>
          <w:rFonts w:hint="eastAsia" w:ascii="仿宋" w:hAnsi="仿宋" w:eastAsia="仿宋" w:cs="仿宋"/>
          <w:b/>
          <w:snapToGrid w:val="0"/>
          <w:color w:val="000000"/>
          <w:sz w:val="28"/>
          <w:szCs w:val="28"/>
        </w:rPr>
        <w:t>的；</w:t>
      </w:r>
    </w:p>
    <w:p>
      <w:pPr>
        <w:spacing w:line="440" w:lineRule="exact"/>
        <w:ind w:firstLine="560" w:firstLineChars="200"/>
        <w:rPr>
          <w:rFonts w:ascii="仿宋" w:hAnsi="仿宋" w:eastAsia="仿宋" w:cs="仿宋"/>
          <w:b/>
          <w:snapToGrid w:val="0"/>
          <w:color w:val="000000"/>
          <w:sz w:val="28"/>
          <w:szCs w:val="28"/>
        </w:rPr>
      </w:pPr>
      <w:r>
        <w:rPr>
          <w:rFonts w:hint="eastAsia" w:ascii="仿宋" w:hAnsi="仿宋" w:eastAsia="仿宋" w:cs="仿宋"/>
          <w:b/>
          <w:snapToGrid w:val="0"/>
          <w:sz w:val="28"/>
          <w:szCs w:val="28"/>
        </w:rPr>
        <w:t>29.22</w:t>
      </w:r>
      <w:r>
        <w:rPr>
          <w:rFonts w:hint="eastAsia" w:ascii="仿宋" w:hAnsi="仿宋" w:eastAsia="仿宋" w:cs="仿宋"/>
          <w:b/>
          <w:snapToGrid w:val="0"/>
          <w:color w:val="000000"/>
          <w:sz w:val="28"/>
          <w:szCs w:val="28"/>
        </w:rPr>
        <w:t>评标委员会按照规定对投标文件的计算错误进行修正后的报价，投标人不予确认的；</w:t>
      </w:r>
    </w:p>
    <w:p>
      <w:pPr>
        <w:spacing w:line="440" w:lineRule="exact"/>
        <w:ind w:firstLine="560" w:firstLineChars="200"/>
        <w:rPr>
          <w:rFonts w:ascii="仿宋" w:hAnsi="仿宋" w:eastAsia="仿宋" w:cs="仿宋"/>
          <w:b/>
          <w:snapToGrid w:val="0"/>
          <w:color w:val="000000"/>
          <w:sz w:val="28"/>
          <w:szCs w:val="28"/>
        </w:rPr>
      </w:pPr>
      <w:r>
        <w:rPr>
          <w:rFonts w:hint="eastAsia" w:ascii="仿宋" w:hAnsi="仿宋" w:eastAsia="仿宋" w:cs="仿宋"/>
          <w:b/>
          <w:snapToGrid w:val="0"/>
          <w:color w:val="000000"/>
          <w:sz w:val="28"/>
          <w:szCs w:val="28"/>
        </w:rPr>
        <w:t>29.23招标需求中要求提供的产品属于政府强制采购节能品目的（详见《关于印发节能产品政府采购品目清单的通知》财库〔2019〕19号），投标人未提供认证证书或证书发布平台的投标产品认证证书查询截图的；</w:t>
      </w:r>
    </w:p>
    <w:p>
      <w:pPr>
        <w:spacing w:line="440" w:lineRule="exact"/>
        <w:ind w:firstLine="560" w:firstLineChars="200"/>
        <w:rPr>
          <w:rFonts w:ascii="仿宋" w:hAnsi="仿宋" w:eastAsia="仿宋" w:cs="仿宋"/>
          <w:b/>
          <w:snapToGrid w:val="0"/>
          <w:sz w:val="28"/>
          <w:szCs w:val="28"/>
        </w:rPr>
      </w:pPr>
      <w:r>
        <w:rPr>
          <w:rFonts w:hint="eastAsia" w:ascii="仿宋" w:hAnsi="仿宋" w:eastAsia="仿宋" w:cs="仿宋"/>
          <w:b/>
          <w:snapToGrid w:val="0"/>
          <w:color w:val="000000"/>
          <w:sz w:val="28"/>
          <w:szCs w:val="28"/>
        </w:rPr>
        <w:t>29.24</w:t>
      </w:r>
      <w:r>
        <w:rPr>
          <w:rFonts w:hint="eastAsia" w:ascii="仿宋" w:hAnsi="仿宋" w:eastAsia="仿宋" w:cs="仿宋"/>
          <w:b/>
          <w:snapToGrid w:val="0"/>
          <w:sz w:val="28"/>
          <w:szCs w:val="28"/>
        </w:rPr>
        <w:t>法律、法规、规章及省级以上规范性文件等规定的其他情形；</w:t>
      </w:r>
    </w:p>
    <w:p>
      <w:pPr>
        <w:pStyle w:val="5"/>
        <w:spacing w:line="400" w:lineRule="exact"/>
        <w:jc w:val="center"/>
        <w:rPr>
          <w:rFonts w:ascii="仿宋" w:hAnsi="仿宋" w:eastAsia="仿宋" w:cs="仿宋"/>
          <w:bCs w:val="0"/>
          <w:sz w:val="28"/>
          <w:szCs w:val="28"/>
        </w:rPr>
      </w:pPr>
      <w:bookmarkStart w:id="47" w:name="_Toc36454321"/>
      <w:r>
        <w:rPr>
          <w:rFonts w:hint="eastAsia" w:ascii="仿宋" w:hAnsi="仿宋" w:eastAsia="仿宋" w:cs="仿宋"/>
          <w:bCs w:val="0"/>
          <w:sz w:val="28"/>
          <w:szCs w:val="28"/>
        </w:rPr>
        <w:t>八、合同的授予</w:t>
      </w:r>
      <w:bookmarkEnd w:id="47"/>
    </w:p>
    <w:p>
      <w:pPr>
        <w:spacing w:line="400" w:lineRule="exact"/>
        <w:rPr>
          <w:rFonts w:ascii="仿宋" w:hAnsi="仿宋" w:eastAsia="仿宋" w:cs="仿宋"/>
          <w:b/>
          <w:bCs/>
          <w:sz w:val="28"/>
          <w:szCs w:val="28"/>
        </w:rPr>
      </w:pPr>
      <w:r>
        <w:rPr>
          <w:rFonts w:hint="eastAsia" w:ascii="仿宋" w:hAnsi="仿宋" w:eastAsia="仿宋" w:cs="仿宋"/>
          <w:b/>
          <w:bCs/>
          <w:sz w:val="28"/>
          <w:szCs w:val="28"/>
        </w:rPr>
        <w:t>30.授予合同的依据</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30.1采购人和集中采购机构签发的中标通知书；</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30.2招标文件、招标文件的修改及补充文件；</w:t>
      </w:r>
    </w:p>
    <w:p>
      <w:pPr>
        <w:pStyle w:val="12"/>
        <w:spacing w:line="400" w:lineRule="exact"/>
        <w:ind w:firstLine="560"/>
        <w:rPr>
          <w:rFonts w:ascii="仿宋" w:hAnsi="仿宋" w:eastAsia="仿宋" w:cs="仿宋"/>
          <w:sz w:val="28"/>
          <w:szCs w:val="28"/>
        </w:rPr>
      </w:pPr>
      <w:r>
        <w:rPr>
          <w:rFonts w:hint="eastAsia" w:ascii="仿宋" w:hAnsi="仿宋" w:eastAsia="仿宋" w:cs="仿宋"/>
          <w:sz w:val="28"/>
          <w:szCs w:val="28"/>
        </w:rPr>
        <w:t>30.3投标文件和询标时投标人做出的澄清、说明、纠正、承诺；</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30.4《中华人民共和国合同法》的规定。</w:t>
      </w:r>
    </w:p>
    <w:p>
      <w:pPr>
        <w:spacing w:line="400" w:lineRule="exact"/>
        <w:rPr>
          <w:rFonts w:ascii="仿宋" w:hAnsi="仿宋" w:eastAsia="仿宋" w:cs="仿宋"/>
          <w:b/>
          <w:bCs/>
          <w:sz w:val="28"/>
          <w:szCs w:val="28"/>
        </w:rPr>
      </w:pPr>
      <w:r>
        <w:rPr>
          <w:rFonts w:hint="eastAsia" w:ascii="仿宋" w:hAnsi="仿宋" w:eastAsia="仿宋" w:cs="仿宋"/>
          <w:b/>
          <w:bCs/>
          <w:sz w:val="28"/>
          <w:szCs w:val="28"/>
        </w:rPr>
        <w:t>31.签署合同的要求</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31.1采购人与中标供应商按照中标通知书的规定时间、地点签订书面合同；</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31.2签订合同的时间必须在自中标通知书发出之日起三十日内；</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31.3所签订的合同内容不得对招标文件和中标供应商的投标文件作实质性修改；</w:t>
      </w:r>
    </w:p>
    <w:p>
      <w:pPr>
        <w:spacing w:line="400" w:lineRule="exact"/>
        <w:ind w:left="2" w:leftChars="1" w:firstLine="560" w:firstLineChars="200"/>
        <w:jc w:val="left"/>
        <w:rPr>
          <w:rFonts w:ascii="仿宋" w:hAnsi="仿宋" w:eastAsia="仿宋" w:cs="仿宋"/>
          <w:spacing w:val="-4"/>
          <w:sz w:val="28"/>
          <w:szCs w:val="28"/>
        </w:rPr>
      </w:pPr>
      <w:r>
        <w:rPr>
          <w:rFonts w:hint="eastAsia" w:ascii="仿宋" w:hAnsi="仿宋" w:eastAsia="仿宋" w:cs="仿宋"/>
          <w:sz w:val="28"/>
          <w:szCs w:val="28"/>
        </w:rPr>
        <w:t>31.4采</w:t>
      </w:r>
      <w:r>
        <w:rPr>
          <w:rFonts w:hint="eastAsia" w:ascii="仿宋" w:hAnsi="仿宋" w:eastAsia="仿宋" w:cs="仿宋"/>
          <w:spacing w:val="-4"/>
          <w:sz w:val="28"/>
          <w:szCs w:val="28"/>
        </w:rPr>
        <w:t>购人不得向中标供应商提出任何不合理的要求，作为签订合同的条件，不得与中标供应商私下订立背离合同实质性内容的协议；</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31.5自采购合同签订之日起七个工作日内，将采购合同副本分别送集中采购机构、同级人民政府财政部门各一份备案。</w:t>
      </w:r>
    </w:p>
    <w:p>
      <w:pPr>
        <w:spacing w:line="400" w:lineRule="exact"/>
        <w:rPr>
          <w:rFonts w:ascii="仿宋" w:hAnsi="仿宋" w:eastAsia="仿宋" w:cs="仿宋"/>
          <w:b/>
          <w:bCs/>
          <w:sz w:val="28"/>
          <w:szCs w:val="28"/>
        </w:rPr>
      </w:pPr>
      <w:r>
        <w:rPr>
          <w:rFonts w:hint="eastAsia" w:ascii="仿宋" w:hAnsi="仿宋" w:eastAsia="仿宋" w:cs="仿宋"/>
          <w:b/>
          <w:bCs/>
          <w:sz w:val="28"/>
          <w:szCs w:val="28"/>
        </w:rPr>
        <w:t>32.中标通知书</w:t>
      </w:r>
    </w:p>
    <w:p>
      <w:pPr>
        <w:spacing w:line="400" w:lineRule="exact"/>
        <w:ind w:firstLine="560" w:firstLineChars="200"/>
        <w:rPr>
          <w:rFonts w:ascii="仿宋" w:hAnsi="仿宋" w:eastAsia="仿宋" w:cs="仿宋"/>
          <w:b/>
          <w:sz w:val="28"/>
          <w:szCs w:val="28"/>
        </w:rPr>
      </w:pPr>
      <w:r>
        <w:rPr>
          <w:rFonts w:hint="eastAsia" w:ascii="仿宋" w:hAnsi="仿宋" w:eastAsia="仿宋" w:cs="仿宋"/>
          <w:sz w:val="28"/>
          <w:szCs w:val="28"/>
        </w:rPr>
        <w:t>32.1确定中标供应商后，采购人和集中采购机构将发出中标通知书，通知中标的投标人其投标被接受;</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32.2中标通知书为双方签订合同的依据；</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32.3中标供应商应根据中标通知书中规定的时间内，由法定代表人或其授权代理人与采购人签订合同。</w:t>
      </w:r>
    </w:p>
    <w:p>
      <w:pPr>
        <w:spacing w:line="400" w:lineRule="exact"/>
        <w:rPr>
          <w:rFonts w:ascii="仿宋" w:hAnsi="仿宋" w:eastAsia="仿宋" w:cs="仿宋"/>
          <w:b/>
          <w:bCs/>
          <w:sz w:val="28"/>
          <w:szCs w:val="28"/>
        </w:rPr>
      </w:pPr>
      <w:r>
        <w:rPr>
          <w:rFonts w:hint="eastAsia" w:ascii="仿宋" w:hAnsi="仿宋" w:eastAsia="仿宋" w:cs="仿宋"/>
          <w:b/>
          <w:bCs/>
          <w:sz w:val="28"/>
          <w:szCs w:val="28"/>
        </w:rPr>
        <w:t>33.履约保证金</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中标供应商在领取中标通知书的同时，应按本须知前附表第15项的规定，向采购人提交履约保证金；</w:t>
      </w:r>
    </w:p>
    <w:p>
      <w:pPr>
        <w:spacing w:line="400" w:lineRule="exact"/>
        <w:rPr>
          <w:rFonts w:ascii="仿宋" w:hAnsi="仿宋" w:eastAsia="仿宋" w:cs="仿宋"/>
          <w:b/>
          <w:bCs/>
          <w:sz w:val="28"/>
          <w:szCs w:val="28"/>
        </w:rPr>
      </w:pPr>
      <w:r>
        <w:rPr>
          <w:rFonts w:hint="eastAsia" w:ascii="仿宋" w:hAnsi="仿宋" w:eastAsia="仿宋" w:cs="仿宋"/>
          <w:b/>
          <w:bCs/>
          <w:sz w:val="28"/>
          <w:szCs w:val="28"/>
        </w:rPr>
        <w:t>34.合同签订</w:t>
      </w:r>
    </w:p>
    <w:p>
      <w:pPr>
        <w:spacing w:line="400" w:lineRule="exact"/>
        <w:ind w:firstLine="500"/>
        <w:rPr>
          <w:rFonts w:ascii="仿宋" w:hAnsi="仿宋" w:eastAsia="仿宋" w:cs="仿宋"/>
          <w:sz w:val="28"/>
          <w:szCs w:val="28"/>
        </w:rPr>
      </w:pPr>
      <w:r>
        <w:rPr>
          <w:rFonts w:hint="eastAsia" w:ascii="仿宋" w:hAnsi="仿宋" w:eastAsia="仿宋" w:cs="仿宋"/>
          <w:sz w:val="28"/>
          <w:szCs w:val="28"/>
        </w:rPr>
        <w:t>34.1</w:t>
      </w:r>
      <w:r>
        <w:rPr>
          <w:rFonts w:hint="eastAsia" w:ascii="仿宋" w:hAnsi="仿宋" w:eastAsia="仿宋" w:cs="仿宋"/>
          <w:snapToGrid w:val="0"/>
          <w:sz w:val="28"/>
          <w:szCs w:val="28"/>
        </w:rPr>
        <w:t>采购人与中标供应商将根据《中华人民共和国合同法》的规定，依据招标文件和中标供应商的投标文件签订书面合同。</w:t>
      </w:r>
    </w:p>
    <w:p>
      <w:pPr>
        <w:spacing w:line="400" w:lineRule="exact"/>
        <w:ind w:firstLine="560" w:firstLineChars="200"/>
        <w:rPr>
          <w:rFonts w:ascii="仿宋" w:hAnsi="仿宋" w:eastAsia="仿宋" w:cs="仿宋"/>
          <w:sz w:val="28"/>
          <w:szCs w:val="28"/>
        </w:rPr>
      </w:pPr>
      <w:r>
        <w:rPr>
          <w:rFonts w:hint="eastAsia" w:ascii="仿宋" w:hAnsi="仿宋" w:eastAsia="仿宋" w:cs="仿宋"/>
          <w:sz w:val="28"/>
          <w:szCs w:val="28"/>
        </w:rPr>
        <w:t>34.2 采购人如不与中标供应商订立合同，或者采购人、中标供应商订立背离合同实质性内容的协议，由政府有关部门责令改正，同时依法承担相应法律责任；</w:t>
      </w:r>
    </w:p>
    <w:p>
      <w:pPr>
        <w:spacing w:line="400" w:lineRule="exact"/>
        <w:ind w:firstLine="560"/>
        <w:rPr>
          <w:rFonts w:ascii="仿宋" w:hAnsi="仿宋" w:eastAsia="仿宋" w:cs="仿宋"/>
          <w:sz w:val="28"/>
          <w:szCs w:val="28"/>
        </w:rPr>
      </w:pPr>
      <w:r>
        <w:rPr>
          <w:rFonts w:hint="eastAsia" w:ascii="仿宋" w:hAnsi="仿宋" w:eastAsia="仿宋" w:cs="仿宋"/>
          <w:sz w:val="28"/>
          <w:szCs w:val="28"/>
        </w:rPr>
        <w:t>34.3中标供应商如不按规定与采购人订立合同，则采购人废除授标，给采购人造成损失的还应当予以赔偿，同时依法承担相应法律责任。</w:t>
      </w:r>
    </w:p>
    <w:p>
      <w:pPr>
        <w:spacing w:line="400" w:lineRule="exact"/>
        <w:ind w:firstLine="500"/>
        <w:rPr>
          <w:rFonts w:ascii="仿宋" w:hAnsi="仿宋" w:eastAsia="仿宋" w:cs="仿宋"/>
          <w:sz w:val="28"/>
          <w:szCs w:val="28"/>
        </w:rPr>
      </w:pPr>
      <w:r>
        <w:rPr>
          <w:rFonts w:hint="eastAsia" w:ascii="仿宋" w:hAnsi="仿宋" w:eastAsia="仿宋" w:cs="仿宋"/>
          <w:sz w:val="28"/>
          <w:szCs w:val="28"/>
        </w:rPr>
        <w:t>34.4 中标供应商应当按照合同约定履行义务，完成中标项目各项工作，不得将中标项目违法转让（转包）给他人；</w:t>
      </w:r>
    </w:p>
    <w:p>
      <w:pPr>
        <w:spacing w:line="400" w:lineRule="exact"/>
        <w:ind w:firstLine="500"/>
        <w:rPr>
          <w:rFonts w:ascii="仿宋" w:hAnsi="仿宋" w:eastAsia="仿宋" w:cs="仿宋"/>
          <w:sz w:val="28"/>
          <w:szCs w:val="28"/>
        </w:rPr>
      </w:pPr>
      <w:r>
        <w:rPr>
          <w:rFonts w:hint="eastAsia" w:ascii="仿宋" w:hAnsi="仿宋" w:eastAsia="仿宋" w:cs="仿宋"/>
          <w:sz w:val="28"/>
          <w:szCs w:val="28"/>
        </w:rPr>
        <w:t>34.5如果中标供应商未能遵守本须知第33.3条的规定，则可取消其中标资格。</w:t>
      </w:r>
    </w:p>
    <w:p>
      <w:pPr>
        <w:spacing w:line="400" w:lineRule="exac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35.“绿贷通”、“政采贷”</w:t>
      </w:r>
    </w:p>
    <w:p>
      <w:pPr>
        <w:spacing w:line="400" w:lineRule="exact"/>
        <w:ind w:firstLine="560"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为有效破解当前中小微企业面临的“融资难、融资贵”困局，充分发挥好政府采购扶持小微企业发展的政策功能，本项目中标供应商可凭中标通知书等材料至“绿贷通平台”网页（</w:t>
      </w:r>
      <w:r>
        <w:rPr>
          <w:rFonts w:hint="eastAsia" w:ascii="仿宋" w:hAnsi="仿宋" w:eastAsia="仿宋" w:cs="仿宋"/>
          <w:color w:val="000000" w:themeColor="text1"/>
          <w:kern w:val="0"/>
          <w:sz w:val="28"/>
          <w:szCs w:val="28"/>
          <w14:textFill>
            <w14:solidFill>
              <w14:schemeClr w14:val="tx1"/>
            </w14:solidFill>
          </w14:textFill>
        </w:rPr>
        <w:t>https://lvdt.huzldt.com</w:t>
      </w:r>
      <w:r>
        <w:rPr>
          <w:rFonts w:hint="eastAsia" w:ascii="仿宋" w:hAnsi="仿宋" w:eastAsia="仿宋" w:cs="仿宋"/>
          <w:color w:val="000000" w:themeColor="text1"/>
          <w:sz w:val="28"/>
          <w:szCs w:val="28"/>
          <w14:textFill>
            <w14:solidFill>
              <w14:schemeClr w14:val="tx1"/>
            </w14:solidFill>
          </w14:textFill>
        </w:rPr>
        <w:t>）或“政采贷”平台网页（www.zcygov.cn）申请相关融资产品。具体操作方式可在“绿贷通”或“政采贷”平台网站查询，也可向“绿贷通”或“政采贷”平台电话咨询（“绿贷通”联系电话：0572-2392590、“政采贷”联系电话：0572-2151055、18698580797）。</w:t>
      </w:r>
    </w:p>
    <w:p>
      <w:pPr>
        <w:pStyle w:val="5"/>
        <w:jc w:val="center"/>
        <w:rPr>
          <w:rFonts w:ascii="仿宋" w:hAnsi="仿宋" w:eastAsia="仿宋" w:cs="仿宋"/>
          <w:sz w:val="28"/>
          <w:szCs w:val="28"/>
        </w:rPr>
      </w:pPr>
      <w:bookmarkStart w:id="48" w:name="_Toc36454322"/>
      <w:r>
        <w:rPr>
          <w:rFonts w:hint="eastAsia" w:ascii="仿宋" w:hAnsi="仿宋" w:eastAsia="仿宋" w:cs="仿宋"/>
          <w:sz w:val="28"/>
          <w:szCs w:val="28"/>
        </w:rPr>
        <w:t>九、质疑</w:t>
      </w:r>
      <w:bookmarkEnd w:id="48"/>
    </w:p>
    <w:p>
      <w:pPr>
        <w:spacing w:line="400" w:lineRule="exact"/>
        <w:rPr>
          <w:rFonts w:ascii="仿宋" w:hAnsi="仿宋" w:eastAsia="仿宋" w:cs="仿宋"/>
          <w:b/>
          <w:sz w:val="28"/>
          <w:szCs w:val="28"/>
        </w:rPr>
      </w:pPr>
      <w:r>
        <w:rPr>
          <w:rFonts w:hint="eastAsia" w:ascii="仿宋" w:hAnsi="仿宋" w:eastAsia="仿宋" w:cs="仿宋"/>
          <w:b/>
          <w:sz w:val="28"/>
          <w:szCs w:val="28"/>
        </w:rPr>
        <w:t>36.质疑</w:t>
      </w:r>
    </w:p>
    <w:p>
      <w:pPr>
        <w:spacing w:line="400" w:lineRule="exact"/>
        <w:ind w:firstLine="499"/>
        <w:rPr>
          <w:rFonts w:ascii="仿宋" w:hAnsi="仿宋" w:eastAsia="仿宋" w:cs="仿宋"/>
          <w:sz w:val="28"/>
          <w:szCs w:val="28"/>
        </w:rPr>
      </w:pPr>
      <w:r>
        <w:rPr>
          <w:rFonts w:hint="eastAsia" w:ascii="仿宋" w:hAnsi="仿宋" w:eastAsia="仿宋" w:cs="仿宋"/>
          <w:sz w:val="28"/>
          <w:szCs w:val="28"/>
        </w:rPr>
        <w:t>36.1 供应商认为招标文件、采购过程、中标或者成交结果使自己的权益受到损害的，可以在知道或者应知其权益受到损害之日起7个工作日内，以书面形式向采购人或集中采购机构提出质疑。</w:t>
      </w:r>
    </w:p>
    <w:p>
      <w:pPr>
        <w:spacing w:line="400" w:lineRule="exact"/>
        <w:ind w:firstLine="500"/>
        <w:rPr>
          <w:rFonts w:ascii="仿宋" w:hAnsi="仿宋" w:eastAsia="仿宋" w:cs="仿宋"/>
          <w:sz w:val="28"/>
          <w:szCs w:val="28"/>
        </w:rPr>
      </w:pPr>
      <w:r>
        <w:rPr>
          <w:rFonts w:hint="eastAsia" w:ascii="仿宋" w:hAnsi="仿宋" w:eastAsia="仿宋" w:cs="仿宋"/>
          <w:sz w:val="28"/>
          <w:szCs w:val="28"/>
        </w:rPr>
        <w:t>36.2对招标文件第二章招标需求及第五章评标办法及标准的质疑由采购人接收并负责答复，其他质疑由集中采购机构接收并负责答复。</w:t>
      </w:r>
    </w:p>
    <w:p>
      <w:pPr>
        <w:spacing w:line="400" w:lineRule="exact"/>
        <w:ind w:firstLine="5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36.3 供应商须在法定质疑期内一次性提出针对同一采购程序环</w:t>
      </w:r>
      <w:r>
        <w:rPr>
          <w:rFonts w:hint="eastAsia" w:ascii="仿宋" w:hAnsi="仿宋" w:eastAsia="仿宋" w:cs="仿宋"/>
          <w:color w:val="000000" w:themeColor="text1"/>
          <w:sz w:val="28"/>
          <w:szCs w:val="28"/>
          <w14:textFill>
            <w14:solidFill>
              <w14:schemeClr w14:val="tx1"/>
            </w14:solidFill>
          </w14:textFill>
        </w:rPr>
        <w:t>节的质疑，否则采购人或集中采购机构有权拒绝第一次质疑以外其他所有质疑。</w:t>
      </w:r>
    </w:p>
    <w:p>
      <w:pPr>
        <w:spacing w:line="400" w:lineRule="exact"/>
        <w:ind w:firstLine="5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36.4质疑人可以采取直接递交、邮寄方式提交纸质质疑函。以电子邮件、传真或其他方式提出的质疑，以及以非纸质方式提出的质疑，采购人或集中采购机构将不予接受。</w:t>
      </w:r>
    </w:p>
    <w:p>
      <w:pPr>
        <w:spacing w:line="400" w:lineRule="exact"/>
        <w:ind w:firstLine="500"/>
        <w:rPr>
          <w:rFonts w:ascii="仿宋" w:hAnsi="仿宋" w:eastAsia="仿宋" w:cs="仿宋"/>
          <w:sz w:val="28"/>
          <w:szCs w:val="28"/>
        </w:rPr>
        <w:sectPr>
          <w:footerReference r:id="rId7" w:type="first"/>
          <w:headerReference r:id="rId3" w:type="default"/>
          <w:footerReference r:id="rId5" w:type="default"/>
          <w:headerReference r:id="rId4" w:type="even"/>
          <w:footerReference r:id="rId6" w:type="even"/>
          <w:pgSz w:w="11906" w:h="16838"/>
          <w:pgMar w:top="1440" w:right="1701" w:bottom="1440" w:left="1701" w:header="851" w:footer="992" w:gutter="0"/>
          <w:cols w:space="425" w:num="1"/>
          <w:titlePg/>
          <w:docGrid w:type="linesAndChars" w:linePitch="312" w:charSpace="0"/>
        </w:sectPr>
      </w:pPr>
      <w:r>
        <w:rPr>
          <w:rFonts w:hint="eastAsia" w:ascii="仿宋" w:hAnsi="仿宋" w:eastAsia="仿宋" w:cs="仿宋"/>
          <w:sz w:val="28"/>
          <w:szCs w:val="28"/>
        </w:rPr>
        <w:t>36.5质疑函须采用财政部发布的政府采购供应商质疑函范本</w:t>
      </w:r>
      <w:r>
        <w:rPr>
          <w:rFonts w:hint="eastAsia" w:ascii="仿宋" w:hAnsi="仿宋" w:eastAsia="仿宋" w:cs="仿宋"/>
          <w:snapToGrid w:val="0"/>
          <w:sz w:val="28"/>
          <w:szCs w:val="28"/>
        </w:rPr>
        <w:t>（参考样式可从</w:t>
      </w:r>
      <w:r>
        <w:rPr>
          <w:rFonts w:hint="eastAsia" w:ascii="仿宋" w:hAnsi="仿宋" w:eastAsia="仿宋" w:cs="仿宋"/>
          <w:kern w:val="0"/>
          <w:sz w:val="28"/>
          <w:szCs w:val="28"/>
        </w:rPr>
        <w:t>“湖州市公共资源交易信息网-&gt;资料下载-&gt;采购资料下载”栏目下载）</w:t>
      </w:r>
      <w:r>
        <w:rPr>
          <w:rFonts w:hint="eastAsia" w:ascii="仿宋" w:hAnsi="仿宋" w:eastAsia="仿宋" w:cs="仿宋"/>
          <w:sz w:val="28"/>
          <w:szCs w:val="28"/>
        </w:rPr>
        <w:t>，否则采购人或集中采购机构有权要求质疑人修改正后重新提出。</w:t>
      </w:r>
    </w:p>
    <w:p>
      <w:pPr>
        <w:pStyle w:val="4"/>
        <w:spacing w:line="340" w:lineRule="exact"/>
        <w:jc w:val="center"/>
        <w:rPr>
          <w:rFonts w:ascii="仿宋" w:hAnsi="仿宋" w:eastAsia="仿宋" w:cs="仿宋"/>
          <w:sz w:val="28"/>
          <w:szCs w:val="28"/>
        </w:rPr>
      </w:pPr>
      <w:bookmarkStart w:id="49" w:name="_Toc36454323"/>
      <w:r>
        <w:rPr>
          <w:rFonts w:hint="eastAsia" w:ascii="仿宋" w:hAnsi="仿宋" w:eastAsia="仿宋" w:cs="仿宋"/>
          <w:sz w:val="28"/>
          <w:szCs w:val="28"/>
        </w:rPr>
        <w:t>第二章  招标需求</w:t>
      </w:r>
      <w:bookmarkEnd w:id="49"/>
    </w:p>
    <w:p>
      <w:pPr>
        <w:widowControl/>
        <w:spacing w:before="100" w:beforeAutospacing="1" w:after="240" w:line="420" w:lineRule="exact"/>
        <w:jc w:val="left"/>
        <w:rPr>
          <w:rFonts w:ascii="仿宋_GB2312" w:hAnsi="Arial" w:eastAsia="仿宋_GB2312" w:cs="Arial"/>
          <w:kern w:val="0"/>
          <w:sz w:val="28"/>
          <w:szCs w:val="28"/>
        </w:rPr>
      </w:pPr>
      <w:r>
        <w:rPr>
          <w:rFonts w:hint="eastAsia" w:ascii="仿宋_GB2312" w:eastAsia="仿宋_GB2312"/>
          <w:b/>
          <w:sz w:val="28"/>
          <w:szCs w:val="28"/>
        </w:rPr>
        <w:t>一、设备清单</w:t>
      </w:r>
    </w:p>
    <w:tbl>
      <w:tblPr>
        <w:tblStyle w:val="31"/>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976"/>
        <w:gridCol w:w="2552"/>
        <w:gridCol w:w="127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spacing w:line="360" w:lineRule="atLeast"/>
              <w:jc w:val="center"/>
              <w:rPr>
                <w:rFonts w:ascii="仿宋_GB2312" w:eastAsia="仿宋_GB2312"/>
                <w:sz w:val="28"/>
                <w:szCs w:val="28"/>
              </w:rPr>
            </w:pPr>
            <w:r>
              <w:rPr>
                <w:rFonts w:hint="eastAsia" w:ascii="仿宋_GB2312" w:eastAsia="仿宋_GB2312"/>
                <w:sz w:val="28"/>
                <w:szCs w:val="28"/>
              </w:rPr>
              <w:t>序号</w:t>
            </w:r>
          </w:p>
        </w:tc>
        <w:tc>
          <w:tcPr>
            <w:tcW w:w="2976" w:type="dxa"/>
            <w:vAlign w:val="center"/>
          </w:tcPr>
          <w:p>
            <w:pPr>
              <w:spacing w:line="360" w:lineRule="atLeast"/>
              <w:ind w:firstLine="280" w:firstLineChars="100"/>
              <w:jc w:val="center"/>
              <w:rPr>
                <w:rFonts w:ascii="仿宋_GB2312" w:eastAsia="仿宋_GB2312"/>
                <w:sz w:val="28"/>
                <w:szCs w:val="28"/>
              </w:rPr>
            </w:pPr>
            <w:r>
              <w:rPr>
                <w:rFonts w:hint="eastAsia" w:ascii="仿宋_GB2312" w:eastAsia="仿宋_GB2312"/>
                <w:sz w:val="28"/>
                <w:szCs w:val="28"/>
              </w:rPr>
              <w:t>产品名称</w:t>
            </w:r>
          </w:p>
        </w:tc>
        <w:tc>
          <w:tcPr>
            <w:tcW w:w="2552" w:type="dxa"/>
            <w:vAlign w:val="center"/>
          </w:tcPr>
          <w:p>
            <w:pPr>
              <w:spacing w:line="360" w:lineRule="atLeast"/>
              <w:ind w:firstLine="280" w:firstLineChars="100"/>
              <w:jc w:val="center"/>
              <w:rPr>
                <w:rFonts w:ascii="仿宋_GB2312" w:eastAsia="仿宋_GB2312"/>
                <w:sz w:val="28"/>
                <w:szCs w:val="28"/>
              </w:rPr>
            </w:pPr>
            <w:r>
              <w:rPr>
                <w:rFonts w:hint="eastAsia" w:ascii="仿宋_GB2312" w:eastAsia="仿宋_GB2312"/>
                <w:sz w:val="28"/>
                <w:szCs w:val="28"/>
              </w:rPr>
              <w:t>配置要求</w:t>
            </w:r>
          </w:p>
        </w:tc>
        <w:tc>
          <w:tcPr>
            <w:tcW w:w="1276" w:type="dxa"/>
            <w:vAlign w:val="center"/>
          </w:tcPr>
          <w:p>
            <w:pPr>
              <w:spacing w:line="360" w:lineRule="atLeast"/>
              <w:ind w:firstLine="280" w:firstLineChars="100"/>
              <w:jc w:val="center"/>
              <w:rPr>
                <w:rFonts w:ascii="仿宋_GB2312" w:eastAsia="仿宋_GB2312"/>
                <w:sz w:val="28"/>
                <w:szCs w:val="28"/>
              </w:rPr>
            </w:pPr>
            <w:r>
              <w:rPr>
                <w:rFonts w:hint="eastAsia" w:ascii="仿宋_GB2312" w:eastAsia="仿宋_GB2312"/>
                <w:sz w:val="28"/>
                <w:szCs w:val="28"/>
              </w:rPr>
              <w:t>数量</w:t>
            </w:r>
          </w:p>
        </w:tc>
        <w:tc>
          <w:tcPr>
            <w:tcW w:w="1559" w:type="dxa"/>
            <w:vAlign w:val="center"/>
          </w:tcPr>
          <w:p>
            <w:pPr>
              <w:spacing w:line="360" w:lineRule="atLeast"/>
              <w:jc w:val="center"/>
              <w:rPr>
                <w:rFonts w:ascii="仿宋_GB2312" w:eastAsia="仿宋_GB2312"/>
                <w:sz w:val="28"/>
                <w:szCs w:val="28"/>
              </w:rPr>
            </w:pPr>
            <w:r>
              <w:rPr>
                <w:rFonts w:hint="eastAsia" w:ascii="仿宋_GB2312" w:eastAsia="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widowControl/>
              <w:spacing w:before="100" w:beforeAutospacing="1" w:after="240" w:line="360" w:lineRule="atLeast"/>
              <w:jc w:val="center"/>
              <w:rPr>
                <w:rFonts w:ascii="仿宋_GB2312" w:hAnsi="Arial" w:eastAsia="仿宋_GB2312" w:cs="Arial"/>
                <w:kern w:val="0"/>
                <w:sz w:val="28"/>
                <w:szCs w:val="28"/>
              </w:rPr>
            </w:pPr>
            <w:r>
              <w:rPr>
                <w:rFonts w:ascii="仿宋_GB2312" w:hAnsi="Arial" w:eastAsia="仿宋_GB2312" w:cs="Arial"/>
                <w:kern w:val="0"/>
                <w:sz w:val="28"/>
                <w:szCs w:val="28"/>
              </w:rPr>
              <w:t>1</w:t>
            </w:r>
          </w:p>
        </w:tc>
        <w:tc>
          <w:tcPr>
            <w:tcW w:w="2976" w:type="dxa"/>
            <w:vAlign w:val="center"/>
          </w:tcPr>
          <w:p>
            <w:pPr>
              <w:widowControl/>
              <w:spacing w:before="100" w:beforeAutospacing="1" w:after="240" w:line="360" w:lineRule="atLeast"/>
              <w:jc w:val="center"/>
              <w:rPr>
                <w:rFonts w:ascii="仿宋_GB2312" w:hAnsi="Arial" w:eastAsia="仿宋_GB2312" w:cs="Arial"/>
                <w:kern w:val="0"/>
                <w:sz w:val="28"/>
                <w:szCs w:val="28"/>
              </w:rPr>
            </w:pPr>
            <w:r>
              <w:rPr>
                <w:rFonts w:hint="eastAsia" w:ascii="仿宋_GB2312" w:hAnsi="Arial" w:eastAsia="仿宋_GB2312" w:cs="Arial"/>
                <w:kern w:val="0"/>
                <w:sz w:val="28"/>
                <w:szCs w:val="28"/>
              </w:rPr>
              <w:t>防火墙</w:t>
            </w:r>
          </w:p>
        </w:tc>
        <w:tc>
          <w:tcPr>
            <w:tcW w:w="2552" w:type="dxa"/>
            <w:vAlign w:val="center"/>
          </w:tcPr>
          <w:p>
            <w:pPr>
              <w:widowControl/>
              <w:spacing w:before="100" w:beforeAutospacing="1" w:after="240" w:line="360" w:lineRule="atLeast"/>
              <w:jc w:val="center"/>
              <w:rPr>
                <w:rFonts w:ascii="仿宋_GB2312" w:hAnsi="Arial" w:eastAsia="仿宋_GB2312" w:cs="Arial"/>
                <w:kern w:val="0"/>
                <w:sz w:val="28"/>
                <w:szCs w:val="28"/>
              </w:rPr>
            </w:pPr>
            <w:r>
              <w:rPr>
                <w:rFonts w:hint="eastAsia" w:ascii="仿宋_GB2312" w:hAnsi="Arial" w:eastAsia="仿宋_GB2312" w:cs="Arial"/>
                <w:kern w:val="0"/>
                <w:sz w:val="28"/>
                <w:szCs w:val="28"/>
              </w:rPr>
              <w:t>详细参数见下</w:t>
            </w:r>
          </w:p>
        </w:tc>
        <w:tc>
          <w:tcPr>
            <w:tcW w:w="1276" w:type="dxa"/>
            <w:vAlign w:val="center"/>
          </w:tcPr>
          <w:p>
            <w:pPr>
              <w:widowControl/>
              <w:spacing w:before="100" w:beforeAutospacing="1" w:after="240" w:line="360" w:lineRule="atLeast"/>
              <w:jc w:val="center"/>
              <w:rPr>
                <w:rFonts w:ascii="仿宋_GB2312" w:hAnsi="Arial" w:eastAsia="仿宋_GB2312" w:cs="Arial"/>
                <w:kern w:val="0"/>
                <w:sz w:val="28"/>
                <w:szCs w:val="28"/>
              </w:rPr>
            </w:pPr>
            <w:r>
              <w:rPr>
                <w:rFonts w:ascii="仿宋_GB2312" w:hAnsi="Arial" w:eastAsia="仿宋_GB2312" w:cs="Arial"/>
                <w:kern w:val="0"/>
                <w:sz w:val="28"/>
                <w:szCs w:val="28"/>
              </w:rPr>
              <w:t>2</w:t>
            </w:r>
            <w:r>
              <w:rPr>
                <w:rFonts w:hint="eastAsia" w:ascii="仿宋_GB2312" w:hAnsi="Arial" w:eastAsia="仿宋_GB2312" w:cs="Arial"/>
                <w:kern w:val="0"/>
                <w:sz w:val="28"/>
                <w:szCs w:val="28"/>
              </w:rPr>
              <w:t>台</w:t>
            </w:r>
          </w:p>
        </w:tc>
        <w:tc>
          <w:tcPr>
            <w:tcW w:w="1559" w:type="dxa"/>
            <w:vAlign w:val="center"/>
          </w:tcPr>
          <w:p>
            <w:pPr>
              <w:widowControl/>
              <w:spacing w:before="100" w:beforeAutospacing="1" w:after="240" w:line="360" w:lineRule="atLeast"/>
              <w:jc w:val="center"/>
              <w:rPr>
                <w:rFonts w:ascii="仿宋_GB2312" w:hAnsi="Arial" w:eastAsia="仿宋_GB2312" w:cs="Arial"/>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widowControl/>
              <w:spacing w:before="100" w:beforeAutospacing="1" w:after="240" w:line="360" w:lineRule="atLeast"/>
              <w:jc w:val="center"/>
              <w:rPr>
                <w:rFonts w:ascii="仿宋_GB2312" w:hAnsi="Arial" w:eastAsia="仿宋_GB2312" w:cs="Arial"/>
                <w:kern w:val="0"/>
                <w:sz w:val="28"/>
                <w:szCs w:val="28"/>
              </w:rPr>
            </w:pPr>
            <w:r>
              <w:rPr>
                <w:rFonts w:hint="eastAsia" w:ascii="仿宋_GB2312" w:hAnsi="Arial" w:eastAsia="仿宋_GB2312" w:cs="Arial"/>
                <w:kern w:val="0"/>
                <w:sz w:val="28"/>
                <w:szCs w:val="28"/>
              </w:rPr>
              <w:t>2</w:t>
            </w:r>
          </w:p>
        </w:tc>
        <w:tc>
          <w:tcPr>
            <w:tcW w:w="2976" w:type="dxa"/>
            <w:vAlign w:val="center"/>
          </w:tcPr>
          <w:p>
            <w:pPr>
              <w:widowControl/>
              <w:spacing w:before="100" w:beforeAutospacing="1" w:after="240" w:line="360" w:lineRule="atLeast"/>
              <w:jc w:val="center"/>
              <w:rPr>
                <w:rFonts w:ascii="仿宋_GB2312" w:hAnsi="Arial" w:eastAsia="仿宋_GB2312" w:cs="Arial"/>
                <w:kern w:val="0"/>
                <w:sz w:val="28"/>
                <w:szCs w:val="28"/>
              </w:rPr>
            </w:pPr>
            <w:r>
              <w:rPr>
                <w:rFonts w:hint="eastAsia" w:ascii="仿宋_GB2312" w:hAnsi="Arial" w:eastAsia="仿宋_GB2312" w:cs="Arial"/>
                <w:kern w:val="0"/>
                <w:sz w:val="28"/>
                <w:szCs w:val="28"/>
              </w:rPr>
              <w:t>日志</w:t>
            </w:r>
            <w:r>
              <w:rPr>
                <w:rFonts w:ascii="仿宋_GB2312" w:hAnsi="Arial" w:eastAsia="仿宋_GB2312" w:cs="Arial"/>
                <w:kern w:val="0"/>
                <w:sz w:val="28"/>
                <w:szCs w:val="28"/>
              </w:rPr>
              <w:t>审计</w:t>
            </w:r>
          </w:p>
        </w:tc>
        <w:tc>
          <w:tcPr>
            <w:tcW w:w="2552" w:type="dxa"/>
            <w:vAlign w:val="center"/>
          </w:tcPr>
          <w:p>
            <w:pPr>
              <w:widowControl/>
              <w:spacing w:before="100" w:beforeAutospacing="1" w:after="240" w:line="360" w:lineRule="atLeast"/>
              <w:jc w:val="center"/>
              <w:rPr>
                <w:rFonts w:ascii="仿宋_GB2312" w:hAnsi="Arial" w:eastAsia="仿宋_GB2312" w:cs="Arial"/>
                <w:kern w:val="0"/>
                <w:sz w:val="28"/>
                <w:szCs w:val="28"/>
              </w:rPr>
            </w:pPr>
            <w:r>
              <w:rPr>
                <w:rFonts w:hint="eastAsia" w:ascii="仿宋_GB2312" w:hAnsi="Arial" w:eastAsia="仿宋_GB2312" w:cs="Arial"/>
                <w:kern w:val="0"/>
                <w:sz w:val="28"/>
                <w:szCs w:val="28"/>
              </w:rPr>
              <w:t>详细参数见下</w:t>
            </w:r>
          </w:p>
        </w:tc>
        <w:tc>
          <w:tcPr>
            <w:tcW w:w="1276" w:type="dxa"/>
            <w:vAlign w:val="center"/>
          </w:tcPr>
          <w:p>
            <w:pPr>
              <w:widowControl/>
              <w:spacing w:before="100" w:beforeAutospacing="1" w:after="240" w:line="360" w:lineRule="atLeast"/>
              <w:jc w:val="center"/>
              <w:rPr>
                <w:rFonts w:ascii="仿宋_GB2312" w:hAnsi="Arial" w:eastAsia="仿宋_GB2312" w:cs="Arial"/>
                <w:kern w:val="0"/>
                <w:sz w:val="28"/>
                <w:szCs w:val="28"/>
              </w:rPr>
            </w:pPr>
            <w:r>
              <w:rPr>
                <w:rFonts w:hint="eastAsia" w:ascii="仿宋_GB2312" w:hAnsi="Arial" w:eastAsia="仿宋_GB2312" w:cs="Arial"/>
                <w:kern w:val="0"/>
                <w:sz w:val="28"/>
                <w:szCs w:val="28"/>
              </w:rPr>
              <w:t>1台</w:t>
            </w:r>
            <w:r>
              <w:rPr>
                <w:rFonts w:ascii="仿宋_GB2312" w:hAnsi="Arial" w:eastAsia="仿宋_GB2312" w:cs="Arial"/>
                <w:kern w:val="0"/>
                <w:sz w:val="28"/>
                <w:szCs w:val="28"/>
              </w:rPr>
              <w:t xml:space="preserve"> </w:t>
            </w:r>
          </w:p>
        </w:tc>
        <w:tc>
          <w:tcPr>
            <w:tcW w:w="1559" w:type="dxa"/>
            <w:vAlign w:val="center"/>
          </w:tcPr>
          <w:p>
            <w:pPr>
              <w:widowControl/>
              <w:spacing w:before="100" w:beforeAutospacing="1" w:after="240" w:line="360" w:lineRule="atLeast"/>
              <w:jc w:val="center"/>
              <w:rPr>
                <w:rFonts w:ascii="仿宋_GB2312" w:hAnsi="Arial" w:eastAsia="仿宋_GB2312" w:cs="Arial"/>
                <w:kern w:val="0"/>
                <w:sz w:val="28"/>
                <w:szCs w:val="28"/>
              </w:rPr>
            </w:pPr>
            <w:r>
              <w:rPr>
                <w:rFonts w:hint="eastAsia" w:ascii="仿宋_GB2312" w:hAnsi="Arial" w:eastAsia="仿宋_GB2312" w:cs="Arial"/>
                <w:kern w:val="0"/>
                <w:sz w:val="28"/>
                <w:szCs w:val="28"/>
              </w:rPr>
              <w:t>核心</w:t>
            </w:r>
            <w:r>
              <w:rPr>
                <w:rFonts w:ascii="仿宋_GB2312" w:hAnsi="Arial" w:eastAsia="仿宋_GB2312" w:cs="Arial"/>
                <w:kern w:val="0"/>
                <w:sz w:val="28"/>
                <w:szCs w:val="28"/>
              </w:rPr>
              <w:t>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1" w:type="dxa"/>
            <w:vAlign w:val="center"/>
          </w:tcPr>
          <w:p>
            <w:pPr>
              <w:widowControl/>
              <w:spacing w:before="100" w:beforeAutospacing="1" w:after="240" w:line="360" w:lineRule="atLeast"/>
              <w:jc w:val="center"/>
              <w:rPr>
                <w:rFonts w:ascii="仿宋_GB2312" w:hAnsi="Arial" w:eastAsia="仿宋_GB2312" w:cs="Arial"/>
                <w:kern w:val="0"/>
                <w:sz w:val="28"/>
                <w:szCs w:val="28"/>
              </w:rPr>
            </w:pPr>
            <w:r>
              <w:rPr>
                <w:rFonts w:hint="eastAsia" w:ascii="仿宋_GB2312" w:hAnsi="Arial" w:eastAsia="仿宋_GB2312" w:cs="Arial"/>
                <w:kern w:val="0"/>
                <w:sz w:val="28"/>
                <w:szCs w:val="28"/>
              </w:rPr>
              <w:t>3</w:t>
            </w:r>
          </w:p>
        </w:tc>
        <w:tc>
          <w:tcPr>
            <w:tcW w:w="2976" w:type="dxa"/>
            <w:vAlign w:val="center"/>
          </w:tcPr>
          <w:p>
            <w:pPr>
              <w:widowControl/>
              <w:spacing w:before="100" w:beforeAutospacing="1" w:after="240" w:line="360" w:lineRule="atLeast"/>
              <w:jc w:val="center"/>
              <w:rPr>
                <w:rFonts w:ascii="仿宋_GB2312" w:hAnsi="Arial" w:eastAsia="仿宋_GB2312" w:cs="Arial"/>
                <w:kern w:val="0"/>
                <w:sz w:val="28"/>
                <w:szCs w:val="28"/>
              </w:rPr>
            </w:pPr>
            <w:r>
              <w:rPr>
                <w:rFonts w:hint="eastAsia" w:ascii="仿宋_GB2312" w:hAnsi="Arial" w:eastAsia="仿宋_GB2312" w:cs="Arial"/>
                <w:kern w:val="0"/>
                <w:sz w:val="28"/>
                <w:szCs w:val="28"/>
              </w:rPr>
              <w:t>安全服务</w:t>
            </w:r>
          </w:p>
        </w:tc>
        <w:tc>
          <w:tcPr>
            <w:tcW w:w="2552" w:type="dxa"/>
            <w:vAlign w:val="center"/>
          </w:tcPr>
          <w:p>
            <w:pPr>
              <w:widowControl/>
              <w:spacing w:before="100" w:beforeAutospacing="1" w:after="240" w:line="360" w:lineRule="atLeast"/>
              <w:jc w:val="center"/>
              <w:rPr>
                <w:rFonts w:ascii="仿宋_GB2312" w:hAnsi="Arial" w:eastAsia="仿宋_GB2312" w:cs="Arial"/>
                <w:kern w:val="0"/>
                <w:sz w:val="28"/>
                <w:szCs w:val="28"/>
              </w:rPr>
            </w:pPr>
            <w:r>
              <w:rPr>
                <w:rFonts w:hint="eastAsia" w:ascii="仿宋_GB2312" w:hAnsi="Arial" w:eastAsia="仿宋_GB2312" w:cs="Arial"/>
                <w:kern w:val="0"/>
                <w:sz w:val="28"/>
                <w:szCs w:val="28"/>
              </w:rPr>
              <w:t>详细参数见下</w:t>
            </w:r>
          </w:p>
        </w:tc>
        <w:tc>
          <w:tcPr>
            <w:tcW w:w="1276" w:type="dxa"/>
            <w:vAlign w:val="center"/>
          </w:tcPr>
          <w:p>
            <w:pPr>
              <w:widowControl/>
              <w:spacing w:before="100" w:beforeAutospacing="1" w:after="240" w:line="360" w:lineRule="atLeast"/>
              <w:jc w:val="center"/>
              <w:rPr>
                <w:rFonts w:ascii="仿宋_GB2312" w:hAnsi="Arial" w:eastAsia="仿宋_GB2312" w:cs="Arial"/>
                <w:kern w:val="0"/>
                <w:sz w:val="28"/>
                <w:szCs w:val="28"/>
              </w:rPr>
            </w:pPr>
            <w:r>
              <w:rPr>
                <w:rFonts w:hint="eastAsia" w:ascii="仿宋_GB2312" w:hAnsi="Arial" w:eastAsia="仿宋_GB2312" w:cs="Arial"/>
                <w:kern w:val="0"/>
                <w:sz w:val="28"/>
                <w:szCs w:val="28"/>
              </w:rPr>
              <w:t>3年</w:t>
            </w:r>
          </w:p>
        </w:tc>
        <w:tc>
          <w:tcPr>
            <w:tcW w:w="1559" w:type="dxa"/>
            <w:vAlign w:val="center"/>
          </w:tcPr>
          <w:p>
            <w:pPr>
              <w:widowControl/>
              <w:spacing w:before="100" w:beforeAutospacing="1" w:after="240" w:line="360" w:lineRule="atLeast"/>
              <w:jc w:val="center"/>
              <w:rPr>
                <w:rFonts w:ascii="仿宋_GB2312" w:hAnsi="Arial" w:eastAsia="仿宋_GB2312" w:cs="Arial"/>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widowControl/>
              <w:spacing w:before="100" w:beforeAutospacing="1" w:after="240" w:line="360" w:lineRule="atLeast"/>
              <w:jc w:val="center"/>
              <w:rPr>
                <w:rFonts w:ascii="仿宋_GB2312" w:hAnsi="Arial" w:eastAsia="仿宋_GB2312" w:cs="Arial"/>
                <w:kern w:val="0"/>
                <w:sz w:val="28"/>
                <w:szCs w:val="28"/>
              </w:rPr>
            </w:pPr>
            <w:r>
              <w:rPr>
                <w:rFonts w:hint="eastAsia" w:ascii="仿宋_GB2312" w:hAnsi="Arial" w:eastAsia="仿宋_GB2312" w:cs="Arial"/>
                <w:kern w:val="0"/>
                <w:sz w:val="28"/>
                <w:szCs w:val="28"/>
              </w:rPr>
              <w:t>4</w:t>
            </w:r>
          </w:p>
        </w:tc>
        <w:tc>
          <w:tcPr>
            <w:tcW w:w="2976" w:type="dxa"/>
            <w:vAlign w:val="center"/>
          </w:tcPr>
          <w:p>
            <w:pPr>
              <w:widowControl/>
              <w:spacing w:before="100" w:beforeAutospacing="1" w:after="240" w:line="360" w:lineRule="atLeast"/>
              <w:jc w:val="center"/>
              <w:rPr>
                <w:rFonts w:ascii="仿宋_GB2312" w:hAnsi="Arial" w:eastAsia="仿宋_GB2312" w:cs="Arial"/>
                <w:kern w:val="0"/>
                <w:sz w:val="28"/>
                <w:szCs w:val="28"/>
              </w:rPr>
            </w:pPr>
            <w:r>
              <w:rPr>
                <w:rFonts w:hint="eastAsia" w:ascii="仿宋_GB2312" w:hAnsi="Arial" w:eastAsia="仿宋_GB2312" w:cs="Arial"/>
                <w:kern w:val="0"/>
                <w:sz w:val="28"/>
                <w:szCs w:val="28"/>
              </w:rPr>
              <w:t>灾备</w:t>
            </w:r>
            <w:r>
              <w:rPr>
                <w:rFonts w:ascii="仿宋_GB2312" w:hAnsi="Arial" w:eastAsia="仿宋_GB2312" w:cs="Arial"/>
                <w:kern w:val="0"/>
                <w:sz w:val="28"/>
                <w:szCs w:val="28"/>
              </w:rPr>
              <w:t>服务</w:t>
            </w:r>
          </w:p>
        </w:tc>
        <w:tc>
          <w:tcPr>
            <w:tcW w:w="2552" w:type="dxa"/>
            <w:vAlign w:val="center"/>
          </w:tcPr>
          <w:p>
            <w:pPr>
              <w:widowControl/>
              <w:spacing w:before="100" w:beforeAutospacing="1" w:after="240" w:line="360" w:lineRule="atLeast"/>
              <w:jc w:val="center"/>
              <w:rPr>
                <w:rFonts w:ascii="仿宋_GB2312" w:hAnsi="Arial" w:eastAsia="仿宋_GB2312" w:cs="Arial"/>
                <w:kern w:val="0"/>
                <w:sz w:val="28"/>
                <w:szCs w:val="28"/>
              </w:rPr>
            </w:pPr>
            <w:r>
              <w:rPr>
                <w:rFonts w:hint="eastAsia" w:ascii="仿宋_GB2312" w:hAnsi="Arial" w:eastAsia="仿宋_GB2312" w:cs="Arial"/>
                <w:kern w:val="0"/>
                <w:sz w:val="28"/>
                <w:szCs w:val="28"/>
              </w:rPr>
              <w:t>详细参数见下</w:t>
            </w:r>
          </w:p>
        </w:tc>
        <w:tc>
          <w:tcPr>
            <w:tcW w:w="1276" w:type="dxa"/>
            <w:vAlign w:val="center"/>
          </w:tcPr>
          <w:p>
            <w:pPr>
              <w:widowControl/>
              <w:spacing w:before="100" w:beforeAutospacing="1" w:after="240" w:line="360" w:lineRule="atLeast"/>
              <w:jc w:val="center"/>
              <w:rPr>
                <w:rFonts w:ascii="仿宋_GB2312" w:hAnsi="Arial" w:eastAsia="仿宋_GB2312" w:cs="Arial"/>
                <w:kern w:val="0"/>
                <w:sz w:val="28"/>
                <w:szCs w:val="28"/>
              </w:rPr>
            </w:pPr>
            <w:r>
              <w:rPr>
                <w:rFonts w:hint="eastAsia" w:ascii="仿宋_GB2312" w:hAnsi="Arial" w:eastAsia="仿宋_GB2312" w:cs="Arial"/>
                <w:kern w:val="0"/>
                <w:sz w:val="28"/>
                <w:szCs w:val="28"/>
              </w:rPr>
              <w:t>3年</w:t>
            </w:r>
          </w:p>
        </w:tc>
        <w:tc>
          <w:tcPr>
            <w:tcW w:w="1559" w:type="dxa"/>
            <w:vAlign w:val="center"/>
          </w:tcPr>
          <w:p>
            <w:pPr>
              <w:widowControl/>
              <w:spacing w:before="100" w:beforeAutospacing="1" w:after="240" w:line="360" w:lineRule="atLeast"/>
              <w:jc w:val="center"/>
              <w:rPr>
                <w:rFonts w:ascii="仿宋_GB2312" w:hAnsi="Arial" w:eastAsia="仿宋_GB2312" w:cs="Arial"/>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widowControl/>
              <w:spacing w:before="100" w:beforeAutospacing="1" w:after="240" w:line="360" w:lineRule="atLeast"/>
              <w:jc w:val="center"/>
              <w:rPr>
                <w:rFonts w:ascii="仿宋_GB2312" w:hAnsi="Arial" w:eastAsia="仿宋_GB2312" w:cs="Arial"/>
                <w:kern w:val="0"/>
                <w:sz w:val="28"/>
                <w:szCs w:val="28"/>
              </w:rPr>
            </w:pPr>
            <w:r>
              <w:rPr>
                <w:rFonts w:hint="eastAsia" w:ascii="仿宋_GB2312" w:hAnsi="Arial" w:eastAsia="仿宋_GB2312" w:cs="Arial"/>
                <w:kern w:val="0"/>
                <w:sz w:val="28"/>
                <w:szCs w:val="28"/>
              </w:rPr>
              <w:t>5</w:t>
            </w:r>
          </w:p>
        </w:tc>
        <w:tc>
          <w:tcPr>
            <w:tcW w:w="2976" w:type="dxa"/>
            <w:vAlign w:val="center"/>
          </w:tcPr>
          <w:p>
            <w:pPr>
              <w:widowControl/>
              <w:spacing w:before="100" w:beforeAutospacing="1" w:after="240" w:line="360" w:lineRule="atLeast"/>
              <w:jc w:val="center"/>
              <w:rPr>
                <w:rFonts w:ascii="仿宋_GB2312" w:hAnsi="Arial" w:eastAsia="仿宋_GB2312" w:cs="Arial"/>
                <w:kern w:val="0"/>
                <w:sz w:val="28"/>
                <w:szCs w:val="28"/>
              </w:rPr>
            </w:pPr>
            <w:r>
              <w:rPr>
                <w:rFonts w:hint="eastAsia" w:ascii="仿宋_GB2312" w:hAnsi="Arial" w:eastAsia="仿宋_GB2312" w:cs="Arial"/>
                <w:kern w:val="0"/>
                <w:sz w:val="28"/>
                <w:szCs w:val="28"/>
              </w:rPr>
              <w:t>系统三级等保测评</w:t>
            </w:r>
          </w:p>
        </w:tc>
        <w:tc>
          <w:tcPr>
            <w:tcW w:w="2552" w:type="dxa"/>
            <w:vAlign w:val="center"/>
          </w:tcPr>
          <w:p>
            <w:pPr>
              <w:widowControl/>
              <w:spacing w:before="100" w:beforeAutospacing="1" w:after="240" w:line="360" w:lineRule="atLeast"/>
              <w:jc w:val="center"/>
              <w:rPr>
                <w:rFonts w:ascii="仿宋_GB2312" w:hAnsi="Arial" w:eastAsia="仿宋_GB2312" w:cs="Arial"/>
                <w:kern w:val="0"/>
                <w:sz w:val="28"/>
                <w:szCs w:val="28"/>
              </w:rPr>
            </w:pPr>
            <w:r>
              <w:rPr>
                <w:rFonts w:hint="eastAsia" w:ascii="仿宋_GB2312" w:hAnsi="Arial" w:eastAsia="仿宋_GB2312" w:cs="Arial"/>
                <w:kern w:val="0"/>
                <w:sz w:val="28"/>
                <w:szCs w:val="28"/>
              </w:rPr>
              <w:t>详细参数见下</w:t>
            </w:r>
          </w:p>
        </w:tc>
        <w:tc>
          <w:tcPr>
            <w:tcW w:w="1276" w:type="dxa"/>
            <w:vAlign w:val="center"/>
          </w:tcPr>
          <w:p>
            <w:pPr>
              <w:widowControl/>
              <w:spacing w:before="100" w:beforeAutospacing="1" w:after="240" w:line="360" w:lineRule="atLeast"/>
              <w:jc w:val="center"/>
              <w:rPr>
                <w:rFonts w:ascii="仿宋_GB2312" w:hAnsi="Arial" w:eastAsia="仿宋_GB2312" w:cs="Arial"/>
                <w:kern w:val="0"/>
                <w:sz w:val="28"/>
                <w:szCs w:val="28"/>
              </w:rPr>
            </w:pPr>
            <w:r>
              <w:rPr>
                <w:rFonts w:hint="eastAsia" w:ascii="仿宋_GB2312" w:hAnsi="Arial" w:eastAsia="仿宋_GB2312" w:cs="Arial"/>
                <w:kern w:val="0"/>
                <w:sz w:val="28"/>
                <w:szCs w:val="28"/>
              </w:rPr>
              <w:t>1项</w:t>
            </w:r>
          </w:p>
        </w:tc>
        <w:tc>
          <w:tcPr>
            <w:tcW w:w="1559" w:type="dxa"/>
            <w:vAlign w:val="center"/>
          </w:tcPr>
          <w:p>
            <w:pPr>
              <w:widowControl/>
              <w:spacing w:before="100" w:beforeAutospacing="1" w:after="240" w:line="360" w:lineRule="atLeast"/>
              <w:jc w:val="center"/>
              <w:rPr>
                <w:rFonts w:ascii="仿宋_GB2312" w:hAnsi="Arial" w:eastAsia="仿宋_GB2312" w:cs="Arial"/>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widowControl/>
              <w:spacing w:before="100" w:beforeAutospacing="1" w:after="240" w:line="360" w:lineRule="atLeast"/>
              <w:jc w:val="center"/>
              <w:rPr>
                <w:rFonts w:ascii="仿宋_GB2312" w:hAnsi="Arial" w:eastAsia="仿宋_GB2312" w:cs="Arial"/>
                <w:kern w:val="0"/>
                <w:sz w:val="28"/>
                <w:szCs w:val="28"/>
              </w:rPr>
            </w:pPr>
            <w:r>
              <w:rPr>
                <w:rFonts w:hint="eastAsia" w:ascii="仿宋_GB2312" w:hAnsi="Arial" w:eastAsia="仿宋_GB2312" w:cs="Arial"/>
                <w:kern w:val="0"/>
                <w:sz w:val="28"/>
                <w:szCs w:val="28"/>
              </w:rPr>
              <w:t>6</w:t>
            </w:r>
          </w:p>
        </w:tc>
        <w:tc>
          <w:tcPr>
            <w:tcW w:w="2976" w:type="dxa"/>
            <w:vAlign w:val="center"/>
          </w:tcPr>
          <w:p>
            <w:pPr>
              <w:widowControl/>
              <w:spacing w:before="100" w:beforeAutospacing="1" w:after="240" w:line="360" w:lineRule="atLeast"/>
              <w:jc w:val="center"/>
              <w:rPr>
                <w:rFonts w:ascii="仿宋_GB2312" w:hAnsi="Arial" w:eastAsia="仿宋_GB2312" w:cs="Arial"/>
                <w:kern w:val="0"/>
                <w:sz w:val="28"/>
                <w:szCs w:val="28"/>
              </w:rPr>
            </w:pPr>
            <w:r>
              <w:rPr>
                <w:rFonts w:hint="eastAsia" w:ascii="仿宋_GB2312" w:hAnsi="Arial" w:eastAsia="仿宋_GB2312" w:cs="Arial"/>
                <w:kern w:val="0"/>
                <w:sz w:val="28"/>
                <w:szCs w:val="28"/>
              </w:rPr>
              <w:t>集成</w:t>
            </w:r>
            <w:r>
              <w:rPr>
                <w:rFonts w:ascii="仿宋_GB2312" w:hAnsi="Arial" w:eastAsia="仿宋_GB2312" w:cs="Arial"/>
                <w:kern w:val="0"/>
                <w:sz w:val="28"/>
                <w:szCs w:val="28"/>
              </w:rPr>
              <w:t>服务</w:t>
            </w:r>
          </w:p>
        </w:tc>
        <w:tc>
          <w:tcPr>
            <w:tcW w:w="2552" w:type="dxa"/>
            <w:vAlign w:val="center"/>
          </w:tcPr>
          <w:p>
            <w:pPr>
              <w:widowControl/>
              <w:spacing w:before="100" w:beforeAutospacing="1" w:after="240" w:line="360" w:lineRule="atLeast"/>
              <w:jc w:val="center"/>
              <w:rPr>
                <w:rFonts w:ascii="仿宋_GB2312" w:hAnsi="Arial" w:eastAsia="仿宋_GB2312" w:cs="Arial"/>
                <w:kern w:val="0"/>
                <w:sz w:val="28"/>
                <w:szCs w:val="28"/>
              </w:rPr>
            </w:pPr>
            <w:r>
              <w:rPr>
                <w:rFonts w:hint="eastAsia" w:ascii="仿宋_GB2312" w:hAnsi="Arial" w:eastAsia="仿宋_GB2312" w:cs="Arial"/>
                <w:kern w:val="0"/>
                <w:sz w:val="28"/>
                <w:szCs w:val="28"/>
              </w:rPr>
              <w:t>详细</w:t>
            </w:r>
            <w:r>
              <w:rPr>
                <w:rFonts w:ascii="仿宋_GB2312" w:hAnsi="Arial" w:eastAsia="仿宋_GB2312" w:cs="Arial"/>
                <w:kern w:val="0"/>
                <w:sz w:val="28"/>
                <w:szCs w:val="28"/>
              </w:rPr>
              <w:t>参数见下</w:t>
            </w:r>
          </w:p>
        </w:tc>
        <w:tc>
          <w:tcPr>
            <w:tcW w:w="1276" w:type="dxa"/>
            <w:vAlign w:val="center"/>
          </w:tcPr>
          <w:p>
            <w:pPr>
              <w:widowControl/>
              <w:spacing w:before="100" w:beforeAutospacing="1" w:after="240" w:line="360" w:lineRule="atLeast"/>
              <w:jc w:val="center"/>
              <w:rPr>
                <w:rFonts w:ascii="仿宋_GB2312" w:hAnsi="Arial" w:eastAsia="仿宋_GB2312" w:cs="Arial"/>
                <w:kern w:val="0"/>
                <w:sz w:val="28"/>
                <w:szCs w:val="28"/>
              </w:rPr>
            </w:pPr>
            <w:r>
              <w:rPr>
                <w:rFonts w:hint="eastAsia" w:ascii="仿宋_GB2312" w:hAnsi="Arial" w:eastAsia="仿宋_GB2312" w:cs="Arial"/>
                <w:kern w:val="0"/>
                <w:sz w:val="28"/>
                <w:szCs w:val="28"/>
              </w:rPr>
              <w:t>1项</w:t>
            </w:r>
          </w:p>
        </w:tc>
        <w:tc>
          <w:tcPr>
            <w:tcW w:w="1559" w:type="dxa"/>
            <w:vAlign w:val="center"/>
          </w:tcPr>
          <w:p>
            <w:pPr>
              <w:widowControl/>
              <w:spacing w:before="100" w:beforeAutospacing="1" w:after="240" w:line="360" w:lineRule="atLeast"/>
              <w:jc w:val="center"/>
              <w:rPr>
                <w:rFonts w:ascii="仿宋_GB2312" w:hAnsi="Arial" w:eastAsia="仿宋_GB2312" w:cs="Arial"/>
                <w:kern w:val="0"/>
                <w:sz w:val="28"/>
                <w:szCs w:val="28"/>
              </w:rPr>
            </w:pPr>
          </w:p>
        </w:tc>
      </w:tr>
    </w:tbl>
    <w:p>
      <w:pPr>
        <w:pStyle w:val="2"/>
        <w:ind w:firstLine="0" w:firstLineChars="0"/>
      </w:pPr>
    </w:p>
    <w:p>
      <w:pPr>
        <w:spacing w:line="340" w:lineRule="exact"/>
        <w:rPr>
          <w:rFonts w:ascii="仿宋" w:hAnsi="仿宋" w:eastAsia="仿宋"/>
          <w:b/>
          <w:sz w:val="28"/>
          <w:szCs w:val="28"/>
        </w:rPr>
      </w:pPr>
      <w:r>
        <w:rPr>
          <w:rFonts w:hint="eastAsia" w:ascii="仿宋" w:hAnsi="仿宋" w:eastAsia="仿宋"/>
          <w:b/>
          <w:sz w:val="28"/>
          <w:szCs w:val="28"/>
        </w:rPr>
        <w:t>二、技术需求</w:t>
      </w:r>
    </w:p>
    <w:p>
      <w:pPr>
        <w:pStyle w:val="2"/>
        <w:ind w:firstLine="0" w:firstLineChars="0"/>
        <w:rPr>
          <w:rFonts w:ascii="仿宋" w:hAnsi="仿宋" w:eastAsia="仿宋"/>
          <w:b/>
          <w:sz w:val="28"/>
          <w:szCs w:val="28"/>
        </w:rPr>
      </w:pPr>
    </w:p>
    <w:p>
      <w:pPr>
        <w:pStyle w:val="2"/>
        <w:ind w:firstLine="281"/>
        <w:rPr>
          <w:rFonts w:ascii="仿宋" w:hAnsi="仿宋" w:eastAsia="仿宋"/>
          <w:b/>
          <w:sz w:val="28"/>
          <w:szCs w:val="28"/>
        </w:rPr>
      </w:pPr>
      <w:r>
        <w:rPr>
          <w:rFonts w:hint="eastAsia" w:ascii="仿宋" w:hAnsi="仿宋" w:eastAsia="仿宋"/>
          <w:b/>
          <w:sz w:val="28"/>
          <w:szCs w:val="28"/>
        </w:rPr>
        <w:t>序号1：防火墙</w:t>
      </w:r>
    </w:p>
    <w:tbl>
      <w:tblPr>
        <w:tblStyle w:val="31"/>
        <w:tblW w:w="9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8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268" w:type="dxa"/>
            <w:shd w:val="clear" w:color="auto" w:fill="D9D9D9"/>
            <w:vAlign w:val="center"/>
          </w:tcPr>
          <w:p>
            <w:pPr>
              <w:jc w:val="center"/>
              <w:rPr>
                <w:b/>
                <w:bCs/>
              </w:rPr>
            </w:pPr>
            <w:r>
              <w:rPr>
                <w:rFonts w:hint="eastAsia"/>
                <w:b/>
                <w:bCs/>
              </w:rPr>
              <w:t>技术指标</w:t>
            </w:r>
          </w:p>
        </w:tc>
        <w:tc>
          <w:tcPr>
            <w:tcW w:w="8326" w:type="dxa"/>
            <w:shd w:val="clear" w:color="auto" w:fill="D9D9D9"/>
            <w:vAlign w:val="center"/>
          </w:tcPr>
          <w:p>
            <w:pPr>
              <w:jc w:val="center"/>
              <w:rPr>
                <w:b/>
                <w:bCs/>
              </w:rPr>
            </w:pPr>
            <w:r>
              <w:rPr>
                <w:rFonts w:hint="eastAsia"/>
                <w:b/>
                <w:bCs/>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68" w:type="dxa"/>
            <w:vAlign w:val="center"/>
          </w:tcPr>
          <w:p>
            <w:pPr>
              <w:rPr>
                <w:rFonts w:ascii="仿宋" w:hAnsi="仿宋" w:eastAsia="仿宋"/>
                <w:bCs/>
                <w:sz w:val="24"/>
              </w:rPr>
            </w:pPr>
            <w:r>
              <w:rPr>
                <w:rFonts w:hint="eastAsia" w:ascii="仿宋" w:hAnsi="仿宋" w:eastAsia="仿宋"/>
                <w:bCs/>
                <w:sz w:val="24"/>
              </w:rPr>
              <w:t>★基本要求</w:t>
            </w:r>
          </w:p>
        </w:tc>
        <w:tc>
          <w:tcPr>
            <w:tcW w:w="8326" w:type="dxa"/>
            <w:vAlign w:val="center"/>
          </w:tcPr>
          <w:p>
            <w:pPr>
              <w:rPr>
                <w:rFonts w:ascii="仿宋" w:hAnsi="仿宋" w:eastAsia="仿宋"/>
                <w:bCs/>
                <w:sz w:val="24"/>
              </w:rPr>
            </w:pPr>
            <w:r>
              <w:rPr>
                <w:rFonts w:hint="eastAsia" w:ascii="仿宋" w:hAnsi="仿宋" w:eastAsia="仿宋"/>
                <w:bCs/>
                <w:sz w:val="24"/>
              </w:rPr>
              <w:t>产品</w:t>
            </w:r>
            <w:r>
              <w:rPr>
                <w:rFonts w:hint="default" w:ascii="仿宋" w:hAnsi="仿宋" w:eastAsia="仿宋"/>
                <w:bCs/>
                <w:sz w:val="24"/>
              </w:rPr>
              <w:t>采用信创</w:t>
            </w:r>
            <w:r>
              <w:rPr>
                <w:rFonts w:ascii="仿宋" w:hAnsi="仿宋" w:eastAsia="仿宋"/>
                <w:bCs/>
                <w:sz w:val="24"/>
              </w:rPr>
              <w:t>硬件</w:t>
            </w:r>
            <w:r>
              <w:rPr>
                <w:rFonts w:hint="eastAsia" w:ascii="仿宋" w:hAnsi="仿宋" w:eastAsia="仿宋"/>
                <w:bCs/>
                <w:sz w:val="24"/>
              </w:rPr>
              <w:t>平台</w:t>
            </w:r>
            <w:r>
              <w:rPr>
                <w:rFonts w:ascii="仿宋" w:hAnsi="仿宋" w:eastAsia="仿宋"/>
                <w:bCs/>
                <w:sz w:val="24"/>
              </w:rPr>
              <w:t>、信创安全操作系统及功能软件</w:t>
            </w:r>
            <w:r>
              <w:rPr>
                <w:rFonts w:hint="eastAsia" w:ascii="仿宋" w:hAnsi="仿宋" w:eastAsia="仿宋"/>
                <w:bCs/>
                <w:sz w:val="24"/>
              </w:rPr>
              <w:t>构成；</w:t>
            </w:r>
            <w:r>
              <w:rPr>
                <w:rFonts w:hint="eastAsia" w:ascii="仿宋" w:hAnsi="仿宋" w:eastAsia="仿宋"/>
                <w:bCs/>
                <w:color w:val="000000" w:themeColor="text1"/>
                <w:sz w:val="24"/>
                <w14:textFill>
                  <w14:solidFill>
                    <w14:schemeClr w14:val="tx1"/>
                  </w14:solidFill>
                </w14:textFill>
              </w:rPr>
              <w:t>（需</w:t>
            </w:r>
            <w:r>
              <w:rPr>
                <w:rFonts w:hint="default" w:ascii="仿宋" w:hAnsi="仿宋" w:eastAsia="仿宋"/>
                <w:bCs/>
                <w:color w:val="000000" w:themeColor="text1"/>
                <w:sz w:val="24"/>
                <w14:textFill>
                  <w14:solidFill>
                    <w14:schemeClr w14:val="tx1"/>
                  </w14:solidFill>
                </w14:textFill>
              </w:rPr>
              <w:t>提供承诺书</w:t>
            </w:r>
            <w:r>
              <w:rPr>
                <w:rFonts w:hint="eastAsia" w:ascii="仿宋" w:hAnsi="仿宋" w:eastAsia="仿宋"/>
                <w:bCs/>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268" w:type="dxa"/>
            <w:vAlign w:val="center"/>
          </w:tcPr>
          <w:p>
            <w:pPr>
              <w:rPr>
                <w:rFonts w:ascii="仿宋" w:hAnsi="仿宋" w:eastAsia="仿宋"/>
                <w:bCs/>
                <w:sz w:val="24"/>
              </w:rPr>
            </w:pPr>
            <w:r>
              <w:rPr>
                <w:rFonts w:hint="eastAsia" w:ascii="仿宋" w:hAnsi="仿宋" w:eastAsia="仿宋"/>
                <w:bCs/>
                <w:sz w:val="24"/>
              </w:rPr>
              <w:t>系统结构</w:t>
            </w:r>
          </w:p>
        </w:tc>
        <w:tc>
          <w:tcPr>
            <w:tcW w:w="8326" w:type="dxa"/>
            <w:vAlign w:val="center"/>
          </w:tcPr>
          <w:p>
            <w:pPr>
              <w:rPr>
                <w:rFonts w:ascii="仿宋" w:hAnsi="仿宋" w:eastAsia="仿宋"/>
                <w:bCs/>
                <w:sz w:val="24"/>
              </w:rPr>
            </w:pPr>
            <w:r>
              <w:rPr>
                <w:rFonts w:hint="eastAsia" w:ascii="仿宋" w:hAnsi="仿宋" w:eastAsia="仿宋"/>
                <w:bCs/>
                <w:sz w:val="24"/>
              </w:rPr>
              <w:t>不低于4核CPU，主频不低于1.5</w:t>
            </w:r>
            <w:r>
              <w:rPr>
                <w:rFonts w:ascii="仿宋" w:hAnsi="仿宋" w:eastAsia="仿宋"/>
                <w:bCs/>
                <w:sz w:val="24"/>
              </w:rPr>
              <w:t>MHZ</w:t>
            </w:r>
            <w:r>
              <w:rPr>
                <w:rFonts w:hint="eastAsia" w:ascii="仿宋" w:hAnsi="仿宋" w:eastAsia="仿宋"/>
                <w:bCs/>
                <w:sz w:val="24"/>
              </w:rPr>
              <w:t>，内存不低于16GB，硬盘不低于1TB；采用多核多平台并行处理特性；（提供相应资质证明），为保证</w:t>
            </w:r>
            <w:r>
              <w:rPr>
                <w:rFonts w:ascii="仿宋" w:hAnsi="仿宋" w:eastAsia="仿宋"/>
                <w:bCs/>
                <w:sz w:val="24"/>
              </w:rPr>
              <w:t>产品</w:t>
            </w:r>
            <w:r>
              <w:rPr>
                <w:rFonts w:hint="eastAsia" w:ascii="仿宋" w:hAnsi="仿宋" w:eastAsia="仿宋"/>
                <w:bCs/>
                <w:sz w:val="24"/>
              </w:rPr>
              <w:t>功能</w:t>
            </w:r>
            <w:r>
              <w:rPr>
                <w:rFonts w:ascii="仿宋" w:hAnsi="仿宋" w:eastAsia="仿宋"/>
                <w:bCs/>
                <w:sz w:val="24"/>
              </w:rPr>
              <w:t>健壮性，</w:t>
            </w:r>
            <w:r>
              <w:rPr>
                <w:rFonts w:hint="eastAsia" w:ascii="仿宋" w:hAnsi="仿宋" w:eastAsia="仿宋"/>
                <w:bCs/>
                <w:sz w:val="24"/>
              </w:rPr>
              <w:t>要求具备</w:t>
            </w:r>
            <w:r>
              <w:rPr>
                <w:rFonts w:ascii="仿宋" w:hAnsi="仿宋" w:eastAsia="仿宋"/>
                <w:bCs/>
                <w:sz w:val="24"/>
              </w:rPr>
              <w:t>产品成熟度</w:t>
            </w:r>
            <w:r>
              <w:rPr>
                <w:rFonts w:hint="eastAsia" w:ascii="仿宋" w:hAnsi="仿宋" w:eastAsia="仿宋"/>
                <w:bCs/>
                <w:sz w:val="24"/>
              </w:rPr>
              <w:t>CMMI5认证（提供</w:t>
            </w:r>
            <w:r>
              <w:rPr>
                <w:rFonts w:ascii="仿宋" w:hAnsi="仿宋" w:eastAsia="仿宋"/>
                <w:bCs/>
                <w:sz w:val="24"/>
              </w:rPr>
              <w:t>证明</w:t>
            </w:r>
            <w:r>
              <w:rPr>
                <w:rFonts w:hint="eastAsia" w:ascii="仿宋" w:hAnsi="仿宋" w:eastAsia="仿宋"/>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1268" w:type="dxa"/>
            <w:vAlign w:val="center"/>
          </w:tcPr>
          <w:p>
            <w:pPr>
              <w:rPr>
                <w:rFonts w:ascii="仿宋" w:hAnsi="仿宋" w:eastAsia="仿宋"/>
                <w:bCs/>
                <w:sz w:val="24"/>
              </w:rPr>
            </w:pPr>
            <w:r>
              <w:rPr>
                <w:rFonts w:ascii="仿宋" w:hAnsi="仿宋" w:eastAsia="仿宋"/>
                <w:bCs/>
                <w:sz w:val="24"/>
              </w:rPr>
              <w:t>★</w:t>
            </w:r>
            <w:r>
              <w:rPr>
                <w:rFonts w:hint="eastAsia" w:ascii="仿宋" w:hAnsi="仿宋" w:eastAsia="仿宋"/>
                <w:bCs/>
                <w:sz w:val="24"/>
              </w:rPr>
              <w:t>操作</w:t>
            </w:r>
            <w:r>
              <w:rPr>
                <w:rFonts w:ascii="仿宋" w:hAnsi="仿宋" w:eastAsia="仿宋"/>
                <w:bCs/>
                <w:sz w:val="24"/>
              </w:rPr>
              <w:t>系统</w:t>
            </w:r>
          </w:p>
        </w:tc>
        <w:tc>
          <w:tcPr>
            <w:tcW w:w="8326" w:type="dxa"/>
            <w:vAlign w:val="center"/>
          </w:tcPr>
          <w:p>
            <w:pPr>
              <w:rPr>
                <w:rFonts w:ascii="仿宋" w:hAnsi="仿宋" w:eastAsia="仿宋"/>
                <w:bCs/>
                <w:sz w:val="24"/>
              </w:rPr>
            </w:pPr>
            <w:r>
              <w:rPr>
                <w:rFonts w:ascii="仿宋" w:hAnsi="仿宋" w:eastAsia="仿宋"/>
                <w:bCs/>
                <w:sz w:val="24"/>
              </w:rPr>
              <w:t>安全操作系统</w:t>
            </w:r>
            <w:r>
              <w:rPr>
                <w:rFonts w:hint="eastAsia" w:ascii="仿宋" w:hAnsi="仿宋" w:eastAsia="仿宋"/>
                <w:bCs/>
                <w:sz w:val="24"/>
              </w:rPr>
              <w:t>采用</w:t>
            </w:r>
            <w:r>
              <w:rPr>
                <w:rFonts w:ascii="仿宋" w:hAnsi="仿宋" w:eastAsia="仿宋"/>
                <w:bCs/>
                <w:sz w:val="24"/>
              </w:rPr>
              <w:t>冗余设计</w:t>
            </w:r>
            <w:r>
              <w:rPr>
                <w:rFonts w:hint="eastAsia" w:ascii="仿宋" w:hAnsi="仿宋" w:eastAsia="仿宋"/>
                <w:bCs/>
                <w:sz w:val="24"/>
              </w:rPr>
              <w:t>，出于安全性考虑，多系统需在设备启动过程中进行选择不得在WEB维护界面中设置系统切换选项。为保障系统运行的可靠性与稳定性，要求信息安全设备、系统软件的开发、</w:t>
            </w:r>
            <w:r>
              <w:rPr>
                <w:rFonts w:hint="eastAsia" w:ascii="仿宋" w:hAnsi="仿宋" w:eastAsia="仿宋"/>
                <w:bCs/>
                <w:color w:val="000000" w:themeColor="text1"/>
                <w:sz w:val="24"/>
                <w14:textFill>
                  <w14:solidFill>
                    <w14:schemeClr w14:val="tx1"/>
                  </w14:solidFill>
                </w14:textFill>
              </w:rPr>
              <w:t>生产符合</w:t>
            </w:r>
            <w:r>
              <w:rPr>
                <w:rFonts w:ascii="仿宋" w:hAnsi="仿宋" w:eastAsia="仿宋"/>
                <w:bCs/>
                <w:color w:val="000000" w:themeColor="text1"/>
                <w:sz w:val="24"/>
                <w14:textFill>
                  <w14:solidFill>
                    <w14:schemeClr w14:val="tx1"/>
                  </w14:solidFill>
                </w14:textFill>
              </w:rPr>
              <w:t xml:space="preserve">TL9000-HSV </w:t>
            </w:r>
            <w:r>
              <w:rPr>
                <w:rFonts w:hint="eastAsia" w:ascii="仿宋" w:hAnsi="仿宋" w:eastAsia="仿宋"/>
                <w:bCs/>
                <w:color w:val="000000" w:themeColor="text1"/>
                <w:sz w:val="24"/>
                <w14:textFill>
                  <w14:solidFill>
                    <w14:schemeClr w14:val="tx1"/>
                  </w14:solidFill>
                </w14:textFill>
              </w:rPr>
              <w:t>R6.0/R5.5标准，提供相关证明；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1268" w:type="dxa"/>
            <w:vAlign w:val="center"/>
          </w:tcPr>
          <w:p>
            <w:pPr>
              <w:rPr>
                <w:rFonts w:ascii="仿宋" w:hAnsi="仿宋" w:eastAsia="仿宋"/>
                <w:bCs/>
                <w:sz w:val="24"/>
              </w:rPr>
            </w:pPr>
            <w:r>
              <w:rPr>
                <w:rFonts w:hint="eastAsia" w:ascii="东文宋体" w:hAnsi="东文宋体" w:eastAsia="东文宋体" w:cs="东文宋体"/>
                <w:bCs/>
              </w:rPr>
              <w:t>▲</w:t>
            </w:r>
            <w:r>
              <w:rPr>
                <w:rFonts w:hint="eastAsia" w:ascii="仿宋" w:hAnsi="仿宋" w:eastAsia="仿宋"/>
                <w:bCs/>
                <w:sz w:val="24"/>
              </w:rPr>
              <w:t>硬件信息</w:t>
            </w:r>
          </w:p>
        </w:tc>
        <w:tc>
          <w:tcPr>
            <w:tcW w:w="8326" w:type="dxa"/>
            <w:vAlign w:val="center"/>
          </w:tcPr>
          <w:p>
            <w:pPr>
              <w:rPr>
                <w:rFonts w:ascii="仿宋" w:hAnsi="仿宋" w:eastAsia="仿宋"/>
                <w:bCs/>
                <w:sz w:val="24"/>
              </w:rPr>
            </w:pPr>
            <w:r>
              <w:rPr>
                <w:rFonts w:ascii="仿宋" w:hAnsi="仿宋" w:eastAsia="仿宋"/>
                <w:bCs/>
                <w:sz w:val="24"/>
              </w:rPr>
              <w:t>2U,</w:t>
            </w:r>
            <w:r>
              <w:rPr>
                <w:rFonts w:hint="eastAsia" w:ascii="仿宋" w:hAnsi="仿宋" w:eastAsia="仿宋"/>
                <w:bCs/>
                <w:sz w:val="24"/>
              </w:rPr>
              <w:t>不少于</w:t>
            </w:r>
            <w:r>
              <w:rPr>
                <w:rFonts w:ascii="仿宋" w:hAnsi="仿宋" w:eastAsia="仿宋"/>
                <w:bCs/>
                <w:sz w:val="24"/>
              </w:rPr>
              <w:t>1个管理口、1个HA口、6个千兆电口、12个千兆光口和2个万兆光口,冗余电源,网络层吞吐量(双向)</w:t>
            </w:r>
            <w:r>
              <w:rPr>
                <w:rFonts w:hint="eastAsia" w:ascii="仿宋" w:hAnsi="仿宋" w:eastAsia="仿宋"/>
                <w:bCs/>
                <w:sz w:val="24"/>
              </w:rPr>
              <w:t>≥</w:t>
            </w:r>
            <w:r>
              <w:rPr>
                <w:rFonts w:ascii="仿宋" w:hAnsi="仿宋" w:eastAsia="仿宋"/>
                <w:bCs/>
                <w:sz w:val="24"/>
              </w:rPr>
              <w:t>15Gbps,应用层吞吐量(单向</w:t>
            </w:r>
            <w:r>
              <w:rPr>
                <w:rFonts w:hint="eastAsia" w:ascii="仿宋" w:hAnsi="仿宋" w:eastAsia="仿宋"/>
                <w:bCs/>
                <w:sz w:val="24"/>
              </w:rPr>
              <w:t>)≥</w:t>
            </w:r>
            <w:r>
              <w:rPr>
                <w:rFonts w:ascii="仿宋" w:hAnsi="仿宋" w:eastAsia="仿宋"/>
                <w:bCs/>
                <w:sz w:val="24"/>
              </w:rPr>
              <w:t>8Gbps,并发连接数</w:t>
            </w:r>
            <w:r>
              <w:rPr>
                <w:rFonts w:hint="eastAsia" w:ascii="仿宋" w:hAnsi="仿宋" w:eastAsia="仿宋"/>
                <w:bCs/>
                <w:sz w:val="24"/>
              </w:rPr>
              <w:t>≥</w:t>
            </w:r>
            <w:r>
              <w:rPr>
                <w:rFonts w:ascii="仿宋" w:hAnsi="仿宋" w:eastAsia="仿宋"/>
                <w:bCs/>
                <w:sz w:val="24"/>
              </w:rPr>
              <w:t>2000万</w:t>
            </w:r>
            <w:r>
              <w:rPr>
                <w:rFonts w:hint="eastAsia" w:ascii="仿宋" w:hAnsi="仿宋" w:eastAsia="仿宋"/>
                <w:bCs/>
                <w:sz w:val="24"/>
              </w:rPr>
              <w:t>,</w:t>
            </w:r>
            <w:r>
              <w:rPr>
                <w:rFonts w:ascii="仿宋" w:hAnsi="仿宋" w:eastAsia="仿宋"/>
                <w:bCs/>
                <w:sz w:val="24"/>
              </w:rPr>
              <w:t>包含</w:t>
            </w:r>
            <w:r>
              <w:rPr>
                <w:rFonts w:hint="eastAsia" w:ascii="仿宋" w:hAnsi="仿宋" w:eastAsia="仿宋"/>
                <w:bCs/>
                <w:sz w:val="24"/>
              </w:rPr>
              <w:t>3年I</w:t>
            </w:r>
            <w:r>
              <w:rPr>
                <w:rFonts w:ascii="仿宋" w:hAnsi="仿宋" w:eastAsia="仿宋"/>
                <w:bCs/>
                <w:sz w:val="24"/>
              </w:rPr>
              <w:t>DP</w:t>
            </w:r>
            <w:r>
              <w:rPr>
                <w:rFonts w:hint="eastAsia" w:ascii="仿宋" w:hAnsi="仿宋" w:eastAsia="仿宋"/>
                <w:bCs/>
                <w:sz w:val="24"/>
              </w:rPr>
              <w:t>攻击特征库升级许可。3年原厂保修。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68" w:type="dxa"/>
            <w:vAlign w:val="center"/>
          </w:tcPr>
          <w:p>
            <w:pPr>
              <w:rPr>
                <w:rFonts w:ascii="仿宋" w:hAnsi="仿宋" w:eastAsia="仿宋"/>
                <w:bCs/>
                <w:sz w:val="24"/>
              </w:rPr>
            </w:pPr>
            <w:r>
              <w:rPr>
                <w:rFonts w:hint="eastAsia" w:ascii="仿宋" w:hAnsi="仿宋" w:eastAsia="仿宋"/>
                <w:bCs/>
                <w:sz w:val="24"/>
              </w:rPr>
              <w:t>系统软件</w:t>
            </w:r>
          </w:p>
        </w:tc>
        <w:tc>
          <w:tcPr>
            <w:tcW w:w="8326" w:type="dxa"/>
            <w:vAlign w:val="center"/>
          </w:tcPr>
          <w:p>
            <w:pPr>
              <w:rPr>
                <w:rFonts w:ascii="仿宋" w:hAnsi="仿宋" w:eastAsia="仿宋"/>
                <w:bCs/>
                <w:sz w:val="24"/>
              </w:rPr>
            </w:pPr>
            <w:r>
              <w:rPr>
                <w:rFonts w:hint="eastAsia" w:ascii="仿宋" w:hAnsi="仿宋" w:eastAsia="仿宋"/>
                <w:bCs/>
                <w:sz w:val="24"/>
              </w:rPr>
              <w:t>为未来实际需求考虑，需支持扩展病毒防御及IPSEC VPN功能。（提供截图）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268" w:type="dxa"/>
            <w:vAlign w:val="center"/>
          </w:tcPr>
          <w:p>
            <w:pPr>
              <w:rPr>
                <w:rFonts w:ascii="仿宋" w:hAnsi="仿宋" w:eastAsia="仿宋"/>
                <w:bCs/>
                <w:sz w:val="24"/>
              </w:rPr>
            </w:pPr>
            <w:r>
              <w:rPr>
                <w:rFonts w:hint="eastAsia" w:ascii="仿宋" w:hAnsi="仿宋" w:eastAsia="仿宋"/>
                <w:bCs/>
                <w:sz w:val="24"/>
              </w:rPr>
              <w:t>工作</w:t>
            </w:r>
            <w:r>
              <w:rPr>
                <w:rFonts w:ascii="仿宋" w:hAnsi="仿宋" w:eastAsia="仿宋"/>
                <w:bCs/>
                <w:sz w:val="24"/>
              </w:rPr>
              <w:t>模式</w:t>
            </w:r>
          </w:p>
        </w:tc>
        <w:tc>
          <w:tcPr>
            <w:tcW w:w="8326" w:type="dxa"/>
            <w:vAlign w:val="center"/>
          </w:tcPr>
          <w:p>
            <w:pPr>
              <w:rPr>
                <w:rFonts w:ascii="仿宋" w:hAnsi="仿宋" w:eastAsia="仿宋"/>
                <w:bCs/>
                <w:sz w:val="24"/>
              </w:rPr>
            </w:pPr>
            <w:r>
              <w:rPr>
                <w:rFonts w:ascii="仿宋" w:hAnsi="仿宋" w:eastAsia="仿宋"/>
                <w:bCs/>
                <w:sz w:val="24"/>
              </w:rPr>
              <w:t>支持路由、交换、</w:t>
            </w:r>
            <w:r>
              <w:rPr>
                <w:rFonts w:hint="eastAsia" w:ascii="仿宋" w:hAnsi="仿宋" w:eastAsia="仿宋"/>
                <w:bCs/>
                <w:sz w:val="24"/>
              </w:rPr>
              <w:t>虚拟线、Listening、</w:t>
            </w:r>
            <w:r>
              <w:rPr>
                <w:rFonts w:ascii="仿宋" w:hAnsi="仿宋" w:eastAsia="仿宋"/>
                <w:bCs/>
                <w:sz w:val="24"/>
              </w:rPr>
              <w:t>混合工作模式</w:t>
            </w:r>
            <w:r>
              <w:rPr>
                <w:rFonts w:hint="eastAsia" w:ascii="仿宋" w:hAnsi="仿宋" w:eastAsia="仿宋"/>
                <w:bCs/>
                <w:sz w:val="24"/>
              </w:rPr>
              <w:t>；</w:t>
            </w:r>
            <w:r>
              <w:rPr>
                <w:rFonts w:ascii="仿宋" w:hAnsi="仿宋" w:eastAsia="仿宋"/>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268" w:type="dxa"/>
            <w:vAlign w:val="center"/>
          </w:tcPr>
          <w:p>
            <w:pPr>
              <w:rPr>
                <w:rFonts w:ascii="仿宋" w:hAnsi="仿宋" w:eastAsia="仿宋"/>
                <w:bCs/>
                <w:sz w:val="24"/>
              </w:rPr>
            </w:pPr>
            <w:r>
              <w:rPr>
                <w:rFonts w:hint="eastAsia" w:ascii="仿宋" w:hAnsi="仿宋" w:eastAsia="仿宋"/>
                <w:bCs/>
                <w:sz w:val="24"/>
              </w:rPr>
              <w:t>路由交换</w:t>
            </w:r>
          </w:p>
        </w:tc>
        <w:tc>
          <w:tcPr>
            <w:tcW w:w="8326" w:type="dxa"/>
            <w:vAlign w:val="center"/>
          </w:tcPr>
          <w:p>
            <w:pPr>
              <w:rPr>
                <w:rFonts w:ascii="仿宋" w:hAnsi="仿宋" w:eastAsia="仿宋"/>
                <w:bCs/>
                <w:sz w:val="24"/>
              </w:rPr>
            </w:pPr>
            <w:r>
              <w:rPr>
                <w:rFonts w:hint="eastAsia" w:ascii="仿宋" w:hAnsi="仿宋" w:eastAsia="仿宋"/>
                <w:bCs/>
                <w:sz w:val="24"/>
              </w:rPr>
              <w:t>支持RIP、OSPF、BGP4、802.1</w:t>
            </w:r>
            <w:r>
              <w:rPr>
                <w:rFonts w:ascii="仿宋" w:hAnsi="仿宋" w:eastAsia="仿宋"/>
                <w:bCs/>
                <w:sz w:val="24"/>
              </w:rPr>
              <w:t>q</w:t>
            </w:r>
            <w:r>
              <w:rPr>
                <w:rFonts w:hint="eastAsia" w:ascii="仿宋" w:hAnsi="仿宋" w:eastAsia="仿宋"/>
                <w:bCs/>
                <w:sz w:val="24"/>
              </w:rPr>
              <w:t>、QinQ；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hint="eastAsia" w:ascii="仿宋" w:hAnsi="仿宋" w:eastAsia="仿宋"/>
                <w:bCs/>
                <w:sz w:val="24"/>
              </w:rPr>
              <w:t>地址转换</w:t>
            </w:r>
          </w:p>
        </w:tc>
        <w:tc>
          <w:tcPr>
            <w:tcW w:w="83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hint="eastAsia" w:ascii="仿宋" w:hAnsi="仿宋" w:eastAsia="仿宋"/>
                <w:bCs/>
                <w:sz w:val="24"/>
              </w:rPr>
              <w:t>支持一对一SNAT、</w:t>
            </w:r>
            <w:r>
              <w:rPr>
                <w:rFonts w:ascii="仿宋" w:hAnsi="仿宋" w:eastAsia="仿宋"/>
                <w:bCs/>
                <w:sz w:val="24"/>
              </w:rPr>
              <w:t>多对一</w:t>
            </w:r>
            <w:r>
              <w:rPr>
                <w:rFonts w:hint="eastAsia" w:ascii="仿宋" w:hAnsi="仿宋" w:eastAsia="仿宋"/>
                <w:bCs/>
                <w:sz w:val="24"/>
              </w:rPr>
              <w:t>SNAT、一对一DNAT、</w:t>
            </w:r>
            <w:r>
              <w:rPr>
                <w:rFonts w:ascii="仿宋" w:hAnsi="仿宋" w:eastAsia="仿宋"/>
                <w:bCs/>
                <w:sz w:val="24"/>
              </w:rPr>
              <w:t>双向</w:t>
            </w:r>
            <w:r>
              <w:rPr>
                <w:rFonts w:hint="eastAsia" w:ascii="仿宋" w:hAnsi="仿宋" w:eastAsia="仿宋"/>
                <w:bCs/>
                <w:sz w:val="24"/>
              </w:rPr>
              <w:t>NAT、N</w:t>
            </w:r>
            <w:r>
              <w:rPr>
                <w:rFonts w:ascii="仿宋" w:hAnsi="仿宋" w:eastAsia="仿宋"/>
                <w:bCs/>
                <w:sz w:val="24"/>
              </w:rPr>
              <w:t>oNAT</w:t>
            </w:r>
            <w:r>
              <w:rPr>
                <w:rFonts w:hint="eastAsia" w:ascii="仿宋" w:hAnsi="仿宋" w:eastAsia="仿宋"/>
                <w:bCs/>
                <w:sz w:val="24"/>
              </w:rPr>
              <w:t>等</w:t>
            </w:r>
            <w:r>
              <w:rPr>
                <w:rFonts w:ascii="仿宋" w:hAnsi="仿宋" w:eastAsia="仿宋"/>
                <w:bCs/>
                <w:sz w:val="24"/>
              </w:rPr>
              <w:t>多种</w:t>
            </w:r>
            <w:r>
              <w:rPr>
                <w:rFonts w:hint="eastAsia" w:ascii="仿宋" w:hAnsi="仿宋" w:eastAsia="仿宋"/>
                <w:bCs/>
                <w:sz w:val="24"/>
              </w:rPr>
              <w:t>转换</w:t>
            </w:r>
            <w:r>
              <w:rPr>
                <w:rFonts w:ascii="仿宋" w:hAnsi="仿宋" w:eastAsia="仿宋"/>
                <w:bCs/>
                <w:sz w:val="24"/>
              </w:rPr>
              <w:t>方式</w:t>
            </w:r>
            <w:r>
              <w:rPr>
                <w:rFonts w:hint="eastAsia" w:ascii="仿宋" w:hAnsi="仿宋" w:eastAsia="仿宋"/>
                <w:bCs/>
                <w:sz w:val="24"/>
              </w:rPr>
              <w:t>；支持源IP转换同一性；</w:t>
            </w:r>
            <w:r>
              <w:rPr>
                <w:rFonts w:ascii="仿宋" w:hAnsi="仿宋" w:eastAsia="仿宋"/>
                <w:bCs/>
                <w:sz w:val="24"/>
              </w:rPr>
              <w:t>防火墙在链路高数据量情况下，可以实现防火墙网络地址转换动态负载均衡</w:t>
            </w:r>
            <w:r>
              <w:rPr>
                <w:rFonts w:hint="eastAsia" w:ascii="仿宋" w:hAnsi="仿宋" w:eastAsia="仿宋"/>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hint="eastAsia" w:ascii="仿宋" w:hAnsi="仿宋" w:eastAsia="仿宋"/>
                <w:bCs/>
                <w:sz w:val="24"/>
              </w:rPr>
              <w:t>DNS Doctoring</w:t>
            </w:r>
          </w:p>
        </w:tc>
        <w:tc>
          <w:tcPr>
            <w:tcW w:w="83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hint="eastAsia" w:ascii="仿宋" w:hAnsi="仿宋" w:eastAsia="仿宋"/>
                <w:bCs/>
                <w:sz w:val="24"/>
              </w:rPr>
              <w:t>支持DNS Doctoring功能，能够将来自内部网络的域名解析请求定向到真实内网资源，提高访问效率，同时支持通过配置多条 DNS Doctoring，实现内网资源服务器的负载均衡（提供截图）；通过提高防火墙芯片硬件加速实现防火墙快速</w:t>
            </w:r>
            <w:r>
              <w:rPr>
                <w:rFonts w:ascii="仿宋" w:hAnsi="仿宋" w:eastAsia="仿宋"/>
                <w:bCs/>
                <w:sz w:val="24"/>
              </w:rPr>
              <w:t>内容检测</w:t>
            </w:r>
            <w:r>
              <w:rPr>
                <w:rFonts w:hint="eastAsia" w:ascii="仿宋" w:hAnsi="仿宋" w:eastAsia="仿宋"/>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268" w:type="dxa"/>
            <w:vMerge w:val="restart"/>
            <w:tcBorders>
              <w:top w:val="single" w:color="auto" w:sz="4" w:space="0"/>
              <w:left w:val="single" w:color="auto" w:sz="4" w:space="0"/>
              <w:right w:val="single" w:color="auto" w:sz="4" w:space="0"/>
            </w:tcBorders>
            <w:vAlign w:val="center"/>
          </w:tcPr>
          <w:p>
            <w:pPr>
              <w:rPr>
                <w:rFonts w:ascii="仿宋" w:hAnsi="仿宋" w:eastAsia="仿宋"/>
                <w:bCs/>
                <w:sz w:val="24"/>
              </w:rPr>
            </w:pPr>
            <w:r>
              <w:rPr>
                <w:rFonts w:hint="eastAsia" w:ascii="仿宋" w:hAnsi="仿宋" w:eastAsia="仿宋"/>
                <w:bCs/>
                <w:sz w:val="24"/>
              </w:rPr>
              <w:t>访问控制</w:t>
            </w:r>
          </w:p>
        </w:tc>
        <w:tc>
          <w:tcPr>
            <w:tcW w:w="83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hint="eastAsia" w:ascii="仿宋" w:hAnsi="仿宋" w:eastAsia="仿宋"/>
                <w:bCs/>
                <w:sz w:val="24"/>
              </w:rPr>
              <w:t>支持一体化安全策略配置，可以通过一条策略实现五元组、源MAC、源地区、目的地区、域名、应用、服务、时间、长连接、并发会话、WEB认证、IPS、AV、URL过滤、邮件安全、数据过滤、文件过滤、审计、APT等功能配置,简化用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268" w:type="dxa"/>
            <w:vMerge w:val="continue"/>
            <w:tcBorders>
              <w:left w:val="single" w:color="auto" w:sz="4" w:space="0"/>
              <w:right w:val="single" w:color="auto" w:sz="4" w:space="0"/>
            </w:tcBorders>
            <w:vAlign w:val="center"/>
          </w:tcPr>
          <w:p>
            <w:pPr>
              <w:rPr>
                <w:rFonts w:ascii="仿宋" w:hAnsi="仿宋" w:eastAsia="仿宋"/>
                <w:bCs/>
                <w:sz w:val="24"/>
              </w:rPr>
            </w:pPr>
          </w:p>
        </w:tc>
        <w:tc>
          <w:tcPr>
            <w:tcW w:w="83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hint="eastAsia" w:ascii="仿宋" w:hAnsi="仿宋" w:eastAsia="仿宋"/>
                <w:bCs/>
                <w:sz w:val="24"/>
              </w:rPr>
              <w:t>访问控制策略执行动作支持允许、禁止及认证，对符合条件的流量进行Web认证，在策略中可设置用户 Web 认证的门户地址；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268" w:type="dxa"/>
            <w:vMerge w:val="continue"/>
            <w:tcBorders>
              <w:left w:val="single" w:color="auto" w:sz="4" w:space="0"/>
              <w:bottom w:val="single" w:color="auto" w:sz="4" w:space="0"/>
              <w:right w:val="single" w:color="auto" w:sz="4" w:space="0"/>
            </w:tcBorders>
            <w:vAlign w:val="center"/>
          </w:tcPr>
          <w:p>
            <w:pPr>
              <w:rPr>
                <w:rFonts w:ascii="仿宋" w:hAnsi="仿宋" w:eastAsia="仿宋"/>
                <w:bCs/>
                <w:sz w:val="24"/>
              </w:rPr>
            </w:pPr>
          </w:p>
        </w:tc>
        <w:tc>
          <w:tcPr>
            <w:tcW w:w="83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hint="eastAsia" w:ascii="仿宋" w:hAnsi="仿宋" w:eastAsia="仿宋"/>
                <w:bCs/>
                <w:sz w:val="24"/>
              </w:rPr>
              <w:t>提供策略分析功能，支持策略命中分析、策略冗余分析、策略冲突检查、策略包含分析，可在WEB界面显示检测结果；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hint="eastAsia" w:ascii="仿宋" w:hAnsi="仿宋" w:eastAsia="仿宋"/>
                <w:bCs/>
                <w:sz w:val="24"/>
              </w:rPr>
              <w:t>安全防护</w:t>
            </w:r>
          </w:p>
        </w:tc>
        <w:tc>
          <w:tcPr>
            <w:tcW w:w="83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hint="eastAsia" w:ascii="仿宋" w:hAnsi="仿宋" w:eastAsia="仿宋"/>
                <w:bCs/>
                <w:sz w:val="24"/>
              </w:rPr>
              <w:t>支持对IPv6报文进行病毒防御、入侵防御、URL过滤、抗DDOS、流量控制、连接限制、文件过滤、数据过滤等；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268" w:type="dxa"/>
            <w:vAlign w:val="center"/>
          </w:tcPr>
          <w:p>
            <w:pPr>
              <w:rPr>
                <w:rFonts w:ascii="仿宋" w:hAnsi="仿宋" w:eastAsia="仿宋"/>
                <w:bCs/>
                <w:sz w:val="24"/>
              </w:rPr>
            </w:pPr>
            <w:r>
              <w:rPr>
                <w:rFonts w:hint="eastAsia" w:ascii="仿宋" w:hAnsi="仿宋" w:eastAsia="仿宋"/>
                <w:bCs/>
                <w:sz w:val="24"/>
              </w:rPr>
              <w:t>认证方式</w:t>
            </w:r>
          </w:p>
        </w:tc>
        <w:tc>
          <w:tcPr>
            <w:tcW w:w="8326" w:type="dxa"/>
            <w:vAlign w:val="center"/>
          </w:tcPr>
          <w:p>
            <w:pPr>
              <w:rPr>
                <w:rFonts w:ascii="仿宋" w:hAnsi="仿宋" w:eastAsia="仿宋"/>
                <w:bCs/>
                <w:sz w:val="24"/>
              </w:rPr>
            </w:pPr>
            <w:r>
              <w:rPr>
                <w:rFonts w:hint="eastAsia" w:ascii="仿宋" w:hAnsi="仿宋" w:eastAsia="仿宋"/>
                <w:bCs/>
                <w:sz w:val="24"/>
              </w:rPr>
              <w:t>内置强大的用户身份管理系统，支持本地</w:t>
            </w:r>
            <w:r>
              <w:rPr>
                <w:rFonts w:ascii="仿宋" w:hAnsi="仿宋" w:eastAsia="仿宋"/>
                <w:bCs/>
                <w:sz w:val="24"/>
              </w:rPr>
              <w:t>认证、</w:t>
            </w:r>
            <w:r>
              <w:rPr>
                <w:rFonts w:hint="eastAsia" w:ascii="仿宋" w:hAnsi="仿宋" w:eastAsia="仿宋"/>
                <w:bCs/>
                <w:sz w:val="24"/>
              </w:rPr>
              <w:t>外部</w:t>
            </w:r>
            <w:r>
              <w:rPr>
                <w:rFonts w:ascii="仿宋" w:hAnsi="仿宋" w:eastAsia="仿宋"/>
                <w:bCs/>
                <w:sz w:val="24"/>
              </w:rPr>
              <w:t>认证</w:t>
            </w:r>
            <w:r>
              <w:rPr>
                <w:rFonts w:hint="eastAsia" w:ascii="仿宋" w:hAnsi="仿宋" w:eastAsia="仿宋"/>
                <w:bCs/>
                <w:sz w:val="24"/>
              </w:rPr>
              <w:t>及</w:t>
            </w:r>
            <w:r>
              <w:rPr>
                <w:rFonts w:ascii="仿宋" w:hAnsi="仿宋" w:eastAsia="仿宋"/>
                <w:bCs/>
                <w:sz w:val="24"/>
              </w:rPr>
              <w:t>免认证等方式，支持RADIUS</w:t>
            </w:r>
            <w:r>
              <w:rPr>
                <w:rFonts w:hint="eastAsia" w:ascii="仿宋" w:hAnsi="仿宋" w:eastAsia="仿宋"/>
                <w:bCs/>
                <w:sz w:val="24"/>
              </w:rPr>
              <w:t>、</w:t>
            </w:r>
            <w:r>
              <w:rPr>
                <w:rFonts w:ascii="仿宋" w:hAnsi="仿宋" w:eastAsia="仿宋"/>
                <w:bCs/>
                <w:sz w:val="24"/>
              </w:rPr>
              <w:t>LDAP</w:t>
            </w:r>
            <w:r>
              <w:rPr>
                <w:rFonts w:hint="eastAsia" w:ascii="仿宋" w:hAnsi="仿宋" w:eastAsia="仿宋"/>
                <w:bCs/>
                <w:sz w:val="24"/>
              </w:rPr>
              <w:t>、</w:t>
            </w:r>
            <w:r>
              <w:rPr>
                <w:rFonts w:ascii="仿宋" w:hAnsi="仿宋" w:eastAsia="仿宋"/>
                <w:bCs/>
                <w:sz w:val="24"/>
              </w:rPr>
              <w:t>TACACS</w:t>
            </w:r>
            <w:r>
              <w:rPr>
                <w:rFonts w:hint="eastAsia" w:ascii="仿宋" w:hAnsi="仿宋" w:eastAsia="仿宋"/>
                <w:bCs/>
                <w:sz w:val="24"/>
              </w:rPr>
              <w:t>等第三方外部认证；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268" w:type="dxa"/>
            <w:vAlign w:val="center"/>
          </w:tcPr>
          <w:p>
            <w:pPr>
              <w:rPr>
                <w:rFonts w:ascii="仿宋" w:hAnsi="仿宋" w:eastAsia="仿宋"/>
                <w:bCs/>
                <w:sz w:val="24"/>
              </w:rPr>
            </w:pPr>
            <w:r>
              <w:rPr>
                <w:rFonts w:hint="eastAsia" w:ascii="仿宋" w:hAnsi="仿宋" w:eastAsia="仿宋"/>
                <w:bCs/>
                <w:sz w:val="24"/>
              </w:rPr>
              <w:t>应用识别</w:t>
            </w:r>
          </w:p>
        </w:tc>
        <w:tc>
          <w:tcPr>
            <w:tcW w:w="8326" w:type="dxa"/>
            <w:vAlign w:val="center"/>
          </w:tcPr>
          <w:p>
            <w:pPr>
              <w:rPr>
                <w:rFonts w:ascii="仿宋" w:hAnsi="仿宋" w:eastAsia="仿宋"/>
                <w:bCs/>
                <w:sz w:val="24"/>
              </w:rPr>
            </w:pPr>
            <w:r>
              <w:rPr>
                <w:rFonts w:hint="eastAsia" w:ascii="仿宋" w:hAnsi="仿宋" w:eastAsia="仿宋"/>
                <w:bCs/>
                <w:sz w:val="24"/>
              </w:rPr>
              <w:t>支持对达梦、人大金仓等数据库应用、P2P、移动应用、迅雷加密流量、向日葵/Teamview等远程控制软件、Modbus/IEC/OPC等工控物联网协议进行识别控制，支持自定义应用特征；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268" w:type="dxa"/>
            <w:vMerge w:val="restart"/>
            <w:vAlign w:val="center"/>
          </w:tcPr>
          <w:p>
            <w:pPr>
              <w:rPr>
                <w:rFonts w:ascii="仿宋" w:hAnsi="仿宋" w:eastAsia="仿宋"/>
                <w:bCs/>
                <w:sz w:val="24"/>
              </w:rPr>
            </w:pPr>
            <w:r>
              <w:rPr>
                <w:rFonts w:hint="eastAsia" w:ascii="仿宋" w:hAnsi="仿宋" w:eastAsia="仿宋"/>
                <w:bCs/>
                <w:sz w:val="24"/>
              </w:rPr>
              <w:t>入侵防御</w:t>
            </w:r>
          </w:p>
        </w:tc>
        <w:tc>
          <w:tcPr>
            <w:tcW w:w="8326" w:type="dxa"/>
            <w:vAlign w:val="center"/>
          </w:tcPr>
          <w:p>
            <w:pPr>
              <w:rPr>
                <w:rFonts w:ascii="仿宋" w:hAnsi="仿宋" w:eastAsia="仿宋"/>
                <w:bCs/>
                <w:sz w:val="24"/>
              </w:rPr>
            </w:pPr>
            <w:r>
              <w:rPr>
                <w:rFonts w:hint="eastAsia" w:ascii="仿宋" w:hAnsi="仿宋" w:eastAsia="仿宋"/>
                <w:bCs/>
                <w:sz w:val="24"/>
              </w:rPr>
              <w:t>支持独立的入侵防护规则特征库，特征总数在5500条以上（提供截图），能对常见漏洞进行安全防护，兼容国家信息安全漏洞库（提供权威资质证明）；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268" w:type="dxa"/>
            <w:vMerge w:val="continue"/>
          </w:tcPr>
          <w:p>
            <w:pPr>
              <w:rPr>
                <w:rFonts w:ascii="仿宋" w:hAnsi="仿宋" w:eastAsia="仿宋"/>
                <w:bCs/>
                <w:sz w:val="24"/>
              </w:rPr>
            </w:pPr>
          </w:p>
        </w:tc>
        <w:tc>
          <w:tcPr>
            <w:tcW w:w="8326" w:type="dxa"/>
            <w:vAlign w:val="center"/>
          </w:tcPr>
          <w:p>
            <w:pPr>
              <w:rPr>
                <w:rFonts w:ascii="仿宋" w:hAnsi="仿宋" w:eastAsia="仿宋"/>
                <w:bCs/>
                <w:sz w:val="24"/>
              </w:rPr>
            </w:pPr>
            <w:r>
              <w:rPr>
                <w:rFonts w:hint="eastAsia" w:ascii="仿宋" w:hAnsi="仿宋" w:eastAsia="仿宋"/>
                <w:bCs/>
                <w:sz w:val="24"/>
              </w:rPr>
              <w:t>厂商需具备强大的漏洞和攻防研究能力，为CNNVD一级支撑单位和CNVD技术组成员（提供证明材料），能够确保每周至少更新1次攻击特征库；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268" w:type="dxa"/>
            <w:vAlign w:val="center"/>
          </w:tcPr>
          <w:p>
            <w:pPr>
              <w:rPr>
                <w:rFonts w:ascii="仿宋" w:hAnsi="仿宋" w:eastAsia="仿宋"/>
                <w:bCs/>
                <w:sz w:val="24"/>
              </w:rPr>
            </w:pPr>
            <w:r>
              <w:rPr>
                <w:rFonts w:hint="eastAsia" w:ascii="仿宋" w:hAnsi="仿宋" w:eastAsia="仿宋"/>
                <w:bCs/>
                <w:sz w:val="24"/>
              </w:rPr>
              <w:t>行为分析</w:t>
            </w:r>
          </w:p>
        </w:tc>
        <w:tc>
          <w:tcPr>
            <w:tcW w:w="8326" w:type="dxa"/>
            <w:vAlign w:val="center"/>
          </w:tcPr>
          <w:p>
            <w:pPr>
              <w:rPr>
                <w:rFonts w:ascii="仿宋" w:hAnsi="仿宋" w:eastAsia="仿宋"/>
                <w:bCs/>
                <w:sz w:val="24"/>
              </w:rPr>
            </w:pPr>
            <w:r>
              <w:rPr>
                <w:rFonts w:hint="eastAsia" w:ascii="仿宋" w:hAnsi="仿宋" w:eastAsia="仿宋"/>
                <w:bCs/>
                <w:sz w:val="24"/>
              </w:rPr>
              <w:t>内置行为分析功能，对会话、流量等数据进行统计分析，建立业务行为基线，对异常行为进行告警；支持行为分析监控展示，可展示不同行为分析策略的实时数据和基线数据趋势；</w:t>
            </w:r>
            <w:r>
              <w:rPr>
                <w:rFonts w:ascii="仿宋" w:hAnsi="仿宋" w:eastAsia="仿宋"/>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268" w:type="dxa"/>
            <w:vMerge w:val="restart"/>
            <w:tcBorders>
              <w:top w:val="single" w:color="auto" w:sz="4" w:space="0"/>
              <w:left w:val="single" w:color="auto" w:sz="4" w:space="0"/>
              <w:right w:val="single" w:color="auto" w:sz="4" w:space="0"/>
            </w:tcBorders>
            <w:vAlign w:val="center"/>
          </w:tcPr>
          <w:p>
            <w:pPr>
              <w:rPr>
                <w:rFonts w:ascii="仿宋" w:hAnsi="仿宋" w:eastAsia="仿宋"/>
                <w:bCs/>
                <w:sz w:val="24"/>
              </w:rPr>
            </w:pPr>
            <w:r>
              <w:rPr>
                <w:rFonts w:hint="eastAsia" w:ascii="仿宋" w:hAnsi="仿宋" w:eastAsia="仿宋"/>
                <w:bCs/>
                <w:sz w:val="24"/>
              </w:rPr>
              <w:t>DDOS防御</w:t>
            </w:r>
          </w:p>
        </w:tc>
        <w:tc>
          <w:tcPr>
            <w:tcW w:w="83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hint="eastAsia" w:ascii="仿宋" w:hAnsi="仿宋" w:eastAsia="仿宋"/>
                <w:bCs/>
                <w:sz w:val="24"/>
              </w:rPr>
              <w:t>支持针对IP、ICMP、TCP、UDP、DNS、HTTP、NTP等协议进行DDOS防护；</w:t>
            </w:r>
            <w:r>
              <w:rPr>
                <w:rFonts w:ascii="仿宋" w:hAnsi="仿宋" w:eastAsia="仿宋"/>
                <w:bCs/>
                <w:sz w:val="24"/>
              </w:rPr>
              <w:t>支持</w:t>
            </w:r>
            <w:r>
              <w:rPr>
                <w:rFonts w:hint="eastAsia" w:ascii="仿宋" w:hAnsi="仿宋" w:eastAsia="仿宋"/>
                <w:bCs/>
                <w:sz w:val="24"/>
              </w:rPr>
              <w:t>预定义和自定义策略</w:t>
            </w:r>
            <w:r>
              <w:rPr>
                <w:rFonts w:ascii="仿宋" w:hAnsi="仿宋" w:eastAsia="仿宋"/>
                <w:bCs/>
                <w:sz w:val="24"/>
              </w:rPr>
              <w:t xml:space="preserve">模板；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268" w:type="dxa"/>
            <w:vMerge w:val="continue"/>
            <w:tcBorders>
              <w:left w:val="single" w:color="auto" w:sz="4" w:space="0"/>
              <w:right w:val="single" w:color="auto" w:sz="4" w:space="0"/>
            </w:tcBorders>
            <w:vAlign w:val="center"/>
          </w:tcPr>
          <w:p>
            <w:pPr>
              <w:rPr>
                <w:rFonts w:ascii="仿宋" w:hAnsi="仿宋" w:eastAsia="仿宋"/>
                <w:bCs/>
                <w:sz w:val="24"/>
              </w:rPr>
            </w:pPr>
          </w:p>
        </w:tc>
        <w:tc>
          <w:tcPr>
            <w:tcW w:w="83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hint="eastAsia" w:ascii="仿宋" w:hAnsi="仿宋" w:eastAsia="仿宋"/>
                <w:bCs/>
                <w:sz w:val="24"/>
              </w:rPr>
              <w:t>支持DNS DDOS防护，可对</w:t>
            </w:r>
            <w:r>
              <w:rPr>
                <w:rFonts w:ascii="仿宋" w:hAnsi="仿宋" w:eastAsia="仿宋"/>
                <w:bCs/>
                <w:sz w:val="24"/>
              </w:rPr>
              <w:t>DNS QUERY FLOOD</w:t>
            </w:r>
            <w:r>
              <w:rPr>
                <w:rFonts w:hint="eastAsia" w:ascii="仿宋" w:hAnsi="仿宋" w:eastAsia="仿宋"/>
                <w:bCs/>
                <w:sz w:val="24"/>
              </w:rPr>
              <w:t>、</w:t>
            </w:r>
            <w:r>
              <w:rPr>
                <w:rFonts w:ascii="仿宋" w:hAnsi="仿宋" w:eastAsia="仿宋"/>
                <w:bCs/>
                <w:sz w:val="24"/>
              </w:rPr>
              <w:t>DNS REPLY FLOOD</w:t>
            </w:r>
            <w:r>
              <w:rPr>
                <w:rFonts w:hint="eastAsia" w:ascii="仿宋" w:hAnsi="仿宋" w:eastAsia="仿宋"/>
                <w:bCs/>
                <w:sz w:val="24"/>
              </w:rPr>
              <w:t>、DNS投毒攻击、DNS格式检查、DNS NX异常比率检测等</w:t>
            </w:r>
            <w:r>
              <w:rPr>
                <w:rFonts w:ascii="仿宋" w:hAnsi="仿宋" w:eastAsia="仿宋"/>
                <w:bCs/>
                <w:sz w:val="24"/>
              </w:rPr>
              <w:t>；</w:t>
            </w:r>
            <w:r>
              <w:rPr>
                <w:rFonts w:hint="eastAsia" w:ascii="仿宋" w:hAnsi="仿宋" w:eastAsia="仿宋"/>
                <w:bCs/>
                <w:sz w:val="24"/>
              </w:rPr>
              <w:t>支持DNS QUERY源认证、</w:t>
            </w:r>
            <w:r>
              <w:rPr>
                <w:rFonts w:ascii="仿宋" w:hAnsi="仿宋" w:eastAsia="仿宋"/>
                <w:bCs/>
                <w:sz w:val="24"/>
              </w:rPr>
              <w:t>DNS REPLY</w:t>
            </w:r>
            <w:r>
              <w:rPr>
                <w:rFonts w:hint="eastAsia" w:ascii="仿宋" w:hAnsi="仿宋" w:eastAsia="仿宋"/>
                <w:bCs/>
                <w:sz w:val="24"/>
              </w:rPr>
              <w:t>源认证&amp;源限速&amp;目的限速&amp;域名限速等多种手提供段综合防护</w:t>
            </w:r>
            <w:r>
              <w:rPr>
                <w:rFonts w:ascii="仿宋" w:hAnsi="仿宋" w:eastAsia="仿宋"/>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268" w:type="dxa"/>
            <w:vMerge w:val="continue"/>
            <w:tcBorders>
              <w:left w:val="single" w:color="auto" w:sz="4" w:space="0"/>
              <w:bottom w:val="single" w:color="auto" w:sz="4" w:space="0"/>
              <w:right w:val="single" w:color="auto" w:sz="4" w:space="0"/>
            </w:tcBorders>
            <w:vAlign w:val="center"/>
          </w:tcPr>
          <w:p>
            <w:pPr>
              <w:rPr>
                <w:rFonts w:ascii="仿宋" w:hAnsi="仿宋" w:eastAsia="仿宋"/>
                <w:bCs/>
                <w:sz w:val="24"/>
              </w:rPr>
            </w:pPr>
          </w:p>
        </w:tc>
        <w:tc>
          <w:tcPr>
            <w:tcW w:w="83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hint="eastAsia" w:ascii="仿宋" w:hAnsi="仿宋" w:eastAsia="仿宋"/>
                <w:bCs/>
                <w:sz w:val="24"/>
              </w:rPr>
              <w:t>支持HTTP DDOS防护，可对</w:t>
            </w:r>
            <w:r>
              <w:rPr>
                <w:rFonts w:ascii="仿宋" w:hAnsi="仿宋" w:eastAsia="仿宋"/>
                <w:bCs/>
                <w:sz w:val="24"/>
              </w:rPr>
              <w:t>HTTP Flood</w:t>
            </w:r>
            <w:r>
              <w:rPr>
                <w:rFonts w:hint="eastAsia" w:ascii="仿宋" w:hAnsi="仿宋" w:eastAsia="仿宋"/>
                <w:bCs/>
                <w:sz w:val="24"/>
              </w:rPr>
              <w:t>、HTTP新建连接Flood、HTTP并发连接Flood、HTTP URI CC等攻击检测，同时</w:t>
            </w:r>
            <w:r>
              <w:rPr>
                <w:rFonts w:ascii="仿宋" w:hAnsi="仿宋" w:eastAsia="仿宋"/>
                <w:bCs/>
                <w:sz w:val="24"/>
              </w:rPr>
              <w:t>支持</w:t>
            </w:r>
            <w:r>
              <w:rPr>
                <w:rFonts w:hint="eastAsia" w:ascii="仿宋" w:hAnsi="仿宋" w:eastAsia="仿宋"/>
                <w:bCs/>
                <w:sz w:val="24"/>
              </w:rPr>
              <w:t>对HTTP slow-header和HTTP slow-post设置</w:t>
            </w:r>
            <w:r>
              <w:rPr>
                <w:rFonts w:ascii="仿宋" w:hAnsi="仿宋" w:eastAsia="仿宋"/>
                <w:bCs/>
                <w:sz w:val="24"/>
              </w:rPr>
              <w:t>最大传输</w:t>
            </w:r>
            <w:r>
              <w:rPr>
                <w:rFonts w:hint="eastAsia" w:ascii="仿宋" w:hAnsi="仿宋" w:eastAsia="仿宋"/>
                <w:bCs/>
                <w:sz w:val="24"/>
              </w:rPr>
              <w:t>时间</w:t>
            </w:r>
            <w:r>
              <w:rPr>
                <w:rFonts w:ascii="仿宋" w:hAnsi="仿宋" w:eastAsia="仿宋"/>
                <w:bCs/>
                <w:sz w:val="24"/>
              </w:rPr>
              <w:t>以及</w:t>
            </w:r>
            <w:r>
              <w:rPr>
                <w:rFonts w:hint="eastAsia" w:ascii="仿宋" w:hAnsi="仿宋" w:eastAsia="仿宋"/>
                <w:bCs/>
                <w:sz w:val="24"/>
              </w:rPr>
              <w:t>异常</w:t>
            </w:r>
            <w:r>
              <w:rPr>
                <w:rFonts w:ascii="仿宋" w:hAnsi="仿宋" w:eastAsia="仿宋"/>
                <w:bCs/>
                <w:sz w:val="24"/>
              </w:rPr>
              <w:t>会话数</w:t>
            </w:r>
            <w:r>
              <w:rPr>
                <w:rFonts w:hint="eastAsia" w:ascii="仿宋" w:hAnsi="仿宋" w:eastAsia="仿宋"/>
                <w:bCs/>
                <w:sz w:val="24"/>
              </w:rPr>
              <w:t>阈值</w:t>
            </w:r>
            <w:r>
              <w:rPr>
                <w:rFonts w:ascii="仿宋" w:hAnsi="仿宋" w:eastAsia="仿宋"/>
                <w:bCs/>
                <w:sz w:val="24"/>
              </w:rPr>
              <w:t>，</w:t>
            </w:r>
            <w:r>
              <w:rPr>
                <w:rFonts w:hint="eastAsia" w:ascii="仿宋" w:hAnsi="仿宋" w:eastAsia="仿宋"/>
                <w:bCs/>
                <w:sz w:val="24"/>
              </w:rPr>
              <w:t>有效</w:t>
            </w:r>
            <w:r>
              <w:rPr>
                <w:rFonts w:ascii="仿宋" w:hAnsi="仿宋" w:eastAsia="仿宋"/>
                <w:bCs/>
                <w:sz w:val="24"/>
              </w:rPr>
              <w:t>防御慢速攻击；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hint="eastAsia" w:ascii="仿宋" w:hAnsi="仿宋" w:eastAsia="仿宋"/>
                <w:bCs/>
                <w:sz w:val="24"/>
              </w:rPr>
              <w:t>病毒过滤</w:t>
            </w:r>
          </w:p>
        </w:tc>
        <w:tc>
          <w:tcPr>
            <w:tcW w:w="83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hint="eastAsia" w:ascii="仿宋" w:hAnsi="仿宋" w:eastAsia="仿宋"/>
                <w:bCs/>
                <w:sz w:val="24"/>
              </w:rPr>
              <w:t>支持对HTTP/SMTP/POP3/FTP/IM等协议进行病毒防御，病毒特征库规模超过200万；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hint="eastAsia" w:ascii="仿宋" w:hAnsi="仿宋" w:eastAsia="仿宋"/>
                <w:bCs/>
                <w:sz w:val="24"/>
              </w:rPr>
              <w:t>URL过滤</w:t>
            </w:r>
          </w:p>
        </w:tc>
        <w:tc>
          <w:tcPr>
            <w:tcW w:w="83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hint="eastAsia" w:ascii="仿宋" w:hAnsi="仿宋" w:eastAsia="仿宋"/>
                <w:bCs/>
                <w:sz w:val="24"/>
              </w:rPr>
              <w:t>支持超过80类、1000万的URL地址分类库，用户可对搜索引擎、微博、网购、求职、婚恋、娱乐、恶意网站、赌博、色情、反动、暴力、迷信等网站进行全面管控；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hint="eastAsia" w:ascii="仿宋" w:hAnsi="仿宋" w:eastAsia="仿宋"/>
                <w:bCs/>
                <w:sz w:val="24"/>
              </w:rPr>
              <w:t>文件过滤</w:t>
            </w:r>
          </w:p>
        </w:tc>
        <w:tc>
          <w:tcPr>
            <w:tcW w:w="83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hint="eastAsia" w:ascii="仿宋" w:hAnsi="仿宋" w:eastAsia="仿宋"/>
                <w:bCs/>
                <w:sz w:val="24"/>
              </w:rPr>
              <w:t>内置文件过滤引擎，支持对即时</w:t>
            </w:r>
            <w:r>
              <w:rPr>
                <w:rFonts w:ascii="仿宋" w:hAnsi="仿宋" w:eastAsia="仿宋"/>
                <w:bCs/>
                <w:sz w:val="24"/>
              </w:rPr>
              <w:t>通讯、</w:t>
            </w:r>
            <w:r>
              <w:rPr>
                <w:rFonts w:hint="eastAsia" w:ascii="仿宋" w:hAnsi="仿宋" w:eastAsia="仿宋"/>
                <w:bCs/>
                <w:sz w:val="24"/>
              </w:rPr>
              <w:t>社交网络</w:t>
            </w:r>
            <w:r>
              <w:rPr>
                <w:rFonts w:ascii="仿宋" w:hAnsi="仿宋" w:eastAsia="仿宋"/>
                <w:bCs/>
                <w:sz w:val="24"/>
              </w:rPr>
              <w:t>、</w:t>
            </w:r>
            <w:r>
              <w:rPr>
                <w:rFonts w:hint="eastAsia" w:ascii="仿宋" w:hAnsi="仿宋" w:eastAsia="仿宋"/>
                <w:bCs/>
                <w:sz w:val="24"/>
              </w:rPr>
              <w:t>网络</w:t>
            </w:r>
            <w:r>
              <w:rPr>
                <w:rFonts w:ascii="仿宋" w:hAnsi="仿宋" w:eastAsia="仿宋"/>
                <w:bCs/>
                <w:sz w:val="24"/>
              </w:rPr>
              <w:t>硬盘</w:t>
            </w:r>
            <w:r>
              <w:rPr>
                <w:rFonts w:hint="eastAsia" w:ascii="仿宋" w:hAnsi="仿宋" w:eastAsia="仿宋"/>
                <w:bCs/>
                <w:sz w:val="24"/>
              </w:rPr>
              <w:t>、网页</w:t>
            </w:r>
            <w:r>
              <w:rPr>
                <w:rFonts w:ascii="仿宋" w:hAnsi="仿宋" w:eastAsia="仿宋"/>
                <w:bCs/>
                <w:sz w:val="24"/>
              </w:rPr>
              <w:t>邮箱、</w:t>
            </w:r>
            <w:r>
              <w:rPr>
                <w:rFonts w:hint="eastAsia" w:ascii="仿宋" w:hAnsi="仿宋" w:eastAsia="仿宋"/>
                <w:bCs/>
                <w:sz w:val="24"/>
              </w:rPr>
              <w:t>IM文件</w:t>
            </w:r>
            <w:r>
              <w:rPr>
                <w:rFonts w:ascii="仿宋" w:hAnsi="仿宋" w:eastAsia="仿宋"/>
                <w:bCs/>
                <w:sz w:val="24"/>
              </w:rPr>
              <w:t>传输等应用类型以及HTTP/FTP/SMTP/POP3</w:t>
            </w:r>
            <w:r>
              <w:rPr>
                <w:rFonts w:hint="eastAsia" w:ascii="仿宋" w:hAnsi="仿宋" w:eastAsia="仿宋"/>
                <w:bCs/>
                <w:sz w:val="24"/>
              </w:rPr>
              <w:t>等标准协议进行</w:t>
            </w:r>
            <w:r>
              <w:rPr>
                <w:rFonts w:ascii="仿宋" w:hAnsi="仿宋" w:eastAsia="仿宋"/>
                <w:bCs/>
                <w:sz w:val="24"/>
              </w:rPr>
              <w:t>检测，</w:t>
            </w:r>
            <w:r>
              <w:rPr>
                <w:rFonts w:hint="eastAsia" w:ascii="仿宋" w:hAnsi="仿宋" w:eastAsia="仿宋"/>
                <w:bCs/>
                <w:sz w:val="24"/>
              </w:rPr>
              <w:t>识别可执行</w:t>
            </w:r>
            <w:r>
              <w:rPr>
                <w:rFonts w:ascii="仿宋" w:hAnsi="仿宋" w:eastAsia="仿宋"/>
                <w:bCs/>
                <w:sz w:val="24"/>
              </w:rPr>
              <w:t>文件、office文件、</w:t>
            </w:r>
            <w:r>
              <w:rPr>
                <w:rFonts w:hint="eastAsia" w:ascii="仿宋" w:hAnsi="仿宋" w:eastAsia="仿宋"/>
                <w:bCs/>
                <w:sz w:val="24"/>
              </w:rPr>
              <w:t>视频文件</w:t>
            </w:r>
            <w:r>
              <w:rPr>
                <w:rFonts w:ascii="仿宋" w:hAnsi="仿宋" w:eastAsia="仿宋"/>
                <w:bCs/>
                <w:sz w:val="24"/>
              </w:rPr>
              <w:t>、图片文件、</w:t>
            </w:r>
            <w:r>
              <w:rPr>
                <w:rFonts w:hint="eastAsia" w:ascii="仿宋" w:hAnsi="仿宋" w:eastAsia="仿宋"/>
                <w:bCs/>
                <w:sz w:val="24"/>
              </w:rPr>
              <w:t>帮助</w:t>
            </w:r>
            <w:r>
              <w:rPr>
                <w:rFonts w:ascii="仿宋" w:hAnsi="仿宋" w:eastAsia="仿宋"/>
                <w:bCs/>
                <w:sz w:val="24"/>
              </w:rPr>
              <w:t>文件、</w:t>
            </w:r>
            <w:r>
              <w:rPr>
                <w:rFonts w:hint="eastAsia" w:ascii="仿宋" w:hAnsi="仿宋" w:eastAsia="仿宋"/>
                <w:bCs/>
                <w:sz w:val="24"/>
              </w:rPr>
              <w:t>压缩</w:t>
            </w:r>
            <w:r>
              <w:rPr>
                <w:rFonts w:ascii="仿宋" w:hAnsi="仿宋" w:eastAsia="仿宋"/>
                <w:bCs/>
                <w:sz w:val="24"/>
              </w:rPr>
              <w:t>文件、</w:t>
            </w:r>
            <w:r>
              <w:rPr>
                <w:rFonts w:hint="eastAsia" w:ascii="仿宋" w:hAnsi="仿宋" w:eastAsia="仿宋"/>
                <w:bCs/>
                <w:sz w:val="24"/>
              </w:rPr>
              <w:t>数据</w:t>
            </w:r>
            <w:r>
              <w:rPr>
                <w:rFonts w:ascii="仿宋" w:hAnsi="仿宋" w:eastAsia="仿宋"/>
                <w:bCs/>
                <w:sz w:val="24"/>
              </w:rPr>
              <w:t>文件</w:t>
            </w:r>
            <w:r>
              <w:rPr>
                <w:rFonts w:hint="eastAsia" w:ascii="仿宋" w:hAnsi="仿宋" w:eastAsia="仿宋"/>
                <w:bCs/>
                <w:sz w:val="24"/>
              </w:rPr>
              <w:t>等超过50种文档类型的文件过滤；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hint="eastAsia" w:ascii="仿宋" w:hAnsi="仿宋" w:eastAsia="仿宋"/>
                <w:bCs/>
                <w:sz w:val="24"/>
              </w:rPr>
              <w:t>内容过滤</w:t>
            </w:r>
          </w:p>
        </w:tc>
        <w:tc>
          <w:tcPr>
            <w:tcW w:w="83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hint="eastAsia" w:ascii="仿宋" w:hAnsi="仿宋" w:eastAsia="仿宋"/>
                <w:bCs/>
                <w:sz w:val="24"/>
              </w:rPr>
              <w:t>内置内容过滤功能，支持基于HTTP、FTP、TELNET、SNMP、POP3、IMAP等协议的内容过滤策略；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hint="eastAsia" w:ascii="仿宋" w:hAnsi="仿宋" w:eastAsia="仿宋"/>
                <w:bCs/>
                <w:sz w:val="24"/>
              </w:rPr>
              <w:t>邮件安全</w:t>
            </w:r>
          </w:p>
        </w:tc>
        <w:tc>
          <w:tcPr>
            <w:tcW w:w="83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hint="eastAsia" w:ascii="仿宋" w:hAnsi="仿宋" w:eastAsia="仿宋"/>
                <w:bCs/>
                <w:sz w:val="24"/>
              </w:rPr>
              <w:t>内置邮件安全防护功能，支持邮件过滤、邮箱防暴力破解、邮件泛洪攻击防护、邮件黑、白名单检测；</w:t>
            </w:r>
            <w:r>
              <w:rPr>
                <w:rFonts w:ascii="仿宋" w:hAnsi="仿宋" w:eastAsia="仿宋"/>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hint="eastAsia" w:ascii="仿宋" w:hAnsi="仿宋" w:eastAsia="仿宋"/>
                <w:bCs/>
                <w:sz w:val="24"/>
              </w:rPr>
              <w:t>审计</w:t>
            </w:r>
          </w:p>
        </w:tc>
        <w:tc>
          <w:tcPr>
            <w:tcW w:w="83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hint="eastAsia" w:ascii="仿宋" w:hAnsi="仿宋" w:eastAsia="仿宋"/>
                <w:bCs/>
                <w:sz w:val="24"/>
              </w:rPr>
              <w:t>提供完善的审计数据查询功能，方便管理员对用户的上网行为进行审查和分析。支持对用户上网行为进行完整的审计数据查询，包括访问网站、邮件收发、FTP等；（提供截图）同时支持对用户上网流量时长进行完整的审计数据查询，包括服务端IP、用户名、协议、上行流量、下行流量、总流量、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hint="eastAsia" w:ascii="仿宋" w:hAnsi="仿宋" w:eastAsia="仿宋"/>
                <w:bCs/>
                <w:sz w:val="24"/>
              </w:rPr>
              <w:t>设备状态</w:t>
            </w:r>
          </w:p>
        </w:tc>
        <w:tc>
          <w:tcPr>
            <w:tcW w:w="83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hint="eastAsia" w:ascii="仿宋" w:hAnsi="仿宋" w:eastAsia="仿宋"/>
                <w:bCs/>
                <w:sz w:val="24"/>
              </w:rPr>
              <w:t>支持CPU利用率、内存利用率、磁盘利用率、会话数告警及CPU利用率、内存利用率、磁盘利用率等硬件资源实时利用率及其历史使用情况追踪；（提供截图）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hint="eastAsia" w:ascii="仿宋" w:hAnsi="仿宋" w:eastAsia="仿宋"/>
                <w:bCs/>
                <w:sz w:val="24"/>
              </w:rPr>
              <w:t>威胁统计</w:t>
            </w:r>
          </w:p>
        </w:tc>
        <w:tc>
          <w:tcPr>
            <w:tcW w:w="83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hint="eastAsia" w:ascii="仿宋" w:hAnsi="仿宋" w:eastAsia="仿宋"/>
                <w:bCs/>
                <w:sz w:val="24"/>
              </w:rPr>
              <w:t>支持对病毒防御、入侵防御、DDOS攻击等按照威胁类型/攻击主机/受攻击主机三种维度结合威胁等级和时间周期进行统计、排名。（提供截图）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hint="eastAsia" w:ascii="仿宋" w:hAnsi="仿宋" w:eastAsia="仿宋"/>
                <w:bCs/>
                <w:sz w:val="24"/>
              </w:rPr>
              <w:t>三权分立</w:t>
            </w:r>
          </w:p>
        </w:tc>
        <w:tc>
          <w:tcPr>
            <w:tcW w:w="83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ascii="仿宋" w:hAnsi="仿宋" w:eastAsia="仿宋"/>
                <w:bCs/>
                <w:sz w:val="24"/>
              </w:rPr>
              <w:t>系统内置系统管理员、安全操作员和安全审计员三类管理员角色，管理员权限相互制约；（提供截图）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1268" w:type="dxa"/>
            <w:vMerge w:val="restart"/>
            <w:tcBorders>
              <w:top w:val="single" w:color="auto" w:sz="4" w:space="0"/>
              <w:left w:val="single" w:color="auto" w:sz="4" w:space="0"/>
              <w:right w:val="single" w:color="auto" w:sz="4" w:space="0"/>
            </w:tcBorders>
            <w:vAlign w:val="center"/>
          </w:tcPr>
          <w:p>
            <w:pPr>
              <w:rPr>
                <w:rFonts w:ascii="仿宋" w:hAnsi="仿宋" w:eastAsia="仿宋"/>
                <w:bCs/>
                <w:sz w:val="24"/>
              </w:rPr>
            </w:pPr>
            <w:r>
              <w:rPr>
                <w:rFonts w:hint="eastAsia" w:ascii="东文宋体" w:hAnsi="东文宋体" w:eastAsia="东文宋体" w:cs="东文宋体"/>
                <w:bCs/>
              </w:rPr>
              <w:t>▲</w:t>
            </w:r>
            <w:r>
              <w:rPr>
                <w:rFonts w:hint="eastAsia" w:ascii="仿宋" w:hAnsi="仿宋" w:eastAsia="仿宋"/>
                <w:bCs/>
                <w:sz w:val="24"/>
              </w:rPr>
              <w:t>资质</w:t>
            </w:r>
          </w:p>
        </w:tc>
        <w:tc>
          <w:tcPr>
            <w:tcW w:w="83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hint="eastAsia" w:ascii="仿宋" w:hAnsi="仿宋" w:eastAsia="仿宋"/>
                <w:bCs/>
                <w:sz w:val="24"/>
              </w:rPr>
              <w:t>计算机信息系统安全专用产品销售许可证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268" w:type="dxa"/>
            <w:vMerge w:val="continue"/>
            <w:tcBorders>
              <w:left w:val="single" w:color="auto" w:sz="4" w:space="0"/>
              <w:right w:val="single" w:color="auto" w:sz="4" w:space="0"/>
            </w:tcBorders>
            <w:vAlign w:val="center"/>
          </w:tcPr>
          <w:p>
            <w:pPr>
              <w:rPr>
                <w:rFonts w:ascii="仿宋" w:hAnsi="仿宋" w:eastAsia="仿宋"/>
                <w:bCs/>
                <w:sz w:val="24"/>
              </w:rPr>
            </w:pPr>
          </w:p>
        </w:tc>
        <w:tc>
          <w:tcPr>
            <w:tcW w:w="83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hint="eastAsia" w:ascii="仿宋" w:hAnsi="仿宋" w:eastAsia="仿宋"/>
                <w:bCs/>
                <w:sz w:val="24"/>
              </w:rPr>
              <w:t>计算机软件著作权登记证书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268" w:type="dxa"/>
            <w:vMerge w:val="continue"/>
            <w:tcBorders>
              <w:left w:val="single" w:color="auto" w:sz="4" w:space="0"/>
              <w:right w:val="single" w:color="auto" w:sz="4" w:space="0"/>
            </w:tcBorders>
            <w:vAlign w:val="center"/>
          </w:tcPr>
          <w:p>
            <w:pPr>
              <w:rPr>
                <w:rFonts w:ascii="仿宋" w:hAnsi="仿宋" w:eastAsia="仿宋"/>
                <w:bCs/>
                <w:sz w:val="24"/>
              </w:rPr>
            </w:pPr>
          </w:p>
        </w:tc>
        <w:tc>
          <w:tcPr>
            <w:tcW w:w="83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hint="eastAsia" w:ascii="仿宋" w:hAnsi="仿宋" w:eastAsia="仿宋"/>
                <w:bCs/>
                <w:sz w:val="24"/>
              </w:rPr>
              <w:t>具备涉及国家秘密的计算机信息系统集成资质证书（甲级）要求可开展的业务类型必须包括系统集成、软件开发、运行维护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268" w:type="dxa"/>
            <w:vMerge w:val="continue"/>
            <w:tcBorders>
              <w:left w:val="single" w:color="auto" w:sz="4" w:space="0"/>
              <w:right w:val="single" w:color="auto" w:sz="4" w:space="0"/>
            </w:tcBorders>
            <w:vAlign w:val="center"/>
          </w:tcPr>
          <w:p>
            <w:pPr>
              <w:rPr>
                <w:rFonts w:ascii="仿宋" w:hAnsi="仿宋" w:eastAsia="仿宋"/>
                <w:bCs/>
                <w:sz w:val="24"/>
              </w:rPr>
            </w:pPr>
          </w:p>
        </w:tc>
        <w:tc>
          <w:tcPr>
            <w:tcW w:w="83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hint="eastAsia" w:ascii="仿宋" w:hAnsi="仿宋" w:eastAsia="仿宋"/>
                <w:bCs/>
                <w:sz w:val="24"/>
              </w:rPr>
              <w:t>属于国家级应急服务支撑单位；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268" w:type="dxa"/>
            <w:vMerge w:val="continue"/>
            <w:tcBorders>
              <w:left w:val="single" w:color="auto" w:sz="4" w:space="0"/>
              <w:bottom w:val="single" w:color="auto" w:sz="4" w:space="0"/>
              <w:right w:val="single" w:color="auto" w:sz="4" w:space="0"/>
            </w:tcBorders>
            <w:vAlign w:val="center"/>
          </w:tcPr>
          <w:p>
            <w:pPr>
              <w:rPr>
                <w:rFonts w:ascii="仿宋" w:hAnsi="仿宋" w:eastAsia="仿宋"/>
                <w:bCs/>
                <w:sz w:val="24"/>
              </w:rPr>
            </w:pPr>
          </w:p>
        </w:tc>
        <w:tc>
          <w:tcPr>
            <w:tcW w:w="83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hint="eastAsia" w:ascii="仿宋" w:hAnsi="仿宋" w:eastAsia="仿宋"/>
                <w:bCs/>
                <w:sz w:val="24"/>
              </w:rPr>
              <w:t>具备足够的信息安全服务技术实力及安全服务保障能力，获得中国信息安全测评中心颁发的信息安全服务安全开发类一级及安全工程类三级资质证书；</w:t>
            </w:r>
          </w:p>
        </w:tc>
      </w:tr>
    </w:tbl>
    <w:p/>
    <w:p>
      <w:pPr>
        <w:pStyle w:val="2"/>
        <w:ind w:firstLine="210"/>
      </w:pPr>
    </w:p>
    <w:p>
      <w:pPr>
        <w:pStyle w:val="2"/>
        <w:ind w:firstLine="0" w:firstLineChars="0"/>
        <w:rPr>
          <w:rFonts w:ascii="仿宋_GB2312" w:hAnsi="Arial" w:eastAsia="仿宋_GB2312" w:cs="Arial"/>
          <w:b/>
          <w:bCs/>
          <w:kern w:val="0"/>
          <w:sz w:val="28"/>
          <w:szCs w:val="28"/>
        </w:rPr>
      </w:pPr>
      <w:r>
        <w:rPr>
          <w:rFonts w:hint="eastAsia" w:ascii="仿宋_GB2312" w:hAnsi="Arial" w:eastAsia="仿宋_GB2312" w:cs="Arial"/>
          <w:b/>
          <w:bCs/>
          <w:kern w:val="0"/>
          <w:sz w:val="28"/>
          <w:szCs w:val="28"/>
        </w:rPr>
        <w:t>序号2：日志</w:t>
      </w:r>
      <w:r>
        <w:rPr>
          <w:rFonts w:ascii="仿宋_GB2312" w:hAnsi="Arial" w:eastAsia="仿宋_GB2312" w:cs="Arial"/>
          <w:b/>
          <w:bCs/>
          <w:kern w:val="0"/>
          <w:sz w:val="28"/>
          <w:szCs w:val="28"/>
        </w:rPr>
        <w:t xml:space="preserve">审计 </w:t>
      </w:r>
    </w:p>
    <w:tbl>
      <w:tblPr>
        <w:tblStyle w:val="31"/>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8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7" w:type="dxa"/>
            <w:shd w:val="clear" w:color="auto" w:fill="D9D9D9"/>
          </w:tcPr>
          <w:p>
            <w:pPr>
              <w:jc w:val="left"/>
              <w:rPr>
                <w:rFonts w:ascii="仿宋" w:hAnsi="仿宋" w:eastAsia="仿宋"/>
                <w:bCs/>
                <w:sz w:val="24"/>
              </w:rPr>
            </w:pPr>
            <w:r>
              <w:rPr>
                <w:rFonts w:hint="eastAsia" w:ascii="仿宋" w:hAnsi="仿宋" w:eastAsia="仿宋"/>
                <w:bCs/>
                <w:sz w:val="24"/>
              </w:rPr>
              <w:t>技术指标</w:t>
            </w:r>
          </w:p>
        </w:tc>
        <w:tc>
          <w:tcPr>
            <w:tcW w:w="8326" w:type="dxa"/>
            <w:shd w:val="clear" w:color="auto" w:fill="D9D9D9"/>
          </w:tcPr>
          <w:p>
            <w:pPr>
              <w:jc w:val="left"/>
              <w:rPr>
                <w:rFonts w:ascii="仿宋" w:hAnsi="仿宋" w:eastAsia="仿宋"/>
                <w:bCs/>
                <w:sz w:val="24"/>
              </w:rPr>
            </w:pPr>
            <w:r>
              <w:rPr>
                <w:rFonts w:hint="eastAsia" w:ascii="仿宋" w:hAnsi="仿宋" w:eastAsia="仿宋"/>
                <w:bCs/>
                <w:sz w:val="24"/>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7" w:type="dxa"/>
            <w:vAlign w:val="center"/>
          </w:tcPr>
          <w:p>
            <w:pPr>
              <w:jc w:val="left"/>
              <w:rPr>
                <w:rFonts w:ascii="仿宋" w:hAnsi="仿宋" w:eastAsia="仿宋"/>
                <w:bCs/>
                <w:sz w:val="24"/>
              </w:rPr>
            </w:pPr>
            <w:r>
              <w:rPr>
                <w:rFonts w:ascii="仿宋" w:hAnsi="仿宋" w:eastAsia="仿宋"/>
                <w:bCs/>
                <w:sz w:val="24"/>
              </w:rPr>
              <w:t>★</w:t>
            </w:r>
            <w:r>
              <w:rPr>
                <w:rFonts w:hint="eastAsia" w:ascii="仿宋" w:hAnsi="仿宋" w:eastAsia="仿宋"/>
                <w:bCs/>
                <w:sz w:val="24"/>
              </w:rPr>
              <w:t>基本架构</w:t>
            </w:r>
          </w:p>
        </w:tc>
        <w:tc>
          <w:tcPr>
            <w:tcW w:w="8326" w:type="dxa"/>
            <w:vAlign w:val="center"/>
          </w:tcPr>
          <w:p>
            <w:pPr>
              <w:jc w:val="left"/>
              <w:rPr>
                <w:rFonts w:ascii="仿宋" w:hAnsi="仿宋" w:eastAsia="仿宋"/>
                <w:bCs/>
                <w:sz w:val="24"/>
              </w:rPr>
            </w:pPr>
            <w:r>
              <w:rPr>
                <w:rFonts w:hint="eastAsia" w:ascii="仿宋" w:hAnsi="仿宋" w:eastAsia="仿宋"/>
                <w:bCs/>
                <w:sz w:val="24"/>
              </w:rPr>
              <w:t>产品</w:t>
            </w:r>
            <w:r>
              <w:rPr>
                <w:rFonts w:hint="default" w:ascii="仿宋" w:hAnsi="仿宋" w:eastAsia="仿宋"/>
                <w:bCs/>
                <w:sz w:val="24"/>
              </w:rPr>
              <w:t>采用信创</w:t>
            </w:r>
            <w:r>
              <w:rPr>
                <w:rFonts w:hint="eastAsia" w:ascii="仿宋" w:hAnsi="仿宋" w:eastAsia="仿宋"/>
                <w:bCs/>
                <w:sz w:val="24"/>
              </w:rPr>
              <w:t>硬件平台、</w:t>
            </w:r>
            <w:r>
              <w:rPr>
                <w:rFonts w:hint="default" w:ascii="仿宋" w:hAnsi="仿宋" w:eastAsia="仿宋"/>
                <w:bCs/>
                <w:sz w:val="24"/>
              </w:rPr>
              <w:t>信创</w:t>
            </w:r>
            <w:r>
              <w:rPr>
                <w:rFonts w:hint="eastAsia" w:ascii="仿宋" w:hAnsi="仿宋" w:eastAsia="仿宋"/>
                <w:bCs/>
                <w:sz w:val="24"/>
              </w:rPr>
              <w:t>安全操作系统及功能软件构成；（需</w:t>
            </w:r>
            <w:r>
              <w:rPr>
                <w:rFonts w:hint="default" w:ascii="仿宋" w:hAnsi="仿宋" w:eastAsia="仿宋"/>
                <w:bCs/>
                <w:sz w:val="24"/>
              </w:rPr>
              <w:t>提供承诺书</w:t>
            </w:r>
            <w:r>
              <w:rPr>
                <w:rFonts w:hint="eastAsia" w:ascii="仿宋" w:hAnsi="仿宋" w:eastAsia="仿宋"/>
                <w:bCs/>
                <w:sz w:val="24"/>
              </w:rPr>
              <w:t>）日志存储空间≥</w:t>
            </w:r>
            <w:r>
              <w:rPr>
                <w:rFonts w:ascii="仿宋" w:hAnsi="仿宋" w:eastAsia="仿宋"/>
                <w:bCs/>
                <w:sz w:val="24"/>
              </w:rPr>
              <w:t>4TB；不少于2个千兆电口、2个万兆光口，采集处理均值20000EPS，支持日志源≥100个。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7" w:type="dxa"/>
            <w:vAlign w:val="center"/>
          </w:tcPr>
          <w:p>
            <w:pPr>
              <w:jc w:val="left"/>
              <w:rPr>
                <w:rFonts w:ascii="仿宋" w:hAnsi="仿宋" w:eastAsia="仿宋"/>
                <w:bCs/>
                <w:sz w:val="24"/>
              </w:rPr>
            </w:pPr>
            <w:r>
              <w:rPr>
                <w:rFonts w:hint="eastAsia" w:ascii="仿宋" w:hAnsi="仿宋" w:eastAsia="仿宋"/>
                <w:bCs/>
                <w:sz w:val="24"/>
              </w:rPr>
              <w:t>基础功能</w:t>
            </w:r>
          </w:p>
        </w:tc>
        <w:tc>
          <w:tcPr>
            <w:tcW w:w="8326" w:type="dxa"/>
            <w:vAlign w:val="center"/>
          </w:tcPr>
          <w:p>
            <w:pPr>
              <w:jc w:val="left"/>
              <w:rPr>
                <w:rFonts w:ascii="仿宋" w:hAnsi="仿宋" w:eastAsia="仿宋"/>
                <w:bCs/>
                <w:sz w:val="24"/>
              </w:rPr>
            </w:pPr>
            <w:r>
              <w:rPr>
                <w:rFonts w:hint="eastAsia" w:ascii="仿宋" w:hAnsi="仿宋" w:eastAsia="仿宋"/>
                <w:bCs/>
                <w:sz w:val="24"/>
              </w:rPr>
              <w:t>支持单级部署；支持代理分布式部署采集日志；</w:t>
            </w:r>
          </w:p>
          <w:p>
            <w:pPr>
              <w:jc w:val="left"/>
              <w:rPr>
                <w:rFonts w:ascii="仿宋" w:hAnsi="仿宋" w:eastAsia="仿宋"/>
                <w:bCs/>
                <w:sz w:val="24"/>
              </w:rPr>
            </w:pPr>
            <w:r>
              <w:rPr>
                <w:rFonts w:hint="eastAsia" w:ascii="仿宋" w:hAnsi="仿宋" w:eastAsia="仿宋"/>
                <w:bCs/>
                <w:sz w:val="24"/>
              </w:rPr>
              <w:t>对所管理设备的日志原始数据完整存储，支持数据本地集中存储；</w:t>
            </w:r>
          </w:p>
          <w:p>
            <w:pPr>
              <w:jc w:val="left"/>
              <w:rPr>
                <w:rFonts w:ascii="仿宋" w:hAnsi="仿宋" w:eastAsia="仿宋"/>
                <w:bCs/>
                <w:sz w:val="24"/>
              </w:rPr>
            </w:pPr>
            <w:r>
              <w:rPr>
                <w:rFonts w:hint="eastAsia" w:ascii="仿宋" w:hAnsi="仿宋" w:eastAsia="仿宋"/>
                <w:bCs/>
                <w:sz w:val="24"/>
              </w:rPr>
              <w:t>支持等于、不等于、大于、小于、正则表达式等多条件组合查询；</w:t>
            </w:r>
          </w:p>
          <w:p>
            <w:pPr>
              <w:jc w:val="left"/>
              <w:rPr>
                <w:rFonts w:ascii="仿宋" w:hAnsi="仿宋" w:eastAsia="仿宋"/>
                <w:bCs/>
                <w:sz w:val="24"/>
              </w:rPr>
            </w:pPr>
            <w:r>
              <w:rPr>
                <w:rFonts w:hint="eastAsia" w:ascii="仿宋" w:hAnsi="仿宋" w:eastAsia="仿宋"/>
                <w:bCs/>
                <w:sz w:val="24"/>
              </w:rPr>
              <w:t>基于时间轴展示数据分布，能够通过时间轴进行查询分析；</w:t>
            </w:r>
          </w:p>
          <w:p>
            <w:pPr>
              <w:jc w:val="left"/>
              <w:rPr>
                <w:rFonts w:ascii="仿宋" w:hAnsi="仿宋" w:eastAsia="仿宋"/>
                <w:bCs/>
                <w:sz w:val="24"/>
              </w:rPr>
            </w:pPr>
            <w:r>
              <w:rPr>
                <w:rFonts w:hint="eastAsia" w:ascii="仿宋" w:hAnsi="仿宋" w:eastAsia="仿宋"/>
                <w:bCs/>
                <w:sz w:val="24"/>
              </w:rPr>
              <w:t>内置系统运行相关告警规则，包括检测到新日志源、节点掉线、主动日志源长期不外发日志、存储上限告警、主机认证失败等，可启用</w:t>
            </w:r>
            <w:r>
              <w:rPr>
                <w:rFonts w:ascii="仿宋" w:hAnsi="仿宋" w:eastAsia="仿宋"/>
                <w:bCs/>
                <w:sz w:val="24"/>
              </w:rPr>
              <w:t>/禁用规则；</w:t>
            </w:r>
          </w:p>
          <w:p>
            <w:pPr>
              <w:jc w:val="left"/>
              <w:rPr>
                <w:rFonts w:ascii="仿宋" w:hAnsi="仿宋" w:eastAsia="仿宋"/>
                <w:bCs/>
                <w:sz w:val="24"/>
              </w:rPr>
            </w:pPr>
            <w:r>
              <w:rPr>
                <w:rFonts w:hint="eastAsia" w:ascii="仿宋" w:hAnsi="仿宋" w:eastAsia="仿宋"/>
                <w:bCs/>
                <w:sz w:val="24"/>
              </w:rPr>
              <w:t>基于时间轴展示数据分布，能够通过时间轴进行查询分析。智能报表创建，每添加一个日志源，系统自动分析日志源类型进行相应报表创建，无需人工干预，报表和资产一一对应。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167" w:type="dxa"/>
            <w:vMerge w:val="restart"/>
            <w:vAlign w:val="center"/>
          </w:tcPr>
          <w:p>
            <w:pPr>
              <w:jc w:val="left"/>
              <w:rPr>
                <w:rFonts w:ascii="仿宋" w:hAnsi="仿宋" w:eastAsia="仿宋"/>
                <w:bCs/>
                <w:sz w:val="24"/>
              </w:rPr>
            </w:pPr>
            <w:r>
              <w:rPr>
                <w:rFonts w:hint="eastAsia" w:ascii="仿宋" w:hAnsi="仿宋" w:eastAsia="仿宋"/>
                <w:bCs/>
                <w:sz w:val="24"/>
              </w:rPr>
              <w:t>数据采集</w:t>
            </w:r>
          </w:p>
        </w:tc>
        <w:tc>
          <w:tcPr>
            <w:tcW w:w="8326" w:type="dxa"/>
            <w:vAlign w:val="center"/>
          </w:tcPr>
          <w:p>
            <w:pPr>
              <w:jc w:val="left"/>
              <w:rPr>
                <w:rFonts w:ascii="仿宋" w:hAnsi="仿宋" w:eastAsia="仿宋"/>
                <w:bCs/>
                <w:sz w:val="24"/>
              </w:rPr>
            </w:pPr>
            <w:r>
              <w:rPr>
                <w:rFonts w:hint="eastAsia" w:ascii="仿宋" w:hAnsi="仿宋" w:eastAsia="仿宋"/>
                <w:bCs/>
                <w:sz w:val="24"/>
              </w:rPr>
              <w:t>支持安全设备、网络设备、中间件、服务器、数据库、操作系统、业务系统等不少于</w:t>
            </w:r>
            <w:r>
              <w:rPr>
                <w:rFonts w:ascii="仿宋" w:hAnsi="仿宋" w:eastAsia="仿宋"/>
                <w:bCs/>
                <w:sz w:val="24"/>
              </w:rPr>
              <w:t>26</w:t>
            </w:r>
            <w:r>
              <w:rPr>
                <w:rFonts w:hint="eastAsia" w:ascii="仿宋" w:hAnsi="仿宋" w:eastAsia="仿宋"/>
                <w:bCs/>
                <w:sz w:val="24"/>
              </w:rPr>
              <w:t>类</w:t>
            </w:r>
            <w:r>
              <w:rPr>
                <w:rFonts w:ascii="仿宋" w:hAnsi="仿宋" w:eastAsia="仿宋"/>
                <w:bCs/>
                <w:sz w:val="24"/>
              </w:rPr>
              <w:t>300</w:t>
            </w:r>
            <w:r>
              <w:rPr>
                <w:rFonts w:hint="eastAsia" w:ascii="仿宋" w:hAnsi="仿宋" w:eastAsia="仿宋"/>
                <w:bCs/>
                <w:sz w:val="24"/>
              </w:rPr>
              <w:t>种日志对象的日志数据采集。</w:t>
            </w:r>
          </w:p>
          <w:p>
            <w:pPr>
              <w:jc w:val="left"/>
              <w:rPr>
                <w:rFonts w:ascii="仿宋" w:hAnsi="仿宋" w:eastAsia="仿宋"/>
                <w:bCs/>
                <w:sz w:val="24"/>
              </w:rPr>
            </w:pPr>
            <w:r>
              <w:rPr>
                <w:rFonts w:hint="eastAsia" w:ascii="仿宋" w:hAnsi="仿宋" w:eastAsia="仿宋"/>
                <w:bCs/>
                <w:sz w:val="24"/>
              </w:rPr>
              <w:t>支持实时自动刷新每个日志源的实时日志列表，支持在实时日志界面通过选择过滤器来监视所关注的特定类型的日志；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7" w:type="dxa"/>
            <w:vMerge w:val="continue"/>
            <w:tcBorders>
              <w:bottom w:val="single" w:color="auto" w:sz="4" w:space="0"/>
            </w:tcBorders>
            <w:vAlign w:val="center"/>
          </w:tcPr>
          <w:p>
            <w:pPr>
              <w:jc w:val="left"/>
              <w:rPr>
                <w:rFonts w:ascii="仿宋" w:hAnsi="仿宋" w:eastAsia="仿宋"/>
                <w:bCs/>
                <w:sz w:val="24"/>
              </w:rPr>
            </w:pPr>
          </w:p>
        </w:tc>
        <w:tc>
          <w:tcPr>
            <w:tcW w:w="8326" w:type="dxa"/>
            <w:tcBorders>
              <w:top w:val="single" w:color="auto" w:sz="4" w:space="0"/>
              <w:bottom w:val="single" w:color="auto" w:sz="4" w:space="0"/>
              <w:right w:val="single" w:color="auto" w:sz="4" w:space="0"/>
            </w:tcBorders>
            <w:vAlign w:val="center"/>
          </w:tcPr>
          <w:p>
            <w:pPr>
              <w:jc w:val="left"/>
              <w:rPr>
                <w:rFonts w:ascii="仿宋" w:hAnsi="仿宋" w:eastAsia="仿宋"/>
                <w:bCs/>
                <w:sz w:val="24"/>
              </w:rPr>
            </w:pPr>
            <w:r>
              <w:rPr>
                <w:rFonts w:hint="eastAsia" w:ascii="仿宋" w:hAnsi="仿宋" w:eastAsia="仿宋"/>
                <w:bCs/>
                <w:sz w:val="24"/>
              </w:rPr>
              <w:t>支持对日志流量非常大但是日志重要程度低的</w:t>
            </w:r>
            <w:r>
              <w:rPr>
                <w:rFonts w:ascii="仿宋" w:hAnsi="仿宋" w:eastAsia="仿宋"/>
                <w:bCs/>
                <w:sz w:val="24"/>
              </w:rPr>
              <w:t>syslog</w:t>
            </w:r>
            <w:r>
              <w:rPr>
                <w:rFonts w:hint="eastAsia" w:ascii="仿宋" w:hAnsi="仿宋" w:eastAsia="仿宋"/>
                <w:bCs/>
                <w:sz w:val="24"/>
              </w:rPr>
              <w:t>类型日志源进行限制接收速率，降低对系统资源的占用，保障重要日志的收集；</w:t>
            </w:r>
            <w:r>
              <w:rPr>
                <w:rFonts w:ascii="仿宋" w:hAnsi="仿宋" w:eastAsia="仿宋"/>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7" w:type="dxa"/>
            <w:vMerge w:val="restart"/>
            <w:tcBorders>
              <w:top w:val="single" w:color="auto" w:sz="4" w:space="0"/>
              <w:left w:val="single" w:color="auto" w:sz="4" w:space="0"/>
              <w:right w:val="single" w:color="auto" w:sz="4" w:space="0"/>
            </w:tcBorders>
            <w:vAlign w:val="center"/>
          </w:tcPr>
          <w:p>
            <w:pPr>
              <w:jc w:val="left"/>
              <w:rPr>
                <w:rFonts w:ascii="仿宋" w:hAnsi="仿宋" w:eastAsia="仿宋"/>
                <w:bCs/>
                <w:sz w:val="24"/>
              </w:rPr>
            </w:pPr>
            <w:r>
              <w:rPr>
                <w:rFonts w:hint="eastAsia" w:ascii="仿宋" w:hAnsi="仿宋" w:eastAsia="仿宋"/>
                <w:bCs/>
                <w:sz w:val="24"/>
              </w:rPr>
              <w:t>数据存储</w:t>
            </w:r>
          </w:p>
        </w:tc>
        <w:tc>
          <w:tcPr>
            <w:tcW w:w="832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bCs/>
                <w:sz w:val="24"/>
              </w:rPr>
            </w:pPr>
            <w:r>
              <w:rPr>
                <w:rFonts w:hint="eastAsia" w:ascii="仿宋" w:hAnsi="仿宋" w:eastAsia="仿宋"/>
                <w:bCs/>
                <w:sz w:val="24"/>
              </w:rPr>
              <w:t>支持对所管理设备的日志原始数据完整存储，支持数据本地集中存储、网络存储；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7" w:type="dxa"/>
            <w:vMerge w:val="continue"/>
            <w:tcBorders>
              <w:left w:val="single" w:color="auto" w:sz="4" w:space="0"/>
              <w:bottom w:val="single" w:color="auto" w:sz="4" w:space="0"/>
              <w:right w:val="single" w:color="auto" w:sz="4" w:space="0"/>
            </w:tcBorders>
            <w:vAlign w:val="center"/>
          </w:tcPr>
          <w:p>
            <w:pPr>
              <w:jc w:val="left"/>
              <w:rPr>
                <w:rFonts w:ascii="仿宋" w:hAnsi="仿宋" w:eastAsia="仿宋"/>
                <w:bCs/>
                <w:sz w:val="24"/>
              </w:rPr>
            </w:pPr>
          </w:p>
        </w:tc>
        <w:tc>
          <w:tcPr>
            <w:tcW w:w="832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bCs/>
                <w:sz w:val="24"/>
              </w:rPr>
            </w:pPr>
            <w:r>
              <w:rPr>
                <w:rFonts w:hint="eastAsia" w:ascii="仿宋" w:hAnsi="仿宋" w:eastAsia="仿宋"/>
                <w:bCs/>
                <w:sz w:val="24"/>
              </w:rPr>
              <w:t>支持根据设备重要程度设置独立设置每个被采集源的日志、报表数据存储时间为</w:t>
            </w:r>
            <w:r>
              <w:rPr>
                <w:rFonts w:ascii="仿宋" w:hAnsi="仿宋" w:eastAsia="仿宋"/>
                <w:bCs/>
                <w:sz w:val="24"/>
              </w:rPr>
              <w:t>1</w:t>
            </w:r>
            <w:r>
              <w:rPr>
                <w:rFonts w:hint="eastAsia" w:ascii="仿宋" w:hAnsi="仿宋" w:eastAsia="仿宋"/>
                <w:bCs/>
                <w:sz w:val="24"/>
              </w:rPr>
              <w:t>个月、</w:t>
            </w:r>
            <w:r>
              <w:rPr>
                <w:rFonts w:ascii="仿宋" w:hAnsi="仿宋" w:eastAsia="仿宋"/>
                <w:bCs/>
                <w:sz w:val="24"/>
              </w:rPr>
              <w:t>3</w:t>
            </w:r>
            <w:r>
              <w:rPr>
                <w:rFonts w:hint="eastAsia" w:ascii="仿宋" w:hAnsi="仿宋" w:eastAsia="仿宋"/>
                <w:bCs/>
                <w:sz w:val="24"/>
              </w:rPr>
              <w:t>个月、</w:t>
            </w:r>
            <w:r>
              <w:rPr>
                <w:rFonts w:ascii="仿宋" w:hAnsi="仿宋" w:eastAsia="仿宋"/>
                <w:bCs/>
                <w:sz w:val="24"/>
              </w:rPr>
              <w:t>6</w:t>
            </w:r>
            <w:r>
              <w:rPr>
                <w:rFonts w:hint="eastAsia" w:ascii="仿宋" w:hAnsi="仿宋" w:eastAsia="仿宋"/>
                <w:bCs/>
                <w:sz w:val="24"/>
              </w:rPr>
              <w:t>个月和永久保存等参数；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7" w:type="dxa"/>
            <w:vMerge w:val="restart"/>
            <w:tcBorders>
              <w:top w:val="single" w:color="auto" w:sz="4" w:space="0"/>
              <w:left w:val="single" w:color="auto" w:sz="4" w:space="0"/>
              <w:right w:val="single" w:color="auto" w:sz="4" w:space="0"/>
            </w:tcBorders>
            <w:vAlign w:val="center"/>
          </w:tcPr>
          <w:p>
            <w:pPr>
              <w:jc w:val="left"/>
              <w:rPr>
                <w:rFonts w:ascii="仿宋" w:hAnsi="仿宋" w:eastAsia="仿宋"/>
                <w:bCs/>
                <w:sz w:val="24"/>
              </w:rPr>
            </w:pPr>
            <w:r>
              <w:rPr>
                <w:rFonts w:hint="eastAsia" w:ascii="仿宋" w:hAnsi="仿宋" w:eastAsia="仿宋"/>
                <w:bCs/>
                <w:sz w:val="24"/>
              </w:rPr>
              <w:t>数据</w:t>
            </w:r>
            <w:r>
              <w:rPr>
                <w:rFonts w:ascii="仿宋" w:hAnsi="仿宋" w:eastAsia="仿宋"/>
                <w:bCs/>
                <w:sz w:val="24"/>
              </w:rPr>
              <w:t>查询</w:t>
            </w:r>
          </w:p>
        </w:tc>
        <w:tc>
          <w:tcPr>
            <w:tcW w:w="832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bCs/>
                <w:sz w:val="24"/>
              </w:rPr>
            </w:pPr>
            <w:r>
              <w:rPr>
                <w:rFonts w:hint="eastAsia" w:ascii="仿宋" w:hAnsi="仿宋" w:eastAsia="仿宋"/>
                <w:bCs/>
                <w:sz w:val="24"/>
              </w:rPr>
              <w:t>支持首页以全国地图、全球地图展示最近</w:t>
            </w:r>
            <w:r>
              <w:rPr>
                <w:rFonts w:ascii="仿宋" w:hAnsi="仿宋" w:eastAsia="仿宋"/>
                <w:bCs/>
                <w:sz w:val="24"/>
              </w:rPr>
              <w:t>24</w:t>
            </w:r>
            <w:r>
              <w:rPr>
                <w:rFonts w:hint="eastAsia" w:ascii="仿宋" w:hAnsi="仿宋" w:eastAsia="仿宋"/>
                <w:bCs/>
                <w:sz w:val="24"/>
              </w:rPr>
              <w:t>小时日志访问源和访问目的的分布，能根据颜色区分访问来源和访问目的数据量大小，能够通过首页地图快速下钻查询指定区域的日志详细信息；（提供截图）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7" w:type="dxa"/>
            <w:vMerge w:val="continue"/>
            <w:tcBorders>
              <w:left w:val="single" w:color="auto" w:sz="4" w:space="0"/>
              <w:right w:val="single" w:color="auto" w:sz="4" w:space="0"/>
            </w:tcBorders>
            <w:vAlign w:val="center"/>
          </w:tcPr>
          <w:p>
            <w:pPr>
              <w:jc w:val="left"/>
              <w:rPr>
                <w:rFonts w:ascii="仿宋" w:hAnsi="仿宋" w:eastAsia="仿宋"/>
                <w:bCs/>
                <w:sz w:val="24"/>
              </w:rPr>
            </w:pPr>
          </w:p>
        </w:tc>
        <w:tc>
          <w:tcPr>
            <w:tcW w:w="832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bCs/>
                <w:sz w:val="24"/>
              </w:rPr>
            </w:pPr>
            <w:r>
              <w:rPr>
                <w:rFonts w:hint="eastAsia" w:ascii="仿宋" w:hAnsi="仿宋" w:eastAsia="仿宋"/>
                <w:bCs/>
                <w:sz w:val="24"/>
              </w:rPr>
              <w:t>支持原始日志全文检索；</w:t>
            </w:r>
          </w:p>
          <w:p>
            <w:pPr>
              <w:jc w:val="left"/>
              <w:rPr>
                <w:rFonts w:ascii="仿宋" w:hAnsi="仿宋" w:eastAsia="仿宋"/>
                <w:bCs/>
                <w:sz w:val="24"/>
              </w:rPr>
            </w:pPr>
            <w:r>
              <w:rPr>
                <w:rFonts w:hint="eastAsia" w:ascii="仿宋" w:hAnsi="仿宋" w:eastAsia="仿宋"/>
                <w:bCs/>
                <w:sz w:val="24"/>
              </w:rPr>
              <w:t>查询结果可将归一化日志和原始日志同屏对比显示；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7" w:type="dxa"/>
            <w:vMerge w:val="continue"/>
            <w:tcBorders>
              <w:left w:val="single" w:color="auto" w:sz="4" w:space="0"/>
              <w:right w:val="single" w:color="auto" w:sz="4" w:space="0"/>
            </w:tcBorders>
            <w:vAlign w:val="center"/>
          </w:tcPr>
          <w:p>
            <w:pPr>
              <w:jc w:val="left"/>
              <w:rPr>
                <w:rFonts w:ascii="仿宋" w:hAnsi="仿宋" w:eastAsia="仿宋"/>
                <w:bCs/>
                <w:sz w:val="24"/>
              </w:rPr>
            </w:pPr>
          </w:p>
        </w:tc>
        <w:tc>
          <w:tcPr>
            <w:tcW w:w="832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bCs/>
                <w:sz w:val="24"/>
              </w:rPr>
            </w:pPr>
            <w:r>
              <w:rPr>
                <w:rFonts w:hint="eastAsia" w:ascii="仿宋" w:hAnsi="仿宋" w:eastAsia="仿宋"/>
                <w:bCs/>
                <w:sz w:val="24"/>
              </w:rPr>
              <w:t>支持在日志查询结果上针对源</w:t>
            </w:r>
            <w:r>
              <w:rPr>
                <w:rFonts w:ascii="仿宋" w:hAnsi="仿宋" w:eastAsia="仿宋"/>
                <w:bCs/>
                <w:sz w:val="24"/>
              </w:rPr>
              <w:t>IP</w:t>
            </w:r>
            <w:r>
              <w:rPr>
                <w:rFonts w:hint="eastAsia" w:ascii="仿宋" w:hAnsi="仿宋" w:eastAsia="仿宋"/>
                <w:bCs/>
                <w:sz w:val="24"/>
              </w:rPr>
              <w:t>、目的</w:t>
            </w:r>
            <w:r>
              <w:rPr>
                <w:rFonts w:ascii="仿宋" w:hAnsi="仿宋" w:eastAsia="仿宋"/>
                <w:bCs/>
                <w:sz w:val="24"/>
              </w:rPr>
              <w:t>IP</w:t>
            </w:r>
            <w:r>
              <w:rPr>
                <w:rFonts w:hint="eastAsia" w:ascii="仿宋" w:hAnsi="仿宋" w:eastAsia="仿宋"/>
                <w:bCs/>
                <w:sz w:val="24"/>
              </w:rPr>
              <w:t>、操作、源端口、目的端口等字段一键快速统计，以饼图方式展示，对于源</w:t>
            </w:r>
            <w:r>
              <w:rPr>
                <w:rFonts w:ascii="仿宋" w:hAnsi="仿宋" w:eastAsia="仿宋"/>
                <w:bCs/>
                <w:sz w:val="24"/>
              </w:rPr>
              <w:t>IP</w:t>
            </w:r>
            <w:r>
              <w:rPr>
                <w:rFonts w:hint="eastAsia" w:ascii="仿宋" w:hAnsi="仿宋" w:eastAsia="仿宋"/>
                <w:bCs/>
                <w:sz w:val="24"/>
              </w:rPr>
              <w:t>和目的</w:t>
            </w:r>
            <w:r>
              <w:rPr>
                <w:rFonts w:ascii="仿宋" w:hAnsi="仿宋" w:eastAsia="仿宋"/>
                <w:bCs/>
                <w:sz w:val="24"/>
              </w:rPr>
              <w:t>IP</w:t>
            </w:r>
            <w:r>
              <w:rPr>
                <w:rFonts w:hint="eastAsia" w:ascii="仿宋" w:hAnsi="仿宋" w:eastAsia="仿宋"/>
                <w:bCs/>
                <w:sz w:val="24"/>
              </w:rPr>
              <w:t>（公网地址）还支持以中国地图、世界地图方式展示，在统计图上能够进行点击下钻查询对应条件的日志结果；（提供截图）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7" w:type="dxa"/>
            <w:vMerge w:val="continue"/>
            <w:tcBorders>
              <w:left w:val="single" w:color="auto" w:sz="4" w:space="0"/>
              <w:right w:val="single" w:color="auto" w:sz="4" w:space="0"/>
            </w:tcBorders>
            <w:vAlign w:val="center"/>
          </w:tcPr>
          <w:p>
            <w:pPr>
              <w:jc w:val="left"/>
              <w:rPr>
                <w:rFonts w:ascii="仿宋" w:hAnsi="仿宋" w:eastAsia="仿宋"/>
                <w:bCs/>
                <w:sz w:val="24"/>
              </w:rPr>
            </w:pPr>
          </w:p>
        </w:tc>
        <w:tc>
          <w:tcPr>
            <w:tcW w:w="832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bCs/>
                <w:sz w:val="24"/>
              </w:rPr>
            </w:pPr>
            <w:r>
              <w:rPr>
                <w:rFonts w:hint="eastAsia" w:ascii="仿宋" w:hAnsi="仿宋" w:eastAsia="仿宋"/>
                <w:bCs/>
                <w:sz w:val="24"/>
              </w:rPr>
              <w:t>支持基于时间轴展示日志数据分布，能够通过时间轴进行查询分析；（提供截图）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7" w:type="dxa"/>
            <w:vMerge w:val="continue"/>
            <w:tcBorders>
              <w:left w:val="single" w:color="auto" w:sz="4" w:space="0"/>
              <w:bottom w:val="single" w:color="auto" w:sz="4" w:space="0"/>
              <w:right w:val="single" w:color="auto" w:sz="4" w:space="0"/>
            </w:tcBorders>
            <w:vAlign w:val="center"/>
          </w:tcPr>
          <w:p>
            <w:pPr>
              <w:jc w:val="left"/>
              <w:rPr>
                <w:rFonts w:ascii="仿宋" w:hAnsi="仿宋" w:eastAsia="仿宋"/>
                <w:bCs/>
                <w:sz w:val="24"/>
              </w:rPr>
            </w:pPr>
          </w:p>
        </w:tc>
        <w:tc>
          <w:tcPr>
            <w:tcW w:w="832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bCs/>
                <w:sz w:val="24"/>
              </w:rPr>
            </w:pPr>
            <w:r>
              <w:rPr>
                <w:rFonts w:hint="eastAsia" w:ascii="仿宋" w:hAnsi="仿宋" w:eastAsia="仿宋"/>
                <w:bCs/>
                <w:sz w:val="24"/>
              </w:rPr>
              <w:t>支持多种运维管理工具，可对日志源进行HTTP、HTTPS、SSH、SCP、SFTP、FTP、MYSQL、ORACLE、SQLSERVER等操作。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7" w:type="dxa"/>
            <w:vMerge w:val="restart"/>
            <w:tcBorders>
              <w:top w:val="single" w:color="auto" w:sz="4" w:space="0"/>
              <w:left w:val="single" w:color="auto" w:sz="4" w:space="0"/>
              <w:right w:val="single" w:color="auto" w:sz="4" w:space="0"/>
            </w:tcBorders>
            <w:vAlign w:val="center"/>
          </w:tcPr>
          <w:p>
            <w:pPr>
              <w:jc w:val="left"/>
              <w:rPr>
                <w:rFonts w:ascii="仿宋" w:hAnsi="仿宋" w:eastAsia="仿宋"/>
                <w:bCs/>
                <w:sz w:val="24"/>
              </w:rPr>
            </w:pPr>
            <w:r>
              <w:rPr>
                <w:rFonts w:hint="eastAsia" w:ascii="仿宋" w:hAnsi="仿宋" w:eastAsia="仿宋"/>
                <w:bCs/>
                <w:sz w:val="24"/>
              </w:rPr>
              <w:t>告警</w:t>
            </w:r>
            <w:r>
              <w:rPr>
                <w:rFonts w:ascii="仿宋" w:hAnsi="仿宋" w:eastAsia="仿宋"/>
                <w:bCs/>
                <w:sz w:val="24"/>
              </w:rPr>
              <w:t>管理</w:t>
            </w:r>
          </w:p>
        </w:tc>
        <w:tc>
          <w:tcPr>
            <w:tcW w:w="832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bCs/>
                <w:sz w:val="24"/>
              </w:rPr>
            </w:pPr>
            <w:r>
              <w:rPr>
                <w:rFonts w:hint="eastAsia" w:ascii="仿宋" w:hAnsi="仿宋" w:eastAsia="仿宋"/>
                <w:bCs/>
                <w:sz w:val="24"/>
              </w:rPr>
              <w:t>支持首页展示当日告警情况统计；支持展示当日最新告警</w:t>
            </w:r>
            <w:r>
              <w:rPr>
                <w:rFonts w:ascii="仿宋" w:hAnsi="仿宋" w:eastAsia="仿宋"/>
                <w:bCs/>
                <w:sz w:val="24"/>
              </w:rPr>
              <w:t>TOP10</w:t>
            </w:r>
            <w:r>
              <w:rPr>
                <w:rFonts w:hint="eastAsia" w:ascii="仿宋" w:hAnsi="仿宋" w:eastAsia="仿宋"/>
                <w:bCs/>
                <w:sz w:val="24"/>
              </w:rPr>
              <w:t>、</w:t>
            </w:r>
            <w:r>
              <w:rPr>
                <w:rFonts w:ascii="仿宋" w:hAnsi="仿宋" w:eastAsia="仿宋"/>
                <w:bCs/>
                <w:sz w:val="24"/>
              </w:rPr>
              <w:t>TOP30</w:t>
            </w:r>
            <w:r>
              <w:rPr>
                <w:rFonts w:hint="eastAsia" w:ascii="仿宋" w:hAnsi="仿宋" w:eastAsia="仿宋"/>
                <w:bCs/>
                <w:sz w:val="24"/>
              </w:rPr>
              <w:t>和</w:t>
            </w:r>
            <w:r>
              <w:rPr>
                <w:rFonts w:ascii="仿宋" w:hAnsi="仿宋" w:eastAsia="仿宋"/>
                <w:bCs/>
                <w:sz w:val="24"/>
              </w:rPr>
              <w:t>TOP50</w:t>
            </w:r>
            <w:r>
              <w:rPr>
                <w:rFonts w:hint="eastAsia" w:ascii="仿宋" w:hAnsi="仿宋" w:eastAsia="仿宋"/>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7" w:type="dxa"/>
            <w:vMerge w:val="continue"/>
            <w:tcBorders>
              <w:left w:val="single" w:color="auto" w:sz="4" w:space="0"/>
              <w:bottom w:val="single" w:color="auto" w:sz="4" w:space="0"/>
              <w:right w:val="single" w:color="auto" w:sz="4" w:space="0"/>
            </w:tcBorders>
            <w:vAlign w:val="center"/>
          </w:tcPr>
          <w:p>
            <w:pPr>
              <w:jc w:val="left"/>
              <w:rPr>
                <w:rFonts w:ascii="仿宋" w:hAnsi="仿宋" w:eastAsia="仿宋"/>
                <w:bCs/>
                <w:sz w:val="24"/>
              </w:rPr>
            </w:pPr>
          </w:p>
        </w:tc>
        <w:tc>
          <w:tcPr>
            <w:tcW w:w="832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bCs/>
                <w:sz w:val="24"/>
              </w:rPr>
            </w:pPr>
            <w:r>
              <w:rPr>
                <w:rFonts w:hint="eastAsia" w:ascii="仿宋" w:hAnsi="仿宋" w:eastAsia="仿宋"/>
                <w:bCs/>
                <w:sz w:val="24"/>
              </w:rPr>
              <w:t>支持基于时间轴展示告警数据分布，能够通过时间轴进行查询分析；（提供截图）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7" w:type="dxa"/>
            <w:vMerge w:val="restart"/>
            <w:tcBorders>
              <w:top w:val="single" w:color="auto" w:sz="4" w:space="0"/>
              <w:left w:val="single" w:color="auto" w:sz="4" w:space="0"/>
              <w:right w:val="single" w:color="auto" w:sz="4" w:space="0"/>
            </w:tcBorders>
            <w:vAlign w:val="center"/>
          </w:tcPr>
          <w:p>
            <w:pPr>
              <w:jc w:val="left"/>
              <w:rPr>
                <w:rFonts w:ascii="仿宋" w:hAnsi="仿宋" w:eastAsia="仿宋"/>
                <w:bCs/>
                <w:sz w:val="24"/>
              </w:rPr>
            </w:pPr>
            <w:r>
              <w:rPr>
                <w:rFonts w:hint="eastAsia" w:ascii="仿宋" w:hAnsi="仿宋" w:eastAsia="仿宋"/>
                <w:bCs/>
                <w:sz w:val="24"/>
              </w:rPr>
              <w:t>日志源管理</w:t>
            </w:r>
          </w:p>
        </w:tc>
        <w:tc>
          <w:tcPr>
            <w:tcW w:w="832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bCs/>
                <w:sz w:val="24"/>
              </w:rPr>
            </w:pPr>
            <w:r>
              <w:rPr>
                <w:rFonts w:hint="eastAsia" w:ascii="仿宋" w:hAnsi="仿宋" w:eastAsia="仿宋"/>
                <w:bCs/>
                <w:sz w:val="24"/>
              </w:rPr>
              <w:t>支持手动添加日志源，管理员可以对日志源进行查看、批量修改、添加、编辑、删除以及启</w:t>
            </w:r>
            <w:r>
              <w:rPr>
                <w:rFonts w:ascii="仿宋" w:hAnsi="仿宋" w:eastAsia="仿宋"/>
                <w:bCs/>
                <w:sz w:val="24"/>
              </w:rPr>
              <w:t>\</w:t>
            </w:r>
            <w:r>
              <w:rPr>
                <w:rFonts w:hint="eastAsia" w:ascii="仿宋" w:hAnsi="仿宋" w:eastAsia="仿宋"/>
                <w:bCs/>
                <w:sz w:val="24"/>
              </w:rPr>
              <w:t>禁用的操作；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7" w:type="dxa"/>
            <w:vMerge w:val="continue"/>
            <w:tcBorders>
              <w:left w:val="single" w:color="auto" w:sz="4" w:space="0"/>
              <w:right w:val="single" w:color="auto" w:sz="4" w:space="0"/>
            </w:tcBorders>
            <w:vAlign w:val="center"/>
          </w:tcPr>
          <w:p>
            <w:pPr>
              <w:jc w:val="left"/>
              <w:rPr>
                <w:rFonts w:ascii="仿宋" w:hAnsi="仿宋" w:eastAsia="仿宋"/>
                <w:bCs/>
                <w:sz w:val="24"/>
              </w:rPr>
            </w:pPr>
          </w:p>
        </w:tc>
        <w:tc>
          <w:tcPr>
            <w:tcW w:w="832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bCs/>
                <w:sz w:val="24"/>
              </w:rPr>
            </w:pPr>
            <w:r>
              <w:rPr>
                <w:rFonts w:hint="eastAsia" w:ascii="仿宋" w:hAnsi="仿宋" w:eastAsia="仿宋"/>
                <w:bCs/>
                <w:sz w:val="24"/>
              </w:rPr>
              <w:t>支持对重点日志源的关注设置，并可通过关注列表快速查看重点日志源的状态、当日日志量、采集日志总量、最近接收时间、业务组等基础信息；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7" w:type="dxa"/>
            <w:vMerge w:val="continue"/>
            <w:tcBorders>
              <w:left w:val="single" w:color="auto" w:sz="4" w:space="0"/>
              <w:right w:val="single" w:color="auto" w:sz="4" w:space="0"/>
            </w:tcBorders>
            <w:vAlign w:val="center"/>
          </w:tcPr>
          <w:p>
            <w:pPr>
              <w:jc w:val="left"/>
              <w:rPr>
                <w:rFonts w:ascii="仿宋" w:hAnsi="仿宋" w:eastAsia="仿宋"/>
                <w:bCs/>
                <w:sz w:val="24"/>
              </w:rPr>
            </w:pPr>
          </w:p>
        </w:tc>
        <w:tc>
          <w:tcPr>
            <w:tcW w:w="832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bCs/>
                <w:sz w:val="24"/>
              </w:rPr>
            </w:pPr>
            <w:r>
              <w:rPr>
                <w:rFonts w:hint="eastAsia" w:ascii="仿宋" w:hAnsi="仿宋" w:eastAsia="仿宋"/>
                <w:bCs/>
                <w:sz w:val="24"/>
              </w:rPr>
              <w:t>支持以业务角度将日志源进行分组，支持在日志查询时以业务组进行查询，支持在首页拓扑展示时以业务组进行展示；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7" w:type="dxa"/>
            <w:vMerge w:val="continue"/>
            <w:tcBorders>
              <w:left w:val="single" w:color="auto" w:sz="4" w:space="0"/>
              <w:bottom w:val="single" w:color="auto" w:sz="4" w:space="0"/>
              <w:right w:val="single" w:color="auto" w:sz="4" w:space="0"/>
            </w:tcBorders>
            <w:vAlign w:val="center"/>
          </w:tcPr>
          <w:p>
            <w:pPr>
              <w:jc w:val="left"/>
              <w:rPr>
                <w:rFonts w:ascii="仿宋" w:hAnsi="仿宋" w:eastAsia="仿宋"/>
                <w:bCs/>
                <w:sz w:val="24"/>
              </w:rPr>
            </w:pPr>
          </w:p>
        </w:tc>
        <w:tc>
          <w:tcPr>
            <w:tcW w:w="832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bCs/>
                <w:sz w:val="24"/>
              </w:rPr>
            </w:pPr>
            <w:r>
              <w:rPr>
                <w:rFonts w:hint="eastAsia" w:ascii="仿宋" w:hAnsi="仿宋" w:eastAsia="仿宋"/>
                <w:bCs/>
                <w:sz w:val="24"/>
              </w:rPr>
              <w:t>支持基于拓扑图的日志源相关数据信息快速查看；支持通过拓扑下钻查看对应日志源的日志、报表、告警数据。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7" w:type="dxa"/>
            <w:vMerge w:val="restart"/>
            <w:tcBorders>
              <w:top w:val="single" w:color="auto" w:sz="4" w:space="0"/>
              <w:left w:val="single" w:color="auto" w:sz="4" w:space="0"/>
              <w:right w:val="single" w:color="auto" w:sz="4" w:space="0"/>
            </w:tcBorders>
            <w:vAlign w:val="center"/>
          </w:tcPr>
          <w:p>
            <w:pPr>
              <w:jc w:val="left"/>
              <w:rPr>
                <w:rFonts w:ascii="仿宋" w:hAnsi="仿宋" w:eastAsia="仿宋"/>
                <w:bCs/>
                <w:sz w:val="24"/>
              </w:rPr>
            </w:pPr>
            <w:r>
              <w:rPr>
                <w:rFonts w:hint="eastAsia" w:ascii="仿宋" w:hAnsi="仿宋" w:eastAsia="仿宋"/>
                <w:bCs/>
                <w:sz w:val="24"/>
              </w:rPr>
              <w:t>系统管理</w:t>
            </w:r>
          </w:p>
        </w:tc>
        <w:tc>
          <w:tcPr>
            <w:tcW w:w="832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bCs/>
                <w:sz w:val="24"/>
              </w:rPr>
            </w:pPr>
            <w:r>
              <w:rPr>
                <w:rFonts w:hint="eastAsia" w:ascii="仿宋" w:hAnsi="仿宋" w:eastAsia="仿宋"/>
                <w:bCs/>
                <w:sz w:val="24"/>
              </w:rPr>
              <w:t>支持用户按角色管理，支持三权分立；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7" w:type="dxa"/>
            <w:vMerge w:val="continue"/>
            <w:tcBorders>
              <w:left w:val="single" w:color="auto" w:sz="4" w:space="0"/>
              <w:right w:val="single" w:color="auto" w:sz="4" w:space="0"/>
            </w:tcBorders>
            <w:vAlign w:val="center"/>
          </w:tcPr>
          <w:p>
            <w:pPr>
              <w:jc w:val="left"/>
              <w:rPr>
                <w:rFonts w:ascii="仿宋" w:hAnsi="仿宋" w:eastAsia="仿宋"/>
                <w:bCs/>
                <w:sz w:val="24"/>
              </w:rPr>
            </w:pPr>
          </w:p>
        </w:tc>
        <w:tc>
          <w:tcPr>
            <w:tcW w:w="832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bCs/>
                <w:sz w:val="24"/>
              </w:rPr>
            </w:pPr>
            <w:r>
              <w:rPr>
                <w:rFonts w:hint="eastAsia" w:ascii="仿宋" w:hAnsi="仿宋" w:eastAsia="仿宋"/>
                <w:bCs/>
                <w:sz w:val="24"/>
              </w:rPr>
              <w:t>系统具有防恶意暴力破解账号与口令功能，口令错误次数可设置，超过错误次数锁定，锁定时间可设置。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7" w:type="dxa"/>
            <w:vMerge w:val="continue"/>
            <w:tcBorders>
              <w:left w:val="single" w:color="auto" w:sz="4" w:space="0"/>
              <w:right w:val="single" w:color="auto" w:sz="4" w:space="0"/>
            </w:tcBorders>
            <w:vAlign w:val="center"/>
          </w:tcPr>
          <w:p>
            <w:pPr>
              <w:jc w:val="left"/>
              <w:rPr>
                <w:rFonts w:ascii="仿宋" w:hAnsi="仿宋" w:eastAsia="仿宋"/>
                <w:bCs/>
                <w:sz w:val="24"/>
              </w:rPr>
            </w:pPr>
          </w:p>
        </w:tc>
        <w:tc>
          <w:tcPr>
            <w:tcW w:w="832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bCs/>
                <w:sz w:val="24"/>
              </w:rPr>
            </w:pPr>
            <w:r>
              <w:rPr>
                <w:rFonts w:hint="eastAsia" w:ascii="仿宋" w:hAnsi="仿宋" w:eastAsia="仿宋"/>
                <w:bCs/>
                <w:sz w:val="24"/>
              </w:rPr>
              <w:t>支持将常用</w:t>
            </w:r>
            <w:r>
              <w:rPr>
                <w:rFonts w:ascii="仿宋" w:hAnsi="仿宋" w:eastAsia="仿宋"/>
                <w:bCs/>
                <w:sz w:val="24"/>
              </w:rPr>
              <w:t>IP</w:t>
            </w:r>
            <w:r>
              <w:rPr>
                <w:rFonts w:hint="eastAsia" w:ascii="仿宋" w:hAnsi="仿宋" w:eastAsia="仿宋"/>
                <w:bCs/>
                <w:sz w:val="24"/>
              </w:rPr>
              <w:t>地址或</w:t>
            </w:r>
            <w:r>
              <w:rPr>
                <w:rFonts w:ascii="仿宋" w:hAnsi="仿宋" w:eastAsia="仿宋"/>
                <w:bCs/>
                <w:sz w:val="24"/>
              </w:rPr>
              <w:t>IP</w:t>
            </w:r>
            <w:r>
              <w:rPr>
                <w:rFonts w:hint="eastAsia" w:ascii="仿宋" w:hAnsi="仿宋" w:eastAsia="仿宋"/>
                <w:bCs/>
                <w:sz w:val="24"/>
              </w:rPr>
              <w:t>地址网段标记为自定义名称，在日志查询界面可以在</w:t>
            </w:r>
            <w:r>
              <w:rPr>
                <w:rFonts w:ascii="仿宋" w:hAnsi="仿宋" w:eastAsia="仿宋"/>
                <w:bCs/>
                <w:sz w:val="24"/>
              </w:rPr>
              <w:t>IP</w:t>
            </w:r>
            <w:r>
              <w:rPr>
                <w:rFonts w:hint="eastAsia" w:ascii="仿宋" w:hAnsi="仿宋" w:eastAsia="仿宋"/>
                <w:bCs/>
                <w:sz w:val="24"/>
              </w:rPr>
              <w:t>列中对应悬浮显示自定义名称；（提供截图）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7" w:type="dxa"/>
            <w:vMerge w:val="continue"/>
            <w:tcBorders>
              <w:left w:val="single" w:color="auto" w:sz="4" w:space="0"/>
              <w:right w:val="single" w:color="auto" w:sz="4" w:space="0"/>
            </w:tcBorders>
            <w:vAlign w:val="center"/>
          </w:tcPr>
          <w:p>
            <w:pPr>
              <w:jc w:val="left"/>
              <w:rPr>
                <w:rFonts w:ascii="仿宋" w:hAnsi="仿宋" w:eastAsia="仿宋"/>
                <w:bCs/>
                <w:sz w:val="24"/>
              </w:rPr>
            </w:pPr>
          </w:p>
        </w:tc>
        <w:tc>
          <w:tcPr>
            <w:tcW w:w="832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bCs/>
                <w:sz w:val="24"/>
              </w:rPr>
            </w:pPr>
            <w:r>
              <w:rPr>
                <w:rFonts w:hint="eastAsia" w:ascii="仿宋" w:hAnsi="仿宋" w:eastAsia="仿宋"/>
                <w:bCs/>
                <w:sz w:val="24"/>
              </w:rPr>
              <w:t>支持系统肤色设置，可根据喜好对系统主题颜色进行红色、蓝色切换。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7" w:type="dxa"/>
            <w:vMerge w:val="restart"/>
            <w:tcBorders>
              <w:left w:val="single" w:color="auto" w:sz="4" w:space="0"/>
              <w:right w:val="single" w:color="auto" w:sz="4" w:space="0"/>
            </w:tcBorders>
            <w:vAlign w:val="center"/>
          </w:tcPr>
          <w:p>
            <w:pPr>
              <w:jc w:val="left"/>
              <w:rPr>
                <w:rFonts w:ascii="仿宋" w:hAnsi="仿宋" w:eastAsia="仿宋"/>
                <w:bCs/>
                <w:sz w:val="24"/>
              </w:rPr>
            </w:pPr>
            <w:r>
              <w:rPr>
                <w:rFonts w:hint="eastAsia" w:ascii="仿宋" w:hAnsi="仿宋" w:eastAsia="仿宋"/>
                <w:bCs/>
                <w:sz w:val="24"/>
              </w:rPr>
              <w:t>资质要求</w:t>
            </w:r>
          </w:p>
        </w:tc>
        <w:tc>
          <w:tcPr>
            <w:tcW w:w="8326"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bCs/>
                <w:sz w:val="24"/>
              </w:rPr>
            </w:pPr>
            <w:r>
              <w:rPr>
                <w:rFonts w:hint="eastAsia" w:ascii="仿宋" w:hAnsi="仿宋" w:eastAsia="仿宋"/>
                <w:bCs/>
                <w:sz w:val="24"/>
              </w:rPr>
              <w:t>所提供的产品检验报告须符合《信息安全技术</w:t>
            </w:r>
            <w:r>
              <w:rPr>
                <w:rFonts w:ascii="仿宋" w:hAnsi="仿宋" w:eastAsia="仿宋"/>
                <w:bCs/>
                <w:sz w:val="24"/>
              </w:rPr>
              <w:t xml:space="preserve"> 日志分析产品安全技术要求 GA/T 911-2019》（增强级）检验规范，并提供完整的检测报告复印件（增强级）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7" w:type="dxa"/>
            <w:vMerge w:val="continue"/>
            <w:tcBorders>
              <w:left w:val="single" w:color="auto" w:sz="4" w:space="0"/>
              <w:right w:val="single" w:color="auto" w:sz="4" w:space="0"/>
            </w:tcBorders>
            <w:vAlign w:val="center"/>
          </w:tcPr>
          <w:p>
            <w:pPr>
              <w:jc w:val="left"/>
              <w:rPr>
                <w:rFonts w:ascii="仿宋" w:hAnsi="仿宋" w:eastAsia="仿宋"/>
                <w:bCs/>
                <w:sz w:val="24"/>
              </w:rPr>
            </w:pPr>
          </w:p>
        </w:tc>
        <w:tc>
          <w:tcPr>
            <w:tcW w:w="8326"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bCs/>
                <w:sz w:val="24"/>
              </w:rPr>
            </w:pPr>
            <w:r>
              <w:rPr>
                <w:rFonts w:hint="eastAsia" w:ascii="仿宋" w:hAnsi="仿宋" w:eastAsia="仿宋"/>
                <w:bCs/>
                <w:sz w:val="24"/>
              </w:rPr>
              <w:t>产品获得中国信息安全认证中心颁发的《</w:t>
            </w:r>
            <w:r>
              <w:rPr>
                <w:rFonts w:ascii="仿宋" w:hAnsi="仿宋" w:eastAsia="仿宋"/>
                <w:bCs/>
                <w:sz w:val="24"/>
              </w:rPr>
              <w:t>IT产品信息安全认证证书》，需符合《日志采集与分析产品安全技术要求》，并提供完整的检测报告复印件；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67" w:type="dxa"/>
            <w:vMerge w:val="continue"/>
            <w:tcBorders>
              <w:left w:val="single" w:color="auto" w:sz="4" w:space="0"/>
              <w:right w:val="single" w:color="auto" w:sz="4" w:space="0"/>
            </w:tcBorders>
            <w:vAlign w:val="center"/>
          </w:tcPr>
          <w:p>
            <w:pPr>
              <w:jc w:val="left"/>
              <w:rPr>
                <w:rFonts w:ascii="仿宋" w:hAnsi="仿宋" w:eastAsia="仿宋"/>
                <w:bCs/>
                <w:sz w:val="24"/>
              </w:rPr>
            </w:pPr>
          </w:p>
        </w:tc>
        <w:tc>
          <w:tcPr>
            <w:tcW w:w="8326"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bCs/>
                <w:sz w:val="24"/>
              </w:rPr>
            </w:pPr>
            <w:r>
              <w:rPr>
                <w:rFonts w:hint="eastAsia" w:ascii="仿宋" w:hAnsi="仿宋" w:eastAsia="仿宋"/>
                <w:bCs/>
                <w:sz w:val="24"/>
              </w:rPr>
              <w:t>产品获得全球</w:t>
            </w:r>
            <w:r>
              <w:rPr>
                <w:rFonts w:ascii="仿宋" w:hAnsi="仿宋" w:eastAsia="仿宋"/>
                <w:bCs/>
                <w:sz w:val="24"/>
              </w:rPr>
              <w:t>IPv6论坛IPv6 Ready Logo委员会颁发的IPv6 Ready Logo认证证书</w:t>
            </w:r>
          </w:p>
        </w:tc>
      </w:tr>
    </w:tbl>
    <w:p>
      <w:pPr>
        <w:pStyle w:val="2"/>
        <w:ind w:firstLine="210"/>
      </w:pPr>
    </w:p>
    <w:p>
      <w:pPr>
        <w:pStyle w:val="2"/>
        <w:ind w:firstLine="0" w:firstLineChars="0"/>
        <w:rPr>
          <w:rFonts w:ascii="仿宋_GB2312" w:hAnsi="Arial" w:eastAsia="仿宋_GB2312" w:cs="Arial"/>
          <w:b/>
          <w:bCs/>
          <w:kern w:val="0"/>
          <w:sz w:val="28"/>
          <w:szCs w:val="28"/>
        </w:rPr>
      </w:pPr>
    </w:p>
    <w:p>
      <w:pPr>
        <w:pStyle w:val="2"/>
        <w:ind w:firstLine="0" w:firstLineChars="0"/>
        <w:rPr>
          <w:rFonts w:ascii="仿宋_GB2312" w:hAnsi="Arial" w:eastAsia="仿宋_GB2312" w:cs="Arial"/>
          <w:b/>
          <w:bCs/>
          <w:kern w:val="0"/>
          <w:sz w:val="28"/>
          <w:szCs w:val="28"/>
        </w:rPr>
      </w:pPr>
      <w:r>
        <w:rPr>
          <w:rFonts w:hint="eastAsia" w:ascii="仿宋_GB2312" w:hAnsi="Arial" w:eastAsia="仿宋_GB2312" w:cs="Arial"/>
          <w:b/>
          <w:bCs/>
          <w:kern w:val="0"/>
          <w:sz w:val="28"/>
          <w:szCs w:val="28"/>
        </w:rPr>
        <w:t>序号3：安全服务</w:t>
      </w:r>
    </w:p>
    <w:tbl>
      <w:tblPr>
        <w:tblStyle w:val="31"/>
        <w:tblW w:w="10411" w:type="dxa"/>
        <w:tblInd w:w="-557" w:type="dxa"/>
        <w:tblLayout w:type="fixed"/>
        <w:tblCellMar>
          <w:top w:w="0" w:type="dxa"/>
          <w:left w:w="108" w:type="dxa"/>
          <w:bottom w:w="0" w:type="dxa"/>
          <w:right w:w="108" w:type="dxa"/>
        </w:tblCellMar>
      </w:tblPr>
      <w:tblGrid>
        <w:gridCol w:w="1501"/>
        <w:gridCol w:w="1313"/>
        <w:gridCol w:w="7597"/>
      </w:tblGrid>
      <w:tr>
        <w:tblPrEx>
          <w:tblCellMar>
            <w:top w:w="0" w:type="dxa"/>
            <w:left w:w="108" w:type="dxa"/>
            <w:bottom w:w="0" w:type="dxa"/>
            <w:right w:w="108" w:type="dxa"/>
          </w:tblCellMar>
        </w:tblPrEx>
        <w:trPr>
          <w:trHeight w:val="280" w:hRule="atLeast"/>
        </w:trPr>
        <w:tc>
          <w:tcPr>
            <w:tcW w:w="2814" w:type="dxa"/>
            <w:gridSpan w:val="2"/>
            <w:tcBorders>
              <w:top w:val="single" w:color="auto" w:sz="4" w:space="0"/>
              <w:left w:val="single" w:color="auto" w:sz="4" w:space="0"/>
              <w:bottom w:val="single" w:color="auto" w:sz="4" w:space="0"/>
              <w:right w:val="single" w:color="auto" w:sz="4" w:space="0"/>
            </w:tcBorders>
            <w:vAlign w:val="bottom"/>
          </w:tcPr>
          <w:p>
            <w:pPr>
              <w:pStyle w:val="39"/>
              <w:spacing w:line="300" w:lineRule="exact"/>
              <w:jc w:val="both"/>
              <w:rPr>
                <w:rFonts w:ascii="仿宋" w:hAnsi="仿宋" w:eastAsia="仿宋"/>
                <w:b/>
                <w:color w:val="auto"/>
                <w:kern w:val="2"/>
              </w:rPr>
            </w:pPr>
            <w:r>
              <w:rPr>
                <w:rFonts w:hint="eastAsia" w:ascii="仿宋" w:hAnsi="仿宋" w:eastAsia="仿宋"/>
                <w:b/>
                <w:color w:val="auto"/>
                <w:kern w:val="2"/>
              </w:rPr>
              <w:t>技术指标</w:t>
            </w:r>
          </w:p>
        </w:tc>
        <w:tc>
          <w:tcPr>
            <w:tcW w:w="7597" w:type="dxa"/>
            <w:tcBorders>
              <w:top w:val="single" w:color="auto" w:sz="4" w:space="0"/>
              <w:left w:val="nil"/>
              <w:bottom w:val="single" w:color="auto" w:sz="4" w:space="0"/>
              <w:right w:val="single" w:color="auto" w:sz="4" w:space="0"/>
            </w:tcBorders>
            <w:vAlign w:val="bottom"/>
          </w:tcPr>
          <w:p>
            <w:pPr>
              <w:pStyle w:val="39"/>
              <w:spacing w:line="300" w:lineRule="exact"/>
              <w:jc w:val="both"/>
              <w:rPr>
                <w:rFonts w:ascii="仿宋" w:hAnsi="仿宋" w:eastAsia="仿宋"/>
                <w:b/>
                <w:color w:val="auto"/>
                <w:kern w:val="2"/>
              </w:rPr>
            </w:pPr>
            <w:r>
              <w:rPr>
                <w:rFonts w:hint="eastAsia" w:ascii="仿宋" w:hAnsi="仿宋" w:eastAsia="仿宋"/>
                <w:b/>
                <w:color w:val="auto"/>
                <w:kern w:val="2"/>
              </w:rPr>
              <w:t>指标要求</w:t>
            </w:r>
          </w:p>
        </w:tc>
      </w:tr>
      <w:tr>
        <w:tblPrEx>
          <w:tblCellMar>
            <w:top w:w="0" w:type="dxa"/>
            <w:left w:w="108" w:type="dxa"/>
            <w:bottom w:w="0" w:type="dxa"/>
            <w:right w:w="108" w:type="dxa"/>
          </w:tblCellMar>
        </w:tblPrEx>
        <w:trPr>
          <w:trHeight w:val="3734" w:hRule="atLeast"/>
        </w:trPr>
        <w:tc>
          <w:tcPr>
            <w:tcW w:w="1501" w:type="dxa"/>
            <w:vMerge w:val="restart"/>
            <w:tcBorders>
              <w:top w:val="nil"/>
              <w:left w:val="single" w:color="auto" w:sz="4" w:space="0"/>
              <w:bottom w:val="single" w:color="auto" w:sz="4" w:space="0"/>
              <w:right w:val="single" w:color="auto" w:sz="4" w:space="0"/>
            </w:tcBorders>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基础安全服务</w:t>
            </w:r>
          </w:p>
        </w:tc>
        <w:tc>
          <w:tcPr>
            <w:tcW w:w="1313" w:type="dxa"/>
            <w:tcBorders>
              <w:top w:val="nil"/>
              <w:left w:val="nil"/>
              <w:right w:val="single" w:color="auto" w:sz="4" w:space="0"/>
            </w:tcBorders>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信息安全体系建设服务</w:t>
            </w:r>
          </w:p>
        </w:tc>
        <w:tc>
          <w:tcPr>
            <w:tcW w:w="7597" w:type="dxa"/>
            <w:tcBorders>
              <w:top w:val="nil"/>
              <w:left w:val="nil"/>
              <w:right w:val="single" w:color="auto" w:sz="4" w:space="0"/>
            </w:tcBorders>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协助建立信息安全体系，涉及层面包括物理环境、网络层次、系统层次、业务应用、数据以及管理等各个层面。其中，管理贯穿整个安全建设的始终。安全模型分为物理层、网络层、系统层、应用层、数据层。安全机制、安全服务和安全管理贯穿于各层中信息处理的各个环节。要求建立以密码支持为基础的加密、认证、完整性、抗抵赖等安全机制为数据在计算机、网络系统中的存储、传输的保密性、完整性，用户身份的真实性，以及网上数据信息交换的不可否认性等安全功能的实现提供支持。建立以安全审计、安全性检测与实时安全监控（入侵检测）、计算机病毒防杀、备份与故障恢复以及应急处理等安全机制确保系统安全运行。建立周期性的信息安全管理状态评估和反馈机制，以发现技术和管理上的漏洞，促进信息安全管理体系自身的改进和完善，促进安全管理水平的不断提升。要求按需提供不少于每月1次服务并提供安全设备运行报告、安全事件跟踪报告、安全策略执行报告。协助等保测评公司进行等级保护测评工作的开展和测评后整改。每次安全服务中提供的报告要进行整理归档。</w:t>
            </w:r>
          </w:p>
        </w:tc>
      </w:tr>
      <w:tr>
        <w:tblPrEx>
          <w:tblCellMar>
            <w:top w:w="0" w:type="dxa"/>
            <w:left w:w="108" w:type="dxa"/>
            <w:bottom w:w="0" w:type="dxa"/>
            <w:right w:w="108" w:type="dxa"/>
          </w:tblCellMar>
        </w:tblPrEx>
        <w:trPr>
          <w:trHeight w:val="70" w:hRule="atLeast"/>
        </w:trPr>
        <w:tc>
          <w:tcPr>
            <w:tcW w:w="1501" w:type="dxa"/>
            <w:vMerge w:val="continue"/>
            <w:tcBorders>
              <w:top w:val="nil"/>
              <w:left w:val="single" w:color="auto" w:sz="4" w:space="0"/>
              <w:bottom w:val="single" w:color="auto" w:sz="4" w:space="0"/>
              <w:right w:val="single" w:color="auto" w:sz="4" w:space="0"/>
            </w:tcBorders>
            <w:vAlign w:val="center"/>
          </w:tcPr>
          <w:p>
            <w:pPr>
              <w:pStyle w:val="39"/>
              <w:spacing w:line="300" w:lineRule="exact"/>
              <w:jc w:val="both"/>
              <w:rPr>
                <w:rFonts w:ascii="仿宋" w:hAnsi="仿宋" w:eastAsia="仿宋"/>
                <w:bCs/>
                <w:color w:val="auto"/>
                <w:kern w:val="2"/>
              </w:rPr>
            </w:pPr>
          </w:p>
        </w:tc>
        <w:tc>
          <w:tcPr>
            <w:tcW w:w="1313" w:type="dxa"/>
            <w:tcBorders>
              <w:top w:val="nil"/>
              <w:left w:val="single" w:color="auto" w:sz="4" w:space="0"/>
              <w:bottom w:val="single" w:color="auto" w:sz="4" w:space="0"/>
              <w:right w:val="single" w:color="auto" w:sz="4" w:space="0"/>
            </w:tcBorders>
            <w:vAlign w:val="center"/>
          </w:tcPr>
          <w:p>
            <w:pPr>
              <w:pStyle w:val="39"/>
              <w:spacing w:line="300" w:lineRule="exact"/>
              <w:jc w:val="both"/>
              <w:rPr>
                <w:rFonts w:ascii="仿宋" w:hAnsi="仿宋" w:eastAsia="仿宋"/>
                <w:bCs/>
                <w:color w:val="auto"/>
                <w:kern w:val="2"/>
              </w:rPr>
            </w:pPr>
          </w:p>
        </w:tc>
        <w:tc>
          <w:tcPr>
            <w:tcW w:w="7597" w:type="dxa"/>
            <w:tcBorders>
              <w:top w:val="nil"/>
              <w:left w:val="nil"/>
              <w:bottom w:val="single" w:color="auto" w:sz="4" w:space="0"/>
              <w:right w:val="single" w:color="auto" w:sz="4" w:space="0"/>
            </w:tcBorders>
            <w:vAlign w:val="center"/>
          </w:tcPr>
          <w:p>
            <w:pPr>
              <w:pStyle w:val="39"/>
              <w:spacing w:line="300" w:lineRule="exact"/>
              <w:jc w:val="both"/>
              <w:rPr>
                <w:rFonts w:ascii="仿宋" w:hAnsi="仿宋" w:eastAsia="仿宋"/>
                <w:bCs/>
                <w:color w:val="auto"/>
                <w:kern w:val="2"/>
              </w:rPr>
            </w:pPr>
          </w:p>
        </w:tc>
      </w:tr>
      <w:tr>
        <w:tblPrEx>
          <w:tblCellMar>
            <w:top w:w="0" w:type="dxa"/>
            <w:left w:w="108" w:type="dxa"/>
            <w:bottom w:w="0" w:type="dxa"/>
            <w:right w:w="108" w:type="dxa"/>
          </w:tblCellMar>
        </w:tblPrEx>
        <w:trPr>
          <w:trHeight w:val="1520" w:hRule="atLeast"/>
        </w:trPr>
        <w:tc>
          <w:tcPr>
            <w:tcW w:w="1501" w:type="dxa"/>
            <w:vMerge w:val="continue"/>
            <w:tcBorders>
              <w:top w:val="nil"/>
              <w:left w:val="single" w:color="auto" w:sz="4" w:space="0"/>
              <w:bottom w:val="single" w:color="auto" w:sz="4" w:space="0"/>
              <w:right w:val="single" w:color="auto" w:sz="4" w:space="0"/>
            </w:tcBorders>
            <w:vAlign w:val="center"/>
          </w:tcPr>
          <w:p>
            <w:pPr>
              <w:pStyle w:val="39"/>
              <w:spacing w:line="300" w:lineRule="exact"/>
              <w:jc w:val="both"/>
              <w:rPr>
                <w:rFonts w:ascii="仿宋" w:hAnsi="仿宋" w:eastAsia="仿宋"/>
                <w:bCs/>
                <w:color w:val="auto"/>
                <w:kern w:val="2"/>
              </w:rPr>
            </w:pPr>
          </w:p>
        </w:tc>
        <w:tc>
          <w:tcPr>
            <w:tcW w:w="1313" w:type="dxa"/>
            <w:vMerge w:val="restart"/>
            <w:tcBorders>
              <w:top w:val="single" w:color="auto" w:sz="4" w:space="0"/>
              <w:left w:val="single" w:color="auto" w:sz="4" w:space="0"/>
              <w:bottom w:val="single" w:color="auto" w:sz="4" w:space="0"/>
              <w:right w:val="single" w:color="auto" w:sz="4" w:space="0"/>
            </w:tcBorders>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安全巡检服务</w:t>
            </w:r>
          </w:p>
        </w:tc>
        <w:tc>
          <w:tcPr>
            <w:tcW w:w="7597" w:type="dxa"/>
            <w:tcBorders>
              <w:top w:val="nil"/>
              <w:left w:val="nil"/>
              <w:bottom w:val="single" w:color="auto" w:sz="4" w:space="0"/>
              <w:right w:val="single" w:color="auto" w:sz="4" w:space="0"/>
            </w:tcBorders>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1、主机巡检服务：要求提供办公环境（包含卫生专网、实验室仪器电脑）、无线网及机房设备的安全巡检服务，一年</w:t>
            </w:r>
            <w:r>
              <w:rPr>
                <w:rFonts w:ascii="仿宋" w:hAnsi="仿宋" w:eastAsia="仿宋"/>
                <w:bCs/>
                <w:color w:val="auto"/>
                <w:kern w:val="2"/>
              </w:rPr>
              <w:t>不少于</w:t>
            </w:r>
            <w:r>
              <w:rPr>
                <w:rFonts w:hint="eastAsia" w:ascii="仿宋" w:hAnsi="仿宋" w:eastAsia="仿宋"/>
                <w:bCs/>
                <w:color w:val="auto"/>
                <w:kern w:val="2"/>
              </w:rPr>
              <w:t>4次。云上主机安全巡检每个季度不少于1次。提供相应巡检报告。</w:t>
            </w:r>
          </w:p>
          <w:p>
            <w:pPr>
              <w:pStyle w:val="39"/>
              <w:spacing w:line="300" w:lineRule="exact"/>
              <w:jc w:val="both"/>
              <w:rPr>
                <w:rFonts w:ascii="仿宋" w:hAnsi="仿宋" w:eastAsia="仿宋"/>
                <w:bCs/>
                <w:color w:val="auto"/>
                <w:kern w:val="2"/>
              </w:rPr>
            </w:pPr>
            <w:r>
              <w:rPr>
                <w:rFonts w:hint="eastAsia" w:ascii="东文宋体" w:hAnsi="东文宋体" w:eastAsia="东文宋体" w:cs="东文宋体"/>
                <w:bCs/>
                <w:color w:val="auto"/>
                <w:kern w:val="2"/>
              </w:rPr>
              <w:t>▲</w:t>
            </w:r>
            <w:r>
              <w:rPr>
                <w:rFonts w:hint="eastAsia" w:ascii="仿宋" w:hAnsi="仿宋" w:eastAsia="仿宋"/>
                <w:bCs/>
                <w:color w:val="auto"/>
                <w:kern w:val="2"/>
              </w:rPr>
              <w:t>2、渗透测试服务：通过应用系统所提供的功能，采用模拟黑客攻击的技术和方法，全面检测应用系统可能存在的各类安全漏洞和安全隐患，并提供修复建议，协助漏洞修复工作，避免安全漏洞被黑客恶意利用，最终保障应用系统安全、平稳、可靠运行。具体测试内容包括如SQL 注入、XSS（跨站脚本）、CRLF 注入、目录遍历、文件包含、命令执行、WebShell网页木马上传等技术漏洞，以及各类如任意密码重置、越权查询、交易金额篡改等各类逻辑漏洞。按照实际需求（不少于5个系统）现场提供一年不少于2次服务并提供相关渗透测试报告。</w:t>
            </w:r>
          </w:p>
        </w:tc>
      </w:tr>
      <w:tr>
        <w:tblPrEx>
          <w:tblCellMar>
            <w:top w:w="0" w:type="dxa"/>
            <w:left w:w="108" w:type="dxa"/>
            <w:bottom w:w="0" w:type="dxa"/>
            <w:right w:w="108" w:type="dxa"/>
          </w:tblCellMar>
        </w:tblPrEx>
        <w:trPr>
          <w:trHeight w:val="530" w:hRule="atLeast"/>
        </w:trPr>
        <w:tc>
          <w:tcPr>
            <w:tcW w:w="1501" w:type="dxa"/>
            <w:vMerge w:val="continue"/>
            <w:tcBorders>
              <w:top w:val="nil"/>
              <w:left w:val="single" w:color="auto" w:sz="4" w:space="0"/>
              <w:bottom w:val="single" w:color="auto" w:sz="4" w:space="0"/>
              <w:right w:val="single" w:color="auto" w:sz="4" w:space="0"/>
            </w:tcBorders>
            <w:vAlign w:val="center"/>
          </w:tcPr>
          <w:p>
            <w:pPr>
              <w:pStyle w:val="39"/>
              <w:spacing w:line="300" w:lineRule="exact"/>
              <w:jc w:val="both"/>
              <w:rPr>
                <w:rFonts w:ascii="仿宋" w:hAnsi="仿宋" w:eastAsia="仿宋"/>
                <w:bCs/>
                <w:color w:val="auto"/>
                <w:kern w:val="2"/>
              </w:rPr>
            </w:pPr>
          </w:p>
        </w:tc>
        <w:tc>
          <w:tcPr>
            <w:tcW w:w="1313" w:type="dxa"/>
            <w:vMerge w:val="continue"/>
            <w:tcBorders>
              <w:top w:val="nil"/>
              <w:left w:val="single" w:color="auto" w:sz="4" w:space="0"/>
              <w:bottom w:val="single" w:color="auto" w:sz="4" w:space="0"/>
              <w:right w:val="single" w:color="auto" w:sz="4" w:space="0"/>
            </w:tcBorders>
            <w:vAlign w:val="center"/>
          </w:tcPr>
          <w:p>
            <w:pPr>
              <w:pStyle w:val="39"/>
              <w:spacing w:line="300" w:lineRule="exact"/>
              <w:jc w:val="both"/>
              <w:rPr>
                <w:rFonts w:ascii="仿宋" w:hAnsi="仿宋" w:eastAsia="仿宋"/>
                <w:bCs/>
                <w:color w:val="auto"/>
                <w:kern w:val="2"/>
              </w:rPr>
            </w:pPr>
          </w:p>
        </w:tc>
        <w:tc>
          <w:tcPr>
            <w:tcW w:w="7597" w:type="dxa"/>
            <w:tcBorders>
              <w:top w:val="nil"/>
              <w:left w:val="nil"/>
              <w:bottom w:val="single" w:color="auto" w:sz="4" w:space="0"/>
              <w:right w:val="single" w:color="auto" w:sz="4" w:space="0"/>
            </w:tcBorders>
            <w:vAlign w:val="center"/>
          </w:tcPr>
          <w:p>
            <w:pPr>
              <w:pStyle w:val="39"/>
              <w:spacing w:line="300" w:lineRule="exact"/>
              <w:jc w:val="both"/>
              <w:rPr>
                <w:rFonts w:ascii="仿宋" w:hAnsi="仿宋" w:eastAsia="仿宋"/>
                <w:bCs/>
                <w:color w:val="auto"/>
                <w:kern w:val="2"/>
              </w:rPr>
            </w:pPr>
            <w:r>
              <w:rPr>
                <w:rFonts w:hint="eastAsia" w:ascii="东文宋体" w:hAnsi="东文宋体" w:eastAsia="东文宋体" w:cs="东文宋体"/>
                <w:bCs/>
                <w:color w:val="auto"/>
                <w:kern w:val="2"/>
              </w:rPr>
              <w:t>▲</w:t>
            </w:r>
            <w:r>
              <w:rPr>
                <w:rFonts w:hint="eastAsia" w:ascii="仿宋" w:hAnsi="仿宋" w:eastAsia="仿宋"/>
                <w:bCs/>
                <w:color w:val="auto"/>
                <w:kern w:val="2"/>
              </w:rPr>
              <w:t>3、漏洞扫描服务：使用漏洞评估工具检测网络设备、操作系统、数据库和应用服务中存在的安全漏洞。检测范围包含卫生专网、电子政务网及互联网区。按需提供每季度不少于1次服务并提供漏洞评估报告和修复。</w:t>
            </w:r>
          </w:p>
        </w:tc>
      </w:tr>
      <w:tr>
        <w:tblPrEx>
          <w:tblCellMar>
            <w:top w:w="0" w:type="dxa"/>
            <w:left w:w="108" w:type="dxa"/>
            <w:bottom w:w="0" w:type="dxa"/>
            <w:right w:w="108" w:type="dxa"/>
          </w:tblCellMar>
        </w:tblPrEx>
        <w:trPr>
          <w:trHeight w:val="1480" w:hRule="atLeast"/>
        </w:trPr>
        <w:tc>
          <w:tcPr>
            <w:tcW w:w="1501" w:type="dxa"/>
            <w:vMerge w:val="continue"/>
            <w:tcBorders>
              <w:top w:val="nil"/>
              <w:left w:val="single" w:color="auto" w:sz="4" w:space="0"/>
              <w:bottom w:val="single" w:color="auto" w:sz="4" w:space="0"/>
              <w:right w:val="single" w:color="auto" w:sz="4" w:space="0"/>
            </w:tcBorders>
            <w:vAlign w:val="center"/>
          </w:tcPr>
          <w:p>
            <w:pPr>
              <w:pStyle w:val="39"/>
              <w:spacing w:line="300" w:lineRule="exact"/>
              <w:jc w:val="both"/>
              <w:rPr>
                <w:rFonts w:ascii="仿宋" w:hAnsi="仿宋" w:eastAsia="仿宋"/>
                <w:bCs/>
                <w:color w:val="auto"/>
                <w:kern w:val="2"/>
              </w:rPr>
            </w:pPr>
          </w:p>
        </w:tc>
        <w:tc>
          <w:tcPr>
            <w:tcW w:w="1313" w:type="dxa"/>
            <w:tcBorders>
              <w:top w:val="nil"/>
              <w:left w:val="nil"/>
              <w:bottom w:val="single" w:color="auto" w:sz="4" w:space="0"/>
              <w:right w:val="single" w:color="auto" w:sz="4" w:space="0"/>
            </w:tcBorders>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应急响应服务</w:t>
            </w:r>
          </w:p>
        </w:tc>
        <w:tc>
          <w:tcPr>
            <w:tcW w:w="7597" w:type="dxa"/>
            <w:tcBorders>
              <w:top w:val="nil"/>
              <w:left w:val="nil"/>
              <w:bottom w:val="single" w:color="auto" w:sz="4" w:space="0"/>
              <w:right w:val="single" w:color="auto" w:sz="4" w:space="0"/>
            </w:tcBorders>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要求按照用户单位实际情况制定网络与信息安全应急预案。遇到突发安全事件后按照应急预案通过采取专业的安全措施和行动，并对已经发生的安全事件进行监控、分析、协调、处理、保护资产等安全属性的工作，保障用户的网络安全，尽可能的减少安全事件所带来的经济损失以及恶劣的社会负面影响。</w:t>
            </w:r>
          </w:p>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应急响应的服务内容包括如网站服务不可用事件、网页信息篡改事件、服务器/终端后门发现事件、病毒爆发事件、其它各类安全问题。按需提供不限次数服务。</w:t>
            </w:r>
          </w:p>
        </w:tc>
      </w:tr>
      <w:tr>
        <w:tblPrEx>
          <w:tblCellMar>
            <w:top w:w="0" w:type="dxa"/>
            <w:left w:w="108" w:type="dxa"/>
            <w:bottom w:w="0" w:type="dxa"/>
            <w:right w:w="108" w:type="dxa"/>
          </w:tblCellMar>
        </w:tblPrEx>
        <w:trPr>
          <w:trHeight w:val="1570" w:hRule="atLeast"/>
        </w:trPr>
        <w:tc>
          <w:tcPr>
            <w:tcW w:w="1501" w:type="dxa"/>
            <w:vMerge w:val="continue"/>
            <w:tcBorders>
              <w:top w:val="nil"/>
              <w:left w:val="single" w:color="auto" w:sz="4" w:space="0"/>
              <w:bottom w:val="single" w:color="auto" w:sz="4" w:space="0"/>
              <w:right w:val="single" w:color="auto" w:sz="4" w:space="0"/>
            </w:tcBorders>
            <w:vAlign w:val="center"/>
          </w:tcPr>
          <w:p>
            <w:pPr>
              <w:pStyle w:val="39"/>
              <w:spacing w:line="300" w:lineRule="exact"/>
              <w:jc w:val="both"/>
              <w:rPr>
                <w:rFonts w:ascii="仿宋" w:hAnsi="仿宋" w:eastAsia="仿宋"/>
                <w:bCs/>
                <w:color w:val="auto"/>
                <w:kern w:val="2"/>
              </w:rPr>
            </w:pPr>
          </w:p>
        </w:tc>
        <w:tc>
          <w:tcPr>
            <w:tcW w:w="1313" w:type="dxa"/>
            <w:tcBorders>
              <w:top w:val="nil"/>
              <w:left w:val="nil"/>
              <w:bottom w:val="single" w:color="auto" w:sz="4" w:space="0"/>
              <w:right w:val="single" w:color="auto" w:sz="4" w:space="0"/>
            </w:tcBorders>
            <w:vAlign w:val="center"/>
          </w:tcPr>
          <w:p>
            <w:pPr>
              <w:pStyle w:val="39"/>
              <w:spacing w:line="300" w:lineRule="exact"/>
              <w:jc w:val="both"/>
              <w:rPr>
                <w:rFonts w:ascii="仿宋" w:hAnsi="仿宋" w:eastAsia="仿宋"/>
                <w:bCs/>
                <w:color w:val="auto"/>
                <w:kern w:val="2"/>
              </w:rPr>
            </w:pPr>
            <w:r>
              <w:rPr>
                <w:rFonts w:hint="eastAsia" w:ascii="东文宋体" w:hAnsi="东文宋体" w:eastAsia="东文宋体" w:cs="东文宋体"/>
                <w:bCs/>
                <w:color w:val="auto"/>
                <w:kern w:val="2"/>
              </w:rPr>
              <w:t>▲</w:t>
            </w:r>
            <w:r>
              <w:rPr>
                <w:rFonts w:hint="eastAsia" w:ascii="仿宋" w:hAnsi="仿宋" w:eastAsia="仿宋"/>
                <w:bCs/>
                <w:color w:val="auto"/>
                <w:kern w:val="2"/>
              </w:rPr>
              <w:t>重保服务</w:t>
            </w:r>
          </w:p>
        </w:tc>
        <w:tc>
          <w:tcPr>
            <w:tcW w:w="7597" w:type="dxa"/>
            <w:tcBorders>
              <w:top w:val="nil"/>
              <w:left w:val="nil"/>
              <w:bottom w:val="single" w:color="auto" w:sz="4" w:space="0"/>
              <w:right w:val="single" w:color="auto" w:sz="4" w:space="0"/>
            </w:tcBorders>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在国家重要活动、会议时期现场重保组织架构设计、安全检查、积极防御、实时检测、响应处置、攻击预测等安全服务。及时发现重要保障时期被保障单位信息系统可能存在的安全风险，安全防御体系可能存在的薄弱环节，协助修复，提升安全防御能力，确保重要活动、会议从筹备到执行期间的关键信息系统和数据资产安全。要求免费提供威胁态势感知设备上门提供全流量安全事件监测服务。对镜像全流量数据进行安全威胁分析，及时发现网络中存在的安全威胁和事件，特别是高级持续性威胁并及时处置和整改。必要时提供</w:t>
            </w:r>
            <w:r>
              <w:rPr>
                <w:rFonts w:ascii="仿宋" w:hAnsi="仿宋" w:eastAsia="仿宋"/>
                <w:bCs/>
                <w:color w:val="auto"/>
                <w:kern w:val="2"/>
              </w:rPr>
              <w:t>驻点服务，</w:t>
            </w:r>
            <w:r>
              <w:rPr>
                <w:rFonts w:hint="eastAsia" w:ascii="仿宋" w:hAnsi="仿宋" w:eastAsia="仿宋"/>
                <w:bCs/>
                <w:color w:val="auto"/>
                <w:kern w:val="2"/>
              </w:rPr>
              <w:t>要求每年按需提供不限次数服务。</w:t>
            </w:r>
          </w:p>
        </w:tc>
      </w:tr>
      <w:tr>
        <w:tblPrEx>
          <w:tblCellMar>
            <w:top w:w="0" w:type="dxa"/>
            <w:left w:w="108" w:type="dxa"/>
            <w:bottom w:w="0" w:type="dxa"/>
            <w:right w:w="108" w:type="dxa"/>
          </w:tblCellMar>
        </w:tblPrEx>
        <w:trPr>
          <w:trHeight w:val="2747" w:hRule="atLeast"/>
        </w:trPr>
        <w:tc>
          <w:tcPr>
            <w:tcW w:w="1501" w:type="dxa"/>
            <w:vMerge w:val="restart"/>
            <w:tcBorders>
              <w:top w:val="nil"/>
              <w:left w:val="single" w:color="auto" w:sz="4" w:space="0"/>
              <w:bottom w:val="single" w:color="auto" w:sz="4" w:space="0"/>
              <w:right w:val="single" w:color="auto" w:sz="4" w:space="0"/>
            </w:tcBorders>
            <w:shd w:val="clear" w:color="auto" w:fill="auto"/>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应用安全服务</w:t>
            </w:r>
          </w:p>
        </w:tc>
        <w:tc>
          <w:tcPr>
            <w:tcW w:w="1313" w:type="dxa"/>
            <w:tcBorders>
              <w:top w:val="nil"/>
              <w:left w:val="nil"/>
              <w:bottom w:val="single" w:color="auto" w:sz="4" w:space="0"/>
              <w:right w:val="single" w:color="auto" w:sz="4" w:space="0"/>
            </w:tcBorders>
            <w:shd w:val="clear" w:color="000000" w:fill="FFFFFF"/>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安全加固服务</w:t>
            </w:r>
          </w:p>
        </w:tc>
        <w:tc>
          <w:tcPr>
            <w:tcW w:w="7597" w:type="dxa"/>
            <w:tcBorders>
              <w:top w:val="nil"/>
              <w:left w:val="nil"/>
              <w:bottom w:val="single" w:color="auto" w:sz="4" w:space="0"/>
              <w:right w:val="single" w:color="auto" w:sz="4" w:space="0"/>
            </w:tcBorders>
            <w:shd w:val="clear" w:color="000000" w:fill="FFFFFF"/>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针对电子政务云上及本地机房的服务器主机的前期渗透、巡检、各类风险评估等检查工作形成的安全建议报告，提供服务器主机安全及管理服务。帮助用户单位进行信息系统安全加固，加强风险抵抗能力。</w:t>
            </w:r>
            <w:r>
              <w:rPr>
                <w:rFonts w:hint="eastAsia" w:ascii="仿宋" w:hAnsi="仿宋" w:eastAsia="仿宋"/>
                <w:bCs/>
                <w:color w:val="auto"/>
                <w:kern w:val="2"/>
              </w:rPr>
              <w:br w:type="textWrapping"/>
            </w:r>
            <w:r>
              <w:rPr>
                <w:rFonts w:hint="eastAsia" w:ascii="仿宋" w:hAnsi="仿宋" w:eastAsia="仿宋"/>
                <w:bCs/>
                <w:color w:val="auto"/>
                <w:kern w:val="2"/>
              </w:rPr>
              <w:t>1、要求提供主机的东西流量隔离，可对虚拟机之间的访问进行细颗粒度的权限控制。</w:t>
            </w:r>
            <w:r>
              <w:rPr>
                <w:rFonts w:hint="eastAsia" w:ascii="仿宋" w:hAnsi="仿宋" w:eastAsia="仿宋"/>
                <w:bCs/>
                <w:color w:val="auto"/>
                <w:kern w:val="2"/>
              </w:rPr>
              <w:br w:type="textWrapping"/>
            </w:r>
            <w:r>
              <w:rPr>
                <w:rFonts w:hint="eastAsia" w:ascii="仿宋" w:hAnsi="仿宋" w:eastAsia="仿宋"/>
                <w:bCs/>
                <w:color w:val="auto"/>
                <w:kern w:val="2"/>
              </w:rPr>
              <w:t>2、通过静态语法分析和动态行为分析相结合的检测手段，对网站目录下所有文件进行深入检测，对加密木马进行检测。</w:t>
            </w:r>
            <w:r>
              <w:rPr>
                <w:rFonts w:hint="eastAsia" w:ascii="仿宋" w:hAnsi="仿宋" w:eastAsia="仿宋"/>
                <w:bCs/>
                <w:color w:val="auto"/>
                <w:kern w:val="2"/>
              </w:rPr>
              <w:br w:type="textWrapping"/>
            </w:r>
            <w:r>
              <w:rPr>
                <w:rFonts w:hint="eastAsia" w:ascii="东文宋体" w:hAnsi="东文宋体" w:eastAsia="东文宋体" w:cs="东文宋体"/>
                <w:bCs/>
                <w:color w:val="auto"/>
                <w:kern w:val="2"/>
              </w:rPr>
              <w:t>▲</w:t>
            </w:r>
            <w:r>
              <w:rPr>
                <w:rFonts w:hint="eastAsia" w:ascii="仿宋" w:hAnsi="仿宋" w:eastAsia="仿宋"/>
                <w:bCs/>
                <w:color w:val="auto"/>
                <w:kern w:val="2"/>
              </w:rPr>
              <w:t>3、要求检测规则支持五个任意维度（任意地理位置，任意IP，任意域名，任意计算机名，任意时间）的系统登陆访问策略设置；</w:t>
            </w:r>
            <w:r>
              <w:rPr>
                <w:rFonts w:hint="eastAsia" w:ascii="仿宋" w:hAnsi="仿宋" w:eastAsia="仿宋"/>
                <w:bCs/>
                <w:color w:val="auto"/>
                <w:kern w:val="2"/>
              </w:rPr>
              <w:br w:type="textWrapping"/>
            </w:r>
            <w:r>
              <w:rPr>
                <w:rFonts w:hint="eastAsia" w:ascii="仿宋" w:hAnsi="仿宋" w:eastAsia="仿宋"/>
                <w:bCs/>
                <w:color w:val="auto"/>
                <w:kern w:val="2"/>
              </w:rPr>
              <w:t>要求按需提供每季度不少于1次服务并提供整改加固报告。</w:t>
            </w:r>
            <w:r>
              <w:rPr>
                <w:rFonts w:hint="eastAsia" w:ascii="仿宋" w:hAnsi="仿宋" w:eastAsia="仿宋"/>
                <w:bCs/>
                <w:color w:val="auto"/>
                <w:kern w:val="2"/>
              </w:rPr>
              <w:br w:type="textWrapping"/>
            </w:r>
            <w:r>
              <w:rPr>
                <w:rFonts w:hint="eastAsia" w:ascii="仿宋" w:hAnsi="仿宋" w:eastAsia="仿宋"/>
                <w:bCs/>
                <w:color w:val="auto"/>
                <w:kern w:val="2"/>
              </w:rPr>
              <w:t>4、提供防暴力破解服务可发现勒索病毒的东西向传播行为。</w:t>
            </w:r>
            <w:r>
              <w:rPr>
                <w:rFonts w:hint="eastAsia" w:ascii="仿宋" w:hAnsi="仿宋" w:eastAsia="仿宋"/>
                <w:bCs/>
                <w:color w:val="auto"/>
                <w:kern w:val="2"/>
              </w:rPr>
              <w:br w:type="textWrapping"/>
            </w:r>
            <w:r>
              <w:rPr>
                <w:rFonts w:hint="eastAsia" w:ascii="仿宋" w:hAnsi="仿宋" w:eastAsia="仿宋"/>
                <w:bCs/>
                <w:color w:val="auto"/>
                <w:kern w:val="2"/>
              </w:rPr>
              <w:t>5、支持自动锁定恶意的端口扫描行为并记录告警，防止端口被利用传播勒索病毒。</w:t>
            </w:r>
            <w:r>
              <w:rPr>
                <w:rFonts w:hint="eastAsia" w:ascii="仿宋" w:hAnsi="仿宋" w:eastAsia="仿宋"/>
                <w:bCs/>
                <w:color w:val="auto"/>
                <w:kern w:val="2"/>
              </w:rPr>
              <w:br w:type="textWrapping"/>
            </w:r>
            <w:r>
              <w:rPr>
                <w:rFonts w:hint="eastAsia" w:ascii="仿宋" w:hAnsi="仿宋" w:eastAsia="仿宋"/>
                <w:bCs/>
                <w:color w:val="auto"/>
                <w:kern w:val="2"/>
              </w:rPr>
              <w:t>6、支持流量画像，支持全网流量可视化，应用及流量可视化；要求按需提供不少于每季度1次服务并提供安全加固报告。</w:t>
            </w:r>
          </w:p>
        </w:tc>
      </w:tr>
      <w:tr>
        <w:tblPrEx>
          <w:tblCellMar>
            <w:top w:w="0" w:type="dxa"/>
            <w:left w:w="108" w:type="dxa"/>
            <w:bottom w:w="0" w:type="dxa"/>
            <w:right w:w="108" w:type="dxa"/>
          </w:tblCellMar>
        </w:tblPrEx>
        <w:trPr>
          <w:trHeight w:val="1440" w:hRule="atLeast"/>
        </w:trPr>
        <w:tc>
          <w:tcPr>
            <w:tcW w:w="1501" w:type="dxa"/>
            <w:vMerge w:val="continue"/>
            <w:tcBorders>
              <w:top w:val="nil"/>
              <w:left w:val="single" w:color="auto" w:sz="4" w:space="0"/>
              <w:bottom w:val="single" w:color="auto" w:sz="4" w:space="0"/>
              <w:right w:val="single" w:color="auto" w:sz="4" w:space="0"/>
            </w:tcBorders>
            <w:vAlign w:val="center"/>
          </w:tcPr>
          <w:p>
            <w:pPr>
              <w:pStyle w:val="39"/>
              <w:spacing w:line="300" w:lineRule="exact"/>
              <w:jc w:val="both"/>
              <w:rPr>
                <w:rFonts w:ascii="仿宋" w:hAnsi="仿宋" w:eastAsia="仿宋"/>
                <w:bCs/>
                <w:color w:val="auto"/>
                <w:kern w:val="2"/>
              </w:rPr>
            </w:pPr>
          </w:p>
        </w:tc>
        <w:tc>
          <w:tcPr>
            <w:tcW w:w="1313" w:type="dxa"/>
            <w:vMerge w:val="restart"/>
            <w:tcBorders>
              <w:top w:val="nil"/>
              <w:left w:val="single" w:color="auto" w:sz="4" w:space="0"/>
              <w:bottom w:val="single" w:color="auto" w:sz="4" w:space="0"/>
              <w:right w:val="single" w:color="auto" w:sz="4" w:space="0"/>
            </w:tcBorders>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安全评估服务</w:t>
            </w:r>
          </w:p>
        </w:tc>
        <w:tc>
          <w:tcPr>
            <w:tcW w:w="7597" w:type="dxa"/>
            <w:tcBorders>
              <w:top w:val="nil"/>
              <w:left w:val="nil"/>
              <w:bottom w:val="single" w:color="auto" w:sz="4" w:space="0"/>
              <w:right w:val="single" w:color="auto" w:sz="4" w:space="0"/>
            </w:tcBorders>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1、通过安全基线评估服务，发现各类服务器（包含云上主机）、网络设备、安全设备和手机端等IT设备自身存在的安全配置缺陷和薄弱环节，并对发现的脆弱性进行识别、分析、修补、检验，消除、降低IT设备的高、中风险隐患，防范安全事件发生，避免信息系统脆弱性被非法利用，增强信息系统安全防范能力，保障业务的可持续性。</w:t>
            </w:r>
            <w:r>
              <w:rPr>
                <w:rFonts w:hint="eastAsia" w:ascii="仿宋" w:hAnsi="仿宋" w:eastAsia="仿宋"/>
                <w:bCs/>
                <w:color w:val="auto"/>
                <w:kern w:val="2"/>
              </w:rPr>
              <w:br w:type="textWrapping"/>
            </w:r>
            <w:r>
              <w:rPr>
                <w:rFonts w:hint="eastAsia" w:ascii="仿宋" w:hAnsi="仿宋" w:eastAsia="仿宋"/>
                <w:bCs/>
                <w:color w:val="auto"/>
                <w:kern w:val="2"/>
              </w:rPr>
              <w:t>安全基线评估内容包括：操作系统、数据库、Web服务器、中间件等。</w:t>
            </w:r>
            <w:r>
              <w:rPr>
                <w:rFonts w:hint="eastAsia" w:ascii="仿宋" w:hAnsi="仿宋" w:eastAsia="仿宋"/>
                <w:bCs/>
                <w:color w:val="auto"/>
                <w:kern w:val="2"/>
              </w:rPr>
              <w:br w:type="textWrapping"/>
            </w:r>
            <w:r>
              <w:rPr>
                <w:rFonts w:hint="eastAsia" w:ascii="仿宋" w:hAnsi="仿宋" w:eastAsia="仿宋"/>
                <w:bCs/>
                <w:color w:val="auto"/>
                <w:kern w:val="2"/>
              </w:rPr>
              <w:t>要求按需提供每半年不少于1次服务并提供评估报告。</w:t>
            </w:r>
          </w:p>
        </w:tc>
      </w:tr>
      <w:tr>
        <w:tblPrEx>
          <w:tblCellMar>
            <w:top w:w="0" w:type="dxa"/>
            <w:left w:w="108" w:type="dxa"/>
            <w:bottom w:w="0" w:type="dxa"/>
            <w:right w:w="108" w:type="dxa"/>
          </w:tblCellMar>
        </w:tblPrEx>
        <w:trPr>
          <w:trHeight w:val="960" w:hRule="atLeast"/>
        </w:trPr>
        <w:tc>
          <w:tcPr>
            <w:tcW w:w="1501" w:type="dxa"/>
            <w:vMerge w:val="continue"/>
            <w:tcBorders>
              <w:top w:val="nil"/>
              <w:left w:val="single" w:color="auto" w:sz="4" w:space="0"/>
              <w:bottom w:val="single" w:color="auto" w:sz="4" w:space="0"/>
              <w:right w:val="single" w:color="auto" w:sz="4" w:space="0"/>
            </w:tcBorders>
            <w:vAlign w:val="center"/>
          </w:tcPr>
          <w:p>
            <w:pPr>
              <w:pStyle w:val="39"/>
              <w:spacing w:line="300" w:lineRule="exact"/>
              <w:jc w:val="both"/>
              <w:rPr>
                <w:rFonts w:ascii="仿宋" w:hAnsi="仿宋" w:eastAsia="仿宋"/>
                <w:bCs/>
                <w:color w:val="auto"/>
                <w:kern w:val="2"/>
              </w:rPr>
            </w:pPr>
          </w:p>
        </w:tc>
        <w:tc>
          <w:tcPr>
            <w:tcW w:w="1313" w:type="dxa"/>
            <w:vMerge w:val="continue"/>
            <w:tcBorders>
              <w:top w:val="nil"/>
              <w:left w:val="single" w:color="auto" w:sz="4" w:space="0"/>
              <w:bottom w:val="single" w:color="auto" w:sz="4" w:space="0"/>
              <w:right w:val="single" w:color="auto" w:sz="4" w:space="0"/>
            </w:tcBorders>
            <w:vAlign w:val="center"/>
          </w:tcPr>
          <w:p>
            <w:pPr>
              <w:pStyle w:val="39"/>
              <w:spacing w:line="300" w:lineRule="exact"/>
              <w:jc w:val="both"/>
              <w:rPr>
                <w:rFonts w:ascii="仿宋" w:hAnsi="仿宋" w:eastAsia="仿宋"/>
                <w:bCs/>
                <w:color w:val="auto"/>
                <w:kern w:val="2"/>
              </w:rPr>
            </w:pPr>
          </w:p>
        </w:tc>
        <w:tc>
          <w:tcPr>
            <w:tcW w:w="7597" w:type="dxa"/>
            <w:tcBorders>
              <w:top w:val="nil"/>
              <w:left w:val="nil"/>
              <w:bottom w:val="single" w:color="auto" w:sz="4" w:space="0"/>
              <w:right w:val="single" w:color="auto" w:sz="4" w:space="0"/>
            </w:tcBorders>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2、通过弱口令扫描工具对内部网络中各类协议进行安全扫描，发现弱口令或者默认口令问题。</w:t>
            </w:r>
            <w:r>
              <w:rPr>
                <w:rFonts w:hint="eastAsia" w:ascii="仿宋" w:hAnsi="仿宋" w:eastAsia="仿宋"/>
                <w:bCs/>
                <w:color w:val="auto"/>
                <w:kern w:val="2"/>
              </w:rPr>
              <w:br w:type="textWrapping"/>
            </w:r>
            <w:r>
              <w:rPr>
                <w:rFonts w:hint="eastAsia" w:ascii="仿宋" w:hAnsi="仿宋" w:eastAsia="仿宋"/>
                <w:bCs/>
                <w:color w:val="auto"/>
                <w:kern w:val="2"/>
              </w:rPr>
              <w:t>弱口令扫描服务内容包括：web、ftp、rdp、telnet等。发现单位内部用户、系统的弱口令风险。</w:t>
            </w:r>
            <w:r>
              <w:rPr>
                <w:rFonts w:hint="eastAsia" w:ascii="仿宋" w:hAnsi="仿宋" w:eastAsia="仿宋"/>
                <w:bCs/>
                <w:color w:val="auto"/>
                <w:kern w:val="2"/>
              </w:rPr>
              <w:br w:type="textWrapping"/>
            </w:r>
            <w:r>
              <w:rPr>
                <w:rFonts w:hint="eastAsia" w:ascii="仿宋" w:hAnsi="仿宋" w:eastAsia="仿宋"/>
                <w:bCs/>
                <w:color w:val="auto"/>
                <w:kern w:val="2"/>
              </w:rPr>
              <w:t>要求按需提供每半年不少于1次服务并提供评估报告。。</w:t>
            </w:r>
          </w:p>
        </w:tc>
      </w:tr>
      <w:tr>
        <w:tblPrEx>
          <w:tblCellMar>
            <w:top w:w="0" w:type="dxa"/>
            <w:left w:w="108" w:type="dxa"/>
            <w:bottom w:w="0" w:type="dxa"/>
            <w:right w:w="108" w:type="dxa"/>
          </w:tblCellMar>
        </w:tblPrEx>
        <w:trPr>
          <w:trHeight w:val="480" w:hRule="atLeast"/>
        </w:trPr>
        <w:tc>
          <w:tcPr>
            <w:tcW w:w="1501" w:type="dxa"/>
            <w:vMerge w:val="continue"/>
            <w:tcBorders>
              <w:top w:val="nil"/>
              <w:left w:val="single" w:color="auto" w:sz="4" w:space="0"/>
              <w:bottom w:val="single" w:color="auto" w:sz="4" w:space="0"/>
              <w:right w:val="single" w:color="auto" w:sz="4" w:space="0"/>
            </w:tcBorders>
            <w:vAlign w:val="center"/>
          </w:tcPr>
          <w:p>
            <w:pPr>
              <w:pStyle w:val="39"/>
              <w:spacing w:line="300" w:lineRule="exact"/>
              <w:jc w:val="both"/>
              <w:rPr>
                <w:rFonts w:ascii="仿宋" w:hAnsi="仿宋" w:eastAsia="仿宋"/>
                <w:bCs/>
                <w:color w:val="auto"/>
                <w:kern w:val="2"/>
              </w:rPr>
            </w:pPr>
          </w:p>
        </w:tc>
        <w:tc>
          <w:tcPr>
            <w:tcW w:w="1313" w:type="dxa"/>
            <w:tcBorders>
              <w:top w:val="nil"/>
              <w:left w:val="nil"/>
              <w:bottom w:val="single" w:color="auto" w:sz="4" w:space="0"/>
              <w:right w:val="single" w:color="auto" w:sz="4" w:space="0"/>
            </w:tcBorders>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安全咨询服务</w:t>
            </w:r>
          </w:p>
        </w:tc>
        <w:tc>
          <w:tcPr>
            <w:tcW w:w="7597" w:type="dxa"/>
            <w:tcBorders>
              <w:top w:val="nil"/>
              <w:left w:val="nil"/>
              <w:bottom w:val="single" w:color="auto" w:sz="4" w:space="0"/>
              <w:right w:val="single" w:color="auto" w:sz="4" w:space="0"/>
            </w:tcBorders>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为用户单位制定网络安全整体规划，开展网络安全专项咨询，实现从被动防御到主动防御的转变，应对数字化转型带来的新型安全威胁。按需提供不限制次数咨询服务并提供咨询报告。</w:t>
            </w:r>
          </w:p>
        </w:tc>
      </w:tr>
      <w:tr>
        <w:tblPrEx>
          <w:tblCellMar>
            <w:top w:w="0" w:type="dxa"/>
            <w:left w:w="108" w:type="dxa"/>
            <w:bottom w:w="0" w:type="dxa"/>
            <w:right w:w="108" w:type="dxa"/>
          </w:tblCellMar>
        </w:tblPrEx>
        <w:trPr>
          <w:trHeight w:val="480" w:hRule="atLeast"/>
        </w:trPr>
        <w:tc>
          <w:tcPr>
            <w:tcW w:w="1501" w:type="dxa"/>
            <w:vMerge w:val="continue"/>
            <w:tcBorders>
              <w:top w:val="nil"/>
              <w:left w:val="single" w:color="auto" w:sz="4" w:space="0"/>
              <w:bottom w:val="single" w:color="auto" w:sz="4" w:space="0"/>
              <w:right w:val="single" w:color="auto" w:sz="4" w:space="0"/>
            </w:tcBorders>
            <w:vAlign w:val="center"/>
          </w:tcPr>
          <w:p>
            <w:pPr>
              <w:pStyle w:val="39"/>
              <w:spacing w:line="300" w:lineRule="exact"/>
              <w:jc w:val="both"/>
              <w:rPr>
                <w:rFonts w:ascii="仿宋" w:hAnsi="仿宋" w:eastAsia="仿宋"/>
                <w:bCs/>
                <w:color w:val="auto"/>
                <w:kern w:val="2"/>
              </w:rPr>
            </w:pPr>
          </w:p>
        </w:tc>
        <w:tc>
          <w:tcPr>
            <w:tcW w:w="1313" w:type="dxa"/>
            <w:tcBorders>
              <w:top w:val="nil"/>
              <w:left w:val="nil"/>
              <w:bottom w:val="single" w:color="auto" w:sz="4" w:space="0"/>
              <w:right w:val="single" w:color="auto" w:sz="4" w:space="0"/>
            </w:tcBorders>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新系统上线安全测试服务</w:t>
            </w:r>
          </w:p>
        </w:tc>
        <w:tc>
          <w:tcPr>
            <w:tcW w:w="7597" w:type="dxa"/>
            <w:tcBorders>
              <w:top w:val="nil"/>
              <w:left w:val="nil"/>
              <w:bottom w:val="single" w:color="auto" w:sz="4" w:space="0"/>
              <w:right w:val="single" w:color="auto" w:sz="4" w:space="0"/>
            </w:tcBorders>
            <w:vAlign w:val="center"/>
          </w:tcPr>
          <w:p>
            <w:pPr>
              <w:pStyle w:val="39"/>
              <w:spacing w:line="300" w:lineRule="exact"/>
              <w:jc w:val="both"/>
              <w:rPr>
                <w:rFonts w:ascii="仿宋" w:hAnsi="仿宋" w:eastAsia="仿宋"/>
                <w:bCs/>
                <w:color w:val="auto"/>
                <w:kern w:val="2"/>
              </w:rPr>
            </w:pPr>
            <w:r>
              <w:rPr>
                <w:rFonts w:hint="eastAsia" w:ascii="东文宋体" w:hAnsi="东文宋体" w:eastAsia="东文宋体" w:cs="东文宋体"/>
                <w:bCs/>
                <w:color w:val="auto"/>
                <w:kern w:val="2"/>
              </w:rPr>
              <w:t>▲</w:t>
            </w:r>
            <w:r>
              <w:rPr>
                <w:rFonts w:hint="eastAsia" w:ascii="仿宋" w:hAnsi="仿宋" w:eastAsia="仿宋"/>
                <w:bCs/>
                <w:color w:val="auto"/>
                <w:kern w:val="2"/>
              </w:rPr>
              <w:t>针对新系统上线前按需提供不限次数漏洞扫描、弱口令扫描、安全基线核查服务，并提供相应检查及整改加固报告。</w:t>
            </w:r>
          </w:p>
        </w:tc>
      </w:tr>
      <w:tr>
        <w:tblPrEx>
          <w:tblCellMar>
            <w:top w:w="0" w:type="dxa"/>
            <w:left w:w="108" w:type="dxa"/>
            <w:bottom w:w="0" w:type="dxa"/>
            <w:right w:w="108" w:type="dxa"/>
          </w:tblCellMar>
        </w:tblPrEx>
        <w:trPr>
          <w:trHeight w:val="480" w:hRule="atLeast"/>
        </w:trPr>
        <w:tc>
          <w:tcPr>
            <w:tcW w:w="1501" w:type="dxa"/>
            <w:vMerge w:val="continue"/>
            <w:tcBorders>
              <w:top w:val="nil"/>
              <w:left w:val="single" w:color="auto" w:sz="4" w:space="0"/>
              <w:bottom w:val="single" w:color="auto" w:sz="4" w:space="0"/>
              <w:right w:val="single" w:color="auto" w:sz="4" w:space="0"/>
            </w:tcBorders>
            <w:vAlign w:val="center"/>
          </w:tcPr>
          <w:p>
            <w:pPr>
              <w:pStyle w:val="39"/>
              <w:spacing w:line="300" w:lineRule="exact"/>
              <w:jc w:val="both"/>
              <w:rPr>
                <w:rFonts w:ascii="仿宋" w:hAnsi="仿宋" w:eastAsia="仿宋"/>
                <w:bCs/>
                <w:color w:val="auto"/>
                <w:kern w:val="2"/>
              </w:rPr>
            </w:pPr>
          </w:p>
        </w:tc>
        <w:tc>
          <w:tcPr>
            <w:tcW w:w="1313" w:type="dxa"/>
            <w:tcBorders>
              <w:top w:val="nil"/>
              <w:left w:val="nil"/>
              <w:bottom w:val="single" w:color="auto" w:sz="4" w:space="0"/>
              <w:right w:val="single" w:color="auto" w:sz="4" w:space="0"/>
            </w:tcBorders>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安全意识培训服务</w:t>
            </w:r>
          </w:p>
        </w:tc>
        <w:tc>
          <w:tcPr>
            <w:tcW w:w="7597" w:type="dxa"/>
            <w:tcBorders>
              <w:top w:val="nil"/>
              <w:left w:val="nil"/>
              <w:bottom w:val="single" w:color="auto" w:sz="4" w:space="0"/>
              <w:right w:val="single" w:color="auto" w:sz="4" w:space="0"/>
            </w:tcBorders>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要求提供每年1场的全员安全意识现场培训。通过安全培训，提升单位人员的安全意识、安全技能、人员资质等，提高单位网络安全建设、运维水平。</w:t>
            </w:r>
          </w:p>
        </w:tc>
      </w:tr>
      <w:tr>
        <w:tblPrEx>
          <w:tblCellMar>
            <w:top w:w="0" w:type="dxa"/>
            <w:left w:w="108" w:type="dxa"/>
            <w:bottom w:w="0" w:type="dxa"/>
            <w:right w:w="108" w:type="dxa"/>
          </w:tblCellMar>
        </w:tblPrEx>
        <w:trPr>
          <w:trHeight w:val="1660" w:hRule="atLeast"/>
        </w:trPr>
        <w:tc>
          <w:tcPr>
            <w:tcW w:w="1501" w:type="dxa"/>
            <w:vMerge w:val="continue"/>
            <w:tcBorders>
              <w:top w:val="nil"/>
              <w:left w:val="single" w:color="auto" w:sz="4" w:space="0"/>
              <w:bottom w:val="single" w:color="auto" w:sz="4" w:space="0"/>
              <w:right w:val="single" w:color="auto" w:sz="4" w:space="0"/>
            </w:tcBorders>
            <w:vAlign w:val="center"/>
          </w:tcPr>
          <w:p>
            <w:pPr>
              <w:pStyle w:val="39"/>
              <w:spacing w:line="300" w:lineRule="exact"/>
              <w:jc w:val="both"/>
              <w:rPr>
                <w:rFonts w:ascii="仿宋" w:hAnsi="仿宋" w:eastAsia="仿宋"/>
                <w:bCs/>
                <w:color w:val="auto"/>
                <w:kern w:val="2"/>
              </w:rPr>
            </w:pPr>
          </w:p>
        </w:tc>
        <w:tc>
          <w:tcPr>
            <w:tcW w:w="1313" w:type="dxa"/>
            <w:tcBorders>
              <w:top w:val="nil"/>
              <w:left w:val="nil"/>
              <w:bottom w:val="single" w:color="auto" w:sz="4" w:space="0"/>
              <w:right w:val="single" w:color="auto" w:sz="4" w:space="0"/>
            </w:tcBorders>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应急演练服务</w:t>
            </w:r>
          </w:p>
        </w:tc>
        <w:tc>
          <w:tcPr>
            <w:tcW w:w="7597" w:type="dxa"/>
            <w:tcBorders>
              <w:top w:val="nil"/>
              <w:left w:val="nil"/>
              <w:bottom w:val="single" w:color="auto" w:sz="4" w:space="0"/>
              <w:right w:val="single" w:color="auto" w:sz="4" w:space="0"/>
            </w:tcBorders>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要求提供完整的应急演练服务。组织单位相关人员，依据网络与信息安全应急预案，模拟应对突发事件的活动。通过应急演练，进一步加强对应急处理预案的理解，通过演练检验预案中网络安全事件等级划分、响应流程等的合理性，发现预案存在的不足之处，提出并更新维护完善预案。</w:t>
            </w:r>
            <w:r>
              <w:rPr>
                <w:rFonts w:hint="eastAsia" w:ascii="仿宋" w:hAnsi="仿宋" w:eastAsia="仿宋"/>
                <w:bCs/>
                <w:color w:val="auto"/>
                <w:kern w:val="2"/>
              </w:rPr>
              <w:br w:type="textWrapping"/>
            </w:r>
            <w:r>
              <w:rPr>
                <w:rFonts w:hint="eastAsia" w:ascii="仿宋" w:hAnsi="仿宋" w:eastAsia="仿宋"/>
                <w:bCs/>
                <w:color w:val="auto"/>
                <w:kern w:val="2"/>
              </w:rPr>
              <w:t>演练的系统范围包括全部定级业务系统，提供的应急演练包括但不限于下列流程：应急演练方案、应急演练环境准备、应急演练实施、应急演练报告、应急演练总结。应急演练的模拟场景包括Webshell应急演练、钓鱼邮件应急演练等。按需提供每年不少于1次服务并提供相应演练报告。</w:t>
            </w:r>
          </w:p>
        </w:tc>
      </w:tr>
      <w:tr>
        <w:tblPrEx>
          <w:tblCellMar>
            <w:top w:w="0" w:type="dxa"/>
            <w:left w:w="108" w:type="dxa"/>
            <w:bottom w:w="0" w:type="dxa"/>
            <w:right w:w="108" w:type="dxa"/>
          </w:tblCellMar>
        </w:tblPrEx>
        <w:trPr>
          <w:trHeight w:val="280" w:hRule="atLeast"/>
        </w:trPr>
        <w:tc>
          <w:tcPr>
            <w:tcW w:w="2814" w:type="dxa"/>
            <w:gridSpan w:val="2"/>
            <w:tcBorders>
              <w:top w:val="single" w:color="auto" w:sz="4" w:space="0"/>
              <w:left w:val="single" w:color="auto" w:sz="4" w:space="0"/>
              <w:bottom w:val="single" w:color="auto" w:sz="4" w:space="0"/>
              <w:right w:val="single" w:color="auto" w:sz="4" w:space="0"/>
            </w:tcBorders>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服务时间</w:t>
            </w:r>
          </w:p>
        </w:tc>
        <w:tc>
          <w:tcPr>
            <w:tcW w:w="7597" w:type="dxa"/>
            <w:tcBorders>
              <w:top w:val="single" w:color="auto" w:sz="4" w:space="0"/>
              <w:left w:val="nil"/>
              <w:bottom w:val="single" w:color="auto" w:sz="4" w:space="0"/>
              <w:right w:val="single" w:color="auto" w:sz="4" w:space="0"/>
            </w:tcBorders>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要求提供三年服务</w:t>
            </w:r>
          </w:p>
        </w:tc>
      </w:tr>
    </w:tbl>
    <w:p>
      <w:pPr>
        <w:pStyle w:val="2"/>
        <w:ind w:firstLine="0" w:firstLineChars="0"/>
        <w:rPr>
          <w:rFonts w:ascii="仿宋_GB2312" w:hAnsi="Arial" w:eastAsia="仿宋_GB2312" w:cs="Arial"/>
          <w:b/>
          <w:bCs/>
          <w:kern w:val="0"/>
          <w:sz w:val="28"/>
          <w:szCs w:val="28"/>
        </w:rPr>
      </w:pPr>
    </w:p>
    <w:p>
      <w:pPr>
        <w:pStyle w:val="2"/>
        <w:ind w:firstLine="0" w:firstLineChars="0"/>
        <w:rPr>
          <w:rFonts w:ascii="仿宋_GB2312" w:hAnsi="Arial" w:eastAsia="仿宋_GB2312" w:cs="Arial"/>
          <w:b/>
          <w:bCs/>
          <w:kern w:val="0"/>
          <w:sz w:val="28"/>
          <w:szCs w:val="28"/>
        </w:rPr>
      </w:pPr>
    </w:p>
    <w:p>
      <w:pPr>
        <w:pStyle w:val="2"/>
        <w:ind w:firstLine="0" w:firstLineChars="0"/>
        <w:rPr>
          <w:rFonts w:ascii="仿宋_GB2312" w:hAnsi="Arial" w:eastAsia="仿宋_GB2312" w:cs="Arial"/>
          <w:b/>
          <w:bCs/>
          <w:kern w:val="0"/>
          <w:sz w:val="28"/>
          <w:szCs w:val="28"/>
        </w:rPr>
      </w:pPr>
      <w:r>
        <w:rPr>
          <w:rFonts w:hint="eastAsia" w:ascii="仿宋_GB2312" w:hAnsi="Arial" w:eastAsia="仿宋_GB2312" w:cs="Arial"/>
          <w:b/>
          <w:bCs/>
          <w:kern w:val="0"/>
          <w:sz w:val="28"/>
          <w:szCs w:val="28"/>
        </w:rPr>
        <w:t>序号4：</w:t>
      </w:r>
      <w:r>
        <w:rPr>
          <w:rFonts w:hint="eastAsia" w:ascii="仿宋_GB2312" w:hAnsi="Arial" w:eastAsia="仿宋_GB2312" w:cs="Arial"/>
          <w:b/>
          <w:kern w:val="0"/>
          <w:sz w:val="28"/>
          <w:szCs w:val="28"/>
        </w:rPr>
        <w:t>灾备</w:t>
      </w:r>
      <w:r>
        <w:rPr>
          <w:rFonts w:ascii="仿宋_GB2312" w:hAnsi="Arial" w:eastAsia="仿宋_GB2312" w:cs="Arial"/>
          <w:b/>
          <w:kern w:val="0"/>
          <w:sz w:val="28"/>
          <w:szCs w:val="28"/>
        </w:rPr>
        <w:t>服务</w:t>
      </w:r>
    </w:p>
    <w:tbl>
      <w:tblPr>
        <w:tblStyle w:val="31"/>
        <w:tblW w:w="99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3"/>
        <w:gridCol w:w="8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1413" w:type="dxa"/>
            <w:vAlign w:val="center"/>
          </w:tcPr>
          <w:p>
            <w:pPr>
              <w:pStyle w:val="63"/>
              <w:spacing w:line="440" w:lineRule="exact"/>
              <w:ind w:firstLine="0" w:firstLineChars="0"/>
              <w:jc w:val="center"/>
              <w:rPr>
                <w:rFonts w:ascii="仿宋" w:hAnsi="仿宋" w:eastAsia="仿宋"/>
                <w:b/>
                <w:kern w:val="2"/>
                <w:sz w:val="24"/>
                <w:szCs w:val="24"/>
              </w:rPr>
            </w:pPr>
            <w:r>
              <w:rPr>
                <w:rFonts w:hint="eastAsia" w:ascii="仿宋" w:hAnsi="仿宋" w:eastAsia="仿宋"/>
                <w:b/>
                <w:kern w:val="2"/>
                <w:sz w:val="24"/>
                <w:szCs w:val="24"/>
              </w:rPr>
              <w:t>指标项</w:t>
            </w:r>
          </w:p>
        </w:tc>
        <w:tc>
          <w:tcPr>
            <w:tcW w:w="8499" w:type="dxa"/>
          </w:tcPr>
          <w:p>
            <w:pPr>
              <w:pStyle w:val="63"/>
              <w:spacing w:line="440" w:lineRule="exact"/>
              <w:ind w:firstLine="0" w:firstLineChars="0"/>
              <w:jc w:val="center"/>
              <w:rPr>
                <w:rFonts w:ascii="仿宋" w:hAnsi="仿宋" w:eastAsia="仿宋"/>
                <w:b/>
                <w:kern w:val="2"/>
                <w:sz w:val="24"/>
                <w:szCs w:val="24"/>
              </w:rPr>
            </w:pPr>
            <w:r>
              <w:rPr>
                <w:rFonts w:hint="eastAsia" w:ascii="仿宋" w:hAnsi="仿宋" w:eastAsia="仿宋"/>
                <w:b/>
                <w:kern w:val="2"/>
                <w:sz w:val="24"/>
                <w:szCs w:val="24"/>
              </w:rPr>
              <w:t>招标技术指标要求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restart"/>
            <w:vAlign w:val="center"/>
          </w:tcPr>
          <w:p>
            <w:pPr>
              <w:pStyle w:val="63"/>
              <w:spacing w:line="440" w:lineRule="exact"/>
              <w:ind w:firstLine="0" w:firstLineChars="0"/>
              <w:rPr>
                <w:rFonts w:ascii="仿宋" w:hAnsi="仿宋" w:eastAsia="仿宋"/>
                <w:bCs/>
                <w:kern w:val="2"/>
                <w:sz w:val="24"/>
                <w:szCs w:val="24"/>
              </w:rPr>
            </w:pPr>
            <w:r>
              <w:rPr>
                <w:rFonts w:hint="eastAsia" w:ascii="仿宋" w:hAnsi="仿宋" w:eastAsia="仿宋"/>
                <w:bCs/>
                <w:kern w:val="2"/>
                <w:sz w:val="24"/>
                <w:szCs w:val="24"/>
              </w:rPr>
              <w:t>灾备服务整体要求</w:t>
            </w: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灾备服务年限：3年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3"/>
              <w:spacing w:line="440" w:lineRule="exact"/>
              <w:ind w:firstLine="0" w:firstLineChars="0"/>
              <w:jc w:val="left"/>
              <w:rPr>
                <w:rFonts w:ascii="仿宋" w:hAnsi="仿宋" w:eastAsia="仿宋"/>
                <w:bCs/>
                <w:kern w:val="2"/>
                <w:sz w:val="24"/>
                <w:szCs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本次灾备服务包含灾备一体化系统硬件资源、软件功能及日常灾备运维服务于一体，切实保障用户方信息系统的数据安全。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3"/>
              <w:spacing w:line="440" w:lineRule="exact"/>
              <w:ind w:firstLine="0" w:firstLineChars="0"/>
              <w:jc w:val="left"/>
              <w:rPr>
                <w:rFonts w:ascii="仿宋" w:hAnsi="仿宋" w:eastAsia="仿宋"/>
                <w:bCs/>
                <w:kern w:val="2"/>
                <w:sz w:val="24"/>
                <w:szCs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东文宋体" w:hAnsi="东文宋体" w:eastAsia="东文宋体" w:cs="东文宋体"/>
                <w:bCs/>
                <w:color w:val="auto"/>
                <w:kern w:val="2"/>
              </w:rPr>
              <w:t>▲</w:t>
            </w:r>
            <w:r>
              <w:rPr>
                <w:rFonts w:hint="eastAsia" w:ascii="仿宋" w:hAnsi="仿宋" w:eastAsia="仿宋"/>
                <w:bCs/>
                <w:color w:val="auto"/>
                <w:kern w:val="2"/>
              </w:rPr>
              <w:t>灾备服务厂商需要提供7*24小时服务，</w:t>
            </w:r>
            <w:r>
              <w:rPr>
                <w:rFonts w:ascii="仿宋" w:hAnsi="仿宋" w:eastAsia="仿宋"/>
                <w:bCs/>
                <w:color w:val="auto"/>
                <w:kern w:val="2"/>
              </w:rPr>
              <w:t>原厂不少于</w:t>
            </w:r>
            <w:r>
              <w:rPr>
                <w:rFonts w:hint="eastAsia" w:ascii="仿宋" w:hAnsi="仿宋" w:eastAsia="仿宋"/>
                <w:bCs/>
                <w:color w:val="auto"/>
                <w:kern w:val="2"/>
              </w:rPr>
              <w:t>10个</w:t>
            </w:r>
            <w:r>
              <w:rPr>
                <w:rFonts w:ascii="仿宋" w:hAnsi="仿宋" w:eastAsia="仿宋"/>
                <w:bCs/>
                <w:color w:val="auto"/>
                <w:kern w:val="2"/>
              </w:rPr>
              <w:t>现场人天，</w:t>
            </w:r>
            <w:r>
              <w:rPr>
                <w:rFonts w:hint="eastAsia" w:ascii="仿宋" w:hAnsi="仿宋" w:eastAsia="仿宋"/>
                <w:bCs/>
                <w:color w:val="auto"/>
                <w:kern w:val="2"/>
              </w:rPr>
              <w:t>无</w:t>
            </w:r>
            <w:r>
              <w:rPr>
                <w:rFonts w:ascii="仿宋" w:hAnsi="仿宋" w:eastAsia="仿宋"/>
                <w:bCs/>
                <w:color w:val="auto"/>
                <w:kern w:val="2"/>
              </w:rPr>
              <w:t>节假日限制的服务承诺，</w:t>
            </w:r>
            <w:r>
              <w:rPr>
                <w:rFonts w:hint="eastAsia" w:ascii="仿宋" w:hAnsi="仿宋" w:eastAsia="仿宋"/>
                <w:bCs/>
                <w:color w:val="auto"/>
                <w:kern w:val="2"/>
              </w:rPr>
              <w:t>服务方式包含现场、远程、电话、Email等方式。灾备服务厂家应满足用户的实际响应要求，具体灾备响应时间根据不同业务系统和不同影响范围在中标后与用户协商确定。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tcBorders>
              <w:bottom w:val="single" w:color="auto" w:sz="4" w:space="0"/>
            </w:tcBorders>
            <w:vAlign w:val="center"/>
          </w:tcPr>
          <w:p>
            <w:pPr>
              <w:pStyle w:val="63"/>
              <w:spacing w:line="440" w:lineRule="exact"/>
              <w:ind w:firstLine="0" w:firstLineChars="0"/>
              <w:jc w:val="left"/>
              <w:rPr>
                <w:rFonts w:ascii="仿宋" w:hAnsi="仿宋" w:eastAsia="仿宋"/>
                <w:bCs/>
                <w:kern w:val="2"/>
                <w:sz w:val="24"/>
                <w:szCs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灾备服务厂商需在湖州配置常驻技术工程师，具备30分钟内现场应急响应服务能力。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9" w:hRule="atLeast"/>
          <w:jc w:val="center"/>
        </w:trPr>
        <w:tc>
          <w:tcPr>
            <w:tcW w:w="1413" w:type="dxa"/>
            <w:vMerge w:val="restart"/>
            <w:tcBorders>
              <w:top w:val="single" w:color="auto" w:sz="4" w:space="0"/>
            </w:tcBorders>
            <w:vAlign w:val="center"/>
          </w:tcPr>
          <w:p>
            <w:pPr>
              <w:pStyle w:val="63"/>
              <w:spacing w:line="440" w:lineRule="exact"/>
              <w:ind w:firstLine="0" w:firstLineChars="0"/>
              <w:rPr>
                <w:rFonts w:ascii="仿宋" w:hAnsi="仿宋" w:eastAsia="仿宋"/>
                <w:bCs/>
                <w:kern w:val="2"/>
                <w:sz w:val="24"/>
                <w:szCs w:val="24"/>
              </w:rPr>
            </w:pPr>
            <w:r>
              <w:rPr>
                <w:rFonts w:hint="eastAsia" w:ascii="仿宋" w:hAnsi="仿宋" w:eastAsia="仿宋"/>
                <w:bCs/>
                <w:kern w:val="2"/>
                <w:sz w:val="24"/>
                <w:szCs w:val="24"/>
              </w:rPr>
              <w:t>灾备服务基本要求</w:t>
            </w: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提供5套应用级容灾系统服务，支持windows、linux系统下的数据库和文件等同步复制及实时备份，支持一对一容灾接管，支持断点续传;配置阿里云平台下RDS数据库和ECS上的数据库同步复制功能；支持快照点全系统回退功能，支持任意快照点业务接管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1413" w:type="dxa"/>
            <w:vMerge w:val="continue"/>
            <w:vAlign w:val="center"/>
          </w:tcPr>
          <w:p>
            <w:pPr>
              <w:pStyle w:val="63"/>
              <w:spacing w:line="440" w:lineRule="exact"/>
              <w:ind w:firstLine="0" w:firstLineChars="0"/>
              <w:jc w:val="left"/>
              <w:rPr>
                <w:rFonts w:ascii="仿宋" w:hAnsi="仿宋" w:eastAsia="仿宋"/>
                <w:bCs/>
                <w:kern w:val="2"/>
                <w:sz w:val="24"/>
                <w:szCs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提供1套反向同步系统服务，支持文件、数据库实时反向同步，支持自动或手动一键回切。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1413" w:type="dxa"/>
            <w:vMerge w:val="continue"/>
            <w:vAlign w:val="center"/>
          </w:tcPr>
          <w:p>
            <w:pPr>
              <w:pStyle w:val="63"/>
              <w:spacing w:line="440" w:lineRule="exact"/>
              <w:ind w:firstLine="0" w:firstLineChars="0"/>
              <w:jc w:val="left"/>
              <w:rPr>
                <w:rFonts w:ascii="仿宋" w:hAnsi="仿宋" w:eastAsia="仿宋"/>
                <w:bCs/>
                <w:kern w:val="2"/>
                <w:sz w:val="24"/>
                <w:szCs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提供5个数据库备份系统服务，支持windows、linux等操作系统下的数据库、分区、全系统备份，支持快照点保存，最多512个快照点，支持归档功能，支持分区挂载恢复和全系统恢复。可扩展支持与湖州市政务云灾备平台无缝对接，实现本单位政务云上业务系统的备份数据异地归档至本次灾备服务的硬件资源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1413" w:type="dxa"/>
            <w:vMerge w:val="continue"/>
            <w:vAlign w:val="center"/>
          </w:tcPr>
          <w:p>
            <w:pPr>
              <w:pStyle w:val="63"/>
              <w:spacing w:line="440" w:lineRule="exact"/>
              <w:ind w:firstLine="0" w:firstLineChars="0"/>
              <w:jc w:val="left"/>
              <w:rPr>
                <w:rFonts w:ascii="仿宋" w:hAnsi="仿宋" w:eastAsia="仿宋"/>
                <w:bCs/>
                <w:kern w:val="2"/>
                <w:sz w:val="24"/>
                <w:szCs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提供PC终端备份系统服务，支持windows和“安全可靠”的PC操作系统，不限PC终端备份数量，支持文件级全量、增量备份，可恢复到指定备份点。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1413" w:type="dxa"/>
            <w:vMerge w:val="continue"/>
            <w:vAlign w:val="center"/>
          </w:tcPr>
          <w:p>
            <w:pPr>
              <w:pStyle w:val="63"/>
              <w:spacing w:line="440" w:lineRule="exact"/>
              <w:ind w:firstLine="0" w:firstLineChars="0"/>
              <w:jc w:val="left"/>
              <w:rPr>
                <w:rFonts w:ascii="仿宋" w:hAnsi="仿宋" w:eastAsia="仿宋"/>
                <w:bCs/>
                <w:kern w:val="2"/>
                <w:sz w:val="24"/>
                <w:szCs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提供应用负载均衡服务，支持http\数据库等应用IP重定向。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1413" w:type="dxa"/>
            <w:vMerge w:val="continue"/>
            <w:vAlign w:val="center"/>
          </w:tcPr>
          <w:p>
            <w:pPr>
              <w:pStyle w:val="63"/>
              <w:spacing w:line="440" w:lineRule="exact"/>
              <w:ind w:firstLine="0" w:firstLineChars="0"/>
              <w:jc w:val="left"/>
              <w:rPr>
                <w:rFonts w:ascii="仿宋" w:hAnsi="仿宋" w:eastAsia="仿宋"/>
                <w:bCs/>
                <w:kern w:val="2"/>
                <w:sz w:val="24"/>
                <w:szCs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保障灾备服务的安全运维，提供10个虚拟桌面和私有云盘授权，用于灾备系统远程运维、系统更新等服务。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1413" w:type="dxa"/>
            <w:vMerge w:val="restart"/>
            <w:vAlign w:val="center"/>
          </w:tcPr>
          <w:p>
            <w:pPr>
              <w:pStyle w:val="63"/>
              <w:spacing w:line="440" w:lineRule="exact"/>
              <w:ind w:firstLine="0" w:firstLineChars="0"/>
              <w:rPr>
                <w:rFonts w:ascii="仿宋" w:hAnsi="仿宋" w:eastAsia="仿宋"/>
                <w:bCs/>
                <w:kern w:val="2"/>
                <w:sz w:val="24"/>
                <w:szCs w:val="24"/>
              </w:rPr>
            </w:pPr>
            <w:r>
              <w:rPr>
                <w:rFonts w:hint="eastAsia" w:ascii="仿宋" w:hAnsi="仿宋" w:eastAsia="仿宋"/>
                <w:bCs/>
                <w:kern w:val="2"/>
                <w:sz w:val="24"/>
                <w:szCs w:val="24"/>
              </w:rPr>
              <w:t>灾备主机节点服务能力要求</w:t>
            </w: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rPr>
              <w:t>★2U,</w:t>
            </w:r>
            <w:r>
              <w:rPr>
                <w:rFonts w:hint="eastAsia" w:ascii="仿宋" w:hAnsi="仿宋" w:eastAsia="仿宋"/>
                <w:bCs/>
                <w:color w:val="auto"/>
                <w:kern w:val="2"/>
              </w:rPr>
              <w:t>盘位≥12，冗余电源、冗余风扇。存储处理器：CPU≥2颗,核数≥</w:t>
            </w:r>
            <w:r>
              <w:rPr>
                <w:rFonts w:ascii="仿宋" w:hAnsi="仿宋" w:eastAsia="仿宋"/>
                <w:bCs/>
                <w:color w:val="auto"/>
                <w:kern w:val="2"/>
              </w:rPr>
              <w:t>16</w:t>
            </w:r>
            <w:r>
              <w:rPr>
                <w:rFonts w:hint="eastAsia" w:ascii="仿宋" w:hAnsi="仿宋" w:eastAsia="仿宋"/>
                <w:bCs/>
                <w:color w:val="auto"/>
                <w:kern w:val="2"/>
              </w:rPr>
              <w:t>，线程数≥</w:t>
            </w:r>
            <w:r>
              <w:rPr>
                <w:rFonts w:ascii="仿宋" w:hAnsi="仿宋" w:eastAsia="仿宋"/>
                <w:bCs/>
                <w:color w:val="auto"/>
                <w:kern w:val="2"/>
              </w:rPr>
              <w:t>32</w:t>
            </w:r>
            <w:r>
              <w:rPr>
                <w:rFonts w:hint="eastAsia" w:ascii="仿宋" w:hAnsi="仿宋" w:eastAsia="仿宋"/>
                <w:bCs/>
                <w:color w:val="auto"/>
                <w:kern w:val="2"/>
              </w:rPr>
              <w:t>。内存≥256GB，可扩展到≥1TB；支持缓存UPS掉电保护。SSD系统加速硬盘不少于2片240G ，SAS 硬盘不少于6片1.8TB ，SAS硬盘不少于6片</w:t>
            </w:r>
            <w:r>
              <w:rPr>
                <w:rFonts w:ascii="仿宋" w:hAnsi="仿宋" w:eastAsia="仿宋"/>
                <w:bCs/>
                <w:color w:val="auto"/>
                <w:kern w:val="2"/>
              </w:rPr>
              <w:t>6</w:t>
            </w:r>
            <w:r>
              <w:rPr>
                <w:rFonts w:hint="eastAsia" w:ascii="仿宋" w:hAnsi="仿宋" w:eastAsia="仿宋"/>
                <w:bCs/>
                <w:color w:val="auto"/>
                <w:kern w:val="2"/>
              </w:rPr>
              <w:t>TB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6" w:hRule="atLeast"/>
          <w:jc w:val="center"/>
        </w:trPr>
        <w:tc>
          <w:tcPr>
            <w:tcW w:w="1413" w:type="dxa"/>
            <w:vMerge w:val="continue"/>
            <w:vAlign w:val="center"/>
          </w:tcPr>
          <w:p>
            <w:pPr>
              <w:pStyle w:val="63"/>
              <w:spacing w:line="440" w:lineRule="exact"/>
              <w:ind w:firstLine="0" w:firstLineChars="0"/>
              <w:jc w:val="left"/>
              <w:rPr>
                <w:rFonts w:ascii="仿宋" w:hAnsi="仿宋" w:eastAsia="仿宋"/>
                <w:bCs/>
                <w:kern w:val="2"/>
                <w:sz w:val="24"/>
                <w:szCs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配主机端口为1Gb和10gb，个数各不少于2个，FC端口不少于2个；支持CIFS、NFS、iSCSI、HTTP、FC-SAN协议；支持iSCSI CHAP； 支持真实IP连接，虚拟IP连接，主机名连接，多端口绑定冗余负载均衡。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jc w:val="center"/>
        </w:trPr>
        <w:tc>
          <w:tcPr>
            <w:tcW w:w="1413" w:type="dxa"/>
            <w:vMerge w:val="continue"/>
            <w:vAlign w:val="center"/>
          </w:tcPr>
          <w:p>
            <w:pPr>
              <w:pStyle w:val="63"/>
              <w:spacing w:line="440" w:lineRule="exact"/>
              <w:ind w:firstLine="0" w:firstLineChars="0"/>
              <w:jc w:val="left"/>
              <w:rPr>
                <w:rFonts w:ascii="仿宋" w:hAnsi="仿宋" w:eastAsia="仿宋"/>
                <w:bCs/>
                <w:kern w:val="2"/>
                <w:sz w:val="24"/>
                <w:szCs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主机内置超融合平台，配置虚拟化集群管理、虚拟化、分布式存储及安全防火墙功能模块。支持至少64节点以上的堆叠和统一调度。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 w:hRule="atLeast"/>
          <w:jc w:val="center"/>
        </w:trPr>
        <w:tc>
          <w:tcPr>
            <w:tcW w:w="1413" w:type="dxa"/>
            <w:vMerge w:val="restart"/>
            <w:vAlign w:val="center"/>
          </w:tcPr>
          <w:p>
            <w:pPr>
              <w:pStyle w:val="63"/>
              <w:spacing w:line="440" w:lineRule="exact"/>
              <w:ind w:firstLine="0" w:firstLineChars="0"/>
              <w:rPr>
                <w:rFonts w:ascii="仿宋" w:hAnsi="仿宋" w:eastAsia="仿宋"/>
                <w:bCs/>
                <w:kern w:val="2"/>
                <w:sz w:val="24"/>
                <w:szCs w:val="24"/>
              </w:rPr>
            </w:pPr>
            <w:r>
              <w:rPr>
                <w:rFonts w:hint="eastAsia" w:ascii="仿宋" w:hAnsi="仿宋" w:eastAsia="仿宋"/>
                <w:bCs/>
                <w:kern w:val="2"/>
                <w:sz w:val="24"/>
                <w:szCs w:val="24"/>
              </w:rPr>
              <w:t>虚拟化基础平台服务能力要求</w:t>
            </w:r>
          </w:p>
        </w:tc>
        <w:tc>
          <w:tcPr>
            <w:tcW w:w="8499" w:type="dxa"/>
            <w:vAlign w:val="bottom"/>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虚拟化集群管理系统、虚拟化和分布式处于同一系统维度，非嵌套虚拟化模式。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3"/>
              <w:spacing w:line="440" w:lineRule="exact"/>
              <w:ind w:firstLine="0" w:firstLineChars="0"/>
              <w:jc w:val="left"/>
              <w:rPr>
                <w:rFonts w:ascii="仿宋" w:hAnsi="仿宋" w:eastAsia="仿宋"/>
                <w:bCs/>
                <w:kern w:val="2"/>
                <w:sz w:val="24"/>
                <w:szCs w:val="24"/>
              </w:rPr>
            </w:pPr>
          </w:p>
        </w:tc>
        <w:tc>
          <w:tcPr>
            <w:tcW w:w="8499" w:type="dxa"/>
            <w:vAlign w:val="bottom"/>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虚拟化管理统一平台管理，无需在多个管理软件之间切换即可实现虚拟机及虚拟网络等功能的管理。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3"/>
              <w:spacing w:line="440" w:lineRule="exact"/>
              <w:ind w:firstLine="0" w:firstLineChars="0"/>
              <w:jc w:val="left"/>
              <w:rPr>
                <w:rFonts w:ascii="仿宋" w:hAnsi="仿宋" w:eastAsia="仿宋"/>
                <w:bCs/>
                <w:kern w:val="2"/>
                <w:sz w:val="24"/>
                <w:szCs w:val="24"/>
              </w:rPr>
            </w:pPr>
          </w:p>
        </w:tc>
        <w:tc>
          <w:tcPr>
            <w:tcW w:w="8499" w:type="dxa"/>
            <w:vAlign w:val="bottom"/>
          </w:tcPr>
          <w:p>
            <w:pPr>
              <w:pStyle w:val="39"/>
              <w:spacing w:line="300" w:lineRule="exact"/>
              <w:jc w:val="both"/>
              <w:rPr>
                <w:rFonts w:ascii="仿宋" w:hAnsi="仿宋" w:eastAsia="仿宋"/>
                <w:bCs/>
                <w:color w:val="auto"/>
                <w:kern w:val="2"/>
              </w:rPr>
            </w:pPr>
            <w:r>
              <w:rPr>
                <w:rFonts w:hint="eastAsia" w:ascii="东文宋体" w:hAnsi="东文宋体" w:eastAsia="东文宋体" w:cs="东文宋体"/>
                <w:bCs/>
                <w:color w:val="auto"/>
                <w:kern w:val="2"/>
              </w:rPr>
              <w:t>▲</w:t>
            </w:r>
            <w:r>
              <w:rPr>
                <w:rFonts w:hint="eastAsia" w:ascii="仿宋" w:hAnsi="仿宋" w:eastAsia="仿宋"/>
                <w:bCs/>
                <w:color w:val="auto"/>
                <w:kern w:val="2"/>
              </w:rPr>
              <w:t>内置容器管理系统，支持部署常见Linux容器系统。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3"/>
              <w:spacing w:line="440" w:lineRule="exact"/>
              <w:ind w:firstLine="0" w:firstLineChars="0"/>
              <w:jc w:val="left"/>
              <w:rPr>
                <w:rFonts w:ascii="仿宋" w:hAnsi="仿宋" w:eastAsia="仿宋"/>
                <w:bCs/>
                <w:kern w:val="2"/>
                <w:sz w:val="24"/>
                <w:szCs w:val="24"/>
              </w:rPr>
            </w:pPr>
          </w:p>
        </w:tc>
        <w:tc>
          <w:tcPr>
            <w:tcW w:w="8499" w:type="dxa"/>
            <w:vAlign w:val="bottom"/>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支持业界主流的分布式协议，如cephrbd，glusterfs、zfs等，提供相关功能截图。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3"/>
              <w:spacing w:line="440" w:lineRule="exact"/>
              <w:ind w:firstLine="0" w:firstLineChars="0"/>
              <w:jc w:val="left"/>
              <w:rPr>
                <w:rFonts w:ascii="仿宋" w:hAnsi="仿宋" w:eastAsia="仿宋"/>
                <w:bCs/>
                <w:kern w:val="2"/>
                <w:sz w:val="24"/>
                <w:szCs w:val="24"/>
              </w:rPr>
            </w:pPr>
          </w:p>
        </w:tc>
        <w:tc>
          <w:tcPr>
            <w:tcW w:w="8499" w:type="dxa"/>
            <w:vAlign w:val="bottom"/>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支持灾备系统的HA功能。当物理服务器发生故障时，该物理服务器上的所有灾备系统，可以实现在集群之内的其它物理服务器上接管灾备业务，保障业务连续性。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3"/>
              <w:spacing w:line="440" w:lineRule="exact"/>
              <w:ind w:firstLine="0" w:firstLineChars="0"/>
              <w:jc w:val="left"/>
              <w:rPr>
                <w:rFonts w:ascii="仿宋" w:hAnsi="仿宋" w:eastAsia="仿宋"/>
                <w:bCs/>
                <w:kern w:val="2"/>
                <w:sz w:val="24"/>
                <w:szCs w:val="24"/>
              </w:rPr>
            </w:pPr>
          </w:p>
        </w:tc>
        <w:tc>
          <w:tcPr>
            <w:tcW w:w="8499" w:type="dxa"/>
            <w:vAlign w:val="bottom"/>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支持虚拟机级别的远程数据双向复制和容灾恢复，不需要额外的软硬件采购支持，就具备跨地域的远程数据容灾能力，提供相关功能截图。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3"/>
              <w:spacing w:line="440" w:lineRule="exact"/>
              <w:ind w:firstLine="0" w:firstLineChars="0"/>
              <w:jc w:val="left"/>
              <w:rPr>
                <w:rFonts w:ascii="仿宋" w:hAnsi="仿宋" w:eastAsia="仿宋"/>
                <w:bCs/>
                <w:kern w:val="2"/>
                <w:sz w:val="24"/>
                <w:szCs w:val="24"/>
              </w:rPr>
            </w:pPr>
          </w:p>
        </w:tc>
        <w:tc>
          <w:tcPr>
            <w:tcW w:w="8499" w:type="dxa"/>
            <w:vAlign w:val="bottom"/>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支持模块防误删设置，通过开启防误删功能，使得该模块无法被误删除。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3"/>
              <w:spacing w:line="440" w:lineRule="exact"/>
              <w:ind w:firstLine="0" w:firstLineChars="0"/>
              <w:jc w:val="left"/>
              <w:rPr>
                <w:rFonts w:ascii="仿宋" w:hAnsi="仿宋" w:eastAsia="仿宋"/>
                <w:bCs/>
                <w:kern w:val="2"/>
                <w:sz w:val="24"/>
                <w:szCs w:val="24"/>
              </w:rPr>
            </w:pPr>
          </w:p>
        </w:tc>
        <w:tc>
          <w:tcPr>
            <w:tcW w:w="8499" w:type="dxa"/>
            <w:vAlign w:val="bottom"/>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支持配置内存动态回收机制，可指定内存上下限，实现虚拟化平台内存资源的动态复用，保障虚拟机的性能。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3"/>
              <w:spacing w:line="440" w:lineRule="exact"/>
              <w:ind w:firstLine="0" w:firstLineChars="0"/>
              <w:jc w:val="left"/>
              <w:rPr>
                <w:rFonts w:ascii="仿宋" w:hAnsi="仿宋" w:eastAsia="仿宋"/>
                <w:bCs/>
                <w:kern w:val="2"/>
                <w:sz w:val="24"/>
                <w:szCs w:val="24"/>
              </w:rPr>
            </w:pPr>
          </w:p>
        </w:tc>
        <w:tc>
          <w:tcPr>
            <w:tcW w:w="8499" w:type="dxa"/>
            <w:vAlign w:val="bottom"/>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支持添加一个VM间共享内存设备，该设备允许一个主机和VM之间或多个VM之间共享内存。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3"/>
              <w:spacing w:line="440" w:lineRule="exact"/>
              <w:ind w:firstLine="0" w:firstLineChars="0"/>
              <w:jc w:val="left"/>
              <w:rPr>
                <w:rFonts w:ascii="仿宋" w:hAnsi="仿宋" w:eastAsia="仿宋"/>
                <w:bCs/>
                <w:kern w:val="2"/>
                <w:sz w:val="24"/>
                <w:szCs w:val="24"/>
              </w:rPr>
            </w:pPr>
          </w:p>
        </w:tc>
        <w:tc>
          <w:tcPr>
            <w:tcW w:w="8499" w:type="dxa"/>
            <w:vAlign w:val="bottom"/>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支持配置处理器动态回收机制，可指定CPU频率上下限，实现虚拟化平台CPU资源的合理复用，保障虚拟机的性能。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3"/>
              <w:spacing w:line="440" w:lineRule="exact"/>
              <w:ind w:firstLine="0" w:firstLineChars="0"/>
              <w:jc w:val="left"/>
              <w:rPr>
                <w:rFonts w:ascii="仿宋" w:hAnsi="仿宋" w:eastAsia="仿宋"/>
                <w:bCs/>
                <w:kern w:val="2"/>
                <w:sz w:val="24"/>
                <w:szCs w:val="24"/>
              </w:rPr>
            </w:pPr>
          </w:p>
        </w:tc>
        <w:tc>
          <w:tcPr>
            <w:tcW w:w="8499" w:type="dxa"/>
            <w:vAlign w:val="bottom"/>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无需配置额外的网络硬件设备，即可支持Vxlan网络和现有的Vlan网络对接。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restart"/>
            <w:vAlign w:val="center"/>
          </w:tcPr>
          <w:p>
            <w:pPr>
              <w:pStyle w:val="63"/>
              <w:spacing w:line="440" w:lineRule="exact"/>
              <w:ind w:firstLine="0" w:firstLineChars="0"/>
              <w:rPr>
                <w:rFonts w:ascii="仿宋" w:hAnsi="仿宋" w:eastAsia="仿宋"/>
                <w:bCs/>
                <w:kern w:val="2"/>
                <w:sz w:val="24"/>
                <w:szCs w:val="24"/>
              </w:rPr>
            </w:pPr>
            <w:r>
              <w:rPr>
                <w:rFonts w:hint="eastAsia" w:ascii="仿宋" w:hAnsi="仿宋" w:eastAsia="仿宋"/>
                <w:bCs/>
                <w:kern w:val="2"/>
                <w:sz w:val="24"/>
                <w:szCs w:val="24"/>
              </w:rPr>
              <w:t>分布式存储平台服务能力要求</w:t>
            </w: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架构支持全局的N+1、N+M模式冗余性，在某硬件出问题时，灾备系统能够进行自动切换；所有数据至少可同时存储2份，分散在多个节点上，没有单点故障。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3"/>
              <w:spacing w:line="440" w:lineRule="exact"/>
              <w:ind w:firstLine="0" w:firstLineChars="0"/>
              <w:jc w:val="left"/>
              <w:rPr>
                <w:rFonts w:ascii="仿宋" w:hAnsi="仿宋" w:eastAsia="仿宋"/>
                <w:bCs/>
                <w:kern w:val="2"/>
                <w:sz w:val="24"/>
                <w:szCs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分布式存储系统非独立虚拟机运行在hypervisor之上,与虚拟化平台强耦合，处于同一纬度。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3"/>
              <w:spacing w:line="440" w:lineRule="exact"/>
              <w:ind w:firstLine="0" w:firstLineChars="0"/>
              <w:jc w:val="left"/>
              <w:rPr>
                <w:rFonts w:ascii="仿宋" w:hAnsi="仿宋" w:eastAsia="仿宋"/>
                <w:bCs/>
                <w:kern w:val="2"/>
                <w:sz w:val="24"/>
                <w:szCs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嵌入虚拟服务器内核，虚拟机、应用、底层存储基础架构，缩短I/O数据路径降低延时，虚拟服务器的CPU资源占用更少，小于10%，与虚机的迁移无缝集成。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3"/>
              <w:spacing w:line="440" w:lineRule="exact"/>
              <w:ind w:firstLine="0" w:firstLineChars="0"/>
              <w:jc w:val="left"/>
              <w:rPr>
                <w:rFonts w:ascii="仿宋" w:hAnsi="仿宋" w:eastAsia="仿宋"/>
                <w:bCs/>
                <w:kern w:val="2"/>
                <w:sz w:val="24"/>
                <w:szCs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支持数据平衡功能。集群新增节点后，数据可以在新、旧节点间动态的均衡分布，实现存储性能和容量的均衡扩展。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3"/>
              <w:spacing w:line="440" w:lineRule="exact"/>
              <w:ind w:firstLine="0" w:firstLineChars="0"/>
              <w:jc w:val="left"/>
              <w:rPr>
                <w:rFonts w:ascii="仿宋" w:hAnsi="仿宋" w:eastAsia="仿宋"/>
                <w:bCs/>
                <w:kern w:val="2"/>
                <w:sz w:val="24"/>
                <w:szCs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支持虚拟存储集群网络隔离。可以设置独立的私有网络，保持与物理网络隔离，仅作为集群内存储节点间的数据交换使用，避免受到病毒攻击、ARP攻击，保证虚拟存储集群的稳定性。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3"/>
              <w:spacing w:line="440" w:lineRule="exact"/>
              <w:ind w:firstLine="0" w:firstLineChars="0"/>
              <w:jc w:val="left"/>
              <w:rPr>
                <w:rFonts w:ascii="仿宋" w:hAnsi="仿宋" w:eastAsia="仿宋"/>
                <w:bCs/>
                <w:kern w:val="2"/>
                <w:sz w:val="24"/>
                <w:szCs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虚拟存储网络支持链路聚合功能（无需交换机支持链路聚合功能），单根链路故障不会影响正常的存储，保证了虚拟存储集群的稳定性。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3"/>
              <w:spacing w:line="440" w:lineRule="exact"/>
              <w:ind w:firstLine="0" w:firstLineChars="0"/>
              <w:jc w:val="left"/>
              <w:rPr>
                <w:rFonts w:ascii="仿宋" w:hAnsi="仿宋" w:eastAsia="仿宋"/>
                <w:bCs/>
                <w:kern w:val="2"/>
                <w:sz w:val="24"/>
                <w:szCs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支持磁盘坏道检测功能。虚拟存储集群可以对数据盘进行坏道检测，发现坏道后，自动从另外一个副本读取数据，并对坏道数据进行修复。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3"/>
              <w:spacing w:line="440" w:lineRule="exact"/>
              <w:ind w:firstLine="0" w:firstLineChars="0"/>
              <w:jc w:val="left"/>
              <w:rPr>
                <w:rFonts w:ascii="仿宋" w:hAnsi="仿宋" w:eastAsia="仿宋"/>
                <w:bCs/>
                <w:kern w:val="2"/>
                <w:sz w:val="24"/>
                <w:szCs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支持多副本冗余功能。至少支持2个或以上副本，副本互斥地保存在集群的不同节点，单个主机或者磁盘故障，确保数据依旧正常访问。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3"/>
              <w:spacing w:line="440" w:lineRule="exact"/>
              <w:ind w:firstLine="0" w:firstLineChars="0"/>
              <w:jc w:val="left"/>
              <w:rPr>
                <w:rFonts w:ascii="仿宋" w:hAnsi="仿宋" w:eastAsia="仿宋"/>
                <w:bCs/>
                <w:kern w:val="2"/>
                <w:sz w:val="24"/>
                <w:szCs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支持数据安全恢复机制。当主机或者磁盘故障后，自动利用集群内空闲磁盘空间，将故障数据重新恢复，并保证副本数量，确保用户数据的可靠性和安全性。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3"/>
              <w:spacing w:line="440" w:lineRule="exact"/>
              <w:ind w:firstLine="0" w:firstLineChars="0"/>
              <w:jc w:val="left"/>
              <w:rPr>
                <w:rFonts w:ascii="仿宋" w:hAnsi="仿宋" w:eastAsia="仿宋"/>
                <w:bCs/>
                <w:kern w:val="2"/>
                <w:sz w:val="24"/>
                <w:szCs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副本故障域保护机制。可以将一个机架上的主机设为一个故障域，另外一个机架的主机设为另外一个故障域，虚拟存储集群可以保证将副本互斥地存储在不同的故障域，当整个机架失效，确保数据仍然可以访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3"/>
              <w:spacing w:line="440" w:lineRule="exact"/>
              <w:ind w:firstLine="0" w:firstLineChars="0"/>
              <w:jc w:val="left"/>
              <w:rPr>
                <w:rFonts w:ascii="仿宋" w:hAnsi="仿宋" w:eastAsia="仿宋"/>
                <w:bCs/>
                <w:kern w:val="2"/>
                <w:sz w:val="24"/>
                <w:szCs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硬盘损坏之后，能自动启动数据恢复过程，并可对数据恢复的速度进行调节，在业务性能和数据恢复速度之间取得平衡。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3"/>
              <w:spacing w:line="440" w:lineRule="exact"/>
              <w:ind w:firstLine="0" w:firstLineChars="0"/>
              <w:jc w:val="left"/>
              <w:rPr>
                <w:rFonts w:ascii="仿宋" w:hAnsi="仿宋" w:eastAsia="仿宋"/>
                <w:bCs/>
                <w:kern w:val="2"/>
                <w:sz w:val="24"/>
                <w:szCs w:val="24"/>
              </w:rPr>
            </w:pPr>
          </w:p>
        </w:tc>
        <w:tc>
          <w:tcPr>
            <w:tcW w:w="8499" w:type="dxa"/>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多副本、节点内RAID。节点内RAID和多副本的冗余方式可以组合使用。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3"/>
              <w:spacing w:line="440" w:lineRule="exact"/>
              <w:ind w:firstLine="0" w:firstLineChars="0"/>
              <w:jc w:val="left"/>
              <w:rPr>
                <w:rFonts w:ascii="仿宋" w:hAnsi="仿宋" w:eastAsia="仿宋"/>
                <w:bCs/>
                <w:kern w:val="2"/>
                <w:sz w:val="24"/>
                <w:szCs w:val="24"/>
              </w:rPr>
            </w:pPr>
          </w:p>
        </w:tc>
        <w:tc>
          <w:tcPr>
            <w:tcW w:w="8499" w:type="dxa"/>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能通过副本、节点内RAID等技术容忍系统故障，实现数据冗余；</w:t>
            </w:r>
          </w:p>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当集群存储节点故障的时候，可以通过配套的软件从对应的硬盘中恢复数据。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3"/>
              <w:spacing w:line="440" w:lineRule="exact"/>
              <w:ind w:firstLine="0" w:firstLineChars="0"/>
              <w:jc w:val="left"/>
              <w:rPr>
                <w:rFonts w:ascii="仿宋" w:hAnsi="仿宋" w:eastAsia="仿宋"/>
                <w:bCs/>
                <w:kern w:val="2"/>
                <w:sz w:val="24"/>
                <w:szCs w:val="24"/>
              </w:rPr>
            </w:pPr>
          </w:p>
        </w:tc>
        <w:tc>
          <w:tcPr>
            <w:tcW w:w="8499" w:type="dxa"/>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支持RAID0/RAID1/RAID5/RAID6/RAID10。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3"/>
              <w:spacing w:line="440" w:lineRule="exact"/>
              <w:ind w:firstLine="0" w:firstLineChars="0"/>
              <w:jc w:val="left"/>
              <w:rPr>
                <w:rFonts w:ascii="仿宋" w:hAnsi="仿宋" w:eastAsia="仿宋"/>
                <w:bCs/>
                <w:kern w:val="2"/>
                <w:sz w:val="24"/>
                <w:szCs w:val="24"/>
              </w:rPr>
            </w:pPr>
          </w:p>
        </w:tc>
        <w:tc>
          <w:tcPr>
            <w:tcW w:w="8499" w:type="dxa"/>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具备完全自主知识产权，投标时提供分布式存储系统软件著作权证书复印件。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restart"/>
            <w:vAlign w:val="center"/>
          </w:tcPr>
          <w:p>
            <w:pPr>
              <w:pStyle w:val="63"/>
              <w:spacing w:line="440" w:lineRule="exact"/>
              <w:ind w:firstLine="0" w:firstLineChars="0"/>
              <w:rPr>
                <w:rFonts w:ascii="仿宋" w:hAnsi="仿宋" w:eastAsia="仿宋"/>
                <w:bCs/>
                <w:kern w:val="2"/>
                <w:sz w:val="24"/>
                <w:szCs w:val="24"/>
              </w:rPr>
            </w:pPr>
            <w:r>
              <w:rPr>
                <w:rFonts w:hint="eastAsia" w:ascii="仿宋" w:hAnsi="仿宋" w:eastAsia="仿宋"/>
                <w:bCs/>
                <w:kern w:val="2"/>
                <w:sz w:val="24"/>
                <w:szCs w:val="24"/>
              </w:rPr>
              <w:t>防勒索机制服务能力要求</w:t>
            </w:r>
          </w:p>
        </w:tc>
        <w:tc>
          <w:tcPr>
            <w:tcW w:w="8499" w:type="dxa"/>
            <w:vAlign w:val="center"/>
          </w:tcPr>
          <w:p>
            <w:pPr>
              <w:pStyle w:val="39"/>
              <w:spacing w:line="300" w:lineRule="exact"/>
              <w:jc w:val="both"/>
              <w:rPr>
                <w:rFonts w:ascii="仿宋" w:hAnsi="仿宋" w:eastAsia="仿宋"/>
                <w:bCs/>
                <w:color w:val="auto"/>
                <w:kern w:val="2"/>
              </w:rPr>
            </w:pPr>
            <w:r>
              <w:rPr>
                <w:rFonts w:hint="eastAsia" w:ascii="东文宋体" w:hAnsi="东文宋体" w:eastAsia="东文宋体" w:cs="东文宋体"/>
                <w:bCs/>
                <w:color w:val="auto"/>
                <w:kern w:val="2"/>
              </w:rPr>
              <w:t>▲</w:t>
            </w:r>
            <w:r>
              <w:rPr>
                <w:rFonts w:hint="eastAsia" w:ascii="仿宋" w:hAnsi="仿宋" w:eastAsia="仿宋"/>
                <w:bCs/>
                <w:color w:val="auto"/>
                <w:kern w:val="2"/>
              </w:rPr>
              <w:t>全系统采用自主精简linux底层平台，系统采用强密码和弱权限登陆机制，且内置分布式防火墙功能，具有数据中心、主机、灾备系统外层、灾备系统内层四级防火墙机制。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3"/>
              <w:spacing w:line="440" w:lineRule="exact"/>
              <w:ind w:firstLine="0" w:firstLineChars="0"/>
              <w:jc w:val="left"/>
              <w:rPr>
                <w:rFonts w:ascii="仿宋" w:hAnsi="仿宋" w:eastAsia="仿宋"/>
                <w:bCs/>
                <w:kern w:val="2"/>
                <w:sz w:val="24"/>
                <w:szCs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内置防勒索准入机制：采用严格的白名单模式，阻断139、445、3389等勒索入侵端口，仅允许灾备端口和灾备管理端口开放，其中灾备管理端口仅灾备管理人员机器可访问。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3"/>
              <w:spacing w:line="440" w:lineRule="exact"/>
              <w:ind w:firstLine="0" w:firstLineChars="0"/>
              <w:jc w:val="left"/>
              <w:rPr>
                <w:rFonts w:ascii="仿宋" w:hAnsi="仿宋" w:eastAsia="仿宋"/>
                <w:bCs/>
                <w:kern w:val="2"/>
                <w:sz w:val="24"/>
                <w:szCs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所有灾备模块相互隔离，采用分布式统一监控模式，灾备模块底层具有快照保护功能，可以实现灾备模块回退，保障灾备模块自身安全。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3"/>
              <w:spacing w:line="440" w:lineRule="exact"/>
              <w:ind w:firstLine="0" w:firstLineChars="0"/>
              <w:jc w:val="left"/>
              <w:rPr>
                <w:rFonts w:ascii="仿宋" w:hAnsi="仿宋" w:eastAsia="仿宋"/>
                <w:bCs/>
                <w:kern w:val="2"/>
                <w:sz w:val="24"/>
                <w:szCs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支持对接物理带库、蓝光带库等不可修改存储介质。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restart"/>
            <w:vAlign w:val="center"/>
          </w:tcPr>
          <w:p>
            <w:pPr>
              <w:pStyle w:val="63"/>
              <w:spacing w:line="440" w:lineRule="exact"/>
              <w:ind w:firstLine="0" w:firstLineChars="0"/>
              <w:rPr>
                <w:rFonts w:ascii="仿宋" w:hAnsi="仿宋" w:eastAsia="仿宋"/>
                <w:bCs/>
                <w:sz w:val="24"/>
              </w:rPr>
            </w:pPr>
            <w:r>
              <w:rPr>
                <w:rFonts w:hint="eastAsia" w:ascii="仿宋" w:hAnsi="仿宋" w:eastAsia="仿宋"/>
                <w:bCs/>
                <w:kern w:val="2"/>
                <w:sz w:val="24"/>
                <w:szCs w:val="24"/>
              </w:rPr>
              <w:t>核心数据库字节级容灾系统服务能力要求</w:t>
            </w: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容灾系统具备实时同步、实时备份、手动接管、自动接管等功能模块，其中实时同步和实时备份2个功能即可用同一任务完成，也可以分离，即生产机备份到A，同步到B，相互间不干扰。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支持文件级备份能够对Windows、Linux、Unix等多种服务器进行操作系统、数据库、文件、应用进行保护；能够对VMWare以及基于KVM技术的多种虚拟化平台进行备份。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支持主流操作系统：Redhat、HP-UNIX、SOLARIS、WINDOWS；支持主流的数据库：ORACLE、MSSQL、DB2、SYBASE、MYSQL、domino、MongoDB、PostgreSQL、达梦、人大金仓、神通、南大通用、瀚高等。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内置DB2数据库容灾备份系统，支持DB2数据库同步复制及实时备份，投标时提供“DB2容灾备份系统”软件著作权登记证书复印件。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内置Mongodb数据库灾备系统，支持Mongodb数据库同步复制及实时备份，投标时提供“Mongodb数据库灾备系统”软件著作权登记证书复印件。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实时同步模块可有选择性的对服务器的文件、数据库等进行同步复制，非全磁盘或全系统保护模式，减少病毒的传播，当服务器硬盘、存储故障等硬件故障或服务器的数据库出现故障时，可通过容灾系统的进行无缝接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支持大数据并发同步处理能力，要求在1000W条数据循环插入的情况下，同步数据无延时。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同步的备机系统在线，可实时查看同步复制的文件内容或定时查看数据库。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实时备份系统模块可以对磁盘的读写I/O级操作进行持续记录。当业务平台发生故障或数据丢失后，能够通过持续数据保护功能将业务和数据恢复到故障前一个I/O操作的状态，恢复颗粒度最小单位为I/O记录级别，保障数据丢失最小化。保护周期只和容灾系统容量有关，没有记录时间限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自动接管和手动接管2个模块，既可以自动快速接管应用也可以通过手动一键切换，实现在集中容灾平台自动化的恢复业务。支持P2P,P2V,V2V,V2P(支持不同的硬件环境，无需数据转换)等方式的自动故障切换和故障恢复，提供相关功能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支持硬件故障、服务故障等自动接管模式，服务故障自动接管模式内置防IP冲突功能；支持操作系统故障、硬件故障等多状态自定义接管模式。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能监控各种服务状态，并能自动根据预设场景进行自动接管。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能监控非服务进程，并能自动根据预设场景进行自动接管。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 xml:space="preserve">传输过程中具备断点续传能力，当传输链路中断或备端故障时，故障修复完成后，两端可以迅速的完成增量数据同步，不需要长时间扫描比对；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在不影响业务系统运行的情况下，可以随时在容灾平台接管服务器上进行容灾接管演练，验证容灾系统的可用性。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业务服务器修复后，可通过后台运行模式实现V2P/V2V的数据回迁，回迁过程中业务系统不停机。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restart"/>
            <w:vAlign w:val="center"/>
          </w:tcPr>
          <w:p>
            <w:pPr>
              <w:pStyle w:val="63"/>
              <w:spacing w:line="440" w:lineRule="exact"/>
              <w:ind w:firstLine="0" w:firstLineChars="0"/>
              <w:rPr>
                <w:rFonts w:ascii="仿宋" w:hAnsi="仿宋" w:eastAsia="仿宋"/>
                <w:bCs/>
                <w:sz w:val="24"/>
              </w:rPr>
            </w:pPr>
            <w:r>
              <w:rPr>
                <w:rFonts w:hint="eastAsia" w:ascii="仿宋" w:hAnsi="仿宋" w:eastAsia="仿宋"/>
                <w:bCs/>
                <w:kern w:val="2"/>
                <w:sz w:val="24"/>
                <w:szCs w:val="24"/>
              </w:rPr>
              <w:t>应用级容灾系统服务能力要求</w:t>
            </w: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具有实时数据复制、持续数据保护CDP、快照等功能，支持Windows/linux服务器系统平台，支持WindowsXP、Windows7、Windows8、Windows10等所有32位和64位桌面系统平台，支持对常用数据库及应用系统的实时保护，支持虚拟化容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可通过登陆一台容灾服务器管理全局所有容灾服务器、客户端和客户，可以在一个登录界面完成所有客户端的备份、恢复与接管工作。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将备份数据定时或实时的恢复至备用物理服务器或虚拟机，当生产服务器发生故障时，可直接替代生产服务器提供服务，保持业务连续性运行；当生产端故障修复时，支持对生产服务器环境及数据的快速还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支持P2V应级容灾，能够将物理服务器全量/实时增量备份为虚机镜像，当生产服务器发生故障时，由备端虚拟化平台直接挂载使用，实现快速应急容灾。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东文宋体" w:hAnsi="东文宋体" w:eastAsia="东文宋体" w:cs="东文宋体"/>
                <w:bCs/>
                <w:color w:val="auto"/>
                <w:kern w:val="2"/>
              </w:rPr>
              <w:t>▲</w:t>
            </w:r>
            <w:r>
              <w:rPr>
                <w:rFonts w:hint="eastAsia" w:ascii="仿宋" w:hAnsi="仿宋" w:eastAsia="仿宋"/>
                <w:bCs/>
                <w:color w:val="auto"/>
                <w:kern w:val="2"/>
              </w:rPr>
              <w:t>应急接管的业务系统，无需停止业务，可实现反向复制，回切停机时间不超过2分钟。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 xml:space="preserve">支持对操作系统的在线完全及永久增量备份，支持原机及异机进行裸机恢复。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在生产系统故障的时候，通过一体机内部内置虚拟机实现快速应急接管，可以进行快速恢复，保证生产业务能持续稳定的运行，接管操作时无需对备份数据做任何转换，可以直接使用备份出来的文件做接管服务，投标时提供内置虚拟机接管功能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可以对全局每一个客户端分别进行流量控制，投标时提供相关功能截图。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支持实时复制，可将生产服务器中应用系统的数据实时地复制到网络中的备份产品上，且要保证在复制过程中应用系统仍然可以正常工作，保存在备份产品上的数据能提供任意时间点的恢复。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5" w:hRule="atLeast"/>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支持断点续传，当实时任务执行过程中出现异常、断网、主机重启、容灾系统重启等情况修复后，可自动从上一次断点处继续增量传输数据，无需重新进行完整数据传输。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东文宋体" w:hAnsi="东文宋体" w:eastAsia="东文宋体" w:cs="东文宋体"/>
                <w:bCs/>
                <w:color w:val="auto"/>
                <w:kern w:val="2"/>
              </w:rPr>
              <w:t>▲</w:t>
            </w:r>
            <w:r>
              <w:rPr>
                <w:rFonts w:hint="eastAsia" w:ascii="仿宋" w:hAnsi="仿宋" w:eastAsia="仿宋"/>
                <w:bCs/>
                <w:color w:val="auto"/>
                <w:kern w:val="2"/>
              </w:rPr>
              <w:t>支持对SQL Server、Oracle、Sybase、Exchange Server、Lotus Domino、DB2、MySQL、AD、达梦、人大金仓、神通、南大通用、瀚高等主流应用进行在线备份保护及应用容灾保护。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要求能提供历史数据副本，支持CDM功能，支持快照的备份，方便做数据分析和容灾演练，可以将机器的任意快照挂载到任意主机上。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在非接管业务期间，容灾服务器可以选择不用开机，以减少额外能耗。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支持对Vmware vSphere ESX/ESXi、Microsoft Hyper-V、华为FusionSphere、H3C CAS等虚拟化平台的平台级应用保护。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支持全局性重复数据删除特性，在所有备份数据中仅保存唯一一份相同数据，最大限度的减少备份存储空间的使用。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支持1对1及1对多的多种方式将本地备份数据远程复制到异地，当本地发生场地灾难时，依旧可以通过异地的备份数据进行恢复，最大限度的满足多分支机构的异地数据容灾需要。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持流量限速及固定时段暂停传输，当远程复制链路资源比较紧张时，可通过流量限速和在固定时段内暂停远程复制以减小对正常业务的影响。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自主开发，可满足备份管理平台软件系统二次开发的需求，且提供良好的技术支持和专业的维护服务。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具备管理员和审计管理员双管理员角色，同时和业务系统嵌入后，保持和备份系统的权限独立。审计管理员则可以进行备份内容审计、备份系统安全性审计和备份行为审计，以保证备份的安全性。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提供Block级别持续数据保护和快速恢复能力，以及实时远程复制能力。支持同步和异步模式。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可为每台客户端提供多达512个全一致性快照副本，以提供多历史时间点的快速恢复。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东文宋体" w:hAnsi="东文宋体" w:eastAsia="东文宋体" w:cs="东文宋体"/>
                <w:bCs/>
                <w:color w:val="auto"/>
                <w:kern w:val="2"/>
              </w:rPr>
              <w:t>▲</w:t>
            </w:r>
            <w:r>
              <w:rPr>
                <w:rFonts w:hint="eastAsia" w:ascii="仿宋" w:hAnsi="仿宋" w:eastAsia="仿宋"/>
                <w:bCs/>
                <w:color w:val="auto"/>
                <w:kern w:val="2"/>
              </w:rPr>
              <w:t>支持全业务沙盒演练模式，从应用端到数据库全业务模拟演练。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容灾演练的同时本地容灾系统保护、复制不能中断，提供多历史点数据同时进行检验。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本地备份数据历史数据的查验动作对生产系统不产生任何影响。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并能够同时向验证主机提取多历史时间点挂载验证。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能够对本地备份数据进行读写操作，能够进行日常报表统计及系统测试工作。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取消或删除快照或历史点映像时，可保留之前对快照进行的任何数据修改。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具备瞬时快照副本创建能力，在完成快照数据拷贝过程中，该快照副本随时可进行读写操作。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restart"/>
            <w:vAlign w:val="center"/>
          </w:tcPr>
          <w:p>
            <w:pPr>
              <w:pStyle w:val="63"/>
              <w:spacing w:line="440" w:lineRule="exact"/>
              <w:ind w:firstLine="0" w:firstLineChars="0"/>
              <w:rPr>
                <w:rFonts w:ascii="仿宋" w:hAnsi="仿宋" w:eastAsia="仿宋"/>
                <w:bCs/>
                <w:sz w:val="24"/>
              </w:rPr>
            </w:pPr>
            <w:r>
              <w:rPr>
                <w:rFonts w:hint="eastAsia" w:ascii="仿宋" w:hAnsi="仿宋" w:eastAsia="仿宋"/>
                <w:bCs/>
                <w:kern w:val="2"/>
                <w:sz w:val="24"/>
                <w:szCs w:val="24"/>
              </w:rPr>
              <w:t>数据库事务日志级容灾系统服务能力要求</w:t>
            </w: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提供直观的简体中文图形化WEB操作控制台，所有操作均可在WEB上实现，可以在一个WEB图形界面里管理和配置所有业务系统的数据同步系统管理,多套数据同步系统要求统一集中在一个WEB平台上操作。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支持主流操作系统：Redhat、HP-UNIX、AIX、SOLARIS、WINDOWS；支持主流的数据库：ORACLE、MSSQL、MYSQL、RDS数据库类型；支持数据库的HA和ORACLE的RAC模式。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具备异构数据库复制系统功能，支持数据库异构同步复制，投标时提供“异构数据库复制系统”软件著作权证书复印件。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生产端只需安装agent，无手动需修改数据库其他配置文件，如监听等。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具有物理复制模式，支持数据库的所有操作复制；当生产系统中增加新表、新用户、表空间扩容等，复制软件能自动复制这些操作并在备机执行。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可扩展逻辑复制模式，支持DML和DDL操作复制，支持异构操作系统和数据库版本复制，支持定期自动数据全校验功能。无需在生产机上部署任何插件、客户端。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支持R</w:t>
            </w:r>
            <w:r>
              <w:rPr>
                <w:rFonts w:ascii="仿宋" w:hAnsi="仿宋" w:eastAsia="仿宋"/>
                <w:bCs/>
                <w:color w:val="auto"/>
                <w:kern w:val="2"/>
              </w:rPr>
              <w:t>DS</w:t>
            </w:r>
            <w:r>
              <w:rPr>
                <w:rFonts w:hint="eastAsia" w:ascii="仿宋" w:hAnsi="仿宋" w:eastAsia="仿宋"/>
                <w:bCs/>
                <w:color w:val="auto"/>
                <w:kern w:val="2"/>
              </w:rPr>
              <w:t>数据库平台同步复制，投标时提供“R</w:t>
            </w:r>
            <w:r>
              <w:rPr>
                <w:rFonts w:ascii="仿宋" w:hAnsi="仿宋" w:eastAsia="仿宋"/>
                <w:bCs/>
                <w:color w:val="auto"/>
                <w:kern w:val="2"/>
              </w:rPr>
              <w:t>DS</w:t>
            </w:r>
            <w:r>
              <w:rPr>
                <w:rFonts w:hint="eastAsia" w:ascii="仿宋" w:hAnsi="仿宋" w:eastAsia="仿宋"/>
                <w:bCs/>
                <w:color w:val="auto"/>
                <w:kern w:val="2"/>
              </w:rPr>
              <w:t>数据库平台复制备份系统”软件著作权证书复印件。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在初始化同步过程中，业务不能停止；初始化过程中自动实现全同步和增量同步操作，‘一键式’执行，无需人工干预；支持异构平台下的首次数据初始化同步；支持跨数据库版本之间数据库的初始化同步操作。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能实现数据库一对一、一对多的数据库容灾方案。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支持原格式备份方式，支持直接挂载恢复模式，在分钟内完成大型数据库的恢复。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支持自动定期恢复到第三台机器上作为查询库使用，与容灾库分离，保障数据完整性和可用性。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针对核心数据库业务系统提供业务连续运行保障，当生产系统发生故障时，容灾系统要确保数据零丢失，同时能够接管业务系统实现业务连续服务的目标。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当系统发生异常（例如网络、主机、源或者目标数据库），保证数据复制的一致性；支持数据的断点续传功能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 xml:space="preserve">实现数据库全库、表空间、控制文件、日志文件等备份，支持数据库实时备份，任意SCN回退等；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日志能明确显示当前应用的SCN号，主备机的SCN号完全一致，提供RMAN应用日志截图。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无需写任何脚本，备份系统结合RMAN做高性能数据库全备份的同时，提供Oracle单表恢复功能，以保证高性能数据库备份，同时避免因整个表空间或整库恢复造成的数据丢失。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在线实施，实施期间生产系统不得停机，业务不能终止。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restart"/>
            <w:vAlign w:val="center"/>
          </w:tcPr>
          <w:p>
            <w:pPr>
              <w:pStyle w:val="63"/>
              <w:spacing w:line="440" w:lineRule="exact"/>
              <w:ind w:firstLine="0" w:firstLineChars="0"/>
              <w:rPr>
                <w:rFonts w:ascii="仿宋" w:hAnsi="仿宋" w:eastAsia="仿宋"/>
                <w:bCs/>
                <w:sz w:val="24"/>
              </w:rPr>
            </w:pPr>
            <w:r>
              <w:rPr>
                <w:rFonts w:hint="eastAsia" w:ascii="仿宋" w:hAnsi="仿宋" w:eastAsia="仿宋"/>
                <w:bCs/>
                <w:kern w:val="2"/>
                <w:sz w:val="24"/>
                <w:szCs w:val="24"/>
              </w:rPr>
              <w:t>备份系统服务能力要求</w:t>
            </w: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支持各种主流操作系统，包括：HP-UX、IBM AIX、Oracle Solaris、OS400、Tru64、Windows (包括win2019)、Linux Redhat, Suse,CentOS,Debian,Fedora,Gentoo,Mandriva,OpenSuse,OracleLinux,Redflag,Scientific,Ubuntu and Linux on ZSeries）、FreeBSD, MAC OS、Unixware、SCO、SGI IRIX及NetWare等等。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兼容多种操作系统裸机备份，无需重新安装操作系统，可实现操作系统快速恢复，包括：Windows，Linux，IBM AIX，HP-UX及Solaris等等。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东文宋体" w:hAnsi="东文宋体" w:eastAsia="东文宋体" w:cs="东文宋体"/>
                <w:bCs/>
                <w:color w:val="auto"/>
                <w:kern w:val="2"/>
              </w:rPr>
              <w:t>▲</w:t>
            </w:r>
            <w:r>
              <w:rPr>
                <w:rFonts w:hint="eastAsia" w:ascii="仿宋" w:hAnsi="仿宋" w:eastAsia="仿宋"/>
                <w:bCs/>
                <w:color w:val="auto"/>
                <w:kern w:val="2"/>
              </w:rPr>
              <w:t>支持多平台下的主流数据库和应用的在线备份，包括：MS Active Directory,eDirectory、groupwise、SQL Server、Exchange Server，POSTGRES、parsdox、SharePoint，Oracle，MySQL, IBM Lotus Domino, PostgreSQL，达梦、人大金仓、神通、南大通用、瀚高等等，在不关闭数据库的情况下对数据库数据进行在线的热备份，并且确保备份后数据的一致性。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支持KVM、vmware（包括vsphere 7）、XEN、hyper-V、H3C、华为、proxmox、openstack等虚拟化平台备份。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支持针对虚拟机底层进行备份,采用免agent虚拟化备份功能，无需在虚拟机、物理主机或虚拟化平台上安装任何插件、客户端或虚拟机，不限虚拟机数量、不限备份容量；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支持vmware等虚拟机主机之间、集群之间复制功能，可以实现至少40个副本以上保留记录，可以任意副本开机即用。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支持vmware、hyper-V等虚拟化平台自动恢复，根据预设的RPO\RTO自动恢复到另外设备上，并生成可用性报告。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可设置策略自动对备份的数据进行异机恢复，恢复支持恢复到VMware和Hyper-V平台。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支持备份一体机之间快速同步功能，支持备份的本地数据快速同步到异地一体机，无需额外授权。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无需写任何脚本，备份系统支持对Oracle的图形化的备份恢复操作，以简化备份恢复管理。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备份系统可自动发现被保护的数据库和应用文件，无需客户手工添加，简化配置和误操作。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备份系统支持备份数据以私有格式存储在备份介质上，而非mysql数据库模式和TAR/CPIO等标准格式，以防止介质丢失导致的数据风险。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备份系统内置重复数据删除功能，支持源端的数据去重，以降低网络消耗和备份存储空间。备份系统支持通过多台服务器做并行去重，以成倍提高备份性能和容量,投标时提供“重复数据删除系统”软件著作权登记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2" w:hRule="atLeast"/>
          <w:jc w:val="center"/>
        </w:trPr>
        <w:tc>
          <w:tcPr>
            <w:tcW w:w="1413" w:type="dxa"/>
            <w:vMerge w:val="continue"/>
            <w:vAlign w:val="center"/>
          </w:tcPr>
          <w:p>
            <w:pPr>
              <w:pStyle w:val="64"/>
              <w:spacing w:line="440" w:lineRule="exact"/>
              <w:ind w:left="240" w:right="240" w:firstLine="0" w:firstLineChars="0"/>
              <w:rPr>
                <w:rFonts w:ascii="仿宋" w:hAnsi="仿宋" w:eastAsia="仿宋"/>
                <w:bCs/>
                <w:sz w:val="24"/>
              </w:rPr>
            </w:pP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备份系统支持对多个介质服务器或多数据中心的全局去重能力，以节省存储空间和网络消耗。采用先进的SHA-512去重算法，理论上没有重码，并可调整去重因子大小，以提高不同应用的去重比。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413" w:type="dxa"/>
            <w:vAlign w:val="center"/>
          </w:tcPr>
          <w:p>
            <w:pPr>
              <w:pStyle w:val="63"/>
              <w:spacing w:line="440" w:lineRule="exact"/>
              <w:ind w:firstLine="0" w:firstLineChars="0"/>
              <w:rPr>
                <w:rFonts w:ascii="仿宋" w:hAnsi="仿宋" w:eastAsia="仿宋"/>
                <w:bCs/>
                <w:sz w:val="24"/>
              </w:rPr>
            </w:pPr>
            <w:r>
              <w:rPr>
                <w:rFonts w:hint="eastAsia" w:ascii="仿宋" w:hAnsi="仿宋" w:eastAsia="仿宋"/>
                <w:bCs/>
                <w:kern w:val="2"/>
                <w:sz w:val="24"/>
                <w:szCs w:val="24"/>
              </w:rPr>
              <w:t>日常服务</w:t>
            </w: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提供原厂商现场技术培训和现场技术指导；</w:t>
            </w:r>
          </w:p>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提供日常灾备任务的增、删、改等工作；</w:t>
            </w:r>
          </w:p>
          <w:p>
            <w:pPr>
              <w:pStyle w:val="39"/>
              <w:spacing w:line="300" w:lineRule="exact"/>
              <w:jc w:val="both"/>
              <w:rPr>
                <w:rFonts w:ascii="仿宋" w:hAnsi="仿宋" w:eastAsia="仿宋"/>
                <w:bCs/>
                <w:color w:val="auto"/>
                <w:kern w:val="2"/>
              </w:rPr>
            </w:pPr>
            <w:r>
              <w:rPr>
                <w:rFonts w:hint="eastAsia" w:ascii="东文宋体" w:hAnsi="东文宋体" w:eastAsia="东文宋体" w:cs="东文宋体"/>
                <w:bCs/>
                <w:color w:val="auto"/>
                <w:kern w:val="2"/>
              </w:rPr>
              <w:t>▲</w:t>
            </w:r>
            <w:r>
              <w:rPr>
                <w:rFonts w:hint="eastAsia" w:ascii="仿宋" w:hAnsi="仿宋" w:eastAsia="仿宋"/>
                <w:bCs/>
                <w:color w:val="auto"/>
                <w:kern w:val="2"/>
              </w:rPr>
              <w:t>提供日常</w:t>
            </w:r>
            <w:r>
              <w:rPr>
                <w:rFonts w:ascii="仿宋" w:hAnsi="仿宋" w:eastAsia="仿宋"/>
                <w:bCs/>
                <w:color w:val="auto"/>
                <w:kern w:val="2"/>
              </w:rPr>
              <w:t>巡检、备份</w:t>
            </w:r>
            <w:r>
              <w:rPr>
                <w:rFonts w:hint="eastAsia" w:ascii="仿宋" w:hAnsi="仿宋" w:eastAsia="仿宋"/>
                <w:bCs/>
                <w:color w:val="auto"/>
                <w:kern w:val="2"/>
              </w:rPr>
              <w:t>恢复</w:t>
            </w:r>
            <w:r>
              <w:rPr>
                <w:rFonts w:ascii="仿宋" w:hAnsi="仿宋" w:eastAsia="仿宋"/>
                <w:bCs/>
                <w:color w:val="auto"/>
                <w:kern w:val="2"/>
              </w:rPr>
              <w:t>、灾备管理等工作</w:t>
            </w:r>
          </w:p>
          <w:p>
            <w:pPr>
              <w:pStyle w:val="39"/>
              <w:spacing w:line="300" w:lineRule="exact"/>
              <w:jc w:val="both"/>
              <w:rPr>
                <w:rFonts w:ascii="仿宋" w:hAnsi="仿宋" w:eastAsia="仿宋"/>
                <w:bCs/>
                <w:color w:val="auto"/>
                <w:kern w:val="2"/>
              </w:rPr>
            </w:pPr>
            <w:r>
              <w:rPr>
                <w:rFonts w:hint="eastAsia" w:ascii="东文宋体" w:hAnsi="东文宋体" w:eastAsia="东文宋体" w:cs="东文宋体"/>
                <w:bCs/>
                <w:color w:val="auto"/>
                <w:kern w:val="2"/>
              </w:rPr>
              <w:t>▲</w:t>
            </w:r>
            <w:r>
              <w:rPr>
                <w:rFonts w:hint="eastAsia" w:ascii="仿宋" w:hAnsi="仿宋" w:eastAsia="仿宋"/>
                <w:bCs/>
                <w:color w:val="auto"/>
                <w:kern w:val="2"/>
              </w:rPr>
              <w:t>在服务期内提供原厂商工程师上门重点保障服务、系统</w:t>
            </w:r>
            <w:r>
              <w:rPr>
                <w:rFonts w:ascii="仿宋" w:hAnsi="仿宋" w:eastAsia="仿宋"/>
                <w:bCs/>
                <w:color w:val="auto"/>
                <w:kern w:val="2"/>
              </w:rPr>
              <w:t>升级、架构调整和系统优化</w:t>
            </w:r>
            <w:r>
              <w:rPr>
                <w:rFonts w:hint="eastAsia" w:ascii="仿宋" w:hAnsi="仿宋" w:eastAsia="仿宋"/>
                <w:bCs/>
                <w:color w:val="auto"/>
                <w:kern w:val="2"/>
              </w:rPr>
              <w:t>和应急服务；</w:t>
            </w:r>
          </w:p>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每年1次原厂商工程师现场灾备演练服务；</w:t>
            </w:r>
          </w:p>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投标时提供原厂商针对此项目的服务承诺函。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413" w:type="dxa"/>
            <w:vAlign w:val="center"/>
          </w:tcPr>
          <w:p>
            <w:pPr>
              <w:pStyle w:val="63"/>
              <w:spacing w:line="440" w:lineRule="exact"/>
              <w:ind w:firstLine="0" w:firstLineChars="0"/>
              <w:rPr>
                <w:rFonts w:ascii="仿宋" w:hAnsi="仿宋" w:eastAsia="仿宋"/>
                <w:bCs/>
                <w:kern w:val="2"/>
                <w:sz w:val="24"/>
                <w:szCs w:val="24"/>
              </w:rPr>
            </w:pPr>
            <w:r>
              <w:rPr>
                <w:rFonts w:hint="eastAsia" w:ascii="仿宋" w:hAnsi="仿宋" w:eastAsia="仿宋"/>
                <w:bCs/>
                <w:kern w:val="2"/>
                <w:sz w:val="24"/>
                <w:szCs w:val="24"/>
              </w:rPr>
              <w:t>其他</w:t>
            </w:r>
            <w:r>
              <w:rPr>
                <w:rFonts w:ascii="仿宋" w:hAnsi="仿宋" w:eastAsia="仿宋"/>
                <w:bCs/>
                <w:kern w:val="2"/>
                <w:sz w:val="24"/>
                <w:szCs w:val="24"/>
              </w:rPr>
              <w:t>服务</w:t>
            </w:r>
          </w:p>
        </w:tc>
        <w:tc>
          <w:tcPr>
            <w:tcW w:w="8499"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容灾</w:t>
            </w:r>
            <w:r>
              <w:rPr>
                <w:rFonts w:ascii="仿宋" w:hAnsi="仿宋" w:eastAsia="仿宋"/>
                <w:bCs/>
                <w:color w:val="auto"/>
                <w:kern w:val="2"/>
              </w:rPr>
              <w:t>和备份的数据所属权</w:t>
            </w:r>
            <w:r>
              <w:rPr>
                <w:rFonts w:hint="eastAsia" w:ascii="仿宋" w:hAnsi="仿宋" w:eastAsia="仿宋"/>
                <w:bCs/>
                <w:color w:val="auto"/>
                <w:kern w:val="2"/>
              </w:rPr>
              <w:t>为</w:t>
            </w:r>
            <w:r>
              <w:rPr>
                <w:rFonts w:ascii="仿宋" w:hAnsi="仿宋" w:eastAsia="仿宋"/>
                <w:bCs/>
                <w:color w:val="auto"/>
                <w:kern w:val="2"/>
              </w:rPr>
              <w:t>湖州市疾病预防控制中心</w:t>
            </w:r>
            <w:r>
              <w:rPr>
                <w:rFonts w:hint="eastAsia" w:ascii="仿宋" w:hAnsi="仿宋" w:eastAsia="仿宋"/>
                <w:bCs/>
                <w:color w:val="auto"/>
                <w:kern w:val="2"/>
              </w:rPr>
              <w:t>；</w:t>
            </w:r>
            <w:r>
              <w:rPr>
                <w:rFonts w:ascii="仿宋" w:hAnsi="仿宋" w:eastAsia="仿宋"/>
                <w:bCs/>
                <w:color w:val="auto"/>
                <w:kern w:val="2"/>
              </w:rPr>
              <w:t xml:space="preserve"> </w:t>
            </w:r>
          </w:p>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配合安全漏洞</w:t>
            </w:r>
            <w:r>
              <w:rPr>
                <w:rFonts w:ascii="仿宋" w:hAnsi="仿宋" w:eastAsia="仿宋"/>
                <w:bCs/>
                <w:color w:val="auto"/>
                <w:kern w:val="2"/>
              </w:rPr>
              <w:t>整改</w:t>
            </w:r>
            <w:r>
              <w:rPr>
                <w:rFonts w:hint="eastAsia" w:ascii="仿宋" w:hAnsi="仿宋" w:eastAsia="仿宋"/>
                <w:bCs/>
                <w:color w:val="auto"/>
                <w:kern w:val="2"/>
              </w:rPr>
              <w:t>；</w:t>
            </w:r>
          </w:p>
        </w:tc>
      </w:tr>
    </w:tbl>
    <w:p>
      <w:pPr>
        <w:pStyle w:val="2"/>
        <w:ind w:firstLine="0" w:firstLineChars="0"/>
        <w:rPr>
          <w:rFonts w:ascii="仿宋_GB2312" w:hAnsi="Arial" w:eastAsia="仿宋_GB2312" w:cs="Arial"/>
          <w:b/>
          <w:bCs/>
          <w:kern w:val="0"/>
          <w:sz w:val="28"/>
          <w:szCs w:val="28"/>
        </w:rPr>
      </w:pPr>
    </w:p>
    <w:p>
      <w:pPr>
        <w:pStyle w:val="2"/>
        <w:ind w:firstLine="0" w:firstLineChars="0"/>
        <w:rPr>
          <w:rFonts w:ascii="仿宋_GB2312" w:hAnsi="Arial" w:eastAsia="仿宋_GB2312" w:cs="Arial"/>
          <w:b/>
          <w:bCs/>
          <w:kern w:val="0"/>
          <w:sz w:val="28"/>
          <w:szCs w:val="28"/>
        </w:rPr>
      </w:pPr>
      <w:r>
        <w:rPr>
          <w:rFonts w:hint="eastAsia" w:ascii="仿宋_GB2312" w:hAnsi="Arial" w:eastAsia="仿宋_GB2312" w:cs="Arial"/>
          <w:b/>
          <w:bCs/>
          <w:kern w:val="0"/>
          <w:sz w:val="28"/>
          <w:szCs w:val="28"/>
        </w:rPr>
        <w:t>序号5：系统三级等保测评</w:t>
      </w:r>
    </w:p>
    <w:tbl>
      <w:tblPr>
        <w:tblStyle w:val="31"/>
        <w:tblW w:w="9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606" w:type="dxa"/>
            <w:shd w:val="clear" w:color="auto" w:fill="D9D9D9"/>
          </w:tcPr>
          <w:p>
            <w:pPr>
              <w:pStyle w:val="39"/>
              <w:spacing w:line="300" w:lineRule="exact"/>
              <w:jc w:val="both"/>
              <w:rPr>
                <w:rFonts w:ascii="仿宋" w:hAnsi="仿宋" w:eastAsia="仿宋"/>
                <w:b/>
                <w:color w:val="auto"/>
                <w:kern w:val="2"/>
              </w:rPr>
            </w:pPr>
            <w:r>
              <w:rPr>
                <w:rFonts w:hint="eastAsia" w:ascii="仿宋" w:hAnsi="仿宋" w:eastAsia="仿宋"/>
                <w:b/>
                <w:color w:val="auto"/>
                <w:kern w:val="2"/>
              </w:rPr>
              <w:t>技术指标</w:t>
            </w:r>
          </w:p>
        </w:tc>
        <w:tc>
          <w:tcPr>
            <w:tcW w:w="7938" w:type="dxa"/>
            <w:shd w:val="clear" w:color="auto" w:fill="D9D9D9"/>
          </w:tcPr>
          <w:p>
            <w:pPr>
              <w:pStyle w:val="39"/>
              <w:spacing w:line="300" w:lineRule="exact"/>
              <w:jc w:val="both"/>
              <w:rPr>
                <w:rFonts w:ascii="仿宋" w:hAnsi="仿宋" w:eastAsia="仿宋"/>
                <w:b/>
                <w:color w:val="auto"/>
                <w:kern w:val="2"/>
              </w:rPr>
            </w:pPr>
            <w:r>
              <w:rPr>
                <w:rFonts w:hint="eastAsia" w:ascii="仿宋" w:hAnsi="仿宋" w:eastAsia="仿宋"/>
                <w:b/>
                <w:color w:val="auto"/>
                <w:kern w:val="2"/>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606"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等保三级测评</w:t>
            </w:r>
          </w:p>
        </w:tc>
        <w:tc>
          <w:tcPr>
            <w:tcW w:w="7938" w:type="dxa"/>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 xml:space="preserve">对一个业务系统（云公卫）提供等保三级测评，根据GB/T 22239-2019 《信息安全技术 网络安全等级保护基本要求》，测评内容包括安全物理环境、安全通信网络、安全区域边界、安全计算环境、安全管理中心、安全管理制度、安全管理机构、安全管理人员、安全建设管理、安全运维管理等十个方面的安全测评），并提交符合（等级保护主管单位）要求的网络安全保护等级测评报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606"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其他要求</w:t>
            </w:r>
          </w:p>
        </w:tc>
        <w:tc>
          <w:tcPr>
            <w:tcW w:w="7938" w:type="dxa"/>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根据等保测评报告，进行相关整改服务</w:t>
            </w:r>
          </w:p>
        </w:tc>
      </w:tr>
    </w:tbl>
    <w:p/>
    <w:p>
      <w:pPr>
        <w:pStyle w:val="2"/>
        <w:ind w:firstLine="0" w:firstLineChars="0"/>
        <w:rPr>
          <w:rFonts w:ascii="仿宋_GB2312" w:hAnsi="Arial" w:eastAsia="仿宋_GB2312" w:cs="Arial"/>
          <w:b/>
          <w:bCs/>
          <w:kern w:val="0"/>
          <w:sz w:val="28"/>
          <w:szCs w:val="28"/>
        </w:rPr>
      </w:pPr>
      <w:r>
        <w:rPr>
          <w:rFonts w:hint="eastAsia" w:ascii="仿宋_GB2312" w:hAnsi="Arial" w:eastAsia="仿宋_GB2312" w:cs="Arial"/>
          <w:b/>
          <w:bCs/>
          <w:kern w:val="0"/>
          <w:sz w:val="28"/>
          <w:szCs w:val="28"/>
        </w:rPr>
        <w:t>序号6：</w:t>
      </w:r>
      <w:r>
        <w:rPr>
          <w:rFonts w:ascii="仿宋_GB2312" w:hAnsi="Arial" w:eastAsia="仿宋_GB2312" w:cs="Arial"/>
          <w:b/>
          <w:bCs/>
          <w:kern w:val="0"/>
          <w:sz w:val="28"/>
          <w:szCs w:val="28"/>
        </w:rPr>
        <w:t>集成服务</w:t>
      </w:r>
    </w:p>
    <w:tbl>
      <w:tblPr>
        <w:tblStyle w:val="31"/>
        <w:tblW w:w="9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554" w:type="dxa"/>
            <w:shd w:val="clear" w:color="auto" w:fill="D9D9D9"/>
          </w:tcPr>
          <w:p>
            <w:pPr>
              <w:widowControl/>
              <w:jc w:val="center"/>
              <w:rPr>
                <w:rFonts w:ascii="仿宋" w:hAnsi="仿宋" w:eastAsia="仿宋"/>
                <w:b/>
                <w:sz w:val="24"/>
              </w:rPr>
            </w:pPr>
            <w:r>
              <w:rPr>
                <w:rFonts w:hint="eastAsia" w:ascii="仿宋" w:hAnsi="仿宋" w:eastAsia="仿宋"/>
                <w:b/>
                <w:sz w:val="24"/>
              </w:rPr>
              <w:t>技术指标</w:t>
            </w:r>
          </w:p>
        </w:tc>
        <w:tc>
          <w:tcPr>
            <w:tcW w:w="7796" w:type="dxa"/>
            <w:shd w:val="clear" w:color="auto" w:fill="D9D9D9"/>
          </w:tcPr>
          <w:p>
            <w:pPr>
              <w:widowControl/>
              <w:jc w:val="center"/>
              <w:rPr>
                <w:rFonts w:ascii="仿宋" w:hAnsi="仿宋" w:eastAsia="仿宋"/>
                <w:b/>
                <w:sz w:val="24"/>
              </w:rPr>
            </w:pPr>
            <w:r>
              <w:rPr>
                <w:rFonts w:hint="eastAsia" w:ascii="仿宋" w:hAnsi="仿宋" w:eastAsia="仿宋"/>
                <w:b/>
                <w:sz w:val="24"/>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554" w:type="dxa"/>
            <w:vAlign w:val="center"/>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系统集成服务</w:t>
            </w:r>
          </w:p>
        </w:tc>
        <w:tc>
          <w:tcPr>
            <w:tcW w:w="7796" w:type="dxa"/>
          </w:tcPr>
          <w:p>
            <w:pPr>
              <w:pStyle w:val="39"/>
              <w:spacing w:line="300" w:lineRule="exact"/>
              <w:jc w:val="both"/>
              <w:rPr>
                <w:rFonts w:ascii="仿宋" w:hAnsi="仿宋" w:eastAsia="仿宋"/>
                <w:bCs/>
                <w:color w:val="auto"/>
                <w:kern w:val="2"/>
              </w:rPr>
            </w:pPr>
            <w:r>
              <w:rPr>
                <w:rFonts w:hint="eastAsia" w:ascii="仿宋" w:hAnsi="仿宋" w:eastAsia="仿宋"/>
                <w:bCs/>
                <w:color w:val="auto"/>
                <w:kern w:val="2"/>
              </w:rPr>
              <w:t>按照招标及用户实际需求，进行安装集成服务，对于在大数据局上云的系统做好云上业务的安全加固，以及云上业务系统的容灾备份服务，期间如产生接口或其他费用，由投标供应商承担。</w:t>
            </w:r>
          </w:p>
        </w:tc>
      </w:tr>
    </w:tbl>
    <w:p>
      <w:pPr>
        <w:rPr>
          <w:rFonts w:ascii="仿宋" w:hAnsi="仿宋" w:eastAsia="仿宋" w:cs="仿宋"/>
          <w:b/>
          <w:sz w:val="28"/>
          <w:szCs w:val="28"/>
        </w:rPr>
      </w:pPr>
    </w:p>
    <w:p>
      <w:pPr>
        <w:rPr>
          <w:rFonts w:ascii="仿宋" w:hAnsi="仿宋" w:eastAsia="仿宋" w:cs="仿宋"/>
          <w:b/>
          <w:spacing w:val="40"/>
          <w:kern w:val="0"/>
          <w:sz w:val="28"/>
          <w:szCs w:val="28"/>
        </w:rPr>
      </w:pPr>
      <w:r>
        <w:rPr>
          <w:rFonts w:hint="eastAsia" w:ascii="仿宋" w:hAnsi="仿宋" w:eastAsia="仿宋" w:cs="仿宋"/>
          <w:b/>
          <w:sz w:val="28"/>
          <w:szCs w:val="28"/>
        </w:rPr>
        <w:t>三、商务条款</w:t>
      </w:r>
    </w:p>
    <w:tbl>
      <w:tblPr>
        <w:tblStyle w:val="31"/>
        <w:tblW w:w="9498"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3"/>
        <w:gridCol w:w="77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723" w:type="dxa"/>
            <w:tcBorders>
              <w:top w:val="single" w:color="auto" w:sz="4" w:space="0"/>
              <w:left w:val="single" w:color="auto" w:sz="4" w:space="0"/>
              <w:bottom w:val="single" w:color="auto" w:sz="4" w:space="0"/>
              <w:right w:val="single" w:color="auto" w:sz="4" w:space="0"/>
            </w:tcBorders>
          </w:tcPr>
          <w:p>
            <w:pPr>
              <w:snapToGrid w:val="0"/>
              <w:spacing w:line="360" w:lineRule="exact"/>
              <w:rPr>
                <w:rFonts w:ascii="仿宋" w:hAnsi="仿宋" w:eastAsia="仿宋" w:cs="仿宋"/>
                <w:b/>
                <w:sz w:val="28"/>
                <w:szCs w:val="28"/>
              </w:rPr>
            </w:pPr>
            <w:r>
              <w:rPr>
                <w:rFonts w:hint="eastAsia" w:ascii="仿宋" w:hAnsi="仿宋" w:eastAsia="仿宋" w:cs="仿宋"/>
                <w:b/>
                <w:sz w:val="28"/>
                <w:szCs w:val="28"/>
              </w:rPr>
              <w:t>服务期</w:t>
            </w:r>
          </w:p>
        </w:tc>
        <w:tc>
          <w:tcPr>
            <w:tcW w:w="7775" w:type="dxa"/>
            <w:tcBorders>
              <w:top w:val="single" w:color="auto" w:sz="4" w:space="0"/>
              <w:left w:val="single" w:color="auto" w:sz="4" w:space="0"/>
              <w:bottom w:val="single" w:color="auto" w:sz="4" w:space="0"/>
              <w:right w:val="single" w:color="auto" w:sz="4" w:space="0"/>
            </w:tcBorders>
          </w:tcPr>
          <w:p>
            <w:pPr>
              <w:snapToGrid w:val="0"/>
              <w:spacing w:line="360" w:lineRule="exact"/>
              <w:rPr>
                <w:rFonts w:ascii="仿宋" w:hAnsi="仿宋" w:eastAsia="仿宋" w:cs="仿宋"/>
                <w:b/>
                <w:sz w:val="28"/>
                <w:szCs w:val="28"/>
              </w:rPr>
            </w:pPr>
            <w:r>
              <w:rPr>
                <w:rFonts w:hint="eastAsia" w:ascii="仿宋" w:hAnsi="仿宋" w:eastAsia="仿宋" w:cs="仿宋"/>
                <w:b/>
                <w:sz w:val="28"/>
                <w:szCs w:val="28"/>
              </w:rPr>
              <w:t>三年。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723" w:type="dxa"/>
            <w:tcBorders>
              <w:top w:val="single" w:color="auto" w:sz="4" w:space="0"/>
              <w:left w:val="single" w:color="auto" w:sz="4" w:space="0"/>
              <w:bottom w:val="single" w:color="auto" w:sz="4" w:space="0"/>
              <w:right w:val="single" w:color="auto" w:sz="4" w:space="0"/>
            </w:tcBorders>
          </w:tcPr>
          <w:p>
            <w:pPr>
              <w:snapToGrid w:val="0"/>
              <w:spacing w:line="360" w:lineRule="exact"/>
              <w:rPr>
                <w:rFonts w:ascii="仿宋" w:hAnsi="仿宋" w:eastAsia="仿宋" w:cs="仿宋"/>
                <w:b/>
                <w:sz w:val="28"/>
                <w:szCs w:val="28"/>
              </w:rPr>
            </w:pPr>
            <w:r>
              <w:rPr>
                <w:rFonts w:hint="eastAsia" w:ascii="仿宋" w:hAnsi="仿宋" w:eastAsia="仿宋" w:cs="仿宋"/>
                <w:b/>
                <w:sz w:val="28"/>
                <w:szCs w:val="28"/>
              </w:rPr>
              <w:t>合同履行期限及地点</w:t>
            </w:r>
          </w:p>
        </w:tc>
        <w:tc>
          <w:tcPr>
            <w:tcW w:w="7775" w:type="dxa"/>
            <w:tcBorders>
              <w:top w:val="single" w:color="auto" w:sz="4" w:space="0"/>
              <w:left w:val="single" w:color="auto" w:sz="4" w:space="0"/>
              <w:bottom w:val="single" w:color="auto" w:sz="4" w:space="0"/>
              <w:right w:val="single" w:color="auto" w:sz="4" w:space="0"/>
            </w:tcBorders>
          </w:tcPr>
          <w:p>
            <w:pPr>
              <w:snapToGrid w:val="0"/>
              <w:spacing w:line="360" w:lineRule="exact"/>
              <w:rPr>
                <w:rFonts w:ascii="仿宋" w:hAnsi="仿宋" w:eastAsia="仿宋" w:cs="仿宋"/>
                <w:b/>
                <w:color w:val="FF0000"/>
                <w:sz w:val="28"/>
                <w:szCs w:val="28"/>
              </w:rPr>
            </w:pPr>
            <w:r>
              <w:rPr>
                <w:rFonts w:hint="eastAsia" w:ascii="仿宋" w:hAnsi="仿宋" w:eastAsia="仿宋" w:cs="仿宋"/>
                <w:b/>
                <w:sz w:val="28"/>
                <w:szCs w:val="28"/>
              </w:rPr>
              <w:t>合同履行期限：</w:t>
            </w:r>
            <w:r>
              <w:rPr>
                <w:rFonts w:hint="eastAsia" w:ascii="仿宋" w:hAnsi="仿宋" w:eastAsia="仿宋"/>
                <w:b/>
                <w:sz w:val="28"/>
                <w:szCs w:val="28"/>
              </w:rPr>
              <w:t>签订合同后30日历天内供货并完成安装调试</w:t>
            </w:r>
          </w:p>
          <w:p>
            <w:pPr>
              <w:snapToGrid w:val="0"/>
              <w:spacing w:line="360" w:lineRule="exact"/>
              <w:rPr>
                <w:rFonts w:ascii="仿宋" w:hAnsi="仿宋" w:eastAsia="仿宋" w:cs="仿宋"/>
                <w:b/>
                <w:sz w:val="28"/>
                <w:szCs w:val="28"/>
              </w:rPr>
            </w:pPr>
            <w:r>
              <w:rPr>
                <w:rFonts w:hint="eastAsia" w:ascii="仿宋" w:hAnsi="仿宋" w:eastAsia="仿宋" w:cs="仿宋"/>
                <w:b/>
                <w:sz w:val="28"/>
                <w:szCs w:val="28"/>
              </w:rPr>
              <w:t xml:space="preserve">地点:采购人指定地点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723" w:type="dxa"/>
            <w:tcBorders>
              <w:top w:val="single" w:color="auto" w:sz="4" w:space="0"/>
              <w:left w:val="single" w:color="auto" w:sz="4" w:space="0"/>
              <w:bottom w:val="single" w:color="auto" w:sz="4" w:space="0"/>
              <w:right w:val="single" w:color="auto" w:sz="4" w:space="0"/>
            </w:tcBorders>
          </w:tcPr>
          <w:p>
            <w:pPr>
              <w:snapToGrid w:val="0"/>
              <w:spacing w:line="360" w:lineRule="exact"/>
              <w:rPr>
                <w:rFonts w:ascii="仿宋" w:hAnsi="仿宋" w:eastAsia="仿宋" w:cs="仿宋"/>
                <w:color w:val="000000"/>
                <w:sz w:val="28"/>
                <w:szCs w:val="28"/>
              </w:rPr>
            </w:pPr>
            <w:r>
              <w:rPr>
                <w:rFonts w:hint="eastAsia" w:ascii="仿宋" w:hAnsi="仿宋" w:eastAsia="仿宋" w:cs="仿宋"/>
                <w:color w:val="000000"/>
                <w:sz w:val="28"/>
                <w:szCs w:val="28"/>
              </w:rPr>
              <w:t>付款方式</w:t>
            </w:r>
          </w:p>
        </w:tc>
        <w:tc>
          <w:tcPr>
            <w:tcW w:w="7775" w:type="dxa"/>
            <w:tcBorders>
              <w:top w:val="single" w:color="auto" w:sz="4" w:space="0"/>
              <w:left w:val="single" w:color="auto" w:sz="4" w:space="0"/>
              <w:bottom w:val="single" w:color="auto" w:sz="4" w:space="0"/>
              <w:right w:val="single" w:color="auto" w:sz="4" w:space="0"/>
            </w:tcBorders>
          </w:tcPr>
          <w:p>
            <w:pPr>
              <w:spacing w:line="40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根据省财政厅《关于坚决打赢疫情防控阻击战进一步做好政府采购资金支持企业发展工作的通知》（浙财采监【2020】3号）要求，制定如下付款方式：</w:t>
            </w:r>
          </w:p>
          <w:p>
            <w:pPr>
              <w:spacing w:line="400" w:lineRule="exact"/>
              <w:rPr>
                <w:rFonts w:ascii="仿宋_GB2312" w:hAnsi="仿宋" w:eastAsia="仿宋_GB2312"/>
                <w:b/>
                <w:sz w:val="28"/>
                <w:szCs w:val="28"/>
              </w:rPr>
            </w:pPr>
            <w:r>
              <w:rPr>
                <w:rFonts w:hint="eastAsia" w:ascii="仿宋_GB2312" w:hAnsi="仿宋" w:eastAsia="仿宋_GB2312"/>
                <w:b/>
                <w:sz w:val="28"/>
                <w:szCs w:val="28"/>
              </w:rPr>
              <w:t>1.预付款：合同生效及具备实施条件后15日内支付合同金额的</w:t>
            </w:r>
            <w:r>
              <w:rPr>
                <w:rFonts w:hint="eastAsia" w:ascii="仿宋_GB2312" w:hAnsi="仿宋" w:eastAsia="仿宋_GB2312"/>
                <w:b/>
                <w:sz w:val="28"/>
                <w:szCs w:val="28"/>
                <w:lang w:val="en-US" w:eastAsia="zh-CN"/>
              </w:rPr>
              <w:t>50</w:t>
            </w:r>
            <w:r>
              <w:rPr>
                <w:rFonts w:hint="eastAsia" w:ascii="仿宋_GB2312" w:hAnsi="仿宋" w:eastAsia="仿宋_GB2312"/>
                <w:b/>
                <w:sz w:val="28"/>
                <w:szCs w:val="28"/>
              </w:rPr>
              <w:t>%；</w:t>
            </w:r>
          </w:p>
          <w:p>
            <w:pPr>
              <w:snapToGrid w:val="0"/>
              <w:spacing w:line="360" w:lineRule="exact"/>
              <w:rPr>
                <w:rFonts w:hint="eastAsia" w:ascii="仿宋_GB2312" w:hAnsi="仿宋" w:eastAsia="仿宋_GB2312"/>
                <w:b/>
                <w:sz w:val="28"/>
                <w:szCs w:val="28"/>
                <w:lang w:eastAsia="zh-CN"/>
              </w:rPr>
            </w:pPr>
            <w:r>
              <w:rPr>
                <w:rFonts w:hint="eastAsia" w:ascii="仿宋_GB2312" w:hAnsi="仿宋" w:eastAsia="仿宋_GB2312"/>
                <w:b/>
                <w:sz w:val="28"/>
                <w:szCs w:val="28"/>
              </w:rPr>
              <w:t>2.剩余资金支付：</w:t>
            </w:r>
            <w:r>
              <w:rPr>
                <w:rFonts w:hint="eastAsia" w:ascii="仿宋_GB2312" w:hAnsi="仿宋" w:eastAsia="仿宋_GB2312"/>
                <w:b/>
                <w:sz w:val="28"/>
                <w:szCs w:val="28"/>
                <w:lang w:eastAsia="zh-CN"/>
              </w:rPr>
              <w:t>按年度支付。</w:t>
            </w:r>
          </w:p>
          <w:p>
            <w:pPr>
              <w:snapToGrid w:val="0"/>
              <w:spacing w:line="360" w:lineRule="exact"/>
              <w:rPr>
                <w:rFonts w:ascii="仿宋" w:hAnsi="仿宋" w:eastAsia="仿宋" w:cs="仿宋"/>
                <w:color w:val="000000"/>
                <w:sz w:val="28"/>
                <w:szCs w:val="28"/>
              </w:rPr>
            </w:pPr>
            <w:r>
              <w:rPr>
                <w:rFonts w:hint="eastAsia" w:ascii="仿宋" w:hAnsi="仿宋" w:eastAsia="仿宋" w:cs="仿宋"/>
                <w:b/>
                <w:bCs/>
                <w:color w:val="000000"/>
                <w:sz w:val="28"/>
                <w:szCs w:val="28"/>
              </w:rPr>
              <w:t>3、供应商明确表示无需预付款或者主动要求降低预付款比例的，采购单位可不适用前述规定</w:t>
            </w:r>
            <w:r>
              <w:rPr>
                <w:rFonts w:hint="eastAsia" w:ascii="仿宋" w:hAnsi="仿宋" w:eastAsia="仿宋" w:cs="仿宋"/>
                <w:color w:val="000000"/>
                <w:sz w:val="28"/>
                <w:szCs w:val="28"/>
              </w:rPr>
              <w:t>。</w:t>
            </w:r>
          </w:p>
        </w:tc>
      </w:tr>
    </w:tbl>
    <w:p>
      <w:pPr>
        <w:rPr>
          <w:rFonts w:ascii="仿宋" w:hAnsi="仿宋" w:eastAsia="仿宋" w:cs="仿宋"/>
          <w:b/>
          <w:sz w:val="28"/>
          <w:szCs w:val="28"/>
        </w:rPr>
      </w:pPr>
      <w:r>
        <w:rPr>
          <w:rFonts w:hint="eastAsia" w:ascii="仿宋" w:hAnsi="仿宋" w:eastAsia="仿宋" w:cs="仿宋"/>
          <w:b/>
          <w:sz w:val="28"/>
          <w:szCs w:val="28"/>
        </w:rPr>
        <w:t>特别说明：</w:t>
      </w:r>
    </w:p>
    <w:p>
      <w:pPr>
        <w:ind w:firstLine="562" w:firstLineChars="200"/>
        <w:rPr>
          <w:rFonts w:ascii="仿宋" w:hAnsi="仿宋" w:eastAsia="仿宋" w:cs="仿宋"/>
          <w:b/>
          <w:sz w:val="28"/>
          <w:szCs w:val="28"/>
        </w:rPr>
      </w:pPr>
      <w:r>
        <w:rPr>
          <w:rFonts w:hint="eastAsia" w:ascii="仿宋" w:hAnsi="仿宋" w:eastAsia="仿宋" w:cs="仿宋"/>
          <w:b/>
          <w:sz w:val="28"/>
          <w:szCs w:val="28"/>
        </w:rPr>
        <w:t>1、根据浙财采监字[2007]2号文件规定：除招标文件明确的品牌外，欢迎其他能满足本项目技术需求且性能与所明确品牌相当的产品参加。</w:t>
      </w:r>
    </w:p>
    <w:p>
      <w:pPr>
        <w:ind w:firstLine="562" w:firstLineChars="200"/>
        <w:rPr>
          <w:rFonts w:ascii="仿宋" w:hAnsi="仿宋" w:eastAsia="仿宋" w:cs="仿宋"/>
          <w:b/>
          <w:sz w:val="28"/>
          <w:szCs w:val="28"/>
        </w:rPr>
      </w:pPr>
      <w:r>
        <w:rPr>
          <w:rFonts w:hint="eastAsia" w:ascii="仿宋" w:hAnsi="仿宋" w:eastAsia="仿宋" w:cs="仿宋"/>
          <w:b/>
          <w:sz w:val="28"/>
          <w:szCs w:val="28"/>
        </w:rPr>
        <w:t>2、需求中不允许负偏离的实质性要求和条件，以“★”号标明，如投标人未响应的，将被视为无效。</w:t>
      </w:r>
    </w:p>
    <w:p>
      <w:pPr>
        <w:ind w:firstLine="562" w:firstLineChars="200"/>
        <w:rPr>
          <w:rFonts w:ascii="仿宋" w:hAnsi="仿宋" w:eastAsia="仿宋" w:cs="仿宋"/>
          <w:b/>
          <w:sz w:val="28"/>
          <w:szCs w:val="28"/>
        </w:rPr>
      </w:pPr>
      <w:r>
        <w:rPr>
          <w:rFonts w:hint="eastAsia" w:ascii="仿宋" w:hAnsi="仿宋" w:eastAsia="仿宋" w:cs="仿宋"/>
          <w:b/>
          <w:sz w:val="28"/>
          <w:szCs w:val="28"/>
        </w:rPr>
        <w:t>3、核心产品在各标项内容中明确，如出现同品牌情况的，评标委员会根据《政府采购货物和服务招标投标管理办法》（财政部令第87号）第三十一条规定执行。</w:t>
      </w:r>
    </w:p>
    <w:p>
      <w:pPr>
        <w:pStyle w:val="30"/>
        <w:shd w:val="clear" w:color="auto" w:fill="FFFFFF"/>
        <w:spacing w:before="0" w:beforeAutospacing="0" w:after="150" w:afterAutospacing="0"/>
        <w:ind w:firstLine="645"/>
        <w:jc w:val="both"/>
        <w:rPr>
          <w:rFonts w:ascii="仿宋" w:hAnsi="仿宋" w:eastAsia="仿宋" w:cs="仿宋"/>
          <w:b/>
          <w:kern w:val="2"/>
          <w:sz w:val="28"/>
          <w:szCs w:val="28"/>
        </w:rPr>
      </w:pPr>
      <w:bookmarkStart w:id="50" w:name="_Toc36454324"/>
      <w:r>
        <w:rPr>
          <w:rFonts w:hint="eastAsia" w:ascii="仿宋" w:hAnsi="仿宋" w:eastAsia="仿宋" w:cs="仿宋"/>
          <w:b/>
          <w:kern w:val="2"/>
          <w:sz w:val="28"/>
          <w:szCs w:val="28"/>
        </w:rPr>
        <w:t>4、本项目所属行业：</w:t>
      </w:r>
      <w:r>
        <w:rPr>
          <w:rFonts w:ascii="仿宋" w:hAnsi="仿宋" w:eastAsia="仿宋"/>
          <w:b/>
          <w:sz w:val="28"/>
          <w:szCs w:val="28"/>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仿宋" w:hAnsi="仿宋" w:eastAsia="仿宋"/>
          <w:b/>
          <w:sz w:val="28"/>
          <w:szCs w:val="28"/>
        </w:rPr>
        <w:t>具体详见《关于印发中小企业划型标准规定的通知》[工信部联企业[2011]300号]。</w:t>
      </w:r>
    </w:p>
    <w:p>
      <w:pPr>
        <w:pStyle w:val="2"/>
        <w:ind w:firstLine="0" w:firstLineChars="0"/>
        <w:rPr>
          <w:rFonts w:ascii="仿宋" w:hAnsi="仿宋" w:eastAsia="仿宋" w:cs="仿宋"/>
          <w:sz w:val="28"/>
          <w:szCs w:val="28"/>
        </w:rPr>
      </w:pPr>
    </w:p>
    <w:p>
      <w:pPr>
        <w:pStyle w:val="24"/>
        <w:ind w:left="0"/>
      </w:pPr>
    </w:p>
    <w:p>
      <w:pPr>
        <w:pStyle w:val="4"/>
        <w:spacing w:line="400" w:lineRule="exact"/>
        <w:jc w:val="center"/>
        <w:rPr>
          <w:rFonts w:ascii="仿宋" w:hAnsi="仿宋" w:eastAsia="仿宋" w:cs="仿宋"/>
          <w:sz w:val="28"/>
          <w:szCs w:val="28"/>
        </w:rPr>
      </w:pPr>
      <w:r>
        <w:rPr>
          <w:rFonts w:hint="eastAsia" w:ascii="仿宋" w:hAnsi="仿宋" w:eastAsia="仿宋" w:cs="仿宋"/>
          <w:sz w:val="28"/>
          <w:szCs w:val="28"/>
        </w:rPr>
        <w:t>第三章  合同主要条款</w:t>
      </w:r>
      <w:bookmarkEnd w:id="50"/>
    </w:p>
    <w:p>
      <w:pPr>
        <w:spacing w:line="400" w:lineRule="exact"/>
        <w:ind w:firstLine="482" w:firstLineChars="200"/>
        <w:rPr>
          <w:rFonts w:ascii="仿宋" w:hAnsi="仿宋" w:eastAsia="仿宋" w:cs="仿宋"/>
          <w:b/>
          <w:spacing w:val="-20"/>
          <w:sz w:val="28"/>
          <w:szCs w:val="28"/>
        </w:rPr>
      </w:pPr>
      <w:r>
        <w:rPr>
          <w:rFonts w:hint="eastAsia" w:ascii="仿宋" w:hAnsi="仿宋" w:eastAsia="仿宋" w:cs="仿宋"/>
          <w:b/>
          <w:bCs/>
          <w:spacing w:val="-20"/>
          <w:sz w:val="28"/>
          <w:szCs w:val="28"/>
        </w:rPr>
        <w:t xml:space="preserve">财政审批编号:     ; 招标文件编号: </w:t>
      </w:r>
    </w:p>
    <w:p>
      <w:pPr>
        <w:spacing w:line="440" w:lineRule="exact"/>
        <w:rPr>
          <w:rFonts w:ascii="仿宋" w:hAnsi="仿宋" w:eastAsia="仿宋" w:cs="仿宋"/>
          <w:b/>
          <w:bCs/>
          <w:sz w:val="28"/>
          <w:szCs w:val="28"/>
        </w:rPr>
      </w:pPr>
      <w:r>
        <w:rPr>
          <w:rFonts w:hint="eastAsia" w:ascii="仿宋" w:hAnsi="仿宋" w:eastAsia="仿宋" w:cs="仿宋"/>
          <w:b/>
          <w:bCs/>
          <w:sz w:val="28"/>
          <w:szCs w:val="28"/>
        </w:rPr>
        <w:t>1.定义</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本合同中的下列术语应解释为：</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1.1“合同”系指供需双方签署的、合同格式中载明的供需双方所达成的协议，包括所有的附件、附录和构成合同的所有文件；</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1.2“合同价”系指根据合同规定，需方在供方完全履行合同义务后应付给的价格；</w:t>
      </w:r>
    </w:p>
    <w:p>
      <w:pPr>
        <w:spacing w:line="4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1.3“货物”系指供方根据合同规定向需方提供的一切货物、质量保证书和其他技术资料及技术参数；</w:t>
      </w:r>
    </w:p>
    <w:p>
      <w:pPr>
        <w:spacing w:line="4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1.4“服务”系指根据合同规定供方承担与供货有关的辅助服务，如运输、装卸、安装、保险以及其他的服务，例如安装、调试提供技术援助、培训和其他类似的义务；</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1.5“需方”系指</w:t>
      </w:r>
      <w:r>
        <w:rPr>
          <w:rFonts w:hint="eastAsia" w:ascii="仿宋" w:hAnsi="仿宋" w:eastAsia="仿宋" w:cs="仿宋"/>
          <w:bCs/>
          <w:sz w:val="28"/>
          <w:szCs w:val="28"/>
        </w:rPr>
        <w:t>具体使用货物和接受服务的使用单位（即采购人）；</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1.6“供方”系指根据合同规定提供采购项目货物和服务的具有法人资格的公司、企业或实体（即供应商）；</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1.7“财政审批编号”系指湖州市（区）财政局审批编号。</w:t>
      </w:r>
    </w:p>
    <w:p>
      <w:pPr>
        <w:spacing w:line="440" w:lineRule="exact"/>
        <w:rPr>
          <w:rFonts w:ascii="仿宋" w:hAnsi="仿宋" w:eastAsia="仿宋" w:cs="仿宋"/>
          <w:b/>
          <w:bCs/>
          <w:sz w:val="28"/>
          <w:szCs w:val="28"/>
        </w:rPr>
      </w:pPr>
      <w:r>
        <w:rPr>
          <w:rFonts w:hint="eastAsia" w:ascii="仿宋" w:hAnsi="仿宋" w:eastAsia="仿宋" w:cs="仿宋"/>
          <w:b/>
          <w:bCs/>
          <w:sz w:val="28"/>
          <w:szCs w:val="28"/>
        </w:rPr>
        <w:t>2.合同项目与内容</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湖州市疾病预防控制中心防火墙等采购项目采购项目</w:t>
      </w:r>
    </w:p>
    <w:p>
      <w:pPr>
        <w:spacing w:line="440" w:lineRule="exact"/>
        <w:rPr>
          <w:rFonts w:ascii="仿宋" w:hAnsi="仿宋" w:eastAsia="仿宋" w:cs="仿宋"/>
          <w:b/>
          <w:bCs/>
          <w:sz w:val="28"/>
          <w:szCs w:val="28"/>
        </w:rPr>
      </w:pPr>
      <w:r>
        <w:rPr>
          <w:rFonts w:hint="eastAsia" w:ascii="仿宋" w:hAnsi="仿宋" w:eastAsia="仿宋" w:cs="仿宋"/>
          <w:b/>
          <w:bCs/>
          <w:sz w:val="28"/>
          <w:szCs w:val="28"/>
        </w:rPr>
        <w:t>3.供货时间与交货地点</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供货时间：详见招标文件第二章商务条款要求；</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供货地点：由采购单位指定。</w:t>
      </w:r>
    </w:p>
    <w:p>
      <w:pPr>
        <w:spacing w:line="440" w:lineRule="exact"/>
        <w:rPr>
          <w:rFonts w:ascii="仿宋" w:hAnsi="仿宋" w:eastAsia="仿宋" w:cs="仿宋"/>
          <w:b/>
          <w:bCs/>
          <w:sz w:val="28"/>
          <w:szCs w:val="28"/>
        </w:rPr>
      </w:pPr>
      <w:r>
        <w:rPr>
          <w:rFonts w:hint="eastAsia" w:ascii="仿宋" w:hAnsi="仿宋" w:eastAsia="仿宋" w:cs="仿宋"/>
          <w:b/>
          <w:bCs/>
          <w:sz w:val="28"/>
          <w:szCs w:val="28"/>
        </w:rPr>
        <w:t>4.标准</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4.1国家有强制性标准的，执行国家强制性标准。</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4.2货物质量按最新颁发的国家标准执行；国家没有规定的按地方标准执行，国家与地方均没有的，按行业或厂商规定执行。国家、地方规定标准低于行业或厂商标准的按行业或厂商标准执行，就高不就低。</w:t>
      </w:r>
    </w:p>
    <w:p>
      <w:pPr>
        <w:spacing w:line="440" w:lineRule="exact"/>
        <w:rPr>
          <w:rFonts w:ascii="仿宋" w:hAnsi="仿宋" w:eastAsia="仿宋" w:cs="仿宋"/>
          <w:b/>
          <w:bCs/>
          <w:sz w:val="28"/>
          <w:szCs w:val="28"/>
        </w:rPr>
      </w:pPr>
      <w:r>
        <w:rPr>
          <w:rFonts w:hint="eastAsia" w:ascii="仿宋" w:hAnsi="仿宋" w:eastAsia="仿宋" w:cs="仿宋"/>
          <w:b/>
          <w:bCs/>
          <w:sz w:val="28"/>
          <w:szCs w:val="28"/>
        </w:rPr>
        <w:t>5.技术规范</w:t>
      </w:r>
    </w:p>
    <w:p>
      <w:pPr>
        <w:pStyle w:val="9"/>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本合同执行国家及本省、市现行施工及验收规范及有关条例、实施办法等。</w:t>
      </w:r>
    </w:p>
    <w:p>
      <w:pPr>
        <w:pStyle w:val="12"/>
        <w:spacing w:line="440" w:lineRule="exact"/>
        <w:ind w:firstLine="560"/>
        <w:rPr>
          <w:rFonts w:ascii="仿宋" w:hAnsi="仿宋" w:eastAsia="仿宋" w:cs="仿宋"/>
          <w:sz w:val="28"/>
          <w:szCs w:val="28"/>
        </w:rPr>
      </w:pPr>
      <w:r>
        <w:rPr>
          <w:rFonts w:hint="eastAsia" w:ascii="仿宋" w:hAnsi="仿宋" w:eastAsia="仿宋" w:cs="仿宋"/>
          <w:sz w:val="28"/>
          <w:szCs w:val="28"/>
        </w:rPr>
        <w:t>提供和交付的货物及相关服务的技术规范应与招标文件规定的技术规范相一致。</w:t>
      </w:r>
    </w:p>
    <w:p>
      <w:pPr>
        <w:spacing w:line="440" w:lineRule="exact"/>
        <w:rPr>
          <w:rFonts w:ascii="仿宋" w:hAnsi="仿宋" w:eastAsia="仿宋" w:cs="仿宋"/>
          <w:b/>
          <w:bCs/>
          <w:sz w:val="28"/>
          <w:szCs w:val="28"/>
        </w:rPr>
      </w:pPr>
      <w:r>
        <w:rPr>
          <w:rFonts w:hint="eastAsia" w:ascii="仿宋" w:hAnsi="仿宋" w:eastAsia="仿宋" w:cs="仿宋"/>
          <w:b/>
          <w:bCs/>
          <w:sz w:val="28"/>
          <w:szCs w:val="28"/>
        </w:rPr>
        <w:t>6.专利权</w:t>
      </w:r>
    </w:p>
    <w:p>
      <w:pPr>
        <w:pStyle w:val="12"/>
        <w:spacing w:line="440" w:lineRule="exact"/>
        <w:ind w:firstLine="560"/>
        <w:rPr>
          <w:rFonts w:ascii="仿宋" w:hAnsi="仿宋" w:eastAsia="仿宋" w:cs="仿宋"/>
          <w:sz w:val="28"/>
          <w:szCs w:val="28"/>
        </w:rPr>
      </w:pPr>
      <w:r>
        <w:rPr>
          <w:rFonts w:hint="eastAsia" w:ascii="仿宋" w:hAnsi="仿宋" w:eastAsia="仿宋" w:cs="仿宋"/>
          <w:sz w:val="28"/>
          <w:szCs w:val="28"/>
        </w:rPr>
        <w:t>供方应保证需方在使用时不受第三方提出侵犯其专利权、商标权等知识产权的起诉。</w:t>
      </w:r>
    </w:p>
    <w:p>
      <w:pPr>
        <w:spacing w:line="440" w:lineRule="exact"/>
        <w:rPr>
          <w:rFonts w:ascii="仿宋" w:hAnsi="仿宋" w:eastAsia="仿宋" w:cs="仿宋"/>
          <w:b/>
          <w:bCs/>
          <w:sz w:val="28"/>
          <w:szCs w:val="28"/>
        </w:rPr>
      </w:pPr>
      <w:r>
        <w:rPr>
          <w:rFonts w:hint="eastAsia" w:ascii="仿宋" w:hAnsi="仿宋" w:eastAsia="仿宋" w:cs="仿宋"/>
          <w:b/>
          <w:bCs/>
          <w:sz w:val="28"/>
          <w:szCs w:val="28"/>
        </w:rPr>
        <w:t>7.包装</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供方应提供货物运至合同规定的最终目的地所需要的包装，以防止货物在转运中损坏。这类包装应采取防潮、防晒、防锈防腐蚀、防震动及防止其它损坏的必要保护措施，从而保护货物能够经受多次搬运、装卸和内陆的长途运输。供方应承担由于其包装或其防护措施不妥而引起货物锈蚀、损坏和丢失的任何损失的责任或费用。</w:t>
      </w:r>
    </w:p>
    <w:p>
      <w:pPr>
        <w:spacing w:line="440" w:lineRule="exact"/>
        <w:rPr>
          <w:rFonts w:ascii="仿宋" w:hAnsi="仿宋" w:eastAsia="仿宋" w:cs="仿宋"/>
          <w:b/>
          <w:bCs/>
          <w:sz w:val="28"/>
          <w:szCs w:val="28"/>
        </w:rPr>
      </w:pPr>
      <w:r>
        <w:rPr>
          <w:rFonts w:hint="eastAsia" w:ascii="仿宋" w:hAnsi="仿宋" w:eastAsia="仿宋" w:cs="仿宋"/>
          <w:b/>
          <w:bCs/>
          <w:sz w:val="28"/>
          <w:szCs w:val="28"/>
        </w:rPr>
        <w:t>8.装运标记</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8.1供方应在每一包装箱的四面用不可擦除的油漆和明显的中文字样做出以下标记：</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8.1.1收货人；</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8.1.2合同号；</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8.1.3发货标记（唛头）；</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8.1.4收货人编号；</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8.1.5目的港；</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8.1.6货物名称、品目号和箱号；</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8.1.7毛重/净重（用kg表示）；</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8.1.8尺寸（长×宽×高用cm表示）。</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8.2如果单件包装箱的重量在2吨或2吨以上，供方应在包装箱两侧用通用的运输标记标准“重心”和“起吊点”以便装卸和搬运。</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根据货物的特点和运输的不同要求，供方应在包装箱上清楚地标注“小心轻放”，“此端朝上，请勿倒置”、“保持干燥”等标记。</w:t>
      </w:r>
    </w:p>
    <w:p>
      <w:pPr>
        <w:spacing w:line="440" w:lineRule="exact"/>
        <w:rPr>
          <w:rFonts w:ascii="仿宋" w:hAnsi="仿宋" w:eastAsia="仿宋" w:cs="仿宋"/>
          <w:b/>
          <w:bCs/>
          <w:sz w:val="28"/>
          <w:szCs w:val="28"/>
        </w:rPr>
      </w:pPr>
      <w:r>
        <w:rPr>
          <w:rFonts w:hint="eastAsia" w:ascii="仿宋" w:hAnsi="仿宋" w:eastAsia="仿宋" w:cs="仿宋"/>
          <w:b/>
          <w:bCs/>
          <w:sz w:val="28"/>
          <w:szCs w:val="28"/>
        </w:rPr>
        <w:t>9.装卸要求</w:t>
      </w:r>
    </w:p>
    <w:p>
      <w:pPr>
        <w:pStyle w:val="12"/>
        <w:spacing w:line="440" w:lineRule="exact"/>
        <w:ind w:firstLine="560"/>
        <w:rPr>
          <w:rFonts w:ascii="仿宋" w:hAnsi="仿宋" w:eastAsia="仿宋" w:cs="仿宋"/>
          <w:sz w:val="28"/>
          <w:szCs w:val="28"/>
        </w:rPr>
      </w:pPr>
      <w:r>
        <w:rPr>
          <w:rFonts w:hint="eastAsia" w:ascii="仿宋" w:hAnsi="仿宋" w:eastAsia="仿宋" w:cs="仿宋"/>
          <w:sz w:val="28"/>
          <w:szCs w:val="28"/>
        </w:rPr>
        <w:t>除合同另有规定外，供方提供的全部货物，均应按标准采取保护措施，确保货物安全无损运抵现场。由于装卸或运输途中一切不善所造成的损失均由供方承担。</w:t>
      </w:r>
    </w:p>
    <w:p>
      <w:pPr>
        <w:spacing w:line="440" w:lineRule="exact"/>
        <w:rPr>
          <w:rFonts w:ascii="仿宋" w:hAnsi="仿宋" w:eastAsia="仿宋" w:cs="仿宋"/>
          <w:b/>
          <w:bCs/>
          <w:sz w:val="28"/>
          <w:szCs w:val="28"/>
        </w:rPr>
      </w:pPr>
      <w:r>
        <w:rPr>
          <w:rFonts w:hint="eastAsia" w:ascii="仿宋" w:hAnsi="仿宋" w:eastAsia="仿宋" w:cs="仿宋"/>
          <w:b/>
          <w:bCs/>
          <w:sz w:val="28"/>
          <w:szCs w:val="28"/>
        </w:rPr>
        <w:t>10.装运条件</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供方负责安排运输，运输中的一切费用由供方承担；</w:t>
      </w:r>
    </w:p>
    <w:p>
      <w:pPr>
        <w:spacing w:line="440" w:lineRule="exact"/>
        <w:rPr>
          <w:rFonts w:ascii="仿宋" w:hAnsi="仿宋" w:eastAsia="仿宋" w:cs="仿宋"/>
          <w:b/>
          <w:bCs/>
          <w:sz w:val="28"/>
          <w:szCs w:val="28"/>
        </w:rPr>
      </w:pPr>
      <w:r>
        <w:rPr>
          <w:rFonts w:hint="eastAsia" w:ascii="仿宋" w:hAnsi="仿宋" w:eastAsia="仿宋" w:cs="仿宋"/>
          <w:b/>
          <w:bCs/>
          <w:sz w:val="28"/>
          <w:szCs w:val="28"/>
        </w:rPr>
        <w:t>11.装运通知</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供方应在合同规定的装运日期之前，将合同号、货物名称、数量、箱数、总毛重、总体积（用m</w:t>
      </w:r>
      <w:r>
        <w:rPr>
          <w:rFonts w:hint="eastAsia" w:ascii="仿宋" w:hAnsi="仿宋" w:eastAsia="仿宋" w:cs="仿宋"/>
          <w:sz w:val="28"/>
          <w:szCs w:val="28"/>
          <w:vertAlign w:val="superscript"/>
        </w:rPr>
        <w:t>3</w:t>
      </w:r>
      <w:r>
        <w:rPr>
          <w:rFonts w:hint="eastAsia" w:ascii="仿宋" w:hAnsi="仿宋" w:eastAsia="仿宋" w:cs="仿宋"/>
          <w:sz w:val="28"/>
          <w:szCs w:val="28"/>
        </w:rPr>
        <w:t>表示）运输工具以传真形式通知需方。具体安装时间以需方通知为准。</w:t>
      </w:r>
    </w:p>
    <w:p>
      <w:pPr>
        <w:spacing w:line="440" w:lineRule="exact"/>
        <w:rPr>
          <w:rFonts w:ascii="仿宋" w:hAnsi="仿宋" w:eastAsia="仿宋" w:cs="仿宋"/>
          <w:b/>
          <w:bCs/>
          <w:sz w:val="28"/>
          <w:szCs w:val="28"/>
        </w:rPr>
      </w:pPr>
      <w:r>
        <w:rPr>
          <w:rFonts w:hint="eastAsia" w:ascii="仿宋" w:hAnsi="仿宋" w:eastAsia="仿宋" w:cs="仿宋"/>
          <w:b/>
          <w:bCs/>
          <w:sz w:val="28"/>
          <w:szCs w:val="28"/>
        </w:rPr>
        <w:t>12.货物就位</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供方负责所供货物就位，如受条件影响就位，供方负责货物拆装，就位一切费用供方负责。</w:t>
      </w:r>
    </w:p>
    <w:p>
      <w:pPr>
        <w:spacing w:line="440" w:lineRule="exact"/>
        <w:rPr>
          <w:rFonts w:ascii="仿宋" w:hAnsi="仿宋" w:eastAsia="仿宋" w:cs="仿宋"/>
          <w:b/>
          <w:bCs/>
          <w:sz w:val="28"/>
          <w:szCs w:val="28"/>
        </w:rPr>
      </w:pPr>
      <w:r>
        <w:rPr>
          <w:rFonts w:hint="eastAsia" w:ascii="仿宋" w:hAnsi="仿宋" w:eastAsia="仿宋" w:cs="仿宋"/>
          <w:b/>
          <w:bCs/>
          <w:sz w:val="28"/>
          <w:szCs w:val="28"/>
        </w:rPr>
        <w:t>13.付款方法和条件：详见第二章商务条款</w:t>
      </w:r>
    </w:p>
    <w:p>
      <w:pPr>
        <w:spacing w:line="440" w:lineRule="exact"/>
        <w:rPr>
          <w:rFonts w:ascii="仿宋" w:hAnsi="仿宋" w:eastAsia="仿宋" w:cs="仿宋"/>
          <w:b/>
          <w:bCs/>
          <w:sz w:val="28"/>
          <w:szCs w:val="28"/>
        </w:rPr>
      </w:pPr>
      <w:r>
        <w:rPr>
          <w:rFonts w:hint="eastAsia" w:ascii="仿宋" w:hAnsi="仿宋" w:eastAsia="仿宋" w:cs="仿宋"/>
          <w:b/>
          <w:bCs/>
          <w:sz w:val="28"/>
          <w:szCs w:val="28"/>
        </w:rPr>
        <w:t>14.支付</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14.1支付应使用人民币；</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14.2提交下列单据后结算：</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14.2.1生产厂家出具的出厂合格证书和质量检验报告；</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14.2.2商业发票一份，其金额为所签合同的相应金额；</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14.2.3双方签字验收的验收证书一份。</w:t>
      </w:r>
    </w:p>
    <w:p>
      <w:pPr>
        <w:spacing w:line="440" w:lineRule="exact"/>
        <w:rPr>
          <w:rFonts w:ascii="仿宋" w:hAnsi="仿宋" w:eastAsia="仿宋" w:cs="仿宋"/>
          <w:b/>
          <w:bCs/>
          <w:sz w:val="28"/>
          <w:szCs w:val="28"/>
        </w:rPr>
      </w:pPr>
      <w:r>
        <w:rPr>
          <w:rFonts w:hint="eastAsia" w:ascii="仿宋" w:hAnsi="仿宋" w:eastAsia="仿宋" w:cs="仿宋"/>
          <w:b/>
          <w:bCs/>
          <w:sz w:val="28"/>
          <w:szCs w:val="28"/>
        </w:rPr>
        <w:t>15.技术服务及货物的安装、调试</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15.1供方应负责安排需方相关人员进行操作、维修的培训。具体时间及培训内容在投标时由供方提出建议；</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15.2合同所指的货物到达需方工地现场后，供方应在收到需方通知后，派专业安装技术人员前往需方现场进行安装调试，并提供详细的作业流程图及相关人数、技术级别、服务内容和逗留时间等；</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15.3安装调试期间的一切费用由供方自理。</w:t>
      </w:r>
    </w:p>
    <w:p>
      <w:pPr>
        <w:spacing w:line="440" w:lineRule="exact"/>
        <w:rPr>
          <w:rFonts w:ascii="仿宋" w:hAnsi="仿宋" w:eastAsia="仿宋" w:cs="仿宋"/>
          <w:b/>
          <w:bCs/>
          <w:sz w:val="28"/>
          <w:szCs w:val="28"/>
        </w:rPr>
      </w:pPr>
      <w:r>
        <w:rPr>
          <w:rFonts w:hint="eastAsia" w:ascii="仿宋" w:hAnsi="仿宋" w:eastAsia="仿宋" w:cs="仿宋"/>
          <w:b/>
          <w:bCs/>
          <w:sz w:val="28"/>
          <w:szCs w:val="28"/>
        </w:rPr>
        <w:t>16.售后服务及承诺</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16.1供方应明确承诺售后服务各项内容和措施，提供详细的服务地点、联系人、电话等有关资料；</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16.2服务期：</w:t>
      </w:r>
      <w:r>
        <w:rPr>
          <w:rFonts w:hint="eastAsia" w:ascii="仿宋" w:hAnsi="仿宋" w:eastAsia="仿宋" w:cs="仿宋"/>
          <w:b/>
          <w:sz w:val="28"/>
          <w:szCs w:val="28"/>
        </w:rPr>
        <w:t>详见招标文件第二章商务条款要求</w:t>
      </w:r>
      <w:r>
        <w:rPr>
          <w:rFonts w:hint="eastAsia" w:ascii="仿宋" w:hAnsi="仿宋" w:eastAsia="仿宋" w:cs="仿宋"/>
          <w:bCs/>
          <w:sz w:val="28"/>
          <w:szCs w:val="28"/>
        </w:rPr>
        <w:t>。在质保期内，因货物的维修和保养所发生的一切费用均由供方承担；</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16.3货物签约的同时，双方可签订质保修期满后的维修保养协议或合同;</w:t>
      </w:r>
    </w:p>
    <w:p>
      <w:pPr>
        <w:spacing w:line="440" w:lineRule="exact"/>
        <w:ind w:firstLine="560" w:firstLineChars="200"/>
        <w:rPr>
          <w:rFonts w:ascii="仿宋" w:hAnsi="仿宋" w:eastAsia="仿宋" w:cs="仿宋"/>
          <w:sz w:val="28"/>
          <w:szCs w:val="28"/>
        </w:rPr>
      </w:pPr>
      <w:r>
        <w:rPr>
          <w:rFonts w:hint="eastAsia" w:ascii="仿宋" w:hAnsi="仿宋" w:eastAsia="仿宋" w:cs="仿宋"/>
          <w:bCs/>
          <w:sz w:val="28"/>
          <w:szCs w:val="28"/>
        </w:rPr>
        <w:t>16.4供方在收到需方维修通知后须按投标文件的承诺及时进行现场响应。</w:t>
      </w:r>
    </w:p>
    <w:p>
      <w:pPr>
        <w:spacing w:line="440" w:lineRule="exact"/>
        <w:rPr>
          <w:rFonts w:ascii="仿宋" w:hAnsi="仿宋" w:eastAsia="仿宋" w:cs="仿宋"/>
          <w:b/>
          <w:bCs/>
          <w:sz w:val="28"/>
          <w:szCs w:val="28"/>
        </w:rPr>
      </w:pPr>
      <w:r>
        <w:rPr>
          <w:rFonts w:hint="eastAsia" w:ascii="仿宋" w:hAnsi="仿宋" w:eastAsia="仿宋" w:cs="仿宋"/>
          <w:b/>
          <w:bCs/>
          <w:sz w:val="28"/>
          <w:szCs w:val="28"/>
        </w:rPr>
        <w:t>17.备件</w:t>
      </w:r>
    </w:p>
    <w:p>
      <w:pPr>
        <w:spacing w:line="440" w:lineRule="exact"/>
        <w:ind w:firstLine="560" w:firstLineChars="200"/>
        <w:rPr>
          <w:rFonts w:ascii="仿宋" w:hAnsi="仿宋" w:eastAsia="仿宋" w:cs="仿宋"/>
          <w:bCs/>
          <w:sz w:val="28"/>
          <w:szCs w:val="28"/>
        </w:rPr>
      </w:pPr>
      <w:r>
        <w:rPr>
          <w:rFonts w:hint="eastAsia" w:ascii="仿宋" w:hAnsi="仿宋" w:eastAsia="仿宋" w:cs="仿宋"/>
          <w:sz w:val="28"/>
          <w:szCs w:val="28"/>
        </w:rPr>
        <w:t>正如合同条款所规定，供方可能被要求提供下列与备件有关的材料、通知和资料：</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17.1需方从供方选购备件，但前提条件是该选择并不能免除供方在合同保证期内所承担的义务；</w:t>
      </w:r>
    </w:p>
    <w:p>
      <w:pPr>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17.2在备件停产的情况下，供方应事先将要停止生产的计划通知需方使需方有足够的时间采购所需的备件；</w:t>
      </w:r>
    </w:p>
    <w:p>
      <w:pPr>
        <w:spacing w:line="440" w:lineRule="exact"/>
        <w:ind w:firstLine="560" w:firstLineChars="200"/>
        <w:rPr>
          <w:rFonts w:ascii="仿宋" w:hAnsi="仿宋" w:eastAsia="仿宋" w:cs="仿宋"/>
          <w:sz w:val="28"/>
          <w:szCs w:val="28"/>
        </w:rPr>
      </w:pPr>
      <w:r>
        <w:rPr>
          <w:rFonts w:hint="eastAsia" w:ascii="仿宋" w:hAnsi="仿宋" w:eastAsia="仿宋" w:cs="仿宋"/>
          <w:bCs/>
          <w:sz w:val="28"/>
          <w:szCs w:val="28"/>
        </w:rPr>
        <w:t>17.3在备件停产后，如果需方要求，供方应免费向需方提供备件的蓝图等相关技术资料。</w:t>
      </w:r>
    </w:p>
    <w:p>
      <w:pPr>
        <w:spacing w:line="440" w:lineRule="exact"/>
        <w:rPr>
          <w:rFonts w:ascii="仿宋" w:hAnsi="仿宋" w:eastAsia="仿宋" w:cs="仿宋"/>
          <w:b/>
          <w:bCs/>
          <w:sz w:val="28"/>
          <w:szCs w:val="28"/>
        </w:rPr>
      </w:pPr>
      <w:r>
        <w:rPr>
          <w:rFonts w:hint="eastAsia" w:ascii="仿宋" w:hAnsi="仿宋" w:eastAsia="仿宋" w:cs="仿宋"/>
          <w:b/>
          <w:bCs/>
          <w:sz w:val="28"/>
          <w:szCs w:val="28"/>
        </w:rPr>
        <w:t>18.技术质量保证</w:t>
      </w:r>
    </w:p>
    <w:p>
      <w:pPr>
        <w:spacing w:line="440" w:lineRule="exact"/>
        <w:ind w:firstLine="560" w:firstLineChars="200"/>
        <w:rPr>
          <w:rFonts w:ascii="仿宋" w:hAnsi="仿宋" w:eastAsia="仿宋" w:cs="仿宋"/>
          <w:spacing w:val="-4"/>
          <w:sz w:val="28"/>
          <w:szCs w:val="28"/>
        </w:rPr>
      </w:pPr>
      <w:r>
        <w:rPr>
          <w:rFonts w:hint="eastAsia" w:ascii="仿宋" w:hAnsi="仿宋" w:eastAsia="仿宋" w:cs="仿宋"/>
          <w:sz w:val="28"/>
          <w:szCs w:val="28"/>
        </w:rPr>
        <w:t>18.1</w:t>
      </w:r>
      <w:r>
        <w:rPr>
          <w:rFonts w:hint="eastAsia" w:ascii="仿宋" w:hAnsi="仿宋" w:eastAsia="仿宋" w:cs="仿宋"/>
          <w:spacing w:val="-4"/>
          <w:sz w:val="28"/>
          <w:szCs w:val="28"/>
        </w:rPr>
        <w:t>供方应保证提供的货物是最近生产的原装合格正品，并完全符合规定的质量、规格和性能的要求。供方应保证货物经过正确安装、正常使用和保养条件下，在其使用寿命内应具有满意的性能。</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18.2合同货物提交前，供方应将其有关技术资料一套，如使用指南或服务手册和示意图提交给需方；</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18.3质保期以项目安装完毕并经需方组织验收合格起计算；</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18.4供方对提供的货物执行一定的保质期限，供方应对保质期内由于货物的缺陷（非人为因素）而引发的任何不足负责，费用由供方承担；</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18.5需方应尽快以书面形式通知供方由于货物缺陷而发生的索赔；</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18.6供方在收到通知后3天内应免费更换有缺陷的材料；</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18.7如果供方在收到通知后3天内没有弥补缺陷，需方可采取必要的补救措施，但风险和费用将由供方负责。</w:t>
      </w:r>
    </w:p>
    <w:p>
      <w:pPr>
        <w:spacing w:line="440" w:lineRule="exact"/>
        <w:rPr>
          <w:rFonts w:ascii="仿宋" w:hAnsi="仿宋" w:eastAsia="仿宋" w:cs="仿宋"/>
          <w:b/>
          <w:bCs/>
          <w:sz w:val="28"/>
          <w:szCs w:val="28"/>
        </w:rPr>
      </w:pPr>
      <w:r>
        <w:rPr>
          <w:rFonts w:hint="eastAsia" w:ascii="仿宋" w:hAnsi="仿宋" w:eastAsia="仿宋" w:cs="仿宋"/>
          <w:b/>
          <w:bCs/>
          <w:sz w:val="28"/>
          <w:szCs w:val="28"/>
        </w:rPr>
        <w:t>19.检验和测试</w:t>
      </w:r>
    </w:p>
    <w:p>
      <w:pPr>
        <w:widowControl/>
        <w:autoSpaceDE w:val="0"/>
        <w:autoSpaceDN w:val="0"/>
        <w:spacing w:line="440" w:lineRule="exact"/>
        <w:ind w:firstLine="560" w:firstLineChars="200"/>
        <w:textAlignment w:val="bottom"/>
        <w:rPr>
          <w:rFonts w:ascii="仿宋" w:hAnsi="仿宋" w:eastAsia="仿宋" w:cs="仿宋"/>
          <w:sz w:val="28"/>
          <w:szCs w:val="28"/>
        </w:rPr>
      </w:pPr>
      <w:r>
        <w:rPr>
          <w:rFonts w:hint="eastAsia" w:ascii="仿宋" w:hAnsi="仿宋" w:eastAsia="仿宋" w:cs="仿宋"/>
          <w:sz w:val="28"/>
          <w:szCs w:val="28"/>
        </w:rPr>
        <w:t>19.1需方或其代表应有权在生产阶段检验或测试货物，以确认货物是否符合合同规定的要求，检验或测试费用由供方承担。需方应及时以书面形式把检验或需方测试代表的身份通知供方；</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19.2检验和测试应在货物的最终目的地进行；</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19.3如果任何被检验或测试的货物不能满足规定要求，需方可以拒绝接受该货物，或者供方应更换被拒绝的货物，或者免费进行必要的修改以满足规定的要求；</w:t>
      </w:r>
    </w:p>
    <w:p>
      <w:pPr>
        <w:widowControl/>
        <w:autoSpaceDE w:val="0"/>
        <w:autoSpaceDN w:val="0"/>
        <w:spacing w:line="440" w:lineRule="exact"/>
        <w:ind w:firstLine="560" w:firstLineChars="200"/>
        <w:textAlignment w:val="bottom"/>
        <w:rPr>
          <w:rFonts w:ascii="仿宋" w:hAnsi="仿宋" w:eastAsia="仿宋" w:cs="仿宋"/>
          <w:sz w:val="28"/>
          <w:szCs w:val="28"/>
        </w:rPr>
      </w:pPr>
      <w:r>
        <w:rPr>
          <w:rFonts w:hint="eastAsia" w:ascii="仿宋" w:hAnsi="仿宋" w:eastAsia="仿宋" w:cs="仿宋"/>
          <w:sz w:val="28"/>
          <w:szCs w:val="28"/>
        </w:rPr>
        <w:t>19.4 在交货前，供方应指定制造商对货物的质量、规格、性能、数量和重量等进行详细而全面的检验，并出具一份证明货物符合合同规定的检验证书，检验证书是付款时提交给需方的重要文件，但不能作为有关质量、规格、性能、数量或重量的最终检验。</w:t>
      </w:r>
    </w:p>
    <w:p>
      <w:pPr>
        <w:spacing w:line="440" w:lineRule="exact"/>
        <w:rPr>
          <w:rFonts w:ascii="仿宋" w:hAnsi="仿宋" w:eastAsia="仿宋" w:cs="仿宋"/>
          <w:b/>
          <w:bCs/>
          <w:sz w:val="28"/>
          <w:szCs w:val="28"/>
        </w:rPr>
      </w:pPr>
      <w:r>
        <w:rPr>
          <w:rFonts w:hint="eastAsia" w:ascii="仿宋" w:hAnsi="仿宋" w:eastAsia="仿宋" w:cs="仿宋"/>
          <w:b/>
          <w:bCs/>
          <w:sz w:val="28"/>
          <w:szCs w:val="28"/>
        </w:rPr>
        <w:t>20.验收</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20.1中标货物验收标准按最新颁发的国家标准执行；国家没有规定的按地方标准执行，国家与地方均没有的，按行业规定执行。国家、地方规定标准低于行业标准的按行业标准执行，就高不就低。国家、地方、行业均没有验收标准的，则在获取需方同意后，按双方商定的标准执行。</w:t>
      </w:r>
    </w:p>
    <w:p>
      <w:pPr>
        <w:widowControl/>
        <w:autoSpaceDE w:val="0"/>
        <w:autoSpaceDN w:val="0"/>
        <w:spacing w:line="440" w:lineRule="exact"/>
        <w:ind w:firstLine="560" w:firstLineChars="200"/>
        <w:textAlignment w:val="bottom"/>
        <w:rPr>
          <w:rFonts w:ascii="仿宋" w:hAnsi="仿宋" w:eastAsia="仿宋" w:cs="仿宋"/>
          <w:sz w:val="28"/>
          <w:szCs w:val="28"/>
        </w:rPr>
      </w:pPr>
      <w:r>
        <w:rPr>
          <w:rFonts w:hint="eastAsia" w:ascii="仿宋" w:hAnsi="仿宋" w:eastAsia="仿宋" w:cs="仿宋"/>
          <w:sz w:val="28"/>
          <w:szCs w:val="28"/>
        </w:rPr>
        <w:t>20.2 验收费用由供方承担。</w:t>
      </w:r>
    </w:p>
    <w:p>
      <w:pPr>
        <w:spacing w:line="440" w:lineRule="exact"/>
        <w:rPr>
          <w:rFonts w:ascii="仿宋" w:hAnsi="仿宋" w:eastAsia="仿宋" w:cs="仿宋"/>
          <w:b/>
          <w:bCs/>
          <w:sz w:val="28"/>
          <w:szCs w:val="28"/>
        </w:rPr>
      </w:pPr>
      <w:r>
        <w:rPr>
          <w:rFonts w:hint="eastAsia" w:ascii="仿宋" w:hAnsi="仿宋" w:eastAsia="仿宋" w:cs="仿宋"/>
          <w:b/>
          <w:bCs/>
          <w:sz w:val="28"/>
          <w:szCs w:val="28"/>
        </w:rPr>
        <w:t>21.索赔</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21.1如果供方对偏差负有责任而需方在合同条款规定的检验、安装、调试、验收和质量保证期内提出了索赔，供方应按照需方同意的下列一种或几种方式结合起来解决索赔事宜：</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21.1.1供方同意退货并用合同规定的货币将货款退还给需方，并承担由此发生的一切损失和费用，包括利息、银行手续费、运费、保险费、检验费、仓储费、装卸费以及为看管和保护退回货物等所需的直接费用，以及包括延误项目实施造成的经济损失；</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21.1.2根据货物的偏差情况、损坏程度以及需方所遭受损失的金额，经供需双方商定降低货物的价格；</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21.1.3用符合合同规定的规格、质量和性能要求的新零件、部件和/或货物来更换有缺陷的部分和/或修补缺陷部分，供方应承担一切费用和风险并负担需方蒙受的全部直接损失费用，同时，供方应按合同规定，相应延长所更换货物的质量保证期。</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21.1.4如果在需方发出索赔通知后三十（30）天内，供方未作答复，上述索赔应视为已被供方接受，如供方未能在需方发出索赔通知后三十（30）天内或需方同意的延长期限内，按照需方同意的上述规定的任何一种方法解决索赔事宜，需方将以合同付款或从供方开具的履约保证金中扣回索赔金额。</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21.1.5如果在合同条款规定的保质期内，根据质量检验机构的检验结果，发现货物的质量或规格与合同要求不符，或货物被证实有缺陷、包括潜在的缺陷或使用不合适的材料，需方应向供方提出索赔； </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21.1.6合同条款的规定不能免除供方在本合同项下的保证义务或其他义务。</w:t>
      </w:r>
    </w:p>
    <w:p>
      <w:pPr>
        <w:spacing w:line="440" w:lineRule="exact"/>
        <w:rPr>
          <w:rFonts w:ascii="仿宋" w:hAnsi="仿宋" w:eastAsia="仿宋" w:cs="仿宋"/>
          <w:b/>
          <w:bCs/>
          <w:sz w:val="28"/>
          <w:szCs w:val="28"/>
        </w:rPr>
      </w:pPr>
      <w:r>
        <w:rPr>
          <w:rFonts w:hint="eastAsia" w:ascii="仿宋" w:hAnsi="仿宋" w:eastAsia="仿宋" w:cs="仿宋"/>
          <w:b/>
          <w:bCs/>
          <w:sz w:val="28"/>
          <w:szCs w:val="28"/>
        </w:rPr>
        <w:t>22.迟交货</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22.1需方的“供货计划一览表”在合同签订的同时提交给供方。供方需按照需方提供的“供货计划一览表”中规定的时间、数量交货和提供服务；</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22.2在供货期间，如遇中标货物型号停产或市场断货，供方可在不改变品牌并获取需方书面同意后提供相当于（或优于）中标货物技术性能、档次的替代产品；</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22.3如果供方毫无理由地拖延交货，将受到以下制裁：赔偿损失或终止合同；</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22.4在履行合同过程中，如果供方遇到不能按时交货和提供服务的情况，应及时以书面形式将不能按时交货的理由、延误时间通知需方，并承担由此造成的法律和经济责任；</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22.5供方按照“供货计划一览表”中规定的时间、数量如期供货，需方由于自身原因无法及时验收，造成货物积压，需方应赔偿由此给供方所造成的直接损失费用。</w:t>
      </w:r>
    </w:p>
    <w:p>
      <w:pPr>
        <w:spacing w:line="440" w:lineRule="exact"/>
        <w:rPr>
          <w:rFonts w:ascii="仿宋" w:hAnsi="仿宋" w:eastAsia="仿宋" w:cs="仿宋"/>
          <w:b/>
          <w:bCs/>
          <w:sz w:val="28"/>
          <w:szCs w:val="28"/>
        </w:rPr>
      </w:pPr>
      <w:r>
        <w:rPr>
          <w:rFonts w:hint="eastAsia" w:ascii="仿宋" w:hAnsi="仿宋" w:eastAsia="仿宋" w:cs="仿宋"/>
          <w:b/>
          <w:bCs/>
          <w:sz w:val="28"/>
          <w:szCs w:val="28"/>
        </w:rPr>
        <w:t>23.不可抗力</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23.1如果双方任何一方由于严重火灾、水灾、台风和地震以及其它经双方同意属于不可抗力的事故，致使影响合同履行时，履行合同的期限应予以延长，延长的期限应相当于事故所影响的时间；</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23.2受事故影响的一方应在不可抗力发生后3天内以电报或电传通知另一方，并在事故发生后14天内，将有关部门出具的证明文件寄给另一方。</w:t>
      </w:r>
    </w:p>
    <w:p>
      <w:pPr>
        <w:spacing w:line="440" w:lineRule="exact"/>
        <w:rPr>
          <w:rFonts w:ascii="仿宋" w:hAnsi="仿宋" w:eastAsia="仿宋" w:cs="仿宋"/>
          <w:b/>
          <w:bCs/>
          <w:sz w:val="28"/>
          <w:szCs w:val="28"/>
        </w:rPr>
      </w:pPr>
      <w:r>
        <w:rPr>
          <w:rFonts w:hint="eastAsia" w:ascii="仿宋" w:hAnsi="仿宋" w:eastAsia="仿宋" w:cs="仿宋"/>
          <w:b/>
          <w:bCs/>
          <w:sz w:val="28"/>
          <w:szCs w:val="28"/>
        </w:rPr>
        <w:t>24.税</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本合同执行中相关的一切税费均由供方负担。</w:t>
      </w:r>
    </w:p>
    <w:p>
      <w:pPr>
        <w:spacing w:line="440" w:lineRule="exact"/>
        <w:rPr>
          <w:rFonts w:ascii="仿宋" w:hAnsi="仿宋" w:eastAsia="仿宋" w:cs="仿宋"/>
          <w:b/>
          <w:bCs/>
          <w:sz w:val="28"/>
          <w:szCs w:val="28"/>
        </w:rPr>
      </w:pPr>
      <w:r>
        <w:rPr>
          <w:rFonts w:hint="eastAsia" w:ascii="仿宋" w:hAnsi="仿宋" w:eastAsia="仿宋" w:cs="仿宋"/>
          <w:b/>
          <w:bCs/>
          <w:sz w:val="28"/>
          <w:szCs w:val="28"/>
        </w:rPr>
        <w:t>25.供方履约延误</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25.1供方应按照“供货计划一览表”中需方规定的时间表交货和提供服务；</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25.2在履行合同过程中，如果供方不能按时交货和提供服务的情况时，应及时以书面形式将拖延的事实、可能拖延的时间和原因通知需方。需方在收到供方通知后，应尽快对情况进行评价，并确定是否同意延长交货时间以及是否收取误期赔偿费。延期应通过修改合同的方式由双方认可；</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25.3除了合同条款规定的情况外，除非拖延是根据合同条款的规定并取得双方同意而不收取误期赔偿费之外，供方延误交货将按合同条款的规定被收取误期赔偿费。</w:t>
      </w:r>
    </w:p>
    <w:p>
      <w:pPr>
        <w:spacing w:line="440" w:lineRule="exact"/>
        <w:rPr>
          <w:rFonts w:ascii="仿宋" w:hAnsi="仿宋" w:eastAsia="仿宋" w:cs="仿宋"/>
          <w:b/>
          <w:bCs/>
          <w:sz w:val="28"/>
          <w:szCs w:val="28"/>
        </w:rPr>
      </w:pPr>
      <w:r>
        <w:rPr>
          <w:rFonts w:hint="eastAsia" w:ascii="仿宋" w:hAnsi="仿宋" w:eastAsia="仿宋" w:cs="仿宋"/>
          <w:b/>
          <w:bCs/>
          <w:sz w:val="28"/>
          <w:szCs w:val="28"/>
        </w:rPr>
        <w:t>26.误期赔偿费</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除了合同条款规定的情况外，如果供方没有按照合同规定的时间交货和提供服务，需方应在不影响合同项下的其他补救措施的情况下，以合同价款中扣除误期赔偿费。延期10天以内每延期一天扣罚合同价款的百分之零点五（0.5%），延期10天以上每延期一天扣罚合同价款的百分之一（1%），累计在履约保证金中扣除，若履约保证金扣完不够，继续从合同价款中扣除。</w:t>
      </w:r>
    </w:p>
    <w:p>
      <w:pPr>
        <w:spacing w:line="440" w:lineRule="exact"/>
        <w:rPr>
          <w:rFonts w:ascii="仿宋" w:hAnsi="仿宋" w:eastAsia="仿宋" w:cs="仿宋"/>
          <w:b/>
          <w:bCs/>
          <w:sz w:val="28"/>
          <w:szCs w:val="28"/>
        </w:rPr>
      </w:pPr>
      <w:r>
        <w:rPr>
          <w:rFonts w:hint="eastAsia" w:ascii="仿宋" w:hAnsi="仿宋" w:eastAsia="仿宋" w:cs="仿宋"/>
          <w:b/>
          <w:bCs/>
          <w:sz w:val="28"/>
          <w:szCs w:val="28"/>
        </w:rPr>
        <w:t>27.违约终止合同</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27.1在需方对供方违约而采取的任何补救措施不受影响的情况下，需方可向供方发出书面违约通知书，提出终止部分或全部合同；</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27.2如果供方未能在合同规定的期限内或需方根据合同条款的规定同意延长的期限内提供部分或全部货物；</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27.3如果供方未能履行合同规定的其它任何义务；</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27.4如果需方认为供方在本招投标竞争和合同实施过程中有腐败和欺诈行为。为此目的，定义下述条件：</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27.4.1“腐败行为”是指提供、给予、接受或索取任何有价值的物品来影响公共官员在采购过程或合同实施过程中的行为；</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27.4.2“欺诈行为”是指为了影响采购过程或合同实施过程而谎报事实，损害需方利益的行为。</w:t>
      </w:r>
    </w:p>
    <w:p>
      <w:pPr>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27.5如果需方根据合同条款的规定，终止了全部或部分合同，需方可以依其认为适当的条件和方法购买与未交货物类似的货物，供方应对购买类似货物所超出的那部分费用负责。但是，供方应继续执行合同中未终止的部分。</w:t>
      </w:r>
    </w:p>
    <w:p>
      <w:pPr>
        <w:spacing w:line="420" w:lineRule="exact"/>
        <w:rPr>
          <w:rFonts w:ascii="仿宋" w:hAnsi="仿宋" w:eastAsia="仿宋" w:cs="仿宋"/>
          <w:b/>
          <w:bCs/>
          <w:sz w:val="28"/>
          <w:szCs w:val="28"/>
        </w:rPr>
      </w:pPr>
      <w:r>
        <w:rPr>
          <w:rFonts w:hint="eastAsia" w:ascii="仿宋" w:hAnsi="仿宋" w:eastAsia="仿宋" w:cs="仿宋"/>
          <w:b/>
          <w:bCs/>
          <w:sz w:val="28"/>
          <w:szCs w:val="28"/>
        </w:rPr>
        <w:t>28.仲裁</w:t>
      </w:r>
    </w:p>
    <w:p>
      <w:pPr>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28.1在执行本合同中所发生的或与本合同有关的一切争端，供需双方应通过友好协商解决，如从协商开始15天内仍不能解决，双方应向需方所在地的人民法院起诉；</w:t>
      </w:r>
    </w:p>
    <w:p>
      <w:pPr>
        <w:spacing w:line="420" w:lineRule="exact"/>
        <w:rPr>
          <w:rFonts w:ascii="仿宋" w:hAnsi="仿宋" w:eastAsia="仿宋" w:cs="仿宋"/>
          <w:b/>
          <w:bCs/>
          <w:sz w:val="28"/>
          <w:szCs w:val="28"/>
        </w:rPr>
      </w:pPr>
      <w:r>
        <w:rPr>
          <w:rFonts w:hint="eastAsia" w:ascii="仿宋" w:hAnsi="仿宋" w:eastAsia="仿宋" w:cs="仿宋"/>
          <w:b/>
          <w:bCs/>
          <w:sz w:val="28"/>
          <w:szCs w:val="28"/>
        </w:rPr>
        <w:t>29.转让或分包</w:t>
      </w:r>
    </w:p>
    <w:p>
      <w:pPr>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29.1本合同范围的货物，应由供方直接供应，不得转让他人供应；</w:t>
      </w:r>
    </w:p>
    <w:p>
      <w:pPr>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29.2除非得到需方的书面同意后，供方可以将其中部分依法分包给他人供应和实施。需方有绝对权力阻止分包。虽然需方之前未有阻止分包，需方仍有权抛弃任何分包人，并有权要求任何分包人脱离本货物的供应和服务；</w:t>
      </w:r>
    </w:p>
    <w:p>
      <w:pPr>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29.3本合同全部或部分的分包不能减轻供方承担的责任，供方仍须将分包人的任何行动、错误或疏忽当作是自己完成的并负全责；</w:t>
      </w:r>
    </w:p>
    <w:p>
      <w:pPr>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29.4在任何分包合同中，须注明分包人按分包合同的范围履行，在供方按本合同的履行终止时（不论任何原因），亦同时一并终止；</w:t>
      </w:r>
    </w:p>
    <w:p>
      <w:pPr>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29.5如有转让和未经需方同意的分包行为，需方有权给予终止合同。</w:t>
      </w:r>
    </w:p>
    <w:p>
      <w:pPr>
        <w:spacing w:line="420" w:lineRule="exact"/>
        <w:rPr>
          <w:rFonts w:ascii="仿宋" w:hAnsi="仿宋" w:eastAsia="仿宋" w:cs="仿宋"/>
          <w:b/>
          <w:bCs/>
          <w:sz w:val="28"/>
          <w:szCs w:val="28"/>
        </w:rPr>
      </w:pPr>
      <w:r>
        <w:rPr>
          <w:rFonts w:hint="eastAsia" w:ascii="仿宋" w:hAnsi="仿宋" w:eastAsia="仿宋" w:cs="仿宋"/>
          <w:b/>
          <w:bCs/>
          <w:sz w:val="28"/>
          <w:szCs w:val="28"/>
        </w:rPr>
        <w:t>30.适用法律</w:t>
      </w:r>
    </w:p>
    <w:p>
      <w:pPr>
        <w:pStyle w:val="25"/>
        <w:spacing w:line="420" w:lineRule="exact"/>
        <w:ind w:firstLine="528"/>
        <w:rPr>
          <w:rFonts w:ascii="仿宋" w:hAnsi="仿宋" w:eastAsia="仿宋" w:cs="仿宋"/>
          <w:sz w:val="28"/>
          <w:szCs w:val="28"/>
        </w:rPr>
      </w:pPr>
      <w:r>
        <w:rPr>
          <w:rFonts w:hint="eastAsia" w:ascii="仿宋" w:hAnsi="仿宋" w:eastAsia="仿宋" w:cs="仿宋"/>
          <w:sz w:val="28"/>
          <w:szCs w:val="28"/>
        </w:rPr>
        <w:t>合同适用法律有《中华人民共和国政府采购法》、《中华人民共和国民法</w:t>
      </w:r>
      <w:r>
        <w:rPr>
          <w:rFonts w:ascii="仿宋" w:hAnsi="仿宋" w:eastAsia="仿宋" w:cs="仿宋"/>
          <w:sz w:val="28"/>
          <w:szCs w:val="28"/>
        </w:rPr>
        <w:t>典</w:t>
      </w:r>
      <w:r>
        <w:rPr>
          <w:rFonts w:hint="eastAsia" w:ascii="仿宋" w:hAnsi="仿宋" w:eastAsia="仿宋" w:cs="仿宋"/>
          <w:sz w:val="28"/>
          <w:szCs w:val="28"/>
        </w:rPr>
        <w:t>》、《中华人民共和国产品质量法》和浙江省有关条例等。</w:t>
      </w:r>
    </w:p>
    <w:p>
      <w:pPr>
        <w:spacing w:line="420" w:lineRule="exact"/>
        <w:rPr>
          <w:rFonts w:ascii="仿宋" w:hAnsi="仿宋" w:eastAsia="仿宋" w:cs="仿宋"/>
          <w:b/>
          <w:bCs/>
          <w:sz w:val="28"/>
          <w:szCs w:val="28"/>
        </w:rPr>
      </w:pPr>
      <w:r>
        <w:rPr>
          <w:rFonts w:hint="eastAsia" w:ascii="仿宋" w:hAnsi="仿宋" w:eastAsia="仿宋" w:cs="仿宋"/>
          <w:b/>
          <w:bCs/>
          <w:sz w:val="28"/>
          <w:szCs w:val="28"/>
        </w:rPr>
        <w:t>31.合同生效及其他</w:t>
      </w:r>
    </w:p>
    <w:p>
      <w:pPr>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31.1本合同经双方法人及法定代表人签字盖章生效；</w:t>
      </w:r>
    </w:p>
    <w:p>
      <w:pPr>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31.2本合同一式四份，供、需方各执一份；湖州市财政局（市政府采购办）、集中采购机构各一份；</w:t>
      </w:r>
    </w:p>
    <w:p>
      <w:pPr>
        <w:pStyle w:val="2"/>
        <w:ind w:firstLine="210"/>
        <w:rPr>
          <w:rFonts w:ascii="仿宋" w:hAnsi="仿宋" w:eastAsia="仿宋" w:cs="仿宋"/>
          <w:sz w:val="28"/>
          <w:szCs w:val="28"/>
        </w:rPr>
      </w:pPr>
      <w:r>
        <w:rPr>
          <w:rFonts w:hint="eastAsia"/>
        </w:rPr>
        <w:t xml:space="preserve">  </w:t>
      </w:r>
      <w:r>
        <w:rPr>
          <w:rFonts w:hint="eastAsia"/>
          <w:color w:val="000000" w:themeColor="text1"/>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31.3  招标</w:t>
      </w:r>
      <w:r>
        <w:rPr>
          <w:rFonts w:ascii="仿宋" w:hAnsi="仿宋" w:eastAsia="仿宋" w:cs="仿宋"/>
          <w:color w:val="000000" w:themeColor="text1"/>
          <w:sz w:val="28"/>
          <w:szCs w:val="28"/>
          <w14:textFill>
            <w14:solidFill>
              <w14:schemeClr w14:val="tx1"/>
            </w14:solidFill>
          </w14:textFill>
        </w:rPr>
        <w:t>文件和中标文件</w:t>
      </w:r>
      <w:r>
        <w:rPr>
          <w:rFonts w:hint="eastAsia" w:ascii="仿宋" w:hAnsi="仿宋" w:eastAsia="仿宋" w:cs="仿宋"/>
          <w:color w:val="000000" w:themeColor="text1"/>
          <w:sz w:val="28"/>
          <w:szCs w:val="28"/>
          <w14:textFill>
            <w14:solidFill>
              <w14:schemeClr w14:val="tx1"/>
            </w14:solidFill>
          </w14:textFill>
        </w:rPr>
        <w:t>做</w:t>
      </w:r>
      <w:r>
        <w:rPr>
          <w:rFonts w:ascii="仿宋" w:hAnsi="仿宋" w:eastAsia="仿宋" w:cs="仿宋"/>
          <w:color w:val="000000" w:themeColor="text1"/>
          <w:sz w:val="28"/>
          <w:szCs w:val="28"/>
          <w14:textFill>
            <w14:solidFill>
              <w14:schemeClr w14:val="tx1"/>
            </w14:solidFill>
          </w14:textFill>
        </w:rPr>
        <w:t>为</w:t>
      </w:r>
      <w:r>
        <w:rPr>
          <w:rFonts w:hint="eastAsia" w:ascii="仿宋" w:hAnsi="仿宋" w:eastAsia="仿宋" w:cs="仿宋"/>
          <w:color w:val="000000" w:themeColor="text1"/>
          <w:sz w:val="28"/>
          <w:szCs w:val="28"/>
          <w14:textFill>
            <w14:solidFill>
              <w14:schemeClr w14:val="tx1"/>
            </w14:solidFill>
          </w14:textFill>
        </w:rPr>
        <w:t>本</w:t>
      </w:r>
      <w:r>
        <w:rPr>
          <w:rFonts w:ascii="仿宋" w:hAnsi="仿宋" w:eastAsia="仿宋" w:cs="仿宋"/>
          <w:color w:val="000000" w:themeColor="text1"/>
          <w:sz w:val="28"/>
          <w:szCs w:val="28"/>
          <w14:textFill>
            <w14:solidFill>
              <w14:schemeClr w14:val="tx1"/>
            </w14:solidFill>
          </w14:textFill>
        </w:rPr>
        <w:t>合同的附件</w:t>
      </w:r>
      <w:r>
        <w:rPr>
          <w:rFonts w:hint="eastAsia" w:ascii="仿宋" w:hAnsi="仿宋" w:eastAsia="仿宋" w:cs="仿宋"/>
          <w:color w:val="000000" w:themeColor="text1"/>
          <w:sz w:val="28"/>
          <w:szCs w:val="28"/>
          <w14:textFill>
            <w14:solidFill>
              <w14:schemeClr w14:val="tx1"/>
            </w14:solidFill>
          </w14:textFill>
        </w:rPr>
        <w:t>，</w:t>
      </w:r>
      <w:r>
        <w:rPr>
          <w:rFonts w:ascii="仿宋" w:hAnsi="仿宋" w:eastAsia="仿宋" w:cs="仿宋"/>
          <w:color w:val="000000" w:themeColor="text1"/>
          <w:sz w:val="28"/>
          <w:szCs w:val="28"/>
          <w14:textFill>
            <w14:solidFill>
              <w14:schemeClr w14:val="tx1"/>
            </w14:solidFill>
          </w14:textFill>
        </w:rPr>
        <w:t>如合同条</w:t>
      </w:r>
      <w:r>
        <w:rPr>
          <w:rFonts w:hint="eastAsia" w:ascii="仿宋" w:hAnsi="仿宋" w:eastAsia="仿宋" w:cs="仿宋"/>
          <w:color w:val="000000" w:themeColor="text1"/>
          <w:sz w:val="28"/>
          <w:szCs w:val="28"/>
          <w14:textFill>
            <w14:solidFill>
              <w14:schemeClr w14:val="tx1"/>
            </w14:solidFill>
          </w14:textFill>
        </w:rPr>
        <w:t>款</w:t>
      </w:r>
      <w:r>
        <w:rPr>
          <w:rFonts w:ascii="仿宋" w:hAnsi="仿宋" w:eastAsia="仿宋" w:cs="仿宋"/>
          <w:color w:val="000000" w:themeColor="text1"/>
          <w:sz w:val="28"/>
          <w:szCs w:val="28"/>
          <w14:textFill>
            <w14:solidFill>
              <w14:schemeClr w14:val="tx1"/>
            </w14:solidFill>
          </w14:textFill>
        </w:rPr>
        <w:t>有</w:t>
      </w:r>
      <w:r>
        <w:rPr>
          <w:rFonts w:hint="eastAsia" w:ascii="仿宋" w:hAnsi="仿宋" w:eastAsia="仿宋" w:cs="仿宋"/>
          <w:color w:val="000000" w:themeColor="text1"/>
          <w:sz w:val="28"/>
          <w:szCs w:val="28"/>
          <w14:textFill>
            <w14:solidFill>
              <w14:schemeClr w14:val="tx1"/>
            </w14:solidFill>
          </w14:textFill>
        </w:rPr>
        <w:t>异议</w:t>
      </w:r>
      <w:r>
        <w:rPr>
          <w:rFonts w:ascii="仿宋" w:hAnsi="仿宋" w:eastAsia="仿宋" w:cs="仿宋"/>
          <w:color w:val="000000" w:themeColor="text1"/>
          <w:sz w:val="28"/>
          <w:szCs w:val="28"/>
          <w14:textFill>
            <w14:solidFill>
              <w14:schemeClr w14:val="tx1"/>
            </w14:solidFill>
          </w14:textFill>
        </w:rPr>
        <w:t>参照招投标文件</w:t>
      </w:r>
      <w:r>
        <w:rPr>
          <w:rFonts w:hint="eastAsia" w:ascii="仿宋" w:hAnsi="仿宋" w:eastAsia="仿宋" w:cs="仿宋"/>
          <w:color w:val="000000" w:themeColor="text1"/>
          <w:sz w:val="28"/>
          <w:szCs w:val="28"/>
          <w14:textFill>
            <w14:solidFill>
              <w14:schemeClr w14:val="tx1"/>
            </w14:solidFill>
          </w14:textFill>
        </w:rPr>
        <w:t>。</w:t>
      </w:r>
    </w:p>
    <w:p>
      <w:pPr>
        <w:spacing w:line="400" w:lineRule="exact"/>
        <w:rPr>
          <w:rFonts w:ascii="仿宋" w:hAnsi="仿宋" w:eastAsia="仿宋" w:cs="仿宋"/>
          <w:sz w:val="28"/>
          <w:szCs w:val="28"/>
        </w:rPr>
      </w:pPr>
    </w:p>
    <w:p>
      <w:pPr>
        <w:pStyle w:val="2"/>
        <w:ind w:firstLine="280"/>
        <w:rPr>
          <w:rFonts w:ascii="仿宋" w:hAnsi="仿宋" w:eastAsia="仿宋" w:cs="仿宋"/>
          <w:sz w:val="28"/>
          <w:szCs w:val="28"/>
        </w:rPr>
      </w:pPr>
    </w:p>
    <w:p>
      <w:pPr>
        <w:pStyle w:val="24"/>
        <w:rPr>
          <w:rFonts w:ascii="仿宋" w:hAnsi="仿宋" w:eastAsia="仿宋" w:cs="仿宋"/>
          <w:sz w:val="28"/>
          <w:szCs w:val="28"/>
        </w:rPr>
      </w:pPr>
    </w:p>
    <w:p>
      <w:pPr>
        <w:pStyle w:val="2"/>
        <w:ind w:firstLine="0" w:firstLineChars="0"/>
        <w:rPr>
          <w:rFonts w:ascii="仿宋" w:hAnsi="仿宋" w:eastAsia="仿宋" w:cs="仿宋"/>
          <w:sz w:val="28"/>
          <w:szCs w:val="28"/>
        </w:rPr>
      </w:pPr>
    </w:p>
    <w:p>
      <w:pPr>
        <w:pStyle w:val="24"/>
      </w:pPr>
    </w:p>
    <w:p>
      <w:pPr>
        <w:pStyle w:val="4"/>
        <w:spacing w:line="240" w:lineRule="auto"/>
        <w:jc w:val="center"/>
        <w:rPr>
          <w:rFonts w:ascii="仿宋" w:hAnsi="仿宋" w:eastAsia="仿宋" w:cs="仿宋"/>
          <w:b w:val="0"/>
          <w:bCs w:val="0"/>
          <w:sz w:val="28"/>
          <w:szCs w:val="28"/>
        </w:rPr>
      </w:pPr>
      <w:bookmarkStart w:id="51" w:name="_Toc36454325"/>
      <w:r>
        <w:rPr>
          <w:rFonts w:hint="eastAsia" w:ascii="仿宋" w:hAnsi="仿宋" w:eastAsia="仿宋" w:cs="仿宋"/>
          <w:sz w:val="28"/>
          <w:szCs w:val="28"/>
        </w:rPr>
        <w:t>第四章  投标文件的格式附件</w:t>
      </w:r>
      <w:bookmarkEnd w:id="51"/>
    </w:p>
    <w:p>
      <w:pPr>
        <w:snapToGrid w:val="0"/>
        <w:spacing w:before="120" w:beforeLines="50" w:after="50"/>
        <w:ind w:firstLine="550" w:firstLineChars="196"/>
        <w:rPr>
          <w:rFonts w:ascii="仿宋" w:hAnsi="仿宋" w:eastAsia="仿宋" w:cs="仿宋"/>
          <w:sz w:val="28"/>
          <w:szCs w:val="28"/>
        </w:rPr>
      </w:pPr>
      <w:r>
        <w:rPr>
          <w:rFonts w:hint="eastAsia" w:ascii="仿宋" w:hAnsi="仿宋" w:eastAsia="仿宋" w:cs="仿宋"/>
          <w:b/>
          <w:bCs/>
          <w:kern w:val="44"/>
          <w:sz w:val="28"/>
          <w:szCs w:val="28"/>
        </w:rPr>
        <w:t>注：本章节内容提供部分投标文件格式，招标文件中有要求但未提供格式的，须由投标人根据招标文件的要求自行制作。</w:t>
      </w:r>
    </w:p>
    <w:p>
      <w:pPr>
        <w:snapToGrid w:val="0"/>
        <w:spacing w:before="50" w:after="120" w:afterLines="50"/>
        <w:jc w:val="left"/>
        <w:rPr>
          <w:rFonts w:ascii="仿宋" w:hAnsi="仿宋" w:eastAsia="仿宋" w:cs="仿宋"/>
          <w:b/>
          <w:sz w:val="28"/>
          <w:szCs w:val="28"/>
        </w:rPr>
      </w:pPr>
      <w:r>
        <w:rPr>
          <w:rFonts w:hint="eastAsia" w:ascii="仿宋" w:hAnsi="仿宋" w:eastAsia="仿宋" w:cs="仿宋"/>
          <w:b/>
          <w:sz w:val="28"/>
          <w:szCs w:val="28"/>
        </w:rPr>
        <w:t>附件1：</w:t>
      </w:r>
    </w:p>
    <w:p>
      <w:pPr>
        <w:snapToGrid w:val="0"/>
        <w:spacing w:before="50" w:after="50"/>
        <w:jc w:val="center"/>
        <w:rPr>
          <w:rFonts w:ascii="仿宋" w:hAnsi="仿宋" w:eastAsia="仿宋" w:cs="仿宋"/>
          <w:b/>
          <w:sz w:val="28"/>
          <w:szCs w:val="28"/>
        </w:rPr>
      </w:pPr>
      <w:r>
        <w:rPr>
          <w:rFonts w:hint="eastAsia" w:ascii="仿宋" w:hAnsi="仿宋" w:eastAsia="仿宋" w:cs="仿宋"/>
          <w:b/>
          <w:sz w:val="28"/>
          <w:szCs w:val="28"/>
        </w:rPr>
        <w:t>投 标 声 明 书</w:t>
      </w:r>
    </w:p>
    <w:p>
      <w:pPr>
        <w:snapToGrid w:val="0"/>
        <w:spacing w:before="50" w:after="50"/>
        <w:jc w:val="center"/>
        <w:rPr>
          <w:rFonts w:ascii="仿宋" w:hAnsi="仿宋" w:eastAsia="仿宋" w:cs="仿宋"/>
          <w:b/>
          <w:sz w:val="28"/>
          <w:szCs w:val="28"/>
        </w:rPr>
      </w:pPr>
    </w:p>
    <w:p>
      <w:pPr>
        <w:snapToGrid w:val="0"/>
        <w:spacing w:line="360" w:lineRule="auto"/>
        <w:rPr>
          <w:rFonts w:ascii="仿宋" w:hAnsi="仿宋" w:eastAsia="仿宋" w:cs="仿宋"/>
          <w:snapToGrid w:val="0"/>
          <w:kern w:val="0"/>
          <w:sz w:val="28"/>
          <w:szCs w:val="28"/>
        </w:rPr>
      </w:pPr>
      <w:r>
        <w:rPr>
          <w:rFonts w:hint="eastAsia" w:ascii="仿宋" w:hAnsi="仿宋" w:eastAsia="仿宋" w:cs="仿宋"/>
          <w:snapToGrid w:val="0"/>
          <w:kern w:val="0"/>
          <w:sz w:val="28"/>
          <w:szCs w:val="28"/>
        </w:rPr>
        <w:t>致湖州市政府采购中心：</w:t>
      </w:r>
    </w:p>
    <w:p>
      <w:pPr>
        <w:snapToGrid w:val="0"/>
        <w:spacing w:line="360" w:lineRule="auto"/>
        <w:ind w:firstLine="560" w:firstLineChars="200"/>
        <w:jc w:val="left"/>
        <w:rPr>
          <w:rFonts w:ascii="仿宋" w:hAnsi="仿宋" w:eastAsia="仿宋" w:cs="仿宋"/>
          <w:snapToGrid w:val="0"/>
          <w:kern w:val="0"/>
          <w:sz w:val="28"/>
          <w:szCs w:val="28"/>
        </w:rPr>
      </w:pPr>
      <w:r>
        <w:rPr>
          <w:rFonts w:hint="eastAsia" w:ascii="仿宋" w:hAnsi="仿宋" w:eastAsia="仿宋" w:cs="仿宋"/>
          <w:snapToGrid w:val="0"/>
          <w:kern w:val="0"/>
          <w:sz w:val="28"/>
          <w:szCs w:val="28"/>
          <w:u w:val="single"/>
        </w:rPr>
        <w:t xml:space="preserve">（投标人名称）               </w:t>
      </w:r>
      <w:r>
        <w:rPr>
          <w:rFonts w:hint="eastAsia" w:ascii="仿宋" w:hAnsi="仿宋" w:eastAsia="仿宋" w:cs="仿宋"/>
          <w:snapToGrid w:val="0"/>
          <w:kern w:val="0"/>
          <w:sz w:val="28"/>
          <w:szCs w:val="28"/>
        </w:rPr>
        <w:t>系中华人民共和国合法企业，经营地址</w:t>
      </w:r>
      <w:r>
        <w:rPr>
          <w:rFonts w:hint="eastAsia" w:ascii="仿宋" w:hAnsi="仿宋" w:eastAsia="仿宋" w:cs="仿宋"/>
          <w:snapToGrid w:val="0"/>
          <w:kern w:val="0"/>
          <w:sz w:val="28"/>
          <w:szCs w:val="28"/>
          <w:u w:val="single"/>
        </w:rPr>
        <w:t xml:space="preserve">                            </w:t>
      </w:r>
      <w:r>
        <w:rPr>
          <w:rFonts w:hint="eastAsia" w:ascii="仿宋" w:hAnsi="仿宋" w:eastAsia="仿宋" w:cs="仿宋"/>
          <w:snapToGrid w:val="0"/>
          <w:kern w:val="0"/>
          <w:sz w:val="28"/>
          <w:szCs w:val="28"/>
        </w:rPr>
        <w:t>。</w:t>
      </w:r>
    </w:p>
    <w:p>
      <w:pPr>
        <w:snapToGrid w:val="0"/>
        <w:spacing w:line="360" w:lineRule="auto"/>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我</w:t>
      </w:r>
      <w:r>
        <w:rPr>
          <w:rFonts w:hint="eastAsia" w:ascii="仿宋" w:hAnsi="仿宋" w:eastAsia="仿宋" w:cs="仿宋"/>
          <w:snapToGrid w:val="0"/>
          <w:kern w:val="0"/>
          <w:sz w:val="28"/>
          <w:szCs w:val="28"/>
          <w:u w:val="single"/>
        </w:rPr>
        <w:t>（姓名）</w:t>
      </w:r>
      <w:r>
        <w:rPr>
          <w:rFonts w:hint="eastAsia" w:ascii="仿宋" w:hAnsi="仿宋" w:eastAsia="仿宋" w:cs="仿宋"/>
          <w:snapToGrid w:val="0"/>
          <w:kern w:val="0"/>
          <w:sz w:val="28"/>
          <w:szCs w:val="28"/>
        </w:rPr>
        <w:t>系</w:t>
      </w:r>
      <w:r>
        <w:rPr>
          <w:rFonts w:hint="eastAsia" w:ascii="仿宋" w:hAnsi="仿宋" w:eastAsia="仿宋" w:cs="仿宋"/>
          <w:snapToGrid w:val="0"/>
          <w:kern w:val="0"/>
          <w:sz w:val="28"/>
          <w:szCs w:val="28"/>
          <w:u w:val="single"/>
        </w:rPr>
        <w:t>（投标人名称）</w:t>
      </w:r>
      <w:r>
        <w:rPr>
          <w:rFonts w:hint="eastAsia" w:ascii="仿宋" w:hAnsi="仿宋" w:eastAsia="仿宋" w:cs="仿宋"/>
          <w:snapToGrid w:val="0"/>
          <w:kern w:val="0"/>
          <w:sz w:val="28"/>
          <w:szCs w:val="28"/>
        </w:rPr>
        <w:t>的法定代表人，我方愿意参加贵方组织的</w:t>
      </w:r>
      <w:r>
        <w:rPr>
          <w:rFonts w:hint="eastAsia" w:ascii="仿宋" w:hAnsi="仿宋" w:eastAsia="仿宋" w:cs="仿宋"/>
          <w:snapToGrid w:val="0"/>
          <w:kern w:val="0"/>
          <w:sz w:val="28"/>
          <w:szCs w:val="28"/>
          <w:u w:val="single"/>
        </w:rPr>
        <w:t>（招标项目名称）（编号：</w:t>
      </w:r>
      <w:r>
        <w:rPr>
          <w:rFonts w:hint="eastAsia" w:ascii="仿宋" w:hAnsi="仿宋" w:eastAsia="仿宋" w:cs="仿宋"/>
          <w:snapToGrid w:val="0"/>
          <w:kern w:val="0"/>
          <w:sz w:val="28"/>
          <w:szCs w:val="28"/>
          <w:u w:val="single"/>
          <w:lang w:eastAsia="zh-CN"/>
        </w:rPr>
        <w:t>HZGZ2022-56</w:t>
      </w:r>
      <w:r>
        <w:rPr>
          <w:rFonts w:hint="eastAsia" w:ascii="仿宋" w:hAnsi="仿宋" w:eastAsia="仿宋" w:cs="仿宋"/>
          <w:snapToGrid w:val="0"/>
          <w:kern w:val="0"/>
          <w:sz w:val="28"/>
          <w:szCs w:val="28"/>
          <w:u w:val="single"/>
        </w:rPr>
        <w:t>）</w:t>
      </w:r>
      <w:r>
        <w:rPr>
          <w:rFonts w:hint="eastAsia" w:ascii="仿宋" w:hAnsi="仿宋" w:eastAsia="仿宋" w:cs="仿宋"/>
          <w:snapToGrid w:val="0"/>
          <w:kern w:val="0"/>
          <w:sz w:val="28"/>
          <w:szCs w:val="28"/>
        </w:rPr>
        <w:t>的投标，为此，我方就本次投标有关事项郑重声明如下：</w:t>
      </w:r>
    </w:p>
    <w:p>
      <w:pPr>
        <w:snapToGrid w:val="0"/>
        <w:spacing w:line="360" w:lineRule="auto"/>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1、我方已详细审查全部招标文件，同意招标文件的各项要求。</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2、我方向贵方提交的所有投标文件、资料都是准确的和真实的。</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3、若中标，我方将按招标文件规定履行合同责任和义务。</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4、我方不是采购人的附属机构，在获知本项目采购信息后，与采购人聘请的为此项目提供咨询服务的公司及其附属机构没有任何联系。</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5、投标文件自开标日起有效期为120天。</w:t>
      </w:r>
    </w:p>
    <w:p>
      <w:pPr>
        <w:snapToGrid w:val="0"/>
        <w:spacing w:line="360" w:lineRule="auto"/>
        <w:ind w:firstLine="550" w:firstLineChars="196"/>
        <w:jc w:val="left"/>
        <w:rPr>
          <w:rFonts w:ascii="仿宋" w:hAnsi="仿宋" w:eastAsia="仿宋" w:cs="仿宋"/>
          <w:b/>
          <w:sz w:val="28"/>
          <w:szCs w:val="28"/>
        </w:rPr>
      </w:pPr>
      <w:r>
        <w:rPr>
          <w:rFonts w:hint="eastAsia" w:ascii="仿宋" w:hAnsi="仿宋" w:eastAsia="仿宋" w:cs="仿宋"/>
          <w:b/>
          <w:sz w:val="28"/>
          <w:szCs w:val="28"/>
        </w:rPr>
        <w:t>6、符合《中华人民共和国政府采购法》第二十二条：参加政府采购活动应当具备的条件；</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7、我方通过“信用中国”网站（www.creditchina.gov.cn）、中国政府采购网（www.ccgp.gov.cn）查询，未被列入失信被执行人、重大税收违法案件当事人名单、政府采购严重违法失信行为记录名单。</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8、以上事项如有虚假或隐瞒，我方愿意承担一切后果，并不再寻求任何旨在减轻或免除法律责任的辩解。</w:t>
      </w:r>
    </w:p>
    <w:p>
      <w:pPr>
        <w:snapToGrid w:val="0"/>
        <w:ind w:right="600" w:firstLine="140" w:firstLineChars="50"/>
        <w:rPr>
          <w:rFonts w:ascii="仿宋" w:hAnsi="仿宋" w:eastAsia="仿宋" w:cs="仿宋"/>
          <w:sz w:val="28"/>
          <w:szCs w:val="28"/>
        </w:rPr>
      </w:pPr>
    </w:p>
    <w:p>
      <w:pPr>
        <w:snapToGrid w:val="0"/>
        <w:ind w:right="600" w:firstLine="140" w:firstLineChars="50"/>
        <w:rPr>
          <w:rFonts w:ascii="仿宋" w:hAnsi="仿宋" w:eastAsia="仿宋" w:cs="仿宋"/>
          <w:sz w:val="28"/>
          <w:szCs w:val="28"/>
          <w:u w:val="single"/>
        </w:rPr>
      </w:pPr>
      <w:r>
        <w:rPr>
          <w:rFonts w:hint="eastAsia" w:ascii="仿宋" w:hAnsi="仿宋" w:eastAsia="仿宋" w:cs="仿宋"/>
          <w:sz w:val="28"/>
          <w:szCs w:val="28"/>
        </w:rPr>
        <w:t>法定代表人签名（或签名章）：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日 期：</w:t>
      </w:r>
      <w:r>
        <w:rPr>
          <w:rFonts w:hint="eastAsia" w:ascii="仿宋" w:hAnsi="仿宋" w:eastAsia="仿宋" w:cs="仿宋"/>
          <w:sz w:val="28"/>
          <w:szCs w:val="28"/>
          <w:u w:val="single"/>
        </w:rPr>
        <w:t xml:space="preserve">          </w:t>
      </w:r>
    </w:p>
    <w:p>
      <w:pPr>
        <w:snapToGrid w:val="0"/>
        <w:ind w:firstLine="140" w:firstLineChars="50"/>
        <w:rPr>
          <w:rFonts w:ascii="仿宋" w:hAnsi="仿宋" w:eastAsia="仿宋" w:cs="仿宋"/>
          <w:sz w:val="28"/>
          <w:szCs w:val="28"/>
        </w:rPr>
      </w:pPr>
      <w:r>
        <w:rPr>
          <w:rFonts w:hint="eastAsia" w:ascii="仿宋" w:hAnsi="仿宋" w:eastAsia="仿宋" w:cs="仿宋"/>
          <w:sz w:val="28"/>
          <w:szCs w:val="28"/>
        </w:rPr>
        <w:t>投标人全称（电子签章）：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r>
        <w:rPr>
          <w:rFonts w:hint="eastAsia" w:ascii="仿宋" w:hAnsi="仿宋" w:eastAsia="仿宋" w:cs="仿宋"/>
          <w:sz w:val="28"/>
          <w:szCs w:val="28"/>
        </w:rPr>
        <w:br w:type="page"/>
      </w:r>
    </w:p>
    <w:p>
      <w:pPr>
        <w:pStyle w:val="9"/>
        <w:spacing w:line="500" w:lineRule="exact"/>
        <w:ind w:firstLine="0"/>
        <w:rPr>
          <w:rFonts w:ascii="仿宋" w:hAnsi="仿宋" w:eastAsia="仿宋" w:cs="仿宋"/>
          <w:b/>
          <w:bCs/>
          <w:spacing w:val="24"/>
          <w:sz w:val="28"/>
          <w:szCs w:val="28"/>
        </w:rPr>
      </w:pPr>
      <w:r>
        <w:rPr>
          <w:rFonts w:hint="eastAsia" w:ascii="仿宋" w:hAnsi="仿宋" w:eastAsia="仿宋" w:cs="仿宋"/>
          <w:b/>
          <w:bCs/>
          <w:spacing w:val="24"/>
          <w:sz w:val="28"/>
          <w:szCs w:val="28"/>
        </w:rPr>
        <w:t>附件2：</w:t>
      </w:r>
    </w:p>
    <w:p>
      <w:pPr>
        <w:snapToGrid w:val="0"/>
        <w:spacing w:before="50" w:after="50"/>
        <w:jc w:val="center"/>
        <w:rPr>
          <w:rFonts w:ascii="仿宋" w:hAnsi="仿宋" w:eastAsia="仿宋" w:cs="仿宋"/>
          <w:b/>
          <w:sz w:val="28"/>
          <w:szCs w:val="28"/>
        </w:rPr>
      </w:pPr>
      <w:r>
        <w:rPr>
          <w:rFonts w:hint="eastAsia" w:ascii="仿宋" w:hAnsi="仿宋" w:eastAsia="仿宋" w:cs="仿宋"/>
          <w:b/>
          <w:sz w:val="28"/>
          <w:szCs w:val="28"/>
        </w:rPr>
        <w:t>法定代表人有效身份证明书</w:t>
      </w:r>
    </w:p>
    <w:p>
      <w:pPr>
        <w:pStyle w:val="9"/>
        <w:spacing w:line="500" w:lineRule="exact"/>
        <w:ind w:firstLine="513" w:firstLineChars="156"/>
        <w:jc w:val="center"/>
        <w:rPr>
          <w:rFonts w:ascii="仿宋" w:hAnsi="仿宋" w:eastAsia="仿宋" w:cs="仿宋"/>
          <w:b/>
          <w:bCs/>
          <w:spacing w:val="24"/>
          <w:sz w:val="28"/>
          <w:szCs w:val="28"/>
        </w:rPr>
      </w:pPr>
    </w:p>
    <w:p>
      <w:pPr>
        <w:pStyle w:val="9"/>
        <w:spacing w:line="500" w:lineRule="exact"/>
        <w:ind w:firstLine="513" w:firstLineChars="156"/>
        <w:jc w:val="center"/>
        <w:rPr>
          <w:rFonts w:ascii="仿宋" w:hAnsi="仿宋" w:eastAsia="仿宋" w:cs="仿宋"/>
          <w:b/>
          <w:bCs/>
          <w:spacing w:val="24"/>
          <w:sz w:val="28"/>
          <w:szCs w:val="28"/>
        </w:rPr>
      </w:pPr>
    </w:p>
    <w:p>
      <w:pPr>
        <w:pStyle w:val="9"/>
        <w:spacing w:line="500" w:lineRule="exact"/>
        <w:ind w:firstLine="1400" w:firstLineChars="500"/>
        <w:rPr>
          <w:rFonts w:ascii="仿宋" w:hAnsi="仿宋" w:eastAsia="仿宋" w:cs="仿宋"/>
          <w:sz w:val="28"/>
          <w:szCs w:val="28"/>
        </w:rPr>
      </w:pPr>
      <w:r>
        <w:rPr>
          <w:rFonts w:hint="eastAsia" w:ascii="仿宋" w:hAnsi="仿宋" w:eastAsia="仿宋" w:cs="仿宋"/>
          <w:sz w:val="28"/>
          <w:szCs w:val="28"/>
          <w:u w:val="single"/>
        </w:rPr>
        <w:t>（姓名）</w:t>
      </w:r>
      <w:r>
        <w:rPr>
          <w:rFonts w:hint="eastAsia" w:ascii="仿宋" w:hAnsi="仿宋" w:eastAsia="仿宋" w:cs="仿宋"/>
          <w:sz w:val="28"/>
          <w:szCs w:val="28"/>
        </w:rPr>
        <w:t xml:space="preserve">是 </w:t>
      </w:r>
      <w:r>
        <w:rPr>
          <w:rFonts w:hint="eastAsia" w:ascii="仿宋" w:hAnsi="仿宋" w:eastAsia="仿宋" w:cs="仿宋"/>
          <w:sz w:val="28"/>
          <w:szCs w:val="28"/>
          <w:u w:val="single"/>
        </w:rPr>
        <w:t xml:space="preserve">                              </w:t>
      </w:r>
      <w:r>
        <w:rPr>
          <w:rFonts w:hint="eastAsia" w:ascii="仿宋" w:hAnsi="仿宋" w:eastAsia="仿宋" w:cs="仿宋"/>
          <w:sz w:val="28"/>
          <w:szCs w:val="28"/>
        </w:rPr>
        <w:t>（单位全称）</w:t>
      </w:r>
    </w:p>
    <w:p>
      <w:pPr>
        <w:pStyle w:val="9"/>
        <w:spacing w:line="500" w:lineRule="exact"/>
        <w:ind w:firstLine="436" w:firstLineChars="156"/>
        <w:rPr>
          <w:rFonts w:ascii="仿宋" w:hAnsi="仿宋" w:eastAsia="仿宋" w:cs="仿宋"/>
          <w:sz w:val="28"/>
          <w:szCs w:val="28"/>
        </w:rPr>
      </w:pPr>
      <w:r>
        <w:rPr>
          <w:rFonts w:hint="eastAsia" w:ascii="仿宋" w:hAnsi="仿宋" w:eastAsia="仿宋" w:cs="仿宋"/>
          <w:sz w:val="28"/>
          <w:szCs w:val="28"/>
        </w:rPr>
        <w:t xml:space="preserve">的法定代表人，身份证号码为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pStyle w:val="9"/>
        <w:spacing w:line="500" w:lineRule="exact"/>
        <w:ind w:firstLine="436" w:firstLineChars="156"/>
        <w:rPr>
          <w:rFonts w:ascii="仿宋" w:hAnsi="仿宋" w:eastAsia="仿宋" w:cs="仿宋"/>
          <w:sz w:val="28"/>
          <w:szCs w:val="28"/>
        </w:rPr>
      </w:pPr>
    </w:p>
    <w:p>
      <w:pPr>
        <w:pStyle w:val="9"/>
        <w:spacing w:line="500" w:lineRule="exact"/>
        <w:ind w:firstLine="436" w:firstLineChars="156"/>
        <w:rPr>
          <w:rFonts w:ascii="仿宋" w:hAnsi="仿宋" w:eastAsia="仿宋" w:cs="仿宋"/>
          <w:sz w:val="28"/>
          <w:szCs w:val="28"/>
        </w:rPr>
      </w:pPr>
    </w:p>
    <w:p>
      <w:pPr>
        <w:pStyle w:val="9"/>
        <w:spacing w:line="500" w:lineRule="exact"/>
        <w:ind w:firstLine="436" w:firstLineChars="156"/>
        <w:rPr>
          <w:rFonts w:ascii="仿宋" w:hAnsi="仿宋" w:eastAsia="仿宋" w:cs="仿宋"/>
          <w:sz w:val="28"/>
          <w:szCs w:val="28"/>
        </w:rPr>
      </w:pPr>
      <w:r>
        <w:rPr>
          <w:rFonts w:hint="eastAsia" w:ascii="仿宋" w:hAnsi="仿宋" w:eastAsia="仿宋" w:cs="仿宋"/>
          <w:sz w:val="28"/>
          <w:szCs w:val="28"/>
        </w:rPr>
        <w:t xml:space="preserve">    特此证明</w:t>
      </w:r>
    </w:p>
    <w:p>
      <w:pPr>
        <w:pStyle w:val="9"/>
        <w:spacing w:line="500" w:lineRule="exact"/>
        <w:ind w:firstLine="436" w:firstLineChars="156"/>
        <w:rPr>
          <w:rFonts w:ascii="仿宋" w:hAnsi="仿宋" w:eastAsia="仿宋" w:cs="仿宋"/>
          <w:sz w:val="28"/>
          <w:szCs w:val="28"/>
        </w:rPr>
      </w:pPr>
    </w:p>
    <w:p>
      <w:pPr>
        <w:pStyle w:val="9"/>
        <w:spacing w:line="500" w:lineRule="exact"/>
        <w:ind w:firstLine="436" w:firstLineChars="156"/>
        <w:rPr>
          <w:rFonts w:ascii="仿宋" w:hAnsi="仿宋" w:eastAsia="仿宋" w:cs="仿宋"/>
          <w:sz w:val="28"/>
          <w:szCs w:val="28"/>
        </w:rPr>
      </w:pPr>
    </w:p>
    <w:p>
      <w:pPr>
        <w:pStyle w:val="9"/>
        <w:spacing w:line="500" w:lineRule="exact"/>
        <w:ind w:firstLine="436" w:firstLineChars="156"/>
        <w:rPr>
          <w:rFonts w:ascii="仿宋" w:hAnsi="仿宋" w:eastAsia="仿宋" w:cs="仿宋"/>
          <w:sz w:val="28"/>
          <w:szCs w:val="28"/>
        </w:rPr>
      </w:pPr>
    </w:p>
    <w:p>
      <w:pPr>
        <w:pStyle w:val="9"/>
        <w:spacing w:line="500" w:lineRule="exact"/>
        <w:ind w:firstLine="436" w:firstLineChars="156"/>
        <w:rPr>
          <w:rFonts w:ascii="仿宋" w:hAnsi="仿宋" w:eastAsia="仿宋" w:cs="仿宋"/>
          <w:sz w:val="28"/>
          <w:szCs w:val="28"/>
        </w:rPr>
      </w:pPr>
    </w:p>
    <w:p>
      <w:pPr>
        <w:pStyle w:val="9"/>
        <w:spacing w:line="500" w:lineRule="exact"/>
        <w:ind w:firstLine="436" w:firstLineChars="156"/>
        <w:rPr>
          <w:rFonts w:ascii="仿宋" w:hAnsi="仿宋" w:eastAsia="仿宋" w:cs="仿宋"/>
          <w:sz w:val="28"/>
          <w:szCs w:val="28"/>
        </w:rPr>
      </w:pPr>
      <w:r>
        <w:rPr>
          <w:rFonts w:hint="eastAsia" w:ascii="仿宋" w:hAnsi="仿宋" w:eastAsia="仿宋" w:cs="仿宋"/>
          <w:sz w:val="28"/>
          <w:szCs w:val="28"/>
        </w:rPr>
        <w:t xml:space="preserve">          投标人（电子签章）：</w:t>
      </w:r>
    </w:p>
    <w:p>
      <w:pPr>
        <w:pStyle w:val="9"/>
        <w:spacing w:line="500" w:lineRule="exact"/>
        <w:ind w:firstLine="436" w:firstLineChars="156"/>
        <w:rPr>
          <w:rFonts w:ascii="仿宋" w:hAnsi="仿宋" w:eastAsia="仿宋" w:cs="仿宋"/>
          <w:sz w:val="28"/>
          <w:szCs w:val="28"/>
        </w:rPr>
      </w:pPr>
    </w:p>
    <w:p>
      <w:pPr>
        <w:pStyle w:val="9"/>
        <w:spacing w:line="500" w:lineRule="exact"/>
        <w:ind w:firstLine="1696" w:firstLineChars="606"/>
        <w:rPr>
          <w:rFonts w:ascii="仿宋" w:hAnsi="仿宋" w:eastAsia="仿宋" w:cs="仿宋"/>
          <w:sz w:val="28"/>
          <w:szCs w:val="28"/>
        </w:rPr>
      </w:pPr>
      <w:r>
        <w:rPr>
          <w:rFonts w:hint="eastAsia" w:ascii="仿宋" w:hAnsi="仿宋" w:eastAsia="仿宋" w:cs="仿宋"/>
          <w:sz w:val="28"/>
          <w:szCs w:val="28"/>
        </w:rPr>
        <w:t>法定代表人或其授权代理人（签名或盖章）</w:t>
      </w:r>
    </w:p>
    <w:p>
      <w:pPr>
        <w:pStyle w:val="9"/>
        <w:spacing w:line="500" w:lineRule="exact"/>
        <w:ind w:firstLine="436" w:firstLineChars="156"/>
        <w:jc w:val="center"/>
        <w:rPr>
          <w:rFonts w:ascii="仿宋" w:hAnsi="仿宋" w:eastAsia="仿宋" w:cs="仿宋"/>
          <w:sz w:val="28"/>
          <w:szCs w:val="28"/>
        </w:rPr>
      </w:pPr>
    </w:p>
    <w:p>
      <w:pPr>
        <w:pStyle w:val="9"/>
        <w:spacing w:line="500" w:lineRule="exact"/>
        <w:ind w:firstLine="436" w:firstLineChars="156"/>
        <w:rPr>
          <w:rFonts w:ascii="仿宋" w:hAnsi="仿宋" w:eastAsia="仿宋" w:cs="仿宋"/>
          <w:sz w:val="28"/>
          <w:szCs w:val="28"/>
        </w:rPr>
      </w:pPr>
      <w:r>
        <w:rPr>
          <w:rFonts w:hint="eastAsia" w:ascii="仿宋" w:hAnsi="仿宋" w:eastAsia="仿宋" w:cs="仿宋"/>
          <w:sz w:val="28"/>
          <w:szCs w:val="28"/>
        </w:rPr>
        <w:t xml:space="preserve">              日期：    年   月   日</w:t>
      </w:r>
    </w:p>
    <w:p>
      <w:pPr>
        <w:pStyle w:val="9"/>
        <w:spacing w:line="500" w:lineRule="exact"/>
        <w:ind w:firstLine="436" w:firstLineChars="156"/>
        <w:jc w:val="center"/>
        <w:rPr>
          <w:rFonts w:ascii="仿宋" w:hAnsi="仿宋" w:eastAsia="仿宋" w:cs="仿宋"/>
          <w:sz w:val="28"/>
          <w:szCs w:val="28"/>
        </w:rPr>
      </w:pPr>
    </w:p>
    <w:p>
      <w:pPr>
        <w:pStyle w:val="9"/>
        <w:spacing w:line="500" w:lineRule="exact"/>
        <w:ind w:firstLine="436" w:firstLineChars="156"/>
        <w:rPr>
          <w:rFonts w:ascii="仿宋" w:hAnsi="仿宋" w:eastAsia="仿宋" w:cs="仿宋"/>
          <w:sz w:val="28"/>
          <w:szCs w:val="28"/>
        </w:rPr>
      </w:pPr>
      <w:r>
        <w:rPr>
          <w:rFonts w:hint="eastAsia" w:ascii="仿宋" w:hAnsi="仿宋" w:eastAsia="仿宋" w:cs="仿宋"/>
          <w:sz w:val="28"/>
          <w:szCs w:val="28"/>
        </w:rPr>
        <w:t>————————————————————-----------</w:t>
      </w:r>
    </w:p>
    <w:p>
      <w:pPr>
        <w:pStyle w:val="9"/>
        <w:spacing w:line="500" w:lineRule="exact"/>
        <w:ind w:firstLine="0"/>
        <w:rPr>
          <w:rFonts w:ascii="仿宋" w:hAnsi="仿宋" w:eastAsia="仿宋" w:cs="仿宋"/>
          <w:sz w:val="28"/>
          <w:szCs w:val="28"/>
        </w:rPr>
      </w:pPr>
    </w:p>
    <w:p>
      <w:pPr>
        <w:pStyle w:val="9"/>
        <w:spacing w:line="500" w:lineRule="exact"/>
        <w:ind w:firstLine="436" w:firstLineChars="156"/>
        <w:jc w:val="center"/>
        <w:rPr>
          <w:rFonts w:ascii="仿宋" w:hAnsi="仿宋" w:eastAsia="仿宋" w:cs="仿宋"/>
          <w:sz w:val="28"/>
          <w:szCs w:val="28"/>
        </w:rPr>
      </w:pPr>
      <w:r>
        <w:rPr>
          <w:rFonts w:hint="eastAsia" w:ascii="仿宋" w:hAnsi="仿宋" w:eastAsia="仿宋" w:cs="仿宋"/>
          <w:sz w:val="28"/>
          <w:szCs w:val="28"/>
        </w:rPr>
        <w:t>有效身份证明复印件粘贴处</w:t>
      </w:r>
    </w:p>
    <w:p>
      <w:pPr>
        <w:pStyle w:val="9"/>
        <w:spacing w:line="500" w:lineRule="exact"/>
        <w:ind w:firstLine="436" w:firstLineChars="156"/>
        <w:jc w:val="center"/>
        <w:rPr>
          <w:rFonts w:ascii="仿宋" w:hAnsi="仿宋" w:eastAsia="仿宋" w:cs="仿宋"/>
          <w:sz w:val="28"/>
          <w:szCs w:val="28"/>
        </w:rPr>
      </w:pPr>
    </w:p>
    <w:p>
      <w:pPr>
        <w:pStyle w:val="9"/>
        <w:spacing w:line="500" w:lineRule="exact"/>
        <w:ind w:firstLine="436" w:firstLineChars="156"/>
        <w:jc w:val="center"/>
        <w:rPr>
          <w:rFonts w:ascii="仿宋" w:hAnsi="仿宋" w:eastAsia="仿宋" w:cs="仿宋"/>
          <w:sz w:val="28"/>
          <w:szCs w:val="28"/>
        </w:rPr>
      </w:pPr>
    </w:p>
    <w:p>
      <w:pPr>
        <w:pStyle w:val="9"/>
        <w:spacing w:line="500" w:lineRule="exact"/>
        <w:ind w:firstLine="513" w:firstLineChars="156"/>
        <w:jc w:val="center"/>
        <w:rPr>
          <w:rFonts w:ascii="仿宋" w:hAnsi="仿宋" w:eastAsia="仿宋" w:cs="仿宋"/>
          <w:b/>
          <w:bCs/>
          <w:spacing w:val="24"/>
          <w:sz w:val="28"/>
          <w:szCs w:val="28"/>
        </w:rPr>
      </w:pPr>
    </w:p>
    <w:p>
      <w:pPr>
        <w:pStyle w:val="9"/>
        <w:spacing w:line="500" w:lineRule="exact"/>
        <w:ind w:firstLine="513" w:firstLineChars="156"/>
        <w:jc w:val="center"/>
        <w:rPr>
          <w:rFonts w:ascii="仿宋" w:hAnsi="仿宋" w:eastAsia="仿宋" w:cs="仿宋"/>
          <w:b/>
          <w:bCs/>
          <w:spacing w:val="24"/>
          <w:sz w:val="28"/>
          <w:szCs w:val="28"/>
        </w:rPr>
      </w:pPr>
    </w:p>
    <w:p>
      <w:pPr>
        <w:snapToGrid w:val="0"/>
        <w:spacing w:before="120" w:beforeLines="50" w:after="50" w:line="460" w:lineRule="exact"/>
        <w:rPr>
          <w:rFonts w:ascii="仿宋" w:hAnsi="仿宋" w:eastAsia="仿宋" w:cs="仿宋"/>
          <w:sz w:val="28"/>
          <w:szCs w:val="28"/>
        </w:rPr>
      </w:pPr>
    </w:p>
    <w:p>
      <w:pPr>
        <w:snapToGrid w:val="0"/>
        <w:spacing w:before="120" w:beforeLines="50" w:after="50" w:line="460" w:lineRule="exact"/>
        <w:rPr>
          <w:rFonts w:ascii="仿宋" w:hAnsi="仿宋" w:eastAsia="仿宋" w:cs="仿宋"/>
          <w:b/>
          <w:sz w:val="28"/>
          <w:szCs w:val="28"/>
        </w:rPr>
      </w:pPr>
      <w:r>
        <w:rPr>
          <w:rFonts w:hint="eastAsia" w:ascii="仿宋" w:hAnsi="仿宋" w:eastAsia="仿宋" w:cs="仿宋"/>
          <w:b/>
          <w:sz w:val="28"/>
          <w:szCs w:val="28"/>
        </w:rPr>
        <w:t>附件3：</w:t>
      </w:r>
    </w:p>
    <w:p>
      <w:pPr>
        <w:snapToGrid w:val="0"/>
        <w:spacing w:before="50" w:after="50"/>
        <w:jc w:val="center"/>
        <w:rPr>
          <w:rFonts w:ascii="仿宋" w:hAnsi="仿宋" w:eastAsia="仿宋" w:cs="仿宋"/>
          <w:b/>
          <w:sz w:val="28"/>
          <w:szCs w:val="28"/>
        </w:rPr>
      </w:pPr>
      <w:r>
        <w:rPr>
          <w:rFonts w:hint="eastAsia" w:ascii="仿宋" w:hAnsi="仿宋" w:eastAsia="仿宋" w:cs="仿宋"/>
          <w:b/>
          <w:sz w:val="28"/>
          <w:szCs w:val="28"/>
        </w:rPr>
        <w:t>法定代表人授权委托书</w:t>
      </w:r>
    </w:p>
    <w:p>
      <w:pPr>
        <w:snapToGrid w:val="0"/>
        <w:spacing w:before="120" w:beforeLines="50" w:after="50"/>
        <w:jc w:val="center"/>
        <w:rPr>
          <w:rFonts w:ascii="仿宋" w:hAnsi="仿宋" w:eastAsia="仿宋" w:cs="仿宋"/>
          <w:b/>
          <w:sz w:val="28"/>
          <w:szCs w:val="28"/>
        </w:rPr>
      </w:pPr>
    </w:p>
    <w:p>
      <w:pPr>
        <w:snapToGrid w:val="0"/>
        <w:spacing w:line="360" w:lineRule="auto"/>
        <w:rPr>
          <w:rFonts w:ascii="仿宋" w:hAnsi="仿宋" w:eastAsia="仿宋" w:cs="仿宋"/>
          <w:b/>
          <w:bCs/>
          <w:sz w:val="28"/>
          <w:szCs w:val="28"/>
        </w:rPr>
      </w:pPr>
      <w:r>
        <w:rPr>
          <w:rFonts w:hint="eastAsia" w:ascii="仿宋" w:hAnsi="仿宋" w:eastAsia="仿宋" w:cs="仿宋"/>
          <w:bCs/>
          <w:sz w:val="28"/>
          <w:szCs w:val="28"/>
        </w:rPr>
        <w:t>湖州市政府采购中心：</w:t>
      </w:r>
    </w:p>
    <w:p>
      <w:pPr>
        <w:snapToGrid w:val="0"/>
        <w:spacing w:line="360" w:lineRule="auto"/>
        <w:ind w:firstLine="840" w:firstLineChars="300"/>
        <w:rPr>
          <w:rFonts w:ascii="仿宋" w:hAnsi="仿宋" w:eastAsia="仿宋" w:cs="仿宋"/>
          <w:sz w:val="28"/>
          <w:szCs w:val="28"/>
          <w:u w:val="single"/>
        </w:rPr>
      </w:pPr>
      <w:r>
        <w:rPr>
          <w:rFonts w:hint="eastAsia" w:ascii="仿宋" w:hAnsi="仿宋" w:eastAsia="仿宋" w:cs="仿宋"/>
          <w:sz w:val="28"/>
          <w:szCs w:val="28"/>
        </w:rPr>
        <w:t>我</w:t>
      </w:r>
      <w:r>
        <w:rPr>
          <w:rFonts w:hint="eastAsia" w:ascii="仿宋" w:hAnsi="仿宋" w:eastAsia="仿宋" w:cs="仿宋"/>
          <w:sz w:val="28"/>
          <w:szCs w:val="28"/>
          <w:u w:val="single"/>
        </w:rPr>
        <w:t xml:space="preserve">    </w:t>
      </w:r>
      <w:r>
        <w:rPr>
          <w:rFonts w:hint="eastAsia" w:ascii="仿宋" w:hAnsi="仿宋" w:eastAsia="仿宋" w:cs="仿宋"/>
          <w:sz w:val="28"/>
          <w:szCs w:val="28"/>
        </w:rPr>
        <w:t>（姓名）系</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（投标人名称）的法定代表人，现授权委托本单位在职职工 </w:t>
      </w:r>
      <w:r>
        <w:rPr>
          <w:rFonts w:hint="eastAsia" w:ascii="仿宋" w:hAnsi="仿宋" w:eastAsia="仿宋" w:cs="仿宋"/>
          <w:b/>
          <w:sz w:val="28"/>
          <w:szCs w:val="28"/>
        </w:rPr>
        <w:t xml:space="preserve">(提供个人在本单位缴纳社保的证明) </w:t>
      </w:r>
      <w:r>
        <w:rPr>
          <w:rFonts w:hint="eastAsia" w:ascii="仿宋" w:hAnsi="仿宋" w:eastAsia="仿宋" w:cs="仿宋"/>
          <w:b/>
          <w:sz w:val="28"/>
          <w:szCs w:val="28"/>
          <w:u w:val="single"/>
        </w:rPr>
        <w:t xml:space="preserve">   </w:t>
      </w:r>
      <w:r>
        <w:rPr>
          <w:rFonts w:hint="eastAsia" w:ascii="仿宋" w:hAnsi="仿宋" w:eastAsia="仿宋" w:cs="仿宋"/>
          <w:sz w:val="28"/>
          <w:szCs w:val="28"/>
          <w:u w:val="single"/>
        </w:rPr>
        <w:t xml:space="preserve"> </w:t>
      </w:r>
    </w:p>
    <w:p>
      <w:pPr>
        <w:snapToGrid w:val="0"/>
        <w:spacing w:line="360" w:lineRule="auto"/>
        <w:rPr>
          <w:rFonts w:ascii="仿宋" w:hAnsi="仿宋" w:eastAsia="仿宋" w:cs="仿宋"/>
          <w:sz w:val="28"/>
          <w:szCs w:val="28"/>
          <w:u w:val="single"/>
        </w:rPr>
      </w:pPr>
      <w:r>
        <w:rPr>
          <w:rFonts w:hint="eastAsia" w:ascii="仿宋" w:hAnsi="仿宋" w:eastAsia="仿宋" w:cs="仿宋"/>
          <w:sz w:val="28"/>
          <w:szCs w:val="28"/>
          <w:u w:val="single"/>
        </w:rPr>
        <w:t xml:space="preserve">         </w:t>
      </w:r>
      <w:r>
        <w:rPr>
          <w:rFonts w:hint="eastAsia" w:ascii="仿宋" w:hAnsi="仿宋" w:eastAsia="仿宋" w:cs="仿宋"/>
          <w:sz w:val="28"/>
          <w:szCs w:val="28"/>
        </w:rPr>
        <w:t>（姓名）为授权代表，以我方的名义参加项目编号：</w:t>
      </w:r>
      <w:r>
        <w:rPr>
          <w:rFonts w:hint="eastAsia" w:ascii="仿宋" w:hAnsi="仿宋" w:eastAsia="仿宋" w:cs="仿宋"/>
          <w:sz w:val="28"/>
          <w:szCs w:val="28"/>
          <w:u w:val="single"/>
        </w:rPr>
        <w:t xml:space="preserve">           </w:t>
      </w:r>
    </w:p>
    <w:p>
      <w:pPr>
        <w:snapToGrid w:val="0"/>
        <w:spacing w:line="360" w:lineRule="auto"/>
        <w:rPr>
          <w:rFonts w:ascii="仿宋" w:hAnsi="仿宋" w:eastAsia="仿宋" w:cs="仿宋"/>
          <w:sz w:val="28"/>
          <w:szCs w:val="28"/>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w:t>
      </w:r>
      <w:r>
        <w:rPr>
          <w:rFonts w:hint="eastAsia" w:ascii="仿宋" w:hAnsi="仿宋" w:eastAsia="仿宋" w:cs="仿宋"/>
          <w:sz w:val="28"/>
          <w:szCs w:val="28"/>
        </w:rPr>
        <w:t>项目的投标活动，并代表我方全权办理针对上述项目的投标、开标、评标、签约等具体事务和签署相关文件。我方对授权代表的签名事项负全部责任。</w:t>
      </w:r>
    </w:p>
    <w:p>
      <w:pPr>
        <w:snapToGrid w:val="0"/>
        <w:spacing w:line="360" w:lineRule="auto"/>
        <w:ind w:firstLine="480"/>
        <w:rPr>
          <w:rFonts w:ascii="仿宋" w:hAnsi="仿宋" w:eastAsia="仿宋" w:cs="仿宋"/>
          <w:sz w:val="28"/>
          <w:szCs w:val="28"/>
        </w:rPr>
      </w:pPr>
      <w:r>
        <w:rPr>
          <w:rFonts w:hint="eastAsia" w:ascii="仿宋" w:hAnsi="仿宋" w:eastAsia="仿宋" w:cs="仿宋"/>
          <w:sz w:val="28"/>
          <w:szCs w:val="28"/>
        </w:rPr>
        <w:t>在撤销授权的书面通知以前，本授权书一直有效。授权代表在授权书有效期内签署的所有文件不因授权的撤销而失效。</w:t>
      </w:r>
    </w:p>
    <w:p>
      <w:pPr>
        <w:snapToGrid w:val="0"/>
        <w:spacing w:line="360" w:lineRule="auto"/>
        <w:ind w:firstLine="480"/>
        <w:rPr>
          <w:rFonts w:ascii="仿宋" w:hAnsi="仿宋" w:eastAsia="仿宋" w:cs="仿宋"/>
          <w:sz w:val="28"/>
          <w:szCs w:val="28"/>
        </w:rPr>
      </w:pPr>
      <w:r>
        <w:rPr>
          <w:rFonts w:hint="eastAsia" w:ascii="仿宋" w:hAnsi="仿宋" w:eastAsia="仿宋" w:cs="仿宋"/>
          <w:sz w:val="28"/>
          <w:szCs w:val="28"/>
        </w:rPr>
        <w:t>授权代表无转委托权，特此委托。</w:t>
      </w:r>
    </w:p>
    <w:p>
      <w:pPr>
        <w:snapToGrid w:val="0"/>
        <w:spacing w:line="360" w:lineRule="auto"/>
        <w:ind w:firstLine="480"/>
        <w:rPr>
          <w:rFonts w:ascii="仿宋" w:hAnsi="仿宋" w:eastAsia="仿宋" w:cs="仿宋"/>
          <w:sz w:val="28"/>
          <w:szCs w:val="28"/>
        </w:rPr>
      </w:pPr>
    </w:p>
    <w:p>
      <w:pPr>
        <w:snapToGrid w:val="0"/>
        <w:spacing w:before="120" w:beforeLines="50" w:after="50" w:line="460" w:lineRule="exact"/>
        <w:rPr>
          <w:rFonts w:ascii="仿宋" w:hAnsi="仿宋" w:eastAsia="仿宋" w:cs="仿宋"/>
          <w:sz w:val="28"/>
          <w:szCs w:val="28"/>
        </w:rPr>
      </w:pPr>
      <w:r>
        <w:rPr>
          <w:rFonts w:hint="eastAsia" w:ascii="仿宋" w:hAnsi="仿宋" w:eastAsia="仿宋" w:cs="仿宋"/>
          <w:sz w:val="28"/>
          <w:szCs w:val="28"/>
        </w:rPr>
        <w:t>授权代表签名：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职务：</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napToGrid w:val="0"/>
        <w:spacing w:before="120" w:beforeLines="50" w:after="50" w:line="460" w:lineRule="exact"/>
        <w:rPr>
          <w:rFonts w:ascii="仿宋" w:hAnsi="仿宋" w:eastAsia="仿宋" w:cs="仿宋"/>
          <w:sz w:val="28"/>
          <w:szCs w:val="28"/>
        </w:rPr>
      </w:pPr>
      <w:r>
        <w:rPr>
          <w:rFonts w:hint="eastAsia" w:ascii="仿宋" w:hAnsi="仿宋" w:eastAsia="仿宋" w:cs="仿宋"/>
          <w:sz w:val="28"/>
          <w:szCs w:val="28"/>
        </w:rPr>
        <w:t>联系手机：</w:t>
      </w:r>
      <w:r>
        <w:rPr>
          <w:rFonts w:hint="eastAsia" w:ascii="仿宋" w:hAnsi="仿宋" w:eastAsia="仿宋" w:cs="仿宋"/>
          <w:sz w:val="28"/>
          <w:szCs w:val="28"/>
          <w:u w:val="single"/>
        </w:rPr>
        <w:t xml:space="preserve">              </w:t>
      </w:r>
      <w:r>
        <w:rPr>
          <w:rFonts w:hint="eastAsia" w:ascii="仿宋" w:hAnsi="仿宋" w:eastAsia="仿宋" w:cs="仿宋"/>
          <w:sz w:val="28"/>
          <w:szCs w:val="28"/>
        </w:rPr>
        <w:t>（开评标期间务必保持通畅，用以询标联系）</w:t>
      </w:r>
    </w:p>
    <w:p>
      <w:pPr>
        <w:snapToGrid w:val="0"/>
        <w:spacing w:before="120" w:beforeLines="50" w:after="50" w:line="460" w:lineRule="exact"/>
        <w:rPr>
          <w:rFonts w:ascii="仿宋" w:hAnsi="仿宋" w:eastAsia="仿宋" w:cs="仿宋"/>
          <w:sz w:val="28"/>
          <w:szCs w:val="28"/>
        </w:rPr>
      </w:pPr>
      <w:r>
        <w:rPr>
          <w:rFonts w:hint="eastAsia" w:ascii="仿宋" w:hAnsi="仿宋" w:eastAsia="仿宋" w:cs="仿宋"/>
          <w:sz w:val="28"/>
          <w:szCs w:val="28"/>
        </w:rPr>
        <w:t>授权代表身份证号码：</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napToGrid w:val="0"/>
        <w:spacing w:before="120" w:beforeLines="50" w:after="50" w:line="460" w:lineRule="exact"/>
        <w:rPr>
          <w:rFonts w:ascii="仿宋" w:hAnsi="仿宋" w:eastAsia="仿宋" w:cs="仿宋"/>
          <w:sz w:val="28"/>
          <w:szCs w:val="28"/>
        </w:rPr>
      </w:pPr>
      <w:r>
        <w:rPr>
          <w:rFonts w:hint="eastAsia" w:ascii="仿宋" w:hAnsi="仿宋" w:eastAsia="仿宋" w:cs="仿宋"/>
          <w:sz w:val="28"/>
          <w:szCs w:val="28"/>
        </w:rPr>
        <w:t>法定代表人签名（或签名章）：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职务：</w:t>
      </w:r>
      <w:r>
        <w:rPr>
          <w:rFonts w:hint="eastAsia" w:ascii="仿宋" w:hAnsi="仿宋" w:eastAsia="仿宋" w:cs="仿宋"/>
          <w:sz w:val="28"/>
          <w:szCs w:val="28"/>
          <w:u w:val="single"/>
        </w:rPr>
        <w:t xml:space="preserve">           </w:t>
      </w:r>
    </w:p>
    <w:p>
      <w:pPr>
        <w:snapToGrid w:val="0"/>
        <w:spacing w:before="120" w:beforeLines="50" w:after="50" w:line="460" w:lineRule="exact"/>
        <w:rPr>
          <w:rFonts w:ascii="仿宋" w:hAnsi="仿宋" w:eastAsia="仿宋" w:cs="仿宋"/>
          <w:sz w:val="28"/>
          <w:szCs w:val="28"/>
        </w:rPr>
      </w:pPr>
    </w:p>
    <w:p>
      <w:pPr>
        <w:snapToGrid w:val="0"/>
        <w:spacing w:before="120" w:beforeLines="50" w:after="50" w:line="460" w:lineRule="exact"/>
        <w:rPr>
          <w:rFonts w:ascii="仿宋" w:hAnsi="仿宋" w:eastAsia="仿宋" w:cs="仿宋"/>
          <w:sz w:val="28"/>
          <w:szCs w:val="28"/>
          <w:u w:val="single"/>
        </w:rPr>
      </w:pPr>
      <w:r>
        <w:rPr>
          <w:rFonts w:hint="eastAsia" w:ascii="仿宋" w:hAnsi="仿宋" w:eastAsia="仿宋" w:cs="仿宋"/>
          <w:sz w:val="28"/>
          <w:szCs w:val="28"/>
        </w:rPr>
        <w:t>投标人全称（电子签章）：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日  期：</w:t>
      </w:r>
      <w:r>
        <w:rPr>
          <w:rFonts w:hint="eastAsia" w:ascii="仿宋" w:hAnsi="仿宋" w:eastAsia="仿宋" w:cs="仿宋"/>
          <w:sz w:val="28"/>
          <w:szCs w:val="28"/>
          <w:u w:val="single"/>
        </w:rPr>
        <w:t xml:space="preserve">     </w:t>
      </w:r>
    </w:p>
    <w:p>
      <w:pPr>
        <w:pStyle w:val="9"/>
        <w:spacing w:line="500" w:lineRule="exact"/>
        <w:ind w:firstLine="436" w:firstLineChars="156"/>
        <w:rPr>
          <w:rFonts w:ascii="仿宋" w:hAnsi="仿宋" w:eastAsia="仿宋" w:cs="仿宋"/>
          <w:sz w:val="28"/>
          <w:szCs w:val="28"/>
        </w:rPr>
      </w:pPr>
    </w:p>
    <w:p>
      <w:pPr>
        <w:pStyle w:val="9"/>
        <w:spacing w:line="500" w:lineRule="exact"/>
        <w:ind w:firstLine="436" w:firstLineChars="156"/>
        <w:rPr>
          <w:rFonts w:ascii="仿宋" w:hAnsi="仿宋" w:eastAsia="仿宋" w:cs="仿宋"/>
          <w:sz w:val="28"/>
          <w:szCs w:val="28"/>
        </w:rPr>
      </w:pPr>
      <w:r>
        <w:rPr>
          <w:rFonts w:hint="eastAsia" w:ascii="仿宋" w:hAnsi="仿宋" w:eastAsia="仿宋" w:cs="仿宋"/>
          <w:sz w:val="28"/>
          <w:szCs w:val="28"/>
        </w:rPr>
        <w:t>————————————————————-----------</w:t>
      </w:r>
    </w:p>
    <w:p>
      <w:pPr>
        <w:snapToGrid w:val="0"/>
        <w:spacing w:before="120" w:beforeLines="50" w:after="50" w:line="460" w:lineRule="exact"/>
        <w:jc w:val="center"/>
        <w:rPr>
          <w:rFonts w:ascii="仿宋" w:hAnsi="仿宋" w:eastAsia="仿宋" w:cs="仿宋"/>
          <w:sz w:val="28"/>
          <w:szCs w:val="28"/>
          <w:u w:val="single"/>
        </w:rPr>
      </w:pPr>
      <w:r>
        <w:rPr>
          <w:rFonts w:hint="eastAsia" w:ascii="仿宋" w:hAnsi="仿宋" w:eastAsia="仿宋" w:cs="仿宋"/>
          <w:sz w:val="28"/>
          <w:szCs w:val="28"/>
        </w:rPr>
        <w:t>有效身份证明复印件粘贴处</w:t>
      </w:r>
    </w:p>
    <w:p>
      <w:pPr>
        <w:snapToGrid w:val="0"/>
        <w:spacing w:before="120" w:beforeLines="50" w:after="50" w:line="460" w:lineRule="exact"/>
        <w:rPr>
          <w:rFonts w:ascii="仿宋" w:hAnsi="仿宋" w:eastAsia="仿宋" w:cs="仿宋"/>
          <w:sz w:val="28"/>
          <w:szCs w:val="28"/>
          <w:u w:val="single"/>
        </w:rPr>
      </w:pPr>
    </w:p>
    <w:p>
      <w:pPr>
        <w:snapToGrid w:val="0"/>
        <w:spacing w:before="120" w:beforeLines="50" w:after="50" w:line="460" w:lineRule="exact"/>
        <w:rPr>
          <w:rFonts w:ascii="仿宋" w:hAnsi="仿宋" w:eastAsia="仿宋" w:cs="仿宋"/>
          <w:sz w:val="28"/>
          <w:szCs w:val="28"/>
          <w:u w:val="single"/>
        </w:rPr>
      </w:pPr>
    </w:p>
    <w:p>
      <w:pPr>
        <w:snapToGrid w:val="0"/>
        <w:spacing w:before="50" w:after="50"/>
        <w:rPr>
          <w:rFonts w:ascii="仿宋" w:hAnsi="仿宋" w:eastAsia="仿宋" w:cs="仿宋"/>
          <w:b/>
          <w:sz w:val="28"/>
          <w:szCs w:val="28"/>
        </w:rPr>
      </w:pPr>
      <w:r>
        <w:rPr>
          <w:rFonts w:hint="eastAsia" w:ascii="仿宋" w:hAnsi="仿宋" w:eastAsia="仿宋" w:cs="仿宋"/>
          <w:b/>
          <w:sz w:val="28"/>
          <w:szCs w:val="28"/>
        </w:rPr>
        <w:t>附件4：</w:t>
      </w:r>
    </w:p>
    <w:p>
      <w:pPr>
        <w:snapToGrid w:val="0"/>
        <w:spacing w:before="50" w:after="50"/>
        <w:jc w:val="center"/>
        <w:rPr>
          <w:rFonts w:ascii="仿宋" w:hAnsi="仿宋" w:eastAsia="仿宋" w:cs="仿宋"/>
          <w:b/>
          <w:sz w:val="28"/>
          <w:szCs w:val="28"/>
        </w:rPr>
      </w:pPr>
      <w:r>
        <w:rPr>
          <w:rFonts w:hint="eastAsia" w:ascii="仿宋" w:hAnsi="仿宋" w:eastAsia="仿宋" w:cs="仿宋"/>
          <w:b/>
          <w:sz w:val="28"/>
          <w:szCs w:val="28"/>
        </w:rPr>
        <w:t>评分索引表</w:t>
      </w:r>
    </w:p>
    <w:p>
      <w:pPr>
        <w:snapToGrid w:val="0"/>
        <w:spacing w:before="50"/>
        <w:jc w:val="center"/>
        <w:rPr>
          <w:rFonts w:ascii="仿宋" w:hAnsi="仿宋" w:eastAsia="仿宋" w:cs="仿宋"/>
          <w:b/>
          <w:sz w:val="28"/>
          <w:szCs w:val="28"/>
        </w:rPr>
      </w:pPr>
    </w:p>
    <w:p>
      <w:pPr>
        <w:pStyle w:val="10"/>
        <w:snapToGrid w:val="0"/>
        <w:rPr>
          <w:rFonts w:ascii="仿宋" w:hAnsi="仿宋" w:eastAsia="仿宋" w:cs="仿宋"/>
          <w:sz w:val="28"/>
          <w:szCs w:val="28"/>
          <w:u w:val="single"/>
        </w:rPr>
      </w:pPr>
      <w:r>
        <w:rPr>
          <w:rFonts w:hint="eastAsia" w:ascii="仿宋" w:hAnsi="仿宋" w:eastAsia="仿宋" w:cs="仿宋"/>
          <w:sz w:val="28"/>
          <w:szCs w:val="28"/>
        </w:rPr>
        <w:t>投标人全称（电子签章）：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标项：</w:t>
      </w:r>
      <w:r>
        <w:rPr>
          <w:rFonts w:hint="eastAsia" w:ascii="仿宋" w:hAnsi="仿宋" w:eastAsia="仿宋" w:cs="仿宋"/>
          <w:sz w:val="28"/>
          <w:szCs w:val="28"/>
          <w:u w:val="single"/>
        </w:rPr>
        <w:t xml:space="preserve">       </w:t>
      </w:r>
    </w:p>
    <w:tbl>
      <w:tblPr>
        <w:tblStyle w:val="31"/>
        <w:tblW w:w="875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7"/>
        <w:gridCol w:w="2977"/>
        <w:gridCol w:w="1275"/>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22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sz w:val="28"/>
                <w:szCs w:val="28"/>
              </w:rPr>
            </w:pPr>
            <w:r>
              <w:rPr>
                <w:rFonts w:hint="eastAsia" w:ascii="仿宋" w:hAnsi="仿宋" w:eastAsia="仿宋" w:cs="仿宋"/>
                <w:sz w:val="28"/>
                <w:szCs w:val="28"/>
              </w:rPr>
              <w:t>评分项目</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sz w:val="28"/>
                <w:szCs w:val="28"/>
              </w:rPr>
            </w:pPr>
            <w:r>
              <w:rPr>
                <w:rFonts w:hint="eastAsia" w:ascii="仿宋" w:hAnsi="仿宋" w:eastAsia="仿宋" w:cs="仿宋"/>
                <w:sz w:val="28"/>
                <w:szCs w:val="28"/>
              </w:rPr>
              <w:t>投标文件对应资料</w:t>
            </w:r>
          </w:p>
          <w:p>
            <w:pPr>
              <w:snapToGrid w:val="0"/>
              <w:spacing w:before="120" w:beforeLines="50"/>
              <w:jc w:val="center"/>
              <w:rPr>
                <w:rFonts w:ascii="仿宋" w:hAnsi="仿宋" w:eastAsia="仿宋" w:cs="仿宋"/>
                <w:sz w:val="28"/>
                <w:szCs w:val="28"/>
              </w:rPr>
            </w:pPr>
            <w:r>
              <w:rPr>
                <w:rFonts w:hint="eastAsia" w:ascii="仿宋" w:hAnsi="仿宋" w:eastAsia="仿宋" w:cs="仿宋"/>
                <w:b/>
                <w:sz w:val="28"/>
                <w:szCs w:val="28"/>
              </w:rPr>
              <w:t>（请详细列明评分项中各小项）</w:t>
            </w: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ascii="仿宋" w:hAnsi="仿宋" w:eastAsia="仿宋" w:cs="仿宋"/>
                <w:sz w:val="28"/>
                <w:szCs w:val="28"/>
              </w:rPr>
            </w:pPr>
            <w:r>
              <w:rPr>
                <w:rFonts w:hint="eastAsia" w:ascii="仿宋" w:hAnsi="仿宋" w:eastAsia="仿宋" w:cs="仿宋"/>
                <w:sz w:val="28"/>
                <w:szCs w:val="28"/>
              </w:rPr>
              <w:t>自评分</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s="仿宋"/>
                <w:sz w:val="28"/>
                <w:szCs w:val="28"/>
              </w:rPr>
            </w:pPr>
            <w:r>
              <w:rPr>
                <w:rFonts w:hint="eastAsia" w:ascii="仿宋" w:hAnsi="仿宋" w:eastAsia="仿宋" w:cs="仿宋"/>
                <w:sz w:val="28"/>
                <w:szCs w:val="28"/>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s="仿宋"/>
                <w:sz w:val="28"/>
                <w:szCs w:val="28"/>
              </w:rPr>
            </w:pPr>
            <w:r>
              <w:rPr>
                <w:rFonts w:hint="eastAsia" w:ascii="仿宋" w:hAnsi="仿宋" w:eastAsia="仿宋" w:cs="仿宋"/>
                <w:sz w:val="28"/>
                <w:szCs w:val="28"/>
              </w:rPr>
              <w:t>对应第五章评分办法及评分标准（报价除外）</w:t>
            </w: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s="仿宋"/>
                <w:sz w:val="28"/>
                <w:szCs w:val="28"/>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s="仿宋"/>
                <w:sz w:val="28"/>
                <w:szCs w:val="28"/>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s="仿宋"/>
                <w:sz w:val="28"/>
                <w:szCs w:val="28"/>
              </w:rPr>
            </w:pPr>
            <w:r>
              <w:rPr>
                <w:rFonts w:hint="eastAsia" w:ascii="仿宋" w:hAnsi="仿宋" w:eastAsia="仿宋" w:cs="仿宋"/>
                <w:sz w:val="28"/>
                <w:szCs w:val="28"/>
              </w:rPr>
              <w:t>……</w:t>
            </w: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s="仿宋"/>
                <w:sz w:val="28"/>
                <w:szCs w:val="28"/>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s="仿宋"/>
                <w:sz w:val="28"/>
                <w:szCs w:val="28"/>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s="仿宋"/>
                <w:sz w:val="28"/>
                <w:szCs w:val="28"/>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s="仿宋"/>
                <w:sz w:val="28"/>
                <w:szCs w:val="28"/>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s="仿宋"/>
                <w:sz w:val="28"/>
                <w:szCs w:val="28"/>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s="仿宋"/>
                <w:sz w:val="28"/>
                <w:szCs w:val="28"/>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s="仿宋"/>
                <w:sz w:val="28"/>
                <w:szCs w:val="28"/>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s="仿宋"/>
                <w:sz w:val="28"/>
                <w:szCs w:val="28"/>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s="仿宋"/>
                <w:sz w:val="28"/>
                <w:szCs w:val="28"/>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s="仿宋"/>
                <w:sz w:val="28"/>
                <w:szCs w:val="28"/>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s="仿宋"/>
                <w:sz w:val="28"/>
                <w:szCs w:val="28"/>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s="仿宋"/>
                <w:sz w:val="28"/>
                <w:szCs w:val="28"/>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s="仿宋"/>
                <w:sz w:val="28"/>
                <w:szCs w:val="28"/>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s="仿宋"/>
                <w:sz w:val="28"/>
                <w:szCs w:val="28"/>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s="仿宋"/>
                <w:sz w:val="28"/>
                <w:szCs w:val="28"/>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s="仿宋"/>
                <w:sz w:val="28"/>
                <w:szCs w:val="28"/>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s="仿宋"/>
                <w:sz w:val="28"/>
                <w:szCs w:val="28"/>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s="仿宋"/>
                <w:sz w:val="28"/>
                <w:szCs w:val="28"/>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s="仿宋"/>
                <w:sz w:val="28"/>
                <w:szCs w:val="28"/>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s="仿宋"/>
                <w:sz w:val="28"/>
                <w:szCs w:val="28"/>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s="仿宋"/>
                <w:sz w:val="28"/>
                <w:szCs w:val="28"/>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s="仿宋"/>
                <w:sz w:val="28"/>
                <w:szCs w:val="28"/>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s="仿宋"/>
                <w:sz w:val="28"/>
                <w:szCs w:val="28"/>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s="仿宋"/>
                <w:sz w:val="28"/>
                <w:szCs w:val="28"/>
              </w:rPr>
            </w:pPr>
          </w:p>
        </w:tc>
      </w:tr>
    </w:tbl>
    <w:p>
      <w:pPr>
        <w:snapToGrid w:val="0"/>
        <w:spacing w:before="120" w:beforeLines="50"/>
        <w:jc w:val="left"/>
        <w:rPr>
          <w:rFonts w:ascii="仿宋" w:hAnsi="仿宋" w:eastAsia="仿宋" w:cs="仿宋"/>
          <w:sz w:val="28"/>
          <w:szCs w:val="28"/>
          <w:u w:val="single"/>
        </w:rPr>
      </w:pP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w:t>
      </w:r>
    </w:p>
    <w:p>
      <w:pPr>
        <w:snapToGrid w:val="0"/>
        <w:spacing w:before="50" w:after="120" w:afterLines="50"/>
        <w:jc w:val="left"/>
        <w:rPr>
          <w:rFonts w:ascii="仿宋" w:hAnsi="仿宋" w:eastAsia="仿宋" w:cs="仿宋"/>
          <w:sz w:val="28"/>
          <w:szCs w:val="28"/>
        </w:rPr>
      </w:pPr>
    </w:p>
    <w:p>
      <w:pPr>
        <w:snapToGrid w:val="0"/>
        <w:spacing w:before="50" w:after="120" w:afterLines="50"/>
        <w:jc w:val="left"/>
        <w:rPr>
          <w:rFonts w:ascii="仿宋" w:hAnsi="仿宋" w:eastAsia="仿宋" w:cs="仿宋"/>
          <w:sz w:val="28"/>
          <w:szCs w:val="28"/>
        </w:rPr>
      </w:pPr>
    </w:p>
    <w:p>
      <w:pPr>
        <w:snapToGrid w:val="0"/>
        <w:spacing w:before="120" w:beforeLines="50" w:after="50" w:line="460" w:lineRule="exact"/>
        <w:rPr>
          <w:rFonts w:ascii="仿宋" w:hAnsi="仿宋" w:eastAsia="仿宋" w:cs="仿宋"/>
          <w:sz w:val="28"/>
          <w:szCs w:val="28"/>
          <w:u w:val="single"/>
        </w:rPr>
      </w:pPr>
    </w:p>
    <w:p>
      <w:pPr>
        <w:snapToGrid w:val="0"/>
        <w:spacing w:before="120" w:beforeLines="50" w:after="50" w:line="460" w:lineRule="exact"/>
        <w:rPr>
          <w:rFonts w:ascii="仿宋" w:hAnsi="仿宋" w:eastAsia="仿宋" w:cs="仿宋"/>
          <w:sz w:val="28"/>
          <w:szCs w:val="28"/>
          <w:u w:val="single"/>
        </w:rPr>
      </w:pPr>
    </w:p>
    <w:p>
      <w:pPr>
        <w:snapToGrid w:val="0"/>
        <w:spacing w:before="120" w:beforeLines="50" w:after="50" w:line="460" w:lineRule="exact"/>
        <w:rPr>
          <w:rFonts w:ascii="仿宋" w:hAnsi="仿宋" w:eastAsia="仿宋" w:cs="仿宋"/>
          <w:sz w:val="28"/>
          <w:szCs w:val="28"/>
          <w:u w:val="single"/>
        </w:rPr>
        <w:sectPr>
          <w:headerReference r:id="rId8" w:type="default"/>
          <w:footerReference r:id="rId9" w:type="default"/>
          <w:footerReference r:id="rId10" w:type="even"/>
          <w:pgSz w:w="11906" w:h="16838"/>
          <w:pgMar w:top="1559" w:right="1531" w:bottom="471" w:left="1531" w:header="851" w:footer="851" w:gutter="0"/>
          <w:pgNumType w:chapStyle="1" w:chapSep="colon"/>
          <w:cols w:space="720" w:num="1"/>
          <w:docGrid w:linePitch="312" w:charSpace="0"/>
        </w:sectPr>
      </w:pPr>
    </w:p>
    <w:p>
      <w:pPr>
        <w:spacing w:line="360" w:lineRule="auto"/>
        <w:rPr>
          <w:rFonts w:ascii="仿宋" w:hAnsi="仿宋" w:eastAsia="仿宋" w:cs="仿宋"/>
          <w:b/>
          <w:bCs/>
          <w:sz w:val="28"/>
          <w:szCs w:val="28"/>
        </w:rPr>
      </w:pPr>
      <w:r>
        <w:rPr>
          <w:rFonts w:hint="eastAsia" w:ascii="仿宋" w:hAnsi="仿宋" w:eastAsia="仿宋" w:cs="仿宋"/>
          <w:b/>
          <w:bCs/>
          <w:sz w:val="28"/>
          <w:szCs w:val="28"/>
        </w:rPr>
        <w:t>附件5：</w:t>
      </w:r>
    </w:p>
    <w:p>
      <w:pPr>
        <w:snapToGrid w:val="0"/>
        <w:spacing w:before="50" w:after="50"/>
        <w:jc w:val="center"/>
        <w:rPr>
          <w:rFonts w:ascii="仿宋" w:hAnsi="仿宋" w:eastAsia="仿宋" w:cs="仿宋"/>
          <w:b/>
          <w:sz w:val="28"/>
          <w:szCs w:val="28"/>
        </w:rPr>
      </w:pPr>
      <w:r>
        <w:rPr>
          <w:rFonts w:hint="eastAsia" w:ascii="仿宋" w:hAnsi="仿宋" w:eastAsia="仿宋" w:cs="仿宋"/>
          <w:b/>
          <w:sz w:val="28"/>
          <w:szCs w:val="28"/>
        </w:rPr>
        <w:t>企业荣誉</w:t>
      </w:r>
    </w:p>
    <w:p>
      <w:pPr>
        <w:spacing w:line="360" w:lineRule="auto"/>
        <w:jc w:val="center"/>
        <w:rPr>
          <w:rFonts w:ascii="仿宋" w:hAnsi="仿宋" w:eastAsia="仿宋" w:cs="仿宋"/>
          <w:spacing w:val="14"/>
          <w:sz w:val="28"/>
          <w:szCs w:val="28"/>
        </w:rPr>
      </w:pPr>
    </w:p>
    <w:p>
      <w:pPr>
        <w:spacing w:line="360" w:lineRule="auto"/>
        <w:rPr>
          <w:rFonts w:ascii="仿宋" w:hAnsi="仿宋" w:eastAsia="仿宋" w:cs="仿宋"/>
          <w:sz w:val="28"/>
          <w:szCs w:val="28"/>
        </w:rPr>
      </w:pPr>
      <w:r>
        <w:rPr>
          <w:rFonts w:hint="eastAsia" w:ascii="仿宋" w:hAnsi="仿宋" w:eastAsia="仿宋" w:cs="仿宋"/>
          <w:sz w:val="28"/>
          <w:szCs w:val="28"/>
        </w:rPr>
        <w:t>投标人全称（电子签章）：           招标文件编号：</w:t>
      </w:r>
    </w:p>
    <w:tbl>
      <w:tblPr>
        <w:tblStyle w:val="31"/>
        <w:tblW w:w="8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1596"/>
        <w:gridCol w:w="1980"/>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360" w:lineRule="auto"/>
              <w:jc w:val="center"/>
              <w:rPr>
                <w:rFonts w:ascii="仿宋" w:hAnsi="仿宋" w:eastAsia="仿宋" w:cs="仿宋"/>
                <w:bCs/>
                <w:sz w:val="28"/>
                <w:szCs w:val="28"/>
              </w:rPr>
            </w:pPr>
            <w:r>
              <w:rPr>
                <w:rFonts w:hint="eastAsia" w:ascii="仿宋" w:hAnsi="仿宋" w:eastAsia="仿宋" w:cs="仿宋"/>
                <w:bCs/>
                <w:sz w:val="28"/>
                <w:szCs w:val="28"/>
              </w:rPr>
              <w:t>序号</w:t>
            </w:r>
          </w:p>
        </w:tc>
        <w:tc>
          <w:tcPr>
            <w:tcW w:w="1980" w:type="dxa"/>
            <w:vAlign w:val="center"/>
          </w:tcPr>
          <w:p>
            <w:pPr>
              <w:spacing w:line="360" w:lineRule="auto"/>
              <w:jc w:val="center"/>
              <w:rPr>
                <w:rFonts w:ascii="仿宋" w:hAnsi="仿宋" w:eastAsia="仿宋" w:cs="仿宋"/>
                <w:bCs/>
                <w:sz w:val="28"/>
                <w:szCs w:val="28"/>
              </w:rPr>
            </w:pPr>
            <w:r>
              <w:rPr>
                <w:rFonts w:hint="eastAsia" w:ascii="仿宋" w:hAnsi="仿宋" w:eastAsia="仿宋" w:cs="仿宋"/>
                <w:bCs/>
                <w:sz w:val="28"/>
                <w:szCs w:val="28"/>
              </w:rPr>
              <w:t>证书名称</w:t>
            </w:r>
          </w:p>
        </w:tc>
        <w:tc>
          <w:tcPr>
            <w:tcW w:w="1596" w:type="dxa"/>
            <w:vAlign w:val="center"/>
          </w:tcPr>
          <w:p>
            <w:pPr>
              <w:spacing w:line="360" w:lineRule="auto"/>
              <w:jc w:val="center"/>
              <w:rPr>
                <w:rFonts w:ascii="仿宋" w:hAnsi="仿宋" w:eastAsia="仿宋" w:cs="仿宋"/>
                <w:bCs/>
                <w:sz w:val="28"/>
                <w:szCs w:val="28"/>
              </w:rPr>
            </w:pPr>
            <w:r>
              <w:rPr>
                <w:rFonts w:hint="eastAsia" w:ascii="仿宋" w:hAnsi="仿宋" w:eastAsia="仿宋" w:cs="仿宋"/>
                <w:bCs/>
                <w:sz w:val="28"/>
                <w:szCs w:val="28"/>
              </w:rPr>
              <w:t>颁发机构</w:t>
            </w:r>
          </w:p>
        </w:tc>
        <w:tc>
          <w:tcPr>
            <w:tcW w:w="1980" w:type="dxa"/>
            <w:vAlign w:val="center"/>
          </w:tcPr>
          <w:p>
            <w:pPr>
              <w:spacing w:line="360" w:lineRule="auto"/>
              <w:jc w:val="center"/>
              <w:rPr>
                <w:rFonts w:ascii="仿宋" w:hAnsi="仿宋" w:eastAsia="仿宋" w:cs="仿宋"/>
                <w:bCs/>
                <w:sz w:val="28"/>
                <w:szCs w:val="28"/>
              </w:rPr>
            </w:pPr>
            <w:r>
              <w:rPr>
                <w:rFonts w:hint="eastAsia" w:ascii="仿宋" w:hAnsi="仿宋" w:eastAsia="仿宋" w:cs="仿宋"/>
                <w:bCs/>
                <w:sz w:val="28"/>
                <w:szCs w:val="28"/>
              </w:rPr>
              <w:t>颁发时间</w:t>
            </w:r>
          </w:p>
        </w:tc>
        <w:tc>
          <w:tcPr>
            <w:tcW w:w="2474" w:type="dxa"/>
            <w:vAlign w:val="center"/>
          </w:tcPr>
          <w:p>
            <w:pPr>
              <w:spacing w:line="360" w:lineRule="auto"/>
              <w:jc w:val="center"/>
              <w:rPr>
                <w:rFonts w:ascii="仿宋" w:hAnsi="仿宋" w:eastAsia="仿宋" w:cs="仿宋"/>
                <w:bCs/>
                <w:sz w:val="28"/>
                <w:szCs w:val="28"/>
              </w:rPr>
            </w:pPr>
            <w:r>
              <w:rPr>
                <w:rFonts w:hint="eastAsia" w:ascii="仿宋" w:hAnsi="仿宋" w:eastAsia="仿宋" w:cs="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cs="仿宋"/>
                <w:bCs/>
                <w:sz w:val="28"/>
                <w:szCs w:val="28"/>
              </w:rPr>
            </w:pPr>
          </w:p>
        </w:tc>
        <w:tc>
          <w:tcPr>
            <w:tcW w:w="1980" w:type="dxa"/>
          </w:tcPr>
          <w:p>
            <w:pPr>
              <w:spacing w:line="360" w:lineRule="auto"/>
              <w:rPr>
                <w:rFonts w:ascii="仿宋" w:hAnsi="仿宋" w:eastAsia="仿宋" w:cs="仿宋"/>
                <w:bCs/>
                <w:sz w:val="28"/>
                <w:szCs w:val="28"/>
              </w:rPr>
            </w:pPr>
          </w:p>
        </w:tc>
        <w:tc>
          <w:tcPr>
            <w:tcW w:w="1596" w:type="dxa"/>
          </w:tcPr>
          <w:p>
            <w:pPr>
              <w:spacing w:line="360" w:lineRule="auto"/>
              <w:rPr>
                <w:rFonts w:ascii="仿宋" w:hAnsi="仿宋" w:eastAsia="仿宋" w:cs="仿宋"/>
                <w:bCs/>
                <w:sz w:val="28"/>
                <w:szCs w:val="28"/>
              </w:rPr>
            </w:pPr>
          </w:p>
        </w:tc>
        <w:tc>
          <w:tcPr>
            <w:tcW w:w="1980" w:type="dxa"/>
          </w:tcPr>
          <w:p>
            <w:pPr>
              <w:spacing w:line="360" w:lineRule="auto"/>
              <w:rPr>
                <w:rFonts w:ascii="仿宋" w:hAnsi="仿宋" w:eastAsia="仿宋" w:cs="仿宋"/>
                <w:bCs/>
                <w:sz w:val="28"/>
                <w:szCs w:val="28"/>
              </w:rPr>
            </w:pPr>
          </w:p>
        </w:tc>
        <w:tc>
          <w:tcPr>
            <w:tcW w:w="2474" w:type="dxa"/>
          </w:tcPr>
          <w:p>
            <w:pPr>
              <w:spacing w:line="360" w:lineRule="auto"/>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cs="仿宋"/>
                <w:bCs/>
                <w:sz w:val="28"/>
                <w:szCs w:val="28"/>
              </w:rPr>
            </w:pPr>
          </w:p>
        </w:tc>
        <w:tc>
          <w:tcPr>
            <w:tcW w:w="1980" w:type="dxa"/>
          </w:tcPr>
          <w:p>
            <w:pPr>
              <w:spacing w:line="360" w:lineRule="auto"/>
              <w:rPr>
                <w:rFonts w:ascii="仿宋" w:hAnsi="仿宋" w:eastAsia="仿宋" w:cs="仿宋"/>
                <w:bCs/>
                <w:sz w:val="28"/>
                <w:szCs w:val="28"/>
              </w:rPr>
            </w:pPr>
          </w:p>
        </w:tc>
        <w:tc>
          <w:tcPr>
            <w:tcW w:w="1596" w:type="dxa"/>
          </w:tcPr>
          <w:p>
            <w:pPr>
              <w:spacing w:line="360" w:lineRule="auto"/>
              <w:rPr>
                <w:rFonts w:ascii="仿宋" w:hAnsi="仿宋" w:eastAsia="仿宋" w:cs="仿宋"/>
                <w:bCs/>
                <w:sz w:val="28"/>
                <w:szCs w:val="28"/>
              </w:rPr>
            </w:pPr>
          </w:p>
        </w:tc>
        <w:tc>
          <w:tcPr>
            <w:tcW w:w="1980" w:type="dxa"/>
          </w:tcPr>
          <w:p>
            <w:pPr>
              <w:spacing w:line="360" w:lineRule="auto"/>
              <w:rPr>
                <w:rFonts w:ascii="仿宋" w:hAnsi="仿宋" w:eastAsia="仿宋" w:cs="仿宋"/>
                <w:bCs/>
                <w:sz w:val="28"/>
                <w:szCs w:val="28"/>
              </w:rPr>
            </w:pPr>
          </w:p>
        </w:tc>
        <w:tc>
          <w:tcPr>
            <w:tcW w:w="2474" w:type="dxa"/>
          </w:tcPr>
          <w:p>
            <w:pPr>
              <w:spacing w:line="360" w:lineRule="auto"/>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tcPr>
          <w:p>
            <w:pPr>
              <w:spacing w:line="360" w:lineRule="auto"/>
              <w:rPr>
                <w:rFonts w:ascii="仿宋" w:hAnsi="仿宋" w:eastAsia="仿宋" w:cs="仿宋"/>
                <w:bCs/>
                <w:sz w:val="28"/>
                <w:szCs w:val="28"/>
              </w:rPr>
            </w:pPr>
          </w:p>
        </w:tc>
        <w:tc>
          <w:tcPr>
            <w:tcW w:w="1980" w:type="dxa"/>
          </w:tcPr>
          <w:p>
            <w:pPr>
              <w:spacing w:line="360" w:lineRule="auto"/>
              <w:rPr>
                <w:rFonts w:ascii="仿宋" w:hAnsi="仿宋" w:eastAsia="仿宋" w:cs="仿宋"/>
                <w:bCs/>
                <w:sz w:val="28"/>
                <w:szCs w:val="28"/>
              </w:rPr>
            </w:pPr>
          </w:p>
        </w:tc>
        <w:tc>
          <w:tcPr>
            <w:tcW w:w="1596" w:type="dxa"/>
          </w:tcPr>
          <w:p>
            <w:pPr>
              <w:spacing w:line="360" w:lineRule="auto"/>
              <w:rPr>
                <w:rFonts w:ascii="仿宋" w:hAnsi="仿宋" w:eastAsia="仿宋" w:cs="仿宋"/>
                <w:bCs/>
                <w:sz w:val="28"/>
                <w:szCs w:val="28"/>
              </w:rPr>
            </w:pPr>
          </w:p>
        </w:tc>
        <w:tc>
          <w:tcPr>
            <w:tcW w:w="1980" w:type="dxa"/>
          </w:tcPr>
          <w:p>
            <w:pPr>
              <w:spacing w:line="360" w:lineRule="auto"/>
              <w:rPr>
                <w:rFonts w:ascii="仿宋" w:hAnsi="仿宋" w:eastAsia="仿宋" w:cs="仿宋"/>
                <w:bCs/>
                <w:sz w:val="28"/>
                <w:szCs w:val="28"/>
              </w:rPr>
            </w:pPr>
          </w:p>
        </w:tc>
        <w:tc>
          <w:tcPr>
            <w:tcW w:w="2474" w:type="dxa"/>
          </w:tcPr>
          <w:p>
            <w:pPr>
              <w:spacing w:line="360" w:lineRule="auto"/>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cs="仿宋"/>
                <w:bCs/>
                <w:sz w:val="28"/>
                <w:szCs w:val="28"/>
              </w:rPr>
            </w:pPr>
          </w:p>
        </w:tc>
        <w:tc>
          <w:tcPr>
            <w:tcW w:w="1980" w:type="dxa"/>
          </w:tcPr>
          <w:p>
            <w:pPr>
              <w:spacing w:line="360" w:lineRule="auto"/>
              <w:rPr>
                <w:rFonts w:ascii="仿宋" w:hAnsi="仿宋" w:eastAsia="仿宋" w:cs="仿宋"/>
                <w:bCs/>
                <w:sz w:val="28"/>
                <w:szCs w:val="28"/>
              </w:rPr>
            </w:pPr>
          </w:p>
        </w:tc>
        <w:tc>
          <w:tcPr>
            <w:tcW w:w="1596" w:type="dxa"/>
          </w:tcPr>
          <w:p>
            <w:pPr>
              <w:spacing w:line="360" w:lineRule="auto"/>
              <w:rPr>
                <w:rFonts w:ascii="仿宋" w:hAnsi="仿宋" w:eastAsia="仿宋" w:cs="仿宋"/>
                <w:bCs/>
                <w:sz w:val="28"/>
                <w:szCs w:val="28"/>
              </w:rPr>
            </w:pPr>
          </w:p>
        </w:tc>
        <w:tc>
          <w:tcPr>
            <w:tcW w:w="1980" w:type="dxa"/>
          </w:tcPr>
          <w:p>
            <w:pPr>
              <w:spacing w:line="360" w:lineRule="auto"/>
              <w:rPr>
                <w:rFonts w:ascii="仿宋" w:hAnsi="仿宋" w:eastAsia="仿宋" w:cs="仿宋"/>
                <w:bCs/>
                <w:sz w:val="28"/>
                <w:szCs w:val="28"/>
              </w:rPr>
            </w:pPr>
          </w:p>
        </w:tc>
        <w:tc>
          <w:tcPr>
            <w:tcW w:w="2474" w:type="dxa"/>
          </w:tcPr>
          <w:p>
            <w:pPr>
              <w:spacing w:line="360" w:lineRule="auto"/>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cs="仿宋"/>
                <w:bCs/>
                <w:sz w:val="28"/>
                <w:szCs w:val="28"/>
              </w:rPr>
            </w:pPr>
          </w:p>
        </w:tc>
        <w:tc>
          <w:tcPr>
            <w:tcW w:w="1980" w:type="dxa"/>
          </w:tcPr>
          <w:p>
            <w:pPr>
              <w:spacing w:line="360" w:lineRule="auto"/>
              <w:rPr>
                <w:rFonts w:ascii="仿宋" w:hAnsi="仿宋" w:eastAsia="仿宋" w:cs="仿宋"/>
                <w:bCs/>
                <w:sz w:val="28"/>
                <w:szCs w:val="28"/>
              </w:rPr>
            </w:pPr>
          </w:p>
        </w:tc>
        <w:tc>
          <w:tcPr>
            <w:tcW w:w="1596" w:type="dxa"/>
          </w:tcPr>
          <w:p>
            <w:pPr>
              <w:spacing w:line="360" w:lineRule="auto"/>
              <w:rPr>
                <w:rFonts w:ascii="仿宋" w:hAnsi="仿宋" w:eastAsia="仿宋" w:cs="仿宋"/>
                <w:bCs/>
                <w:sz w:val="28"/>
                <w:szCs w:val="28"/>
              </w:rPr>
            </w:pPr>
          </w:p>
        </w:tc>
        <w:tc>
          <w:tcPr>
            <w:tcW w:w="1980" w:type="dxa"/>
          </w:tcPr>
          <w:p>
            <w:pPr>
              <w:spacing w:line="360" w:lineRule="auto"/>
              <w:rPr>
                <w:rFonts w:ascii="仿宋" w:hAnsi="仿宋" w:eastAsia="仿宋" w:cs="仿宋"/>
                <w:bCs/>
                <w:sz w:val="28"/>
                <w:szCs w:val="28"/>
              </w:rPr>
            </w:pPr>
          </w:p>
        </w:tc>
        <w:tc>
          <w:tcPr>
            <w:tcW w:w="2474" w:type="dxa"/>
          </w:tcPr>
          <w:p>
            <w:pPr>
              <w:spacing w:line="360" w:lineRule="auto"/>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cs="仿宋"/>
                <w:bCs/>
                <w:sz w:val="28"/>
                <w:szCs w:val="28"/>
              </w:rPr>
            </w:pPr>
          </w:p>
        </w:tc>
        <w:tc>
          <w:tcPr>
            <w:tcW w:w="1980" w:type="dxa"/>
          </w:tcPr>
          <w:p>
            <w:pPr>
              <w:spacing w:line="360" w:lineRule="auto"/>
              <w:rPr>
                <w:rFonts w:ascii="仿宋" w:hAnsi="仿宋" w:eastAsia="仿宋" w:cs="仿宋"/>
                <w:bCs/>
                <w:sz w:val="28"/>
                <w:szCs w:val="28"/>
              </w:rPr>
            </w:pPr>
          </w:p>
        </w:tc>
        <w:tc>
          <w:tcPr>
            <w:tcW w:w="1596" w:type="dxa"/>
          </w:tcPr>
          <w:p>
            <w:pPr>
              <w:spacing w:line="360" w:lineRule="auto"/>
              <w:rPr>
                <w:rFonts w:ascii="仿宋" w:hAnsi="仿宋" w:eastAsia="仿宋" w:cs="仿宋"/>
                <w:bCs/>
                <w:sz w:val="28"/>
                <w:szCs w:val="28"/>
              </w:rPr>
            </w:pPr>
          </w:p>
        </w:tc>
        <w:tc>
          <w:tcPr>
            <w:tcW w:w="1980" w:type="dxa"/>
          </w:tcPr>
          <w:p>
            <w:pPr>
              <w:spacing w:line="360" w:lineRule="auto"/>
              <w:rPr>
                <w:rFonts w:ascii="仿宋" w:hAnsi="仿宋" w:eastAsia="仿宋" w:cs="仿宋"/>
                <w:bCs/>
                <w:sz w:val="28"/>
                <w:szCs w:val="28"/>
              </w:rPr>
            </w:pPr>
          </w:p>
        </w:tc>
        <w:tc>
          <w:tcPr>
            <w:tcW w:w="2474" w:type="dxa"/>
          </w:tcPr>
          <w:p>
            <w:pPr>
              <w:spacing w:line="360" w:lineRule="auto"/>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tcPr>
          <w:p>
            <w:pPr>
              <w:spacing w:line="360" w:lineRule="auto"/>
              <w:rPr>
                <w:rFonts w:ascii="仿宋" w:hAnsi="仿宋" w:eastAsia="仿宋" w:cs="仿宋"/>
                <w:bCs/>
                <w:sz w:val="28"/>
                <w:szCs w:val="28"/>
              </w:rPr>
            </w:pPr>
          </w:p>
        </w:tc>
        <w:tc>
          <w:tcPr>
            <w:tcW w:w="1980" w:type="dxa"/>
          </w:tcPr>
          <w:p>
            <w:pPr>
              <w:spacing w:line="360" w:lineRule="auto"/>
              <w:rPr>
                <w:rFonts w:ascii="仿宋" w:hAnsi="仿宋" w:eastAsia="仿宋" w:cs="仿宋"/>
                <w:bCs/>
                <w:sz w:val="28"/>
                <w:szCs w:val="28"/>
              </w:rPr>
            </w:pPr>
          </w:p>
        </w:tc>
        <w:tc>
          <w:tcPr>
            <w:tcW w:w="1596" w:type="dxa"/>
          </w:tcPr>
          <w:p>
            <w:pPr>
              <w:spacing w:line="360" w:lineRule="auto"/>
              <w:rPr>
                <w:rFonts w:ascii="仿宋" w:hAnsi="仿宋" w:eastAsia="仿宋" w:cs="仿宋"/>
                <w:bCs/>
                <w:sz w:val="28"/>
                <w:szCs w:val="28"/>
              </w:rPr>
            </w:pPr>
          </w:p>
        </w:tc>
        <w:tc>
          <w:tcPr>
            <w:tcW w:w="1980" w:type="dxa"/>
          </w:tcPr>
          <w:p>
            <w:pPr>
              <w:spacing w:line="360" w:lineRule="auto"/>
              <w:rPr>
                <w:rFonts w:ascii="仿宋" w:hAnsi="仿宋" w:eastAsia="仿宋" w:cs="仿宋"/>
                <w:bCs/>
                <w:sz w:val="28"/>
                <w:szCs w:val="28"/>
              </w:rPr>
            </w:pPr>
          </w:p>
        </w:tc>
        <w:tc>
          <w:tcPr>
            <w:tcW w:w="2474" w:type="dxa"/>
          </w:tcPr>
          <w:p>
            <w:pPr>
              <w:spacing w:line="360" w:lineRule="auto"/>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cs="仿宋"/>
                <w:bCs/>
                <w:sz w:val="28"/>
                <w:szCs w:val="28"/>
              </w:rPr>
            </w:pPr>
          </w:p>
        </w:tc>
        <w:tc>
          <w:tcPr>
            <w:tcW w:w="1980" w:type="dxa"/>
          </w:tcPr>
          <w:p>
            <w:pPr>
              <w:spacing w:line="360" w:lineRule="auto"/>
              <w:rPr>
                <w:rFonts w:ascii="仿宋" w:hAnsi="仿宋" w:eastAsia="仿宋" w:cs="仿宋"/>
                <w:bCs/>
                <w:sz w:val="28"/>
                <w:szCs w:val="28"/>
              </w:rPr>
            </w:pPr>
          </w:p>
        </w:tc>
        <w:tc>
          <w:tcPr>
            <w:tcW w:w="1596" w:type="dxa"/>
          </w:tcPr>
          <w:p>
            <w:pPr>
              <w:spacing w:line="360" w:lineRule="auto"/>
              <w:rPr>
                <w:rFonts w:ascii="仿宋" w:hAnsi="仿宋" w:eastAsia="仿宋" w:cs="仿宋"/>
                <w:bCs/>
                <w:sz w:val="28"/>
                <w:szCs w:val="28"/>
              </w:rPr>
            </w:pPr>
          </w:p>
        </w:tc>
        <w:tc>
          <w:tcPr>
            <w:tcW w:w="1980" w:type="dxa"/>
          </w:tcPr>
          <w:p>
            <w:pPr>
              <w:spacing w:line="360" w:lineRule="auto"/>
              <w:rPr>
                <w:rFonts w:ascii="仿宋" w:hAnsi="仿宋" w:eastAsia="仿宋" w:cs="仿宋"/>
                <w:bCs/>
                <w:sz w:val="28"/>
                <w:szCs w:val="28"/>
              </w:rPr>
            </w:pPr>
          </w:p>
        </w:tc>
        <w:tc>
          <w:tcPr>
            <w:tcW w:w="2474" w:type="dxa"/>
          </w:tcPr>
          <w:p>
            <w:pPr>
              <w:spacing w:line="360" w:lineRule="auto"/>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cs="仿宋"/>
                <w:bCs/>
                <w:sz w:val="28"/>
                <w:szCs w:val="28"/>
              </w:rPr>
            </w:pPr>
          </w:p>
        </w:tc>
        <w:tc>
          <w:tcPr>
            <w:tcW w:w="1980" w:type="dxa"/>
          </w:tcPr>
          <w:p>
            <w:pPr>
              <w:spacing w:line="360" w:lineRule="auto"/>
              <w:rPr>
                <w:rFonts w:ascii="仿宋" w:hAnsi="仿宋" w:eastAsia="仿宋" w:cs="仿宋"/>
                <w:bCs/>
                <w:sz w:val="28"/>
                <w:szCs w:val="28"/>
              </w:rPr>
            </w:pPr>
          </w:p>
        </w:tc>
        <w:tc>
          <w:tcPr>
            <w:tcW w:w="1596" w:type="dxa"/>
          </w:tcPr>
          <w:p>
            <w:pPr>
              <w:spacing w:line="360" w:lineRule="auto"/>
              <w:rPr>
                <w:rFonts w:ascii="仿宋" w:hAnsi="仿宋" w:eastAsia="仿宋" w:cs="仿宋"/>
                <w:bCs/>
                <w:sz w:val="28"/>
                <w:szCs w:val="28"/>
              </w:rPr>
            </w:pPr>
          </w:p>
        </w:tc>
        <w:tc>
          <w:tcPr>
            <w:tcW w:w="1980" w:type="dxa"/>
          </w:tcPr>
          <w:p>
            <w:pPr>
              <w:spacing w:line="360" w:lineRule="auto"/>
              <w:rPr>
                <w:rFonts w:ascii="仿宋" w:hAnsi="仿宋" w:eastAsia="仿宋" w:cs="仿宋"/>
                <w:bCs/>
                <w:sz w:val="28"/>
                <w:szCs w:val="28"/>
              </w:rPr>
            </w:pPr>
          </w:p>
        </w:tc>
        <w:tc>
          <w:tcPr>
            <w:tcW w:w="2474" w:type="dxa"/>
          </w:tcPr>
          <w:p>
            <w:pPr>
              <w:spacing w:line="360" w:lineRule="auto"/>
              <w:rPr>
                <w:rFonts w:ascii="仿宋" w:hAnsi="仿宋" w:eastAsia="仿宋" w:cs="仿宋"/>
                <w:bCs/>
                <w:sz w:val="28"/>
                <w:szCs w:val="28"/>
              </w:rPr>
            </w:pPr>
          </w:p>
        </w:tc>
      </w:tr>
    </w:tbl>
    <w:p>
      <w:pPr>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r>
        <w:rPr>
          <w:rFonts w:hint="eastAsia" w:ascii="仿宋" w:hAnsi="仿宋" w:eastAsia="仿宋" w:cs="仿宋"/>
          <w:sz w:val="28"/>
          <w:szCs w:val="28"/>
        </w:rPr>
        <w:t xml:space="preserve">                                日期：     年  月  日</w:t>
      </w:r>
    </w:p>
    <w:p>
      <w:pPr>
        <w:spacing w:line="360" w:lineRule="auto"/>
        <w:ind w:left="980" w:hanging="980" w:hangingChars="350"/>
        <w:rPr>
          <w:rFonts w:ascii="仿宋" w:hAnsi="仿宋" w:eastAsia="仿宋" w:cs="仿宋"/>
          <w:bCs/>
          <w:sz w:val="28"/>
          <w:szCs w:val="28"/>
        </w:rPr>
      </w:pPr>
      <w:r>
        <w:rPr>
          <w:rFonts w:hint="eastAsia" w:ascii="仿宋" w:hAnsi="仿宋" w:eastAsia="仿宋" w:cs="仿宋"/>
          <w:bCs/>
          <w:sz w:val="28"/>
          <w:szCs w:val="28"/>
        </w:rPr>
        <w:t>注：</w:t>
      </w:r>
      <w:r>
        <w:rPr>
          <w:rFonts w:hint="eastAsia" w:ascii="仿宋" w:hAnsi="仿宋" w:eastAsia="仿宋" w:cs="仿宋"/>
          <w:sz w:val="28"/>
          <w:szCs w:val="28"/>
        </w:rPr>
        <w:t>1、投标</w:t>
      </w:r>
      <w:r>
        <w:rPr>
          <w:rFonts w:hint="eastAsia" w:ascii="仿宋" w:hAnsi="仿宋" w:eastAsia="仿宋" w:cs="仿宋"/>
          <w:bCs/>
          <w:sz w:val="28"/>
          <w:szCs w:val="28"/>
        </w:rPr>
        <w:t>企业获得的荣誉证书是指2018年1月1日至今获得的荣誉证书(附荣誉证书复印件并加盖电子签章）；</w:t>
      </w:r>
    </w:p>
    <w:p>
      <w:pPr>
        <w:spacing w:line="360" w:lineRule="auto"/>
        <w:ind w:firstLine="560" w:firstLineChars="200"/>
        <w:rPr>
          <w:rFonts w:ascii="仿宋" w:hAnsi="仿宋" w:eastAsia="仿宋" w:cs="仿宋"/>
          <w:bCs/>
          <w:sz w:val="28"/>
          <w:szCs w:val="28"/>
        </w:rPr>
      </w:pPr>
      <w:r>
        <w:rPr>
          <w:rFonts w:hint="eastAsia" w:ascii="仿宋" w:hAnsi="仿宋" w:eastAsia="仿宋" w:cs="仿宋"/>
          <w:sz w:val="28"/>
          <w:szCs w:val="28"/>
        </w:rPr>
        <w:t>2、此表仅提供了表格形式，投标人应根据需要准备足够数量的表格来填写。</w:t>
      </w:r>
    </w:p>
    <w:p>
      <w:pPr>
        <w:spacing w:line="360" w:lineRule="auto"/>
        <w:rPr>
          <w:rFonts w:ascii="仿宋" w:hAnsi="仿宋" w:eastAsia="仿宋" w:cs="仿宋"/>
          <w:b/>
          <w:bCs/>
          <w:spacing w:val="14"/>
          <w:sz w:val="28"/>
          <w:szCs w:val="28"/>
        </w:rPr>
      </w:pPr>
    </w:p>
    <w:p>
      <w:pPr>
        <w:spacing w:line="360" w:lineRule="auto"/>
        <w:rPr>
          <w:rFonts w:ascii="仿宋" w:hAnsi="仿宋" w:eastAsia="仿宋" w:cs="仿宋"/>
          <w:b/>
          <w:bCs/>
          <w:spacing w:val="14"/>
          <w:sz w:val="28"/>
          <w:szCs w:val="28"/>
        </w:rPr>
      </w:pPr>
      <w:r>
        <w:rPr>
          <w:rFonts w:hint="eastAsia" w:ascii="仿宋" w:hAnsi="仿宋" w:eastAsia="仿宋" w:cs="仿宋"/>
          <w:b/>
          <w:bCs/>
          <w:spacing w:val="14"/>
          <w:sz w:val="28"/>
          <w:szCs w:val="28"/>
        </w:rPr>
        <w:t>附件6：</w:t>
      </w:r>
    </w:p>
    <w:p>
      <w:pPr>
        <w:snapToGrid w:val="0"/>
        <w:spacing w:before="50" w:after="50"/>
        <w:jc w:val="center"/>
        <w:rPr>
          <w:rFonts w:ascii="仿宋" w:hAnsi="仿宋" w:eastAsia="仿宋" w:cs="仿宋"/>
          <w:b/>
          <w:sz w:val="28"/>
          <w:szCs w:val="28"/>
        </w:rPr>
      </w:pPr>
      <w:r>
        <w:rPr>
          <w:rFonts w:hint="eastAsia" w:ascii="仿宋" w:hAnsi="仿宋" w:eastAsia="仿宋" w:cs="仿宋"/>
          <w:b/>
          <w:sz w:val="28"/>
          <w:szCs w:val="28"/>
        </w:rPr>
        <w:t>企业业绩</w:t>
      </w:r>
    </w:p>
    <w:p>
      <w:pPr>
        <w:spacing w:line="360" w:lineRule="auto"/>
        <w:jc w:val="right"/>
        <w:rPr>
          <w:rFonts w:ascii="仿宋" w:hAnsi="仿宋" w:eastAsia="仿宋" w:cs="仿宋"/>
          <w:sz w:val="28"/>
          <w:szCs w:val="28"/>
        </w:rPr>
      </w:pPr>
    </w:p>
    <w:p>
      <w:pPr>
        <w:spacing w:line="360" w:lineRule="auto"/>
        <w:rPr>
          <w:rFonts w:ascii="仿宋" w:hAnsi="仿宋" w:eastAsia="仿宋" w:cs="仿宋"/>
          <w:sz w:val="28"/>
          <w:szCs w:val="28"/>
        </w:rPr>
      </w:pPr>
      <w:r>
        <w:rPr>
          <w:rFonts w:hint="eastAsia" w:ascii="仿宋" w:hAnsi="仿宋" w:eastAsia="仿宋" w:cs="仿宋"/>
          <w:sz w:val="28"/>
          <w:szCs w:val="28"/>
        </w:rPr>
        <w:t>投标人全称（电子签章）：          招标文件编号：</w:t>
      </w:r>
    </w:p>
    <w:tbl>
      <w:tblPr>
        <w:tblStyle w:val="3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1440"/>
        <w:gridCol w:w="1440"/>
        <w:gridCol w:w="1440"/>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cs="仿宋"/>
                <w:bCs/>
                <w:sz w:val="28"/>
                <w:szCs w:val="28"/>
              </w:rPr>
            </w:pPr>
            <w:r>
              <w:rPr>
                <w:rFonts w:hint="eastAsia" w:ascii="仿宋" w:hAnsi="仿宋" w:eastAsia="仿宋" w:cs="仿宋"/>
                <w:bCs/>
                <w:sz w:val="28"/>
                <w:szCs w:val="28"/>
              </w:rPr>
              <w:t>序号</w:t>
            </w:r>
          </w:p>
        </w:tc>
        <w:tc>
          <w:tcPr>
            <w:tcW w:w="1980" w:type="dxa"/>
            <w:vAlign w:val="center"/>
          </w:tcPr>
          <w:p>
            <w:pPr>
              <w:jc w:val="center"/>
              <w:rPr>
                <w:rFonts w:ascii="仿宋" w:hAnsi="仿宋" w:eastAsia="仿宋" w:cs="仿宋"/>
                <w:bCs/>
                <w:sz w:val="28"/>
                <w:szCs w:val="28"/>
              </w:rPr>
            </w:pPr>
            <w:r>
              <w:rPr>
                <w:rFonts w:hint="eastAsia" w:ascii="仿宋" w:hAnsi="仿宋" w:eastAsia="仿宋" w:cs="仿宋"/>
                <w:bCs/>
                <w:sz w:val="28"/>
                <w:szCs w:val="28"/>
              </w:rPr>
              <w:t>使用方</w:t>
            </w:r>
          </w:p>
        </w:tc>
        <w:tc>
          <w:tcPr>
            <w:tcW w:w="1440" w:type="dxa"/>
            <w:vAlign w:val="center"/>
          </w:tcPr>
          <w:p>
            <w:pPr>
              <w:jc w:val="center"/>
              <w:rPr>
                <w:rFonts w:ascii="仿宋" w:hAnsi="仿宋" w:eastAsia="仿宋" w:cs="仿宋"/>
                <w:bCs/>
                <w:sz w:val="28"/>
                <w:szCs w:val="28"/>
              </w:rPr>
            </w:pPr>
            <w:r>
              <w:rPr>
                <w:rFonts w:hint="eastAsia" w:ascii="仿宋" w:hAnsi="仿宋" w:eastAsia="仿宋" w:cs="仿宋"/>
                <w:bCs/>
                <w:sz w:val="28"/>
                <w:szCs w:val="28"/>
              </w:rPr>
              <w:t>合同金额</w:t>
            </w:r>
          </w:p>
          <w:p>
            <w:pPr>
              <w:jc w:val="center"/>
              <w:rPr>
                <w:rFonts w:ascii="仿宋" w:hAnsi="仿宋" w:eastAsia="仿宋" w:cs="仿宋"/>
                <w:bCs/>
                <w:sz w:val="28"/>
                <w:szCs w:val="28"/>
              </w:rPr>
            </w:pPr>
            <w:r>
              <w:rPr>
                <w:rFonts w:hint="eastAsia" w:ascii="仿宋" w:hAnsi="仿宋" w:eastAsia="仿宋" w:cs="仿宋"/>
                <w:bCs/>
                <w:sz w:val="28"/>
                <w:szCs w:val="28"/>
              </w:rPr>
              <w:t>(人民币)</w:t>
            </w:r>
          </w:p>
        </w:tc>
        <w:tc>
          <w:tcPr>
            <w:tcW w:w="1440" w:type="dxa"/>
            <w:vAlign w:val="center"/>
          </w:tcPr>
          <w:p>
            <w:pPr>
              <w:jc w:val="center"/>
              <w:rPr>
                <w:rFonts w:ascii="仿宋" w:hAnsi="仿宋" w:eastAsia="仿宋" w:cs="仿宋"/>
                <w:bCs/>
                <w:sz w:val="28"/>
                <w:szCs w:val="28"/>
              </w:rPr>
            </w:pPr>
            <w:r>
              <w:rPr>
                <w:rFonts w:hint="eastAsia" w:ascii="仿宋" w:hAnsi="仿宋" w:eastAsia="仿宋" w:cs="仿宋"/>
                <w:bCs/>
                <w:sz w:val="28"/>
                <w:szCs w:val="28"/>
              </w:rPr>
              <w:t>签订时间</w:t>
            </w:r>
          </w:p>
        </w:tc>
        <w:tc>
          <w:tcPr>
            <w:tcW w:w="1440" w:type="dxa"/>
            <w:vAlign w:val="center"/>
          </w:tcPr>
          <w:p>
            <w:pPr>
              <w:jc w:val="center"/>
              <w:rPr>
                <w:rFonts w:ascii="仿宋" w:hAnsi="仿宋" w:eastAsia="仿宋" w:cs="仿宋"/>
                <w:bCs/>
                <w:sz w:val="28"/>
                <w:szCs w:val="28"/>
              </w:rPr>
            </w:pPr>
            <w:r>
              <w:rPr>
                <w:rFonts w:hint="eastAsia" w:ascii="仿宋" w:hAnsi="仿宋" w:eastAsia="仿宋" w:cs="仿宋"/>
                <w:bCs/>
                <w:sz w:val="28"/>
                <w:szCs w:val="28"/>
              </w:rPr>
              <w:t>使用方联系人</w:t>
            </w:r>
          </w:p>
        </w:tc>
        <w:tc>
          <w:tcPr>
            <w:tcW w:w="1574" w:type="dxa"/>
            <w:vAlign w:val="center"/>
          </w:tcPr>
          <w:p>
            <w:pPr>
              <w:jc w:val="center"/>
              <w:rPr>
                <w:rFonts w:ascii="仿宋" w:hAnsi="仿宋" w:eastAsia="仿宋" w:cs="仿宋"/>
                <w:bCs/>
                <w:sz w:val="28"/>
                <w:szCs w:val="28"/>
              </w:rPr>
            </w:pPr>
            <w:r>
              <w:rPr>
                <w:rFonts w:hint="eastAsia" w:ascii="仿宋" w:hAnsi="仿宋" w:eastAsia="仿宋" w:cs="仿宋"/>
                <w:bCs/>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cs="仿宋"/>
                <w:bCs/>
                <w:sz w:val="28"/>
                <w:szCs w:val="28"/>
              </w:rPr>
            </w:pPr>
          </w:p>
        </w:tc>
        <w:tc>
          <w:tcPr>
            <w:tcW w:w="1980" w:type="dxa"/>
          </w:tcPr>
          <w:p>
            <w:pPr>
              <w:spacing w:line="360" w:lineRule="auto"/>
              <w:rPr>
                <w:rFonts w:ascii="仿宋" w:hAnsi="仿宋" w:eastAsia="仿宋" w:cs="仿宋"/>
                <w:bCs/>
                <w:sz w:val="28"/>
                <w:szCs w:val="28"/>
              </w:rPr>
            </w:pPr>
          </w:p>
        </w:tc>
        <w:tc>
          <w:tcPr>
            <w:tcW w:w="1440" w:type="dxa"/>
          </w:tcPr>
          <w:p>
            <w:pPr>
              <w:spacing w:line="360" w:lineRule="auto"/>
              <w:rPr>
                <w:rFonts w:ascii="仿宋" w:hAnsi="仿宋" w:eastAsia="仿宋" w:cs="仿宋"/>
                <w:bCs/>
                <w:sz w:val="28"/>
                <w:szCs w:val="28"/>
              </w:rPr>
            </w:pPr>
          </w:p>
        </w:tc>
        <w:tc>
          <w:tcPr>
            <w:tcW w:w="1440" w:type="dxa"/>
          </w:tcPr>
          <w:p>
            <w:pPr>
              <w:spacing w:line="360" w:lineRule="auto"/>
              <w:rPr>
                <w:rFonts w:ascii="仿宋" w:hAnsi="仿宋" w:eastAsia="仿宋" w:cs="仿宋"/>
                <w:bCs/>
                <w:sz w:val="28"/>
                <w:szCs w:val="28"/>
              </w:rPr>
            </w:pPr>
          </w:p>
        </w:tc>
        <w:tc>
          <w:tcPr>
            <w:tcW w:w="1440" w:type="dxa"/>
          </w:tcPr>
          <w:p>
            <w:pPr>
              <w:spacing w:line="360" w:lineRule="auto"/>
              <w:rPr>
                <w:rFonts w:ascii="仿宋" w:hAnsi="仿宋" w:eastAsia="仿宋" w:cs="仿宋"/>
                <w:bCs/>
                <w:sz w:val="28"/>
                <w:szCs w:val="28"/>
              </w:rPr>
            </w:pPr>
          </w:p>
        </w:tc>
        <w:tc>
          <w:tcPr>
            <w:tcW w:w="1574" w:type="dxa"/>
          </w:tcPr>
          <w:p>
            <w:pPr>
              <w:spacing w:line="360" w:lineRule="auto"/>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cs="仿宋"/>
                <w:bCs/>
                <w:sz w:val="28"/>
                <w:szCs w:val="28"/>
              </w:rPr>
            </w:pPr>
          </w:p>
        </w:tc>
        <w:tc>
          <w:tcPr>
            <w:tcW w:w="1980" w:type="dxa"/>
          </w:tcPr>
          <w:p>
            <w:pPr>
              <w:spacing w:line="360" w:lineRule="auto"/>
              <w:rPr>
                <w:rFonts w:ascii="仿宋" w:hAnsi="仿宋" w:eastAsia="仿宋" w:cs="仿宋"/>
                <w:bCs/>
                <w:sz w:val="28"/>
                <w:szCs w:val="28"/>
              </w:rPr>
            </w:pPr>
          </w:p>
        </w:tc>
        <w:tc>
          <w:tcPr>
            <w:tcW w:w="1440" w:type="dxa"/>
          </w:tcPr>
          <w:p>
            <w:pPr>
              <w:spacing w:line="360" w:lineRule="auto"/>
              <w:rPr>
                <w:rFonts w:ascii="仿宋" w:hAnsi="仿宋" w:eastAsia="仿宋" w:cs="仿宋"/>
                <w:bCs/>
                <w:sz w:val="28"/>
                <w:szCs w:val="28"/>
              </w:rPr>
            </w:pPr>
          </w:p>
        </w:tc>
        <w:tc>
          <w:tcPr>
            <w:tcW w:w="1440" w:type="dxa"/>
          </w:tcPr>
          <w:p>
            <w:pPr>
              <w:spacing w:line="360" w:lineRule="auto"/>
              <w:rPr>
                <w:rFonts w:ascii="仿宋" w:hAnsi="仿宋" w:eastAsia="仿宋" w:cs="仿宋"/>
                <w:bCs/>
                <w:sz w:val="28"/>
                <w:szCs w:val="28"/>
              </w:rPr>
            </w:pPr>
          </w:p>
        </w:tc>
        <w:tc>
          <w:tcPr>
            <w:tcW w:w="1440" w:type="dxa"/>
          </w:tcPr>
          <w:p>
            <w:pPr>
              <w:spacing w:line="360" w:lineRule="auto"/>
              <w:rPr>
                <w:rFonts w:ascii="仿宋" w:hAnsi="仿宋" w:eastAsia="仿宋" w:cs="仿宋"/>
                <w:bCs/>
                <w:sz w:val="28"/>
                <w:szCs w:val="28"/>
              </w:rPr>
            </w:pPr>
          </w:p>
        </w:tc>
        <w:tc>
          <w:tcPr>
            <w:tcW w:w="1574" w:type="dxa"/>
          </w:tcPr>
          <w:p>
            <w:pPr>
              <w:spacing w:line="360" w:lineRule="auto"/>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tcPr>
          <w:p>
            <w:pPr>
              <w:spacing w:line="360" w:lineRule="auto"/>
              <w:rPr>
                <w:rFonts w:ascii="仿宋" w:hAnsi="仿宋" w:eastAsia="仿宋" w:cs="仿宋"/>
                <w:bCs/>
                <w:sz w:val="28"/>
                <w:szCs w:val="28"/>
              </w:rPr>
            </w:pPr>
          </w:p>
        </w:tc>
        <w:tc>
          <w:tcPr>
            <w:tcW w:w="1980" w:type="dxa"/>
          </w:tcPr>
          <w:p>
            <w:pPr>
              <w:spacing w:line="360" w:lineRule="auto"/>
              <w:rPr>
                <w:rFonts w:ascii="仿宋" w:hAnsi="仿宋" w:eastAsia="仿宋" w:cs="仿宋"/>
                <w:bCs/>
                <w:sz w:val="28"/>
                <w:szCs w:val="28"/>
              </w:rPr>
            </w:pPr>
          </w:p>
        </w:tc>
        <w:tc>
          <w:tcPr>
            <w:tcW w:w="1440" w:type="dxa"/>
          </w:tcPr>
          <w:p>
            <w:pPr>
              <w:spacing w:line="360" w:lineRule="auto"/>
              <w:rPr>
                <w:rFonts w:ascii="仿宋" w:hAnsi="仿宋" w:eastAsia="仿宋" w:cs="仿宋"/>
                <w:bCs/>
                <w:sz w:val="28"/>
                <w:szCs w:val="28"/>
              </w:rPr>
            </w:pPr>
          </w:p>
        </w:tc>
        <w:tc>
          <w:tcPr>
            <w:tcW w:w="1440" w:type="dxa"/>
          </w:tcPr>
          <w:p>
            <w:pPr>
              <w:spacing w:line="360" w:lineRule="auto"/>
              <w:rPr>
                <w:rFonts w:ascii="仿宋" w:hAnsi="仿宋" w:eastAsia="仿宋" w:cs="仿宋"/>
                <w:bCs/>
                <w:sz w:val="28"/>
                <w:szCs w:val="28"/>
              </w:rPr>
            </w:pPr>
          </w:p>
        </w:tc>
        <w:tc>
          <w:tcPr>
            <w:tcW w:w="1440" w:type="dxa"/>
          </w:tcPr>
          <w:p>
            <w:pPr>
              <w:spacing w:line="360" w:lineRule="auto"/>
              <w:rPr>
                <w:rFonts w:ascii="仿宋" w:hAnsi="仿宋" w:eastAsia="仿宋" w:cs="仿宋"/>
                <w:bCs/>
                <w:sz w:val="28"/>
                <w:szCs w:val="28"/>
              </w:rPr>
            </w:pPr>
          </w:p>
        </w:tc>
        <w:tc>
          <w:tcPr>
            <w:tcW w:w="1574" w:type="dxa"/>
          </w:tcPr>
          <w:p>
            <w:pPr>
              <w:spacing w:line="360" w:lineRule="auto"/>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cs="仿宋"/>
                <w:bCs/>
                <w:sz w:val="28"/>
                <w:szCs w:val="28"/>
              </w:rPr>
            </w:pPr>
          </w:p>
        </w:tc>
        <w:tc>
          <w:tcPr>
            <w:tcW w:w="1980" w:type="dxa"/>
          </w:tcPr>
          <w:p>
            <w:pPr>
              <w:spacing w:line="360" w:lineRule="auto"/>
              <w:rPr>
                <w:rFonts w:ascii="仿宋" w:hAnsi="仿宋" w:eastAsia="仿宋" w:cs="仿宋"/>
                <w:bCs/>
                <w:sz w:val="28"/>
                <w:szCs w:val="28"/>
              </w:rPr>
            </w:pPr>
          </w:p>
        </w:tc>
        <w:tc>
          <w:tcPr>
            <w:tcW w:w="1440" w:type="dxa"/>
          </w:tcPr>
          <w:p>
            <w:pPr>
              <w:spacing w:line="360" w:lineRule="auto"/>
              <w:rPr>
                <w:rFonts w:ascii="仿宋" w:hAnsi="仿宋" w:eastAsia="仿宋" w:cs="仿宋"/>
                <w:bCs/>
                <w:sz w:val="28"/>
                <w:szCs w:val="28"/>
              </w:rPr>
            </w:pPr>
          </w:p>
        </w:tc>
        <w:tc>
          <w:tcPr>
            <w:tcW w:w="1440" w:type="dxa"/>
          </w:tcPr>
          <w:p>
            <w:pPr>
              <w:spacing w:line="360" w:lineRule="auto"/>
              <w:rPr>
                <w:rFonts w:ascii="仿宋" w:hAnsi="仿宋" w:eastAsia="仿宋" w:cs="仿宋"/>
                <w:bCs/>
                <w:sz w:val="28"/>
                <w:szCs w:val="28"/>
              </w:rPr>
            </w:pPr>
          </w:p>
        </w:tc>
        <w:tc>
          <w:tcPr>
            <w:tcW w:w="1440" w:type="dxa"/>
          </w:tcPr>
          <w:p>
            <w:pPr>
              <w:spacing w:line="360" w:lineRule="auto"/>
              <w:rPr>
                <w:rFonts w:ascii="仿宋" w:hAnsi="仿宋" w:eastAsia="仿宋" w:cs="仿宋"/>
                <w:bCs/>
                <w:sz w:val="28"/>
                <w:szCs w:val="28"/>
              </w:rPr>
            </w:pPr>
          </w:p>
        </w:tc>
        <w:tc>
          <w:tcPr>
            <w:tcW w:w="1574" w:type="dxa"/>
          </w:tcPr>
          <w:p>
            <w:pPr>
              <w:spacing w:line="360" w:lineRule="auto"/>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cs="仿宋"/>
                <w:bCs/>
                <w:sz w:val="28"/>
                <w:szCs w:val="28"/>
              </w:rPr>
            </w:pPr>
          </w:p>
        </w:tc>
        <w:tc>
          <w:tcPr>
            <w:tcW w:w="1980" w:type="dxa"/>
          </w:tcPr>
          <w:p>
            <w:pPr>
              <w:spacing w:line="360" w:lineRule="auto"/>
              <w:rPr>
                <w:rFonts w:ascii="仿宋" w:hAnsi="仿宋" w:eastAsia="仿宋" w:cs="仿宋"/>
                <w:bCs/>
                <w:sz w:val="28"/>
                <w:szCs w:val="28"/>
              </w:rPr>
            </w:pPr>
          </w:p>
        </w:tc>
        <w:tc>
          <w:tcPr>
            <w:tcW w:w="1440" w:type="dxa"/>
          </w:tcPr>
          <w:p>
            <w:pPr>
              <w:spacing w:line="360" w:lineRule="auto"/>
              <w:rPr>
                <w:rFonts w:ascii="仿宋" w:hAnsi="仿宋" w:eastAsia="仿宋" w:cs="仿宋"/>
                <w:bCs/>
                <w:sz w:val="28"/>
                <w:szCs w:val="28"/>
              </w:rPr>
            </w:pPr>
          </w:p>
        </w:tc>
        <w:tc>
          <w:tcPr>
            <w:tcW w:w="1440" w:type="dxa"/>
          </w:tcPr>
          <w:p>
            <w:pPr>
              <w:spacing w:line="360" w:lineRule="auto"/>
              <w:rPr>
                <w:rFonts w:ascii="仿宋" w:hAnsi="仿宋" w:eastAsia="仿宋" w:cs="仿宋"/>
                <w:bCs/>
                <w:sz w:val="28"/>
                <w:szCs w:val="28"/>
              </w:rPr>
            </w:pPr>
          </w:p>
        </w:tc>
        <w:tc>
          <w:tcPr>
            <w:tcW w:w="1440" w:type="dxa"/>
          </w:tcPr>
          <w:p>
            <w:pPr>
              <w:spacing w:line="360" w:lineRule="auto"/>
              <w:rPr>
                <w:rFonts w:ascii="仿宋" w:hAnsi="仿宋" w:eastAsia="仿宋" w:cs="仿宋"/>
                <w:bCs/>
                <w:sz w:val="28"/>
                <w:szCs w:val="28"/>
              </w:rPr>
            </w:pPr>
          </w:p>
        </w:tc>
        <w:tc>
          <w:tcPr>
            <w:tcW w:w="1574" w:type="dxa"/>
          </w:tcPr>
          <w:p>
            <w:pPr>
              <w:spacing w:line="360" w:lineRule="auto"/>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cs="仿宋"/>
                <w:bCs/>
                <w:sz w:val="28"/>
                <w:szCs w:val="28"/>
              </w:rPr>
            </w:pPr>
          </w:p>
        </w:tc>
        <w:tc>
          <w:tcPr>
            <w:tcW w:w="1980" w:type="dxa"/>
          </w:tcPr>
          <w:p>
            <w:pPr>
              <w:spacing w:line="360" w:lineRule="auto"/>
              <w:rPr>
                <w:rFonts w:ascii="仿宋" w:hAnsi="仿宋" w:eastAsia="仿宋" w:cs="仿宋"/>
                <w:bCs/>
                <w:sz w:val="28"/>
                <w:szCs w:val="28"/>
              </w:rPr>
            </w:pPr>
          </w:p>
        </w:tc>
        <w:tc>
          <w:tcPr>
            <w:tcW w:w="1440" w:type="dxa"/>
          </w:tcPr>
          <w:p>
            <w:pPr>
              <w:spacing w:line="360" w:lineRule="auto"/>
              <w:rPr>
                <w:rFonts w:ascii="仿宋" w:hAnsi="仿宋" w:eastAsia="仿宋" w:cs="仿宋"/>
                <w:bCs/>
                <w:sz w:val="28"/>
                <w:szCs w:val="28"/>
              </w:rPr>
            </w:pPr>
          </w:p>
        </w:tc>
        <w:tc>
          <w:tcPr>
            <w:tcW w:w="1440" w:type="dxa"/>
          </w:tcPr>
          <w:p>
            <w:pPr>
              <w:spacing w:line="360" w:lineRule="auto"/>
              <w:rPr>
                <w:rFonts w:ascii="仿宋" w:hAnsi="仿宋" w:eastAsia="仿宋" w:cs="仿宋"/>
                <w:bCs/>
                <w:sz w:val="28"/>
                <w:szCs w:val="28"/>
              </w:rPr>
            </w:pPr>
          </w:p>
        </w:tc>
        <w:tc>
          <w:tcPr>
            <w:tcW w:w="1440" w:type="dxa"/>
          </w:tcPr>
          <w:p>
            <w:pPr>
              <w:spacing w:line="360" w:lineRule="auto"/>
              <w:rPr>
                <w:rFonts w:ascii="仿宋" w:hAnsi="仿宋" w:eastAsia="仿宋" w:cs="仿宋"/>
                <w:bCs/>
                <w:sz w:val="28"/>
                <w:szCs w:val="28"/>
              </w:rPr>
            </w:pPr>
          </w:p>
        </w:tc>
        <w:tc>
          <w:tcPr>
            <w:tcW w:w="1574" w:type="dxa"/>
          </w:tcPr>
          <w:p>
            <w:pPr>
              <w:spacing w:line="360" w:lineRule="auto"/>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tcPr>
          <w:p>
            <w:pPr>
              <w:spacing w:line="360" w:lineRule="auto"/>
              <w:rPr>
                <w:rFonts w:ascii="仿宋" w:hAnsi="仿宋" w:eastAsia="仿宋" w:cs="仿宋"/>
                <w:bCs/>
                <w:sz w:val="28"/>
                <w:szCs w:val="28"/>
              </w:rPr>
            </w:pPr>
          </w:p>
        </w:tc>
        <w:tc>
          <w:tcPr>
            <w:tcW w:w="1980" w:type="dxa"/>
          </w:tcPr>
          <w:p>
            <w:pPr>
              <w:spacing w:line="360" w:lineRule="auto"/>
              <w:rPr>
                <w:rFonts w:ascii="仿宋" w:hAnsi="仿宋" w:eastAsia="仿宋" w:cs="仿宋"/>
                <w:bCs/>
                <w:sz w:val="28"/>
                <w:szCs w:val="28"/>
              </w:rPr>
            </w:pPr>
          </w:p>
        </w:tc>
        <w:tc>
          <w:tcPr>
            <w:tcW w:w="1440" w:type="dxa"/>
          </w:tcPr>
          <w:p>
            <w:pPr>
              <w:spacing w:line="360" w:lineRule="auto"/>
              <w:rPr>
                <w:rFonts w:ascii="仿宋" w:hAnsi="仿宋" w:eastAsia="仿宋" w:cs="仿宋"/>
                <w:bCs/>
                <w:sz w:val="28"/>
                <w:szCs w:val="28"/>
              </w:rPr>
            </w:pPr>
          </w:p>
        </w:tc>
        <w:tc>
          <w:tcPr>
            <w:tcW w:w="1440" w:type="dxa"/>
          </w:tcPr>
          <w:p>
            <w:pPr>
              <w:spacing w:line="360" w:lineRule="auto"/>
              <w:rPr>
                <w:rFonts w:ascii="仿宋" w:hAnsi="仿宋" w:eastAsia="仿宋" w:cs="仿宋"/>
                <w:bCs/>
                <w:sz w:val="28"/>
                <w:szCs w:val="28"/>
              </w:rPr>
            </w:pPr>
          </w:p>
        </w:tc>
        <w:tc>
          <w:tcPr>
            <w:tcW w:w="1440" w:type="dxa"/>
          </w:tcPr>
          <w:p>
            <w:pPr>
              <w:spacing w:line="360" w:lineRule="auto"/>
              <w:rPr>
                <w:rFonts w:ascii="仿宋" w:hAnsi="仿宋" w:eastAsia="仿宋" w:cs="仿宋"/>
                <w:bCs/>
                <w:sz w:val="28"/>
                <w:szCs w:val="28"/>
              </w:rPr>
            </w:pPr>
          </w:p>
        </w:tc>
        <w:tc>
          <w:tcPr>
            <w:tcW w:w="1574" w:type="dxa"/>
          </w:tcPr>
          <w:p>
            <w:pPr>
              <w:spacing w:line="360" w:lineRule="auto"/>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cs="仿宋"/>
                <w:bCs/>
                <w:sz w:val="28"/>
                <w:szCs w:val="28"/>
              </w:rPr>
            </w:pPr>
          </w:p>
        </w:tc>
        <w:tc>
          <w:tcPr>
            <w:tcW w:w="1980" w:type="dxa"/>
          </w:tcPr>
          <w:p>
            <w:pPr>
              <w:spacing w:line="360" w:lineRule="auto"/>
              <w:rPr>
                <w:rFonts w:ascii="仿宋" w:hAnsi="仿宋" w:eastAsia="仿宋" w:cs="仿宋"/>
                <w:bCs/>
                <w:sz w:val="28"/>
                <w:szCs w:val="28"/>
              </w:rPr>
            </w:pPr>
          </w:p>
        </w:tc>
        <w:tc>
          <w:tcPr>
            <w:tcW w:w="1440" w:type="dxa"/>
          </w:tcPr>
          <w:p>
            <w:pPr>
              <w:spacing w:line="360" w:lineRule="auto"/>
              <w:rPr>
                <w:rFonts w:ascii="仿宋" w:hAnsi="仿宋" w:eastAsia="仿宋" w:cs="仿宋"/>
                <w:bCs/>
                <w:sz w:val="28"/>
                <w:szCs w:val="28"/>
              </w:rPr>
            </w:pPr>
          </w:p>
        </w:tc>
        <w:tc>
          <w:tcPr>
            <w:tcW w:w="1440" w:type="dxa"/>
          </w:tcPr>
          <w:p>
            <w:pPr>
              <w:spacing w:line="360" w:lineRule="auto"/>
              <w:rPr>
                <w:rFonts w:ascii="仿宋" w:hAnsi="仿宋" w:eastAsia="仿宋" w:cs="仿宋"/>
                <w:bCs/>
                <w:sz w:val="28"/>
                <w:szCs w:val="28"/>
              </w:rPr>
            </w:pPr>
          </w:p>
        </w:tc>
        <w:tc>
          <w:tcPr>
            <w:tcW w:w="1440" w:type="dxa"/>
          </w:tcPr>
          <w:p>
            <w:pPr>
              <w:spacing w:line="360" w:lineRule="auto"/>
              <w:rPr>
                <w:rFonts w:ascii="仿宋" w:hAnsi="仿宋" w:eastAsia="仿宋" w:cs="仿宋"/>
                <w:bCs/>
                <w:sz w:val="28"/>
                <w:szCs w:val="28"/>
              </w:rPr>
            </w:pPr>
          </w:p>
        </w:tc>
        <w:tc>
          <w:tcPr>
            <w:tcW w:w="1574" w:type="dxa"/>
          </w:tcPr>
          <w:p>
            <w:pPr>
              <w:spacing w:line="360" w:lineRule="auto"/>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cs="仿宋"/>
                <w:bCs/>
                <w:sz w:val="28"/>
                <w:szCs w:val="28"/>
              </w:rPr>
            </w:pPr>
          </w:p>
        </w:tc>
        <w:tc>
          <w:tcPr>
            <w:tcW w:w="1980" w:type="dxa"/>
          </w:tcPr>
          <w:p>
            <w:pPr>
              <w:spacing w:line="360" w:lineRule="auto"/>
              <w:rPr>
                <w:rFonts w:ascii="仿宋" w:hAnsi="仿宋" w:eastAsia="仿宋" w:cs="仿宋"/>
                <w:bCs/>
                <w:sz w:val="28"/>
                <w:szCs w:val="28"/>
              </w:rPr>
            </w:pPr>
          </w:p>
        </w:tc>
        <w:tc>
          <w:tcPr>
            <w:tcW w:w="1440" w:type="dxa"/>
          </w:tcPr>
          <w:p>
            <w:pPr>
              <w:spacing w:line="360" w:lineRule="auto"/>
              <w:rPr>
                <w:rFonts w:ascii="仿宋" w:hAnsi="仿宋" w:eastAsia="仿宋" w:cs="仿宋"/>
                <w:bCs/>
                <w:sz w:val="28"/>
                <w:szCs w:val="28"/>
              </w:rPr>
            </w:pPr>
          </w:p>
        </w:tc>
        <w:tc>
          <w:tcPr>
            <w:tcW w:w="1440" w:type="dxa"/>
          </w:tcPr>
          <w:p>
            <w:pPr>
              <w:spacing w:line="360" w:lineRule="auto"/>
              <w:rPr>
                <w:rFonts w:ascii="仿宋" w:hAnsi="仿宋" w:eastAsia="仿宋" w:cs="仿宋"/>
                <w:bCs/>
                <w:sz w:val="28"/>
                <w:szCs w:val="28"/>
              </w:rPr>
            </w:pPr>
          </w:p>
        </w:tc>
        <w:tc>
          <w:tcPr>
            <w:tcW w:w="1440" w:type="dxa"/>
          </w:tcPr>
          <w:p>
            <w:pPr>
              <w:spacing w:line="360" w:lineRule="auto"/>
              <w:rPr>
                <w:rFonts w:ascii="仿宋" w:hAnsi="仿宋" w:eastAsia="仿宋" w:cs="仿宋"/>
                <w:bCs/>
                <w:sz w:val="28"/>
                <w:szCs w:val="28"/>
              </w:rPr>
            </w:pPr>
          </w:p>
        </w:tc>
        <w:tc>
          <w:tcPr>
            <w:tcW w:w="1574" w:type="dxa"/>
          </w:tcPr>
          <w:p>
            <w:pPr>
              <w:spacing w:line="360" w:lineRule="auto"/>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cs="仿宋"/>
                <w:bCs/>
                <w:sz w:val="28"/>
                <w:szCs w:val="28"/>
              </w:rPr>
            </w:pPr>
          </w:p>
        </w:tc>
        <w:tc>
          <w:tcPr>
            <w:tcW w:w="1980" w:type="dxa"/>
          </w:tcPr>
          <w:p>
            <w:pPr>
              <w:spacing w:line="360" w:lineRule="auto"/>
              <w:rPr>
                <w:rFonts w:ascii="仿宋" w:hAnsi="仿宋" w:eastAsia="仿宋" w:cs="仿宋"/>
                <w:bCs/>
                <w:sz w:val="28"/>
                <w:szCs w:val="28"/>
              </w:rPr>
            </w:pPr>
          </w:p>
        </w:tc>
        <w:tc>
          <w:tcPr>
            <w:tcW w:w="1440" w:type="dxa"/>
          </w:tcPr>
          <w:p>
            <w:pPr>
              <w:spacing w:line="360" w:lineRule="auto"/>
              <w:rPr>
                <w:rFonts w:ascii="仿宋" w:hAnsi="仿宋" w:eastAsia="仿宋" w:cs="仿宋"/>
                <w:bCs/>
                <w:sz w:val="28"/>
                <w:szCs w:val="28"/>
              </w:rPr>
            </w:pPr>
          </w:p>
        </w:tc>
        <w:tc>
          <w:tcPr>
            <w:tcW w:w="1440" w:type="dxa"/>
          </w:tcPr>
          <w:p>
            <w:pPr>
              <w:spacing w:line="360" w:lineRule="auto"/>
              <w:rPr>
                <w:rFonts w:ascii="仿宋" w:hAnsi="仿宋" w:eastAsia="仿宋" w:cs="仿宋"/>
                <w:bCs/>
                <w:sz w:val="28"/>
                <w:szCs w:val="28"/>
              </w:rPr>
            </w:pPr>
          </w:p>
        </w:tc>
        <w:tc>
          <w:tcPr>
            <w:tcW w:w="1440" w:type="dxa"/>
          </w:tcPr>
          <w:p>
            <w:pPr>
              <w:spacing w:line="360" w:lineRule="auto"/>
              <w:rPr>
                <w:rFonts w:ascii="仿宋" w:hAnsi="仿宋" w:eastAsia="仿宋" w:cs="仿宋"/>
                <w:bCs/>
                <w:sz w:val="28"/>
                <w:szCs w:val="28"/>
              </w:rPr>
            </w:pPr>
          </w:p>
        </w:tc>
        <w:tc>
          <w:tcPr>
            <w:tcW w:w="1574" w:type="dxa"/>
          </w:tcPr>
          <w:p>
            <w:pPr>
              <w:spacing w:line="360" w:lineRule="auto"/>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tcPr>
          <w:p>
            <w:pPr>
              <w:spacing w:line="360" w:lineRule="auto"/>
              <w:rPr>
                <w:rFonts w:ascii="仿宋" w:hAnsi="仿宋" w:eastAsia="仿宋" w:cs="仿宋"/>
                <w:bCs/>
                <w:sz w:val="28"/>
                <w:szCs w:val="28"/>
              </w:rPr>
            </w:pPr>
          </w:p>
        </w:tc>
        <w:tc>
          <w:tcPr>
            <w:tcW w:w="1980" w:type="dxa"/>
          </w:tcPr>
          <w:p>
            <w:pPr>
              <w:spacing w:line="360" w:lineRule="auto"/>
              <w:rPr>
                <w:rFonts w:ascii="仿宋" w:hAnsi="仿宋" w:eastAsia="仿宋" w:cs="仿宋"/>
                <w:bCs/>
                <w:sz w:val="28"/>
                <w:szCs w:val="28"/>
              </w:rPr>
            </w:pPr>
          </w:p>
        </w:tc>
        <w:tc>
          <w:tcPr>
            <w:tcW w:w="1440" w:type="dxa"/>
          </w:tcPr>
          <w:p>
            <w:pPr>
              <w:spacing w:line="360" w:lineRule="auto"/>
              <w:rPr>
                <w:rFonts w:ascii="仿宋" w:hAnsi="仿宋" w:eastAsia="仿宋" w:cs="仿宋"/>
                <w:bCs/>
                <w:sz w:val="28"/>
                <w:szCs w:val="28"/>
              </w:rPr>
            </w:pPr>
          </w:p>
        </w:tc>
        <w:tc>
          <w:tcPr>
            <w:tcW w:w="1440" w:type="dxa"/>
          </w:tcPr>
          <w:p>
            <w:pPr>
              <w:spacing w:line="360" w:lineRule="auto"/>
              <w:rPr>
                <w:rFonts w:ascii="仿宋" w:hAnsi="仿宋" w:eastAsia="仿宋" w:cs="仿宋"/>
                <w:bCs/>
                <w:sz w:val="28"/>
                <w:szCs w:val="28"/>
              </w:rPr>
            </w:pPr>
          </w:p>
        </w:tc>
        <w:tc>
          <w:tcPr>
            <w:tcW w:w="1440" w:type="dxa"/>
          </w:tcPr>
          <w:p>
            <w:pPr>
              <w:spacing w:line="360" w:lineRule="auto"/>
              <w:rPr>
                <w:rFonts w:ascii="仿宋" w:hAnsi="仿宋" w:eastAsia="仿宋" w:cs="仿宋"/>
                <w:bCs/>
                <w:sz w:val="28"/>
                <w:szCs w:val="28"/>
              </w:rPr>
            </w:pPr>
          </w:p>
        </w:tc>
        <w:tc>
          <w:tcPr>
            <w:tcW w:w="1574" w:type="dxa"/>
          </w:tcPr>
          <w:p>
            <w:pPr>
              <w:spacing w:line="360" w:lineRule="auto"/>
              <w:rPr>
                <w:rFonts w:ascii="仿宋" w:hAnsi="仿宋" w:eastAsia="仿宋" w:cs="仿宋"/>
                <w:bCs/>
                <w:sz w:val="28"/>
                <w:szCs w:val="28"/>
              </w:rPr>
            </w:pPr>
          </w:p>
        </w:tc>
      </w:tr>
    </w:tbl>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r>
        <w:rPr>
          <w:rFonts w:hint="eastAsia" w:ascii="仿宋" w:hAnsi="仿宋" w:eastAsia="仿宋" w:cs="仿宋"/>
          <w:sz w:val="28"/>
          <w:szCs w:val="28"/>
        </w:rPr>
        <w:t xml:space="preserve">                                日期：    年   月  日</w:t>
      </w:r>
    </w:p>
    <w:p>
      <w:pPr>
        <w:spacing w:line="360" w:lineRule="auto"/>
        <w:ind w:left="840" w:hanging="840" w:hangingChars="300"/>
        <w:rPr>
          <w:rFonts w:ascii="仿宋" w:hAnsi="仿宋" w:eastAsia="仿宋" w:cs="仿宋"/>
          <w:bCs/>
          <w:sz w:val="28"/>
          <w:szCs w:val="28"/>
        </w:rPr>
      </w:pPr>
      <w:r>
        <w:rPr>
          <w:rFonts w:hint="eastAsia" w:ascii="仿宋" w:hAnsi="仿宋" w:eastAsia="仿宋" w:cs="仿宋"/>
          <w:sz w:val="28"/>
          <w:szCs w:val="28"/>
        </w:rPr>
        <w:t>注：1、</w:t>
      </w:r>
      <w:r>
        <w:rPr>
          <w:rFonts w:hint="eastAsia" w:ascii="仿宋" w:hAnsi="仿宋" w:eastAsia="仿宋" w:cs="仿宋"/>
          <w:bCs/>
          <w:sz w:val="28"/>
          <w:szCs w:val="28"/>
        </w:rPr>
        <w:t>企业业绩是指投标人2018年1月1日至今采购货物（设备）已签署的项目合同(附合同复印件并加盖电子签章）；</w:t>
      </w:r>
    </w:p>
    <w:p>
      <w:pPr>
        <w:spacing w:line="360" w:lineRule="auto"/>
        <w:ind w:firstLine="420" w:firstLineChars="150"/>
        <w:rPr>
          <w:rFonts w:ascii="仿宋" w:hAnsi="仿宋" w:eastAsia="仿宋" w:cs="仿宋"/>
          <w:sz w:val="28"/>
          <w:szCs w:val="28"/>
        </w:rPr>
      </w:pPr>
      <w:r>
        <w:rPr>
          <w:rFonts w:hint="eastAsia" w:ascii="仿宋" w:hAnsi="仿宋" w:eastAsia="仿宋" w:cs="仿宋"/>
          <w:sz w:val="28"/>
          <w:szCs w:val="28"/>
        </w:rPr>
        <w:t>2、此表仅提供了表格形式，投标人应根据需要准备足够数量的表格来填写。</w:t>
      </w:r>
    </w:p>
    <w:p>
      <w:pPr>
        <w:pStyle w:val="9"/>
        <w:spacing w:line="500" w:lineRule="exact"/>
        <w:ind w:firstLine="0"/>
        <w:rPr>
          <w:rFonts w:ascii="仿宋" w:hAnsi="仿宋" w:eastAsia="仿宋" w:cs="仿宋"/>
          <w:b/>
          <w:bCs/>
          <w:sz w:val="28"/>
          <w:szCs w:val="28"/>
        </w:rPr>
      </w:pPr>
      <w:r>
        <w:rPr>
          <w:rFonts w:hint="eastAsia" w:ascii="仿宋" w:hAnsi="仿宋" w:eastAsia="仿宋" w:cs="仿宋"/>
          <w:b/>
          <w:sz w:val="28"/>
          <w:szCs w:val="28"/>
        </w:rPr>
        <w:t>附件7：</w:t>
      </w:r>
      <w:r>
        <w:rPr>
          <w:rFonts w:hint="eastAsia" w:ascii="仿宋" w:hAnsi="仿宋" w:eastAsia="仿宋" w:cs="仿宋"/>
          <w:sz w:val="28"/>
          <w:szCs w:val="28"/>
        </w:rPr>
        <w:t xml:space="preserve"> </w:t>
      </w:r>
    </w:p>
    <w:p>
      <w:pPr>
        <w:snapToGrid w:val="0"/>
        <w:spacing w:before="50" w:after="50"/>
        <w:jc w:val="center"/>
        <w:rPr>
          <w:rFonts w:ascii="仿宋" w:hAnsi="仿宋" w:eastAsia="仿宋" w:cs="仿宋"/>
          <w:b/>
          <w:sz w:val="28"/>
          <w:szCs w:val="28"/>
        </w:rPr>
      </w:pPr>
      <w:r>
        <w:rPr>
          <w:rFonts w:hint="eastAsia" w:ascii="仿宋" w:hAnsi="仿宋" w:eastAsia="仿宋" w:cs="仿宋"/>
          <w:b/>
          <w:sz w:val="28"/>
          <w:szCs w:val="28"/>
        </w:rPr>
        <w:t>商务条款偏离表</w:t>
      </w:r>
    </w:p>
    <w:p>
      <w:pPr>
        <w:spacing w:line="360" w:lineRule="auto"/>
        <w:rPr>
          <w:rFonts w:ascii="仿宋" w:hAnsi="仿宋" w:eastAsia="仿宋" w:cs="仿宋"/>
          <w:sz w:val="28"/>
          <w:szCs w:val="28"/>
        </w:rPr>
      </w:pPr>
      <w:r>
        <w:rPr>
          <w:rFonts w:hint="eastAsia" w:ascii="仿宋" w:hAnsi="仿宋" w:eastAsia="仿宋" w:cs="仿宋"/>
          <w:sz w:val="28"/>
          <w:szCs w:val="28"/>
        </w:rPr>
        <w:t>投标人全称（电子签章）：           招标文件编号：</w:t>
      </w:r>
    </w:p>
    <w:tbl>
      <w:tblPr>
        <w:tblStyle w:val="31"/>
        <w:tblW w:w="872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3060"/>
        <w:gridCol w:w="3060"/>
        <w:gridCol w:w="17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序号</w:t>
            </w: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招标文件的商务条款</w:t>
            </w: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投标文件的商务条款</w:t>
            </w:r>
          </w:p>
        </w:tc>
        <w:tc>
          <w:tcPr>
            <w:tcW w:w="17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sz w:val="28"/>
                <w:szCs w:val="28"/>
              </w:rPr>
            </w:pPr>
            <w:r>
              <w:rPr>
                <w:rFonts w:hint="eastAsia" w:ascii="仿宋" w:hAnsi="仿宋" w:eastAsia="仿宋" w:cs="仿宋"/>
                <w:sz w:val="28"/>
                <w:szCs w:val="28"/>
              </w:rPr>
              <w:t>偏离原因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ascii="仿宋" w:hAnsi="仿宋" w:eastAsia="仿宋" w:cs="仿宋"/>
                <w:sz w:val="28"/>
                <w:szCs w:val="28"/>
              </w:rPr>
            </w:pPr>
          </w:p>
        </w:tc>
      </w:tr>
    </w:tbl>
    <w:p>
      <w:pPr>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r>
        <w:rPr>
          <w:rFonts w:hint="eastAsia" w:ascii="仿宋" w:hAnsi="仿宋" w:eastAsia="仿宋" w:cs="仿宋"/>
          <w:sz w:val="28"/>
          <w:szCs w:val="28"/>
        </w:rPr>
        <w:t xml:space="preserve">                                日期：    年  月  日</w:t>
      </w:r>
    </w:p>
    <w:p>
      <w:pPr>
        <w:rPr>
          <w:rFonts w:ascii="仿宋" w:hAnsi="仿宋" w:eastAsia="仿宋" w:cs="仿宋"/>
          <w:sz w:val="28"/>
          <w:szCs w:val="28"/>
        </w:rPr>
      </w:pPr>
    </w:p>
    <w:p>
      <w:pPr>
        <w:spacing w:line="360" w:lineRule="auto"/>
        <w:jc w:val="center"/>
        <w:rPr>
          <w:rFonts w:ascii="仿宋" w:hAnsi="仿宋" w:eastAsia="仿宋" w:cs="仿宋"/>
          <w:sz w:val="28"/>
          <w:szCs w:val="28"/>
        </w:rPr>
      </w:pPr>
      <w:r>
        <w:rPr>
          <w:rFonts w:hint="eastAsia" w:ascii="仿宋" w:hAnsi="仿宋" w:eastAsia="仿宋" w:cs="仿宋"/>
          <w:sz w:val="28"/>
          <w:szCs w:val="28"/>
        </w:rPr>
        <w:t>注：此表仅提供了表格形式，投标人应根据需要准备足够数量的表格来填写。</w:t>
      </w:r>
    </w:p>
    <w:p>
      <w:pPr>
        <w:jc w:val="left"/>
        <w:rPr>
          <w:rFonts w:ascii="仿宋" w:hAnsi="仿宋" w:eastAsia="仿宋" w:cs="仿宋"/>
          <w:b/>
          <w:sz w:val="28"/>
          <w:szCs w:val="28"/>
        </w:rPr>
      </w:pPr>
      <w:r>
        <w:rPr>
          <w:rFonts w:hint="eastAsia" w:ascii="仿宋" w:hAnsi="仿宋" w:eastAsia="仿宋" w:cs="仿宋"/>
          <w:b/>
          <w:sz w:val="28"/>
          <w:szCs w:val="28"/>
        </w:rPr>
        <w:t>附件8：</w:t>
      </w:r>
    </w:p>
    <w:p>
      <w:pPr>
        <w:snapToGrid w:val="0"/>
        <w:spacing w:before="50" w:after="50"/>
        <w:jc w:val="center"/>
        <w:rPr>
          <w:rFonts w:ascii="仿宋" w:hAnsi="仿宋" w:eastAsia="仿宋" w:cs="仿宋"/>
          <w:b/>
          <w:sz w:val="28"/>
          <w:szCs w:val="28"/>
        </w:rPr>
      </w:pPr>
    </w:p>
    <w:p>
      <w:pPr>
        <w:snapToGrid w:val="0"/>
        <w:spacing w:before="50" w:after="50"/>
        <w:jc w:val="center"/>
        <w:rPr>
          <w:rFonts w:ascii="仿宋" w:hAnsi="仿宋" w:eastAsia="仿宋" w:cs="仿宋"/>
          <w:b/>
          <w:sz w:val="28"/>
          <w:szCs w:val="28"/>
        </w:rPr>
      </w:pPr>
      <w:r>
        <w:rPr>
          <w:rFonts w:hint="eastAsia" w:ascii="仿宋" w:hAnsi="仿宋" w:eastAsia="仿宋" w:cs="仿宋"/>
          <w:b/>
          <w:sz w:val="28"/>
          <w:szCs w:val="28"/>
        </w:rPr>
        <w:t>开标一览表（报价表）</w:t>
      </w:r>
    </w:p>
    <w:p>
      <w:pPr>
        <w:rPr>
          <w:rFonts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sz w:val="28"/>
          <w:szCs w:val="28"/>
        </w:rPr>
        <w:t xml:space="preserve">投标人全称（电子签章）：           招标文件编号：          </w:t>
      </w:r>
    </w:p>
    <w:tbl>
      <w:tblPr>
        <w:tblStyle w:val="31"/>
        <w:tblW w:w="8177"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7"/>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8" w:hRule="atLeast"/>
        </w:trPr>
        <w:tc>
          <w:tcPr>
            <w:tcW w:w="2417" w:type="dxa"/>
            <w:vAlign w:val="center"/>
          </w:tcPr>
          <w:p>
            <w:pPr>
              <w:jc w:val="center"/>
              <w:rPr>
                <w:rFonts w:ascii="仿宋" w:hAnsi="仿宋" w:eastAsia="仿宋" w:cs="仿宋"/>
                <w:sz w:val="28"/>
                <w:szCs w:val="28"/>
              </w:rPr>
            </w:pPr>
            <w:r>
              <w:rPr>
                <w:rFonts w:hint="eastAsia" w:ascii="仿宋" w:hAnsi="仿宋" w:eastAsia="仿宋" w:cs="仿宋"/>
                <w:sz w:val="28"/>
                <w:szCs w:val="28"/>
              </w:rPr>
              <w:t>投标项目名称</w:t>
            </w:r>
          </w:p>
        </w:tc>
        <w:tc>
          <w:tcPr>
            <w:tcW w:w="5760" w:type="dxa"/>
            <w:vAlign w:val="center"/>
          </w:tcPr>
          <w:p>
            <w:pPr>
              <w:spacing w:line="500" w:lineRule="exact"/>
              <w:jc w:val="center"/>
              <w:rPr>
                <w:rFonts w:ascii="仿宋" w:hAnsi="仿宋" w:eastAsia="仿宋" w:cs="仿宋"/>
                <w:b/>
                <w:sz w:val="28"/>
                <w:szCs w:val="28"/>
              </w:rPr>
            </w:pPr>
          </w:p>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8" w:hRule="atLeast"/>
        </w:trPr>
        <w:tc>
          <w:tcPr>
            <w:tcW w:w="2417" w:type="dxa"/>
            <w:vAlign w:val="center"/>
          </w:tcPr>
          <w:p>
            <w:pPr>
              <w:jc w:val="center"/>
              <w:rPr>
                <w:rFonts w:ascii="仿宋" w:hAnsi="仿宋" w:eastAsia="仿宋" w:cs="仿宋"/>
                <w:sz w:val="28"/>
                <w:szCs w:val="28"/>
              </w:rPr>
            </w:pPr>
            <w:r>
              <w:rPr>
                <w:rFonts w:hint="eastAsia" w:ascii="仿宋" w:hAnsi="仿宋" w:eastAsia="仿宋" w:cs="仿宋"/>
                <w:sz w:val="28"/>
                <w:szCs w:val="28"/>
              </w:rPr>
              <w:t>投标有效期</w:t>
            </w:r>
          </w:p>
        </w:tc>
        <w:tc>
          <w:tcPr>
            <w:tcW w:w="5760" w:type="dxa"/>
            <w:vAlign w:val="center"/>
          </w:tcPr>
          <w:p>
            <w:pPr>
              <w:jc w:val="center"/>
              <w:rPr>
                <w:rFonts w:ascii="仿宋" w:hAnsi="仿宋" w:eastAsia="仿宋" w:cs="仿宋"/>
                <w:sz w:val="28"/>
                <w:szCs w:val="28"/>
              </w:rPr>
            </w:pPr>
            <w:r>
              <w:rPr>
                <w:rFonts w:hint="eastAsia" w:ascii="仿宋" w:hAnsi="仿宋" w:eastAsia="仿宋" w:cs="仿宋"/>
                <w:sz w:val="28"/>
                <w:szCs w:val="28"/>
              </w:rPr>
              <w:t>120天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0" w:hRule="atLeast"/>
        </w:trPr>
        <w:tc>
          <w:tcPr>
            <w:tcW w:w="2417" w:type="dxa"/>
            <w:tcBorders>
              <w:top w:val="single" w:color="auto" w:sz="4" w:space="0"/>
            </w:tcBorders>
            <w:vAlign w:val="center"/>
          </w:tcPr>
          <w:p>
            <w:pPr>
              <w:jc w:val="center"/>
              <w:rPr>
                <w:rFonts w:ascii="仿宋" w:hAnsi="仿宋" w:eastAsia="仿宋" w:cs="仿宋"/>
                <w:sz w:val="28"/>
                <w:szCs w:val="28"/>
              </w:rPr>
            </w:pPr>
            <w:r>
              <w:rPr>
                <w:rFonts w:hint="eastAsia" w:ascii="仿宋" w:hAnsi="仿宋" w:eastAsia="仿宋" w:cs="仿宋"/>
                <w:b/>
                <w:bCs/>
                <w:spacing w:val="14"/>
                <w:sz w:val="28"/>
                <w:szCs w:val="28"/>
              </w:rPr>
              <w:t>投标优惠比率（%）</w:t>
            </w:r>
          </w:p>
          <w:p>
            <w:pPr>
              <w:jc w:val="center"/>
              <w:rPr>
                <w:rFonts w:ascii="仿宋" w:hAnsi="仿宋" w:eastAsia="仿宋" w:cs="仿宋"/>
                <w:sz w:val="28"/>
                <w:szCs w:val="28"/>
              </w:rPr>
            </w:pPr>
          </w:p>
        </w:tc>
        <w:tc>
          <w:tcPr>
            <w:tcW w:w="5760" w:type="dxa"/>
            <w:vAlign w:val="center"/>
          </w:tcPr>
          <w:p>
            <w:pPr>
              <w:jc w:val="center"/>
              <w:rPr>
                <w:rFonts w:ascii="仿宋" w:hAnsi="仿宋" w:eastAsia="仿宋" w:cs="仿宋"/>
                <w:sz w:val="28"/>
                <w:szCs w:val="28"/>
              </w:rPr>
            </w:pPr>
          </w:p>
        </w:tc>
      </w:tr>
    </w:tbl>
    <w:p>
      <w:pPr>
        <w:rPr>
          <w:rFonts w:ascii="仿宋" w:hAnsi="仿宋" w:eastAsia="仿宋" w:cs="仿宋"/>
          <w:sz w:val="28"/>
          <w:szCs w:val="28"/>
        </w:rPr>
      </w:pPr>
    </w:p>
    <w:p>
      <w:pPr>
        <w:rPr>
          <w:rFonts w:ascii="仿宋" w:hAnsi="仿宋" w:eastAsia="仿宋" w:cs="仿宋"/>
          <w:sz w:val="28"/>
          <w:szCs w:val="28"/>
        </w:rPr>
      </w:pPr>
    </w:p>
    <w:p>
      <w:pPr>
        <w:spacing w:line="500" w:lineRule="exact"/>
        <w:jc w:val="center"/>
        <w:rPr>
          <w:rFonts w:ascii="仿宋" w:hAnsi="仿宋" w:eastAsia="仿宋" w:cs="仿宋"/>
          <w:sz w:val="28"/>
          <w:szCs w:val="28"/>
        </w:rPr>
      </w:pPr>
      <w:r>
        <w:rPr>
          <w:rFonts w:hint="eastAsia" w:ascii="仿宋" w:hAnsi="仿宋" w:eastAsia="仿宋" w:cs="仿宋"/>
          <w:sz w:val="28"/>
          <w:szCs w:val="28"/>
        </w:rPr>
        <w:t xml:space="preserve">                                日期：    年  月  日</w:t>
      </w:r>
    </w:p>
    <w:p>
      <w:pPr>
        <w:spacing w:line="500" w:lineRule="exact"/>
        <w:jc w:val="center"/>
        <w:rPr>
          <w:rFonts w:ascii="仿宋" w:hAnsi="仿宋" w:eastAsia="仿宋" w:cs="仿宋"/>
          <w:sz w:val="28"/>
          <w:szCs w:val="28"/>
        </w:rPr>
      </w:pPr>
    </w:p>
    <w:p>
      <w:pPr>
        <w:spacing w:line="500" w:lineRule="exact"/>
        <w:jc w:val="center"/>
        <w:rPr>
          <w:rFonts w:ascii="仿宋" w:hAnsi="仿宋" w:eastAsia="仿宋" w:cs="仿宋"/>
          <w:sz w:val="28"/>
          <w:szCs w:val="28"/>
        </w:rPr>
      </w:pPr>
    </w:p>
    <w:p>
      <w:pPr>
        <w:spacing w:line="500" w:lineRule="exact"/>
        <w:rPr>
          <w:rFonts w:ascii="仿宋" w:hAnsi="仿宋" w:eastAsia="仿宋" w:cs="仿宋"/>
          <w:b/>
          <w:bCs/>
          <w:spacing w:val="14"/>
          <w:sz w:val="28"/>
          <w:szCs w:val="28"/>
        </w:rPr>
      </w:pPr>
    </w:p>
    <w:p>
      <w:pPr>
        <w:spacing w:line="500" w:lineRule="exact"/>
        <w:rPr>
          <w:rFonts w:ascii="仿宋" w:hAnsi="仿宋" w:eastAsia="仿宋" w:cs="仿宋"/>
          <w:b/>
          <w:bCs/>
          <w:spacing w:val="14"/>
          <w:sz w:val="28"/>
          <w:szCs w:val="28"/>
        </w:rPr>
        <w:sectPr>
          <w:pgSz w:w="11906" w:h="16838"/>
          <w:pgMar w:top="1440" w:right="1797" w:bottom="1440" w:left="1797" w:header="851" w:footer="992" w:gutter="0"/>
          <w:cols w:space="425" w:num="1"/>
          <w:docGrid w:linePitch="312" w:charSpace="0"/>
        </w:sectPr>
      </w:pPr>
    </w:p>
    <w:p>
      <w:pPr>
        <w:rPr>
          <w:rFonts w:ascii="仿宋" w:hAnsi="仿宋" w:eastAsia="仿宋" w:cs="仿宋"/>
          <w:b/>
          <w:color w:val="000000"/>
          <w:sz w:val="28"/>
          <w:szCs w:val="28"/>
        </w:rPr>
      </w:pPr>
      <w:r>
        <w:rPr>
          <w:rFonts w:hint="eastAsia" w:ascii="仿宋" w:hAnsi="仿宋" w:eastAsia="仿宋" w:cs="仿宋"/>
          <w:b/>
          <w:color w:val="000000"/>
          <w:sz w:val="28"/>
          <w:szCs w:val="28"/>
        </w:rPr>
        <w:t>附件9：</w:t>
      </w:r>
    </w:p>
    <w:p>
      <w:pPr>
        <w:jc w:val="center"/>
        <w:rPr>
          <w:rFonts w:ascii="仿宋" w:hAnsi="仿宋" w:eastAsia="仿宋" w:cs="仿宋"/>
          <w:b/>
          <w:color w:val="000000"/>
          <w:sz w:val="28"/>
          <w:szCs w:val="28"/>
        </w:rPr>
      </w:pPr>
      <w:r>
        <w:rPr>
          <w:rFonts w:hint="eastAsia" w:ascii="仿宋" w:hAnsi="仿宋" w:eastAsia="仿宋" w:cs="仿宋"/>
          <w:b/>
          <w:color w:val="000000"/>
          <w:sz w:val="28"/>
          <w:szCs w:val="28"/>
        </w:rPr>
        <w:t>中小企业声明函(服务)</w:t>
      </w:r>
    </w:p>
    <w:p>
      <w:pPr>
        <w:jc w:val="center"/>
        <w:rPr>
          <w:rFonts w:ascii="仿宋" w:hAnsi="仿宋" w:eastAsia="仿宋" w:cs="仿宋"/>
          <w:sz w:val="28"/>
          <w:szCs w:val="28"/>
        </w:rPr>
      </w:pPr>
    </w:p>
    <w:p>
      <w:pPr>
        <w:spacing w:line="480" w:lineRule="exact"/>
        <w:ind w:firstLine="555"/>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本公司（联合体）郑重声明，根据《政府采购促进中小企业发展管理办法》（财库（2020)46号)的规定，本公司（联合体)参加</w:t>
      </w:r>
      <w:r>
        <w:rPr>
          <w:rFonts w:hint="eastAsia" w:ascii="仿宋" w:hAnsi="仿宋" w:eastAsia="仿宋" w:cs="仿宋"/>
          <w:sz w:val="28"/>
          <w:szCs w:val="28"/>
          <w:u w:val="single"/>
        </w:rPr>
        <w:t>(单位名称）</w:t>
      </w:r>
      <w:r>
        <w:rPr>
          <w:rFonts w:hint="eastAsia" w:ascii="仿宋" w:hAnsi="仿宋" w:eastAsia="仿宋" w:cs="仿宋"/>
          <w:sz w:val="28"/>
          <w:szCs w:val="28"/>
        </w:rPr>
        <w:t>的</w:t>
      </w:r>
      <w:r>
        <w:rPr>
          <w:rFonts w:hint="eastAsia" w:ascii="仿宋" w:hAnsi="仿宋" w:eastAsia="仿宋" w:cs="仿宋"/>
          <w:sz w:val="28"/>
          <w:szCs w:val="28"/>
          <w:u w:val="single"/>
        </w:rPr>
        <w:t>（项目名称）</w:t>
      </w:r>
      <w:r>
        <w:rPr>
          <w:rFonts w:hint="eastAsia" w:ascii="仿宋" w:hAnsi="仿宋" w:eastAsia="仿宋" w:cs="仿宋"/>
          <w:sz w:val="28"/>
          <w:szCs w:val="28"/>
        </w:rPr>
        <w:t>采购活动，提供的货物全部由符合政策要求的中小企业制造。相关企</w:t>
      </w:r>
      <w:r>
        <w:rPr>
          <w:rFonts w:hint="eastAsia" w:ascii="仿宋" w:hAnsi="仿宋" w:eastAsia="仿宋" w:cs="仿宋"/>
          <w:color w:val="000000" w:themeColor="text1"/>
          <w:sz w:val="28"/>
          <w:szCs w:val="28"/>
          <w14:textFill>
            <w14:solidFill>
              <w14:schemeClr w14:val="tx1"/>
            </w14:solidFill>
          </w14:textFill>
        </w:rPr>
        <w:t>业（含联合体中的中小企业、签订分包意向</w:t>
      </w:r>
    </w:p>
    <w:p>
      <w:pPr>
        <w:spacing w:line="480" w:lineRule="exact"/>
        <w:rPr>
          <w:rFonts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t>协议的中小企业）的具体情</w:t>
      </w:r>
      <w:r>
        <w:rPr>
          <w:rFonts w:hint="eastAsia" w:ascii="仿宋" w:hAnsi="仿宋" w:eastAsia="仿宋" w:cs="仿宋"/>
          <w:sz w:val="28"/>
          <w:szCs w:val="28"/>
        </w:rPr>
        <w:t>况如下：</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u w:val="single"/>
        </w:rPr>
        <w:t>（标的名称）</w:t>
      </w:r>
      <w:r>
        <w:rPr>
          <w:rFonts w:hint="eastAsia" w:ascii="仿宋" w:hAnsi="仿宋" w:eastAsia="仿宋" w:cs="仿宋"/>
          <w:sz w:val="28"/>
          <w:szCs w:val="28"/>
        </w:rPr>
        <w:t>，属于</w:t>
      </w:r>
      <w:r>
        <w:rPr>
          <w:rFonts w:hint="eastAsia" w:ascii="仿宋" w:hAnsi="仿宋" w:eastAsia="仿宋" w:cs="仿宋"/>
          <w:sz w:val="28"/>
          <w:szCs w:val="28"/>
          <w:u w:val="single"/>
        </w:rPr>
        <w:t>（采购文件中明确的所属行业）</w:t>
      </w:r>
      <w:r>
        <w:rPr>
          <w:rFonts w:hint="eastAsia" w:ascii="仿宋" w:hAnsi="仿宋" w:eastAsia="仿宋" w:cs="仿宋"/>
          <w:sz w:val="28"/>
          <w:szCs w:val="28"/>
        </w:rPr>
        <w:t>行业；制造商为</w:t>
      </w:r>
      <w:r>
        <w:rPr>
          <w:rFonts w:hint="eastAsia" w:ascii="仿宋" w:hAnsi="仿宋" w:eastAsia="仿宋" w:cs="仿宋"/>
          <w:sz w:val="28"/>
          <w:szCs w:val="28"/>
          <w:u w:val="single"/>
        </w:rPr>
        <w:t>（企业名称)</w:t>
      </w:r>
      <w:r>
        <w:rPr>
          <w:rFonts w:hint="eastAsia" w:ascii="仿宋" w:hAnsi="仿宋" w:eastAsia="仿宋" w:cs="仿宋"/>
          <w:sz w:val="28"/>
          <w:szCs w:val="28"/>
        </w:rPr>
        <w:t>，从业人员</w:t>
      </w:r>
      <w:r>
        <w:rPr>
          <w:rFonts w:hint="eastAsia" w:ascii="仿宋" w:hAnsi="仿宋" w:eastAsia="仿宋" w:cs="仿宋"/>
          <w:sz w:val="28"/>
          <w:szCs w:val="28"/>
          <w:u w:val="single"/>
        </w:rPr>
        <w:t xml:space="preserve">        </w:t>
      </w:r>
      <w:r>
        <w:rPr>
          <w:rFonts w:hint="eastAsia" w:ascii="仿宋" w:hAnsi="仿宋" w:eastAsia="仿宋" w:cs="仿宋"/>
          <w:sz w:val="28"/>
          <w:szCs w:val="28"/>
        </w:rPr>
        <w:t>人，营业收入为</w:t>
      </w:r>
      <w:r>
        <w:rPr>
          <w:rFonts w:hint="eastAsia" w:ascii="仿宋" w:hAnsi="仿宋" w:eastAsia="仿宋" w:cs="仿宋"/>
          <w:sz w:val="28"/>
          <w:szCs w:val="28"/>
          <w:u w:val="single"/>
        </w:rPr>
        <w:t xml:space="preserve">       </w:t>
      </w:r>
      <w:r>
        <w:rPr>
          <w:rFonts w:hint="eastAsia" w:ascii="仿宋" w:hAnsi="仿宋" w:eastAsia="仿宋" w:cs="仿宋"/>
          <w:sz w:val="28"/>
          <w:szCs w:val="28"/>
        </w:rPr>
        <w:t>万元，资产总额为</w:t>
      </w:r>
      <w:r>
        <w:rPr>
          <w:rFonts w:hint="eastAsia" w:ascii="仿宋" w:hAnsi="仿宋" w:eastAsia="仿宋" w:cs="仿宋"/>
          <w:sz w:val="28"/>
          <w:szCs w:val="28"/>
          <w:u w:val="single"/>
        </w:rPr>
        <w:t xml:space="preserve">       </w:t>
      </w:r>
      <w:r>
        <w:rPr>
          <w:rFonts w:hint="eastAsia" w:ascii="仿宋" w:hAnsi="仿宋" w:eastAsia="仿宋" w:cs="仿宋"/>
          <w:sz w:val="28"/>
          <w:szCs w:val="28"/>
        </w:rPr>
        <w:t>万元，属于</w:t>
      </w:r>
      <w:r>
        <w:rPr>
          <w:rFonts w:hint="eastAsia" w:ascii="仿宋" w:hAnsi="仿宋" w:eastAsia="仿宋" w:cs="仿宋"/>
          <w:sz w:val="28"/>
          <w:szCs w:val="28"/>
          <w:u w:val="single"/>
        </w:rPr>
        <w:t>（中型企业、小型企业、微型企业）</w:t>
      </w:r>
      <w:r>
        <w:rPr>
          <w:rFonts w:hint="eastAsia" w:ascii="仿宋" w:hAnsi="仿宋" w:eastAsia="仿宋" w:cs="仿宋"/>
          <w:sz w:val="28"/>
          <w:szCs w:val="28"/>
        </w:rPr>
        <w:t>；</w:t>
      </w:r>
    </w:p>
    <w:p>
      <w:pPr>
        <w:spacing w:line="480" w:lineRule="exact"/>
        <w:ind w:firstLine="570"/>
        <w:jc w:val="center"/>
        <w:rPr>
          <w:rFonts w:ascii="仿宋" w:hAnsi="仿宋" w:eastAsia="仿宋" w:cs="仿宋"/>
          <w:sz w:val="28"/>
          <w:szCs w:val="28"/>
          <w:u w:val="single"/>
        </w:rPr>
      </w:pPr>
      <w:r>
        <w:rPr>
          <w:rFonts w:hint="eastAsia" w:ascii="仿宋" w:hAnsi="仿宋" w:eastAsia="仿宋" w:cs="仿宋"/>
          <w:sz w:val="28"/>
          <w:szCs w:val="28"/>
        </w:rPr>
        <w:t>2.</w:t>
      </w:r>
      <w:r>
        <w:rPr>
          <w:rFonts w:hint="eastAsia" w:ascii="仿宋" w:hAnsi="仿宋" w:eastAsia="仿宋" w:cs="仿宋"/>
          <w:sz w:val="28"/>
          <w:szCs w:val="28"/>
          <w:u w:val="single"/>
        </w:rPr>
        <w:t xml:space="preserve"> （标的名称）</w:t>
      </w:r>
      <w:r>
        <w:rPr>
          <w:rFonts w:hint="eastAsia" w:ascii="仿宋" w:hAnsi="仿宋" w:eastAsia="仿宋" w:cs="仿宋"/>
          <w:sz w:val="28"/>
          <w:szCs w:val="28"/>
        </w:rPr>
        <w:t>，属于</w:t>
      </w:r>
      <w:r>
        <w:rPr>
          <w:rFonts w:hint="eastAsia" w:ascii="仿宋" w:hAnsi="仿宋" w:eastAsia="仿宋" w:cs="仿宋"/>
          <w:sz w:val="28"/>
          <w:szCs w:val="28"/>
          <w:u w:val="single"/>
        </w:rPr>
        <w:t>（采购文件中明确的所属行业）</w:t>
      </w:r>
      <w:r>
        <w:rPr>
          <w:rFonts w:hint="eastAsia" w:ascii="仿宋" w:hAnsi="仿宋" w:eastAsia="仿宋" w:cs="仿宋"/>
          <w:sz w:val="28"/>
          <w:szCs w:val="28"/>
        </w:rPr>
        <w:t>行业；制造商为</w:t>
      </w:r>
      <w:r>
        <w:rPr>
          <w:rFonts w:hint="eastAsia" w:ascii="仿宋" w:hAnsi="仿宋" w:eastAsia="仿宋" w:cs="仿宋"/>
          <w:sz w:val="28"/>
          <w:szCs w:val="28"/>
          <w:u w:val="single"/>
        </w:rPr>
        <w:t>（企业名称)</w:t>
      </w:r>
      <w:r>
        <w:rPr>
          <w:rFonts w:hint="eastAsia" w:ascii="仿宋" w:hAnsi="仿宋" w:eastAsia="仿宋" w:cs="仿宋"/>
          <w:sz w:val="28"/>
          <w:szCs w:val="28"/>
        </w:rPr>
        <w:t>，从业人员</w:t>
      </w:r>
      <w:r>
        <w:rPr>
          <w:rFonts w:hint="eastAsia" w:ascii="仿宋" w:hAnsi="仿宋" w:eastAsia="仿宋" w:cs="仿宋"/>
          <w:sz w:val="28"/>
          <w:szCs w:val="28"/>
          <w:u w:val="single"/>
        </w:rPr>
        <w:t xml:space="preserve">        </w:t>
      </w:r>
      <w:r>
        <w:rPr>
          <w:rFonts w:hint="eastAsia" w:ascii="仿宋" w:hAnsi="仿宋" w:eastAsia="仿宋" w:cs="仿宋"/>
          <w:sz w:val="28"/>
          <w:szCs w:val="28"/>
        </w:rPr>
        <w:t>人，营业收入为</w:t>
      </w:r>
      <w:r>
        <w:rPr>
          <w:rFonts w:hint="eastAsia" w:ascii="仿宋" w:hAnsi="仿宋" w:eastAsia="仿宋" w:cs="仿宋"/>
          <w:sz w:val="28"/>
          <w:szCs w:val="28"/>
          <w:u w:val="single"/>
        </w:rPr>
        <w:t xml:space="preserve">       </w:t>
      </w:r>
      <w:r>
        <w:rPr>
          <w:rFonts w:hint="eastAsia" w:ascii="仿宋" w:hAnsi="仿宋" w:eastAsia="仿宋" w:cs="仿宋"/>
          <w:sz w:val="28"/>
          <w:szCs w:val="28"/>
        </w:rPr>
        <w:t>万元，资产总额为</w:t>
      </w:r>
      <w:r>
        <w:rPr>
          <w:rFonts w:hint="eastAsia" w:ascii="仿宋" w:hAnsi="仿宋" w:eastAsia="仿宋" w:cs="仿宋"/>
          <w:sz w:val="28"/>
          <w:szCs w:val="28"/>
          <w:u w:val="single"/>
        </w:rPr>
        <w:t xml:space="preserve">       </w:t>
      </w:r>
      <w:r>
        <w:rPr>
          <w:rFonts w:hint="eastAsia" w:ascii="仿宋" w:hAnsi="仿宋" w:eastAsia="仿宋" w:cs="仿宋"/>
          <w:sz w:val="28"/>
          <w:szCs w:val="28"/>
        </w:rPr>
        <w:t>万元，属于</w:t>
      </w:r>
      <w:r>
        <w:rPr>
          <w:rFonts w:hint="eastAsia" w:ascii="仿宋" w:hAnsi="仿宋" w:eastAsia="仿宋" w:cs="仿宋"/>
          <w:sz w:val="28"/>
          <w:szCs w:val="28"/>
          <w:u w:val="single"/>
        </w:rPr>
        <w:t>（中型企业、小型企业、微型企</w:t>
      </w:r>
    </w:p>
    <w:p>
      <w:pPr>
        <w:spacing w:line="480" w:lineRule="exact"/>
        <w:rPr>
          <w:rFonts w:ascii="仿宋" w:hAnsi="仿宋" w:eastAsia="仿宋" w:cs="仿宋"/>
          <w:sz w:val="28"/>
          <w:szCs w:val="28"/>
        </w:rPr>
      </w:pPr>
      <w:r>
        <w:rPr>
          <w:rFonts w:hint="eastAsia" w:ascii="仿宋" w:hAnsi="仿宋" w:eastAsia="仿宋" w:cs="仿宋"/>
          <w:sz w:val="28"/>
          <w:szCs w:val="28"/>
          <w:u w:val="single"/>
        </w:rPr>
        <w:t>业）</w:t>
      </w:r>
      <w:r>
        <w:rPr>
          <w:rFonts w:hint="eastAsia" w:ascii="仿宋" w:hAnsi="仿宋" w:eastAsia="仿宋" w:cs="仿宋"/>
          <w:sz w:val="28"/>
          <w:szCs w:val="28"/>
        </w:rPr>
        <w:t>；</w:t>
      </w:r>
    </w:p>
    <w:p>
      <w:pPr>
        <w:spacing w:line="480" w:lineRule="exact"/>
        <w:rPr>
          <w:rFonts w:ascii="仿宋" w:hAnsi="仿宋" w:eastAsia="仿宋" w:cs="仿宋"/>
          <w:sz w:val="28"/>
          <w:szCs w:val="28"/>
        </w:rPr>
      </w:pPr>
      <w:r>
        <w:rPr>
          <w:rFonts w:hint="eastAsia" w:ascii="仿宋" w:hAnsi="仿宋" w:eastAsia="仿宋" w:cs="仿宋"/>
          <w:sz w:val="28"/>
          <w:szCs w:val="28"/>
        </w:rPr>
        <w:t xml:space="preserve">    ……</w:t>
      </w:r>
    </w:p>
    <w:p>
      <w:pPr>
        <w:spacing w:line="480" w:lineRule="exact"/>
        <w:ind w:firstLine="555"/>
        <w:jc w:val="center"/>
        <w:rPr>
          <w:rFonts w:ascii="仿宋" w:hAnsi="仿宋" w:eastAsia="仿宋" w:cs="仿宋"/>
          <w:sz w:val="28"/>
          <w:szCs w:val="28"/>
        </w:rPr>
      </w:pPr>
      <w:r>
        <w:rPr>
          <w:rFonts w:hint="eastAsia" w:ascii="仿宋" w:hAnsi="仿宋" w:eastAsia="仿宋" w:cs="仿宋"/>
          <w:sz w:val="28"/>
          <w:szCs w:val="28"/>
        </w:rPr>
        <w:t>以上企业，不属于大企业的分支机构，不存在控股股东为大企业</w:t>
      </w:r>
    </w:p>
    <w:p>
      <w:pPr>
        <w:spacing w:line="480" w:lineRule="exact"/>
        <w:rPr>
          <w:rFonts w:ascii="仿宋" w:hAnsi="仿宋" w:eastAsia="仿宋" w:cs="仿宋"/>
          <w:sz w:val="28"/>
          <w:szCs w:val="28"/>
        </w:rPr>
      </w:pPr>
      <w:r>
        <w:rPr>
          <w:rFonts w:hint="eastAsia" w:ascii="仿宋" w:hAnsi="仿宋" w:eastAsia="仿宋" w:cs="仿宋"/>
          <w:sz w:val="28"/>
          <w:szCs w:val="28"/>
        </w:rPr>
        <w:t>的情形，也不存在与大企业的负贵人为同一人的情形。</w:t>
      </w:r>
    </w:p>
    <w:p>
      <w:pPr>
        <w:spacing w:line="480" w:lineRule="exact"/>
        <w:ind w:firstLine="360"/>
        <w:rPr>
          <w:rFonts w:ascii="仿宋" w:hAnsi="仿宋" w:eastAsia="仿宋" w:cs="仿宋"/>
          <w:sz w:val="28"/>
          <w:szCs w:val="28"/>
        </w:rPr>
      </w:pPr>
      <w:r>
        <w:rPr>
          <w:rFonts w:hint="eastAsia" w:ascii="仿宋" w:hAnsi="仿宋" w:eastAsia="仿宋" w:cs="仿宋"/>
          <w:sz w:val="28"/>
          <w:szCs w:val="28"/>
        </w:rPr>
        <w:t>本企业对上述声明内容的真实性负责，如有虚假，将依法承担相应责任。</w:t>
      </w:r>
    </w:p>
    <w:p>
      <w:pPr>
        <w:spacing w:line="480" w:lineRule="exact"/>
        <w:ind w:firstLine="360"/>
        <w:rPr>
          <w:rFonts w:ascii="仿宋" w:hAnsi="仿宋" w:eastAsia="仿宋" w:cs="仿宋"/>
          <w:sz w:val="28"/>
          <w:szCs w:val="28"/>
        </w:rPr>
      </w:pPr>
    </w:p>
    <w:p>
      <w:pPr>
        <w:spacing w:line="480" w:lineRule="exact"/>
        <w:jc w:val="center"/>
        <w:rPr>
          <w:rFonts w:ascii="仿宋" w:hAnsi="仿宋" w:eastAsia="仿宋" w:cs="仿宋"/>
          <w:sz w:val="28"/>
          <w:szCs w:val="28"/>
        </w:rPr>
      </w:pPr>
      <w:r>
        <w:rPr>
          <w:rFonts w:hint="eastAsia" w:ascii="仿宋" w:hAnsi="仿宋" w:eastAsia="仿宋" w:cs="仿宋"/>
          <w:sz w:val="28"/>
          <w:szCs w:val="28"/>
        </w:rPr>
        <w:t xml:space="preserve">      企业名称（电子签章）：</w:t>
      </w:r>
    </w:p>
    <w:p>
      <w:pPr>
        <w:jc w:val="center"/>
        <w:rPr>
          <w:rFonts w:ascii="仿宋" w:hAnsi="仿宋" w:eastAsia="仿宋" w:cs="仿宋"/>
          <w:b/>
          <w:sz w:val="28"/>
          <w:szCs w:val="28"/>
        </w:rPr>
      </w:pPr>
      <w:r>
        <w:rPr>
          <w:rFonts w:hint="eastAsia" w:ascii="仿宋" w:hAnsi="仿宋" w:eastAsia="仿宋" w:cs="仿宋"/>
          <w:sz w:val="28"/>
          <w:szCs w:val="28"/>
        </w:rPr>
        <w:t xml:space="preserve">               日期：</w:t>
      </w:r>
    </w:p>
    <w:p>
      <w:pPr>
        <w:jc w:val="center"/>
        <w:rPr>
          <w:rFonts w:ascii="仿宋" w:hAnsi="仿宋" w:eastAsia="仿宋" w:cs="仿宋"/>
          <w:b/>
          <w:color w:val="000000"/>
          <w:sz w:val="28"/>
          <w:szCs w:val="28"/>
        </w:rPr>
      </w:pPr>
    </w:p>
    <w:p>
      <w:pPr>
        <w:jc w:val="left"/>
        <w:rPr>
          <w:rFonts w:ascii="仿宋" w:hAnsi="仿宋" w:eastAsia="仿宋" w:cs="仿宋"/>
          <w:b/>
          <w:color w:val="000000"/>
          <w:sz w:val="28"/>
          <w:szCs w:val="28"/>
        </w:rPr>
      </w:pPr>
      <w:r>
        <w:rPr>
          <w:rFonts w:hint="eastAsia" w:ascii="仿宋" w:hAnsi="仿宋" w:eastAsia="仿宋" w:cs="仿宋"/>
          <w:b/>
          <w:color w:val="000000"/>
          <w:sz w:val="28"/>
          <w:szCs w:val="28"/>
        </w:rPr>
        <w:t>注：1、中小企业划型标准详见</w:t>
      </w:r>
      <w:r>
        <w:rPr>
          <w:rFonts w:hint="eastAsia" w:ascii="仿宋" w:hAnsi="仿宋" w:eastAsia="仿宋" w:cs="仿宋"/>
          <w:b/>
          <w:sz w:val="28"/>
          <w:szCs w:val="28"/>
        </w:rPr>
        <w:t>《关于印发中小企业划型标准规定的通知》工信部联企业[2011]300号文件。</w:t>
      </w:r>
    </w:p>
    <w:p>
      <w:pPr>
        <w:jc w:val="left"/>
        <w:rPr>
          <w:rFonts w:ascii="仿宋" w:hAnsi="仿宋" w:eastAsia="仿宋" w:cs="仿宋"/>
          <w:b/>
          <w:color w:val="000000"/>
          <w:sz w:val="28"/>
          <w:szCs w:val="28"/>
        </w:rPr>
      </w:pPr>
      <w:r>
        <w:rPr>
          <w:rFonts w:hint="eastAsia" w:ascii="仿宋" w:hAnsi="仿宋" w:eastAsia="仿宋" w:cs="仿宋"/>
          <w:b/>
          <w:color w:val="000000"/>
          <w:sz w:val="28"/>
          <w:szCs w:val="28"/>
        </w:rPr>
        <w:t>2、本声明函必须填写完整，如有缺项漏项的，不予认可。</w:t>
      </w:r>
    </w:p>
    <w:p>
      <w:pPr>
        <w:jc w:val="center"/>
        <w:rPr>
          <w:rFonts w:ascii="仿宋" w:hAnsi="仿宋" w:eastAsia="仿宋" w:cs="仿宋"/>
          <w:b/>
          <w:color w:val="000000"/>
          <w:sz w:val="28"/>
          <w:szCs w:val="28"/>
        </w:rPr>
      </w:pPr>
    </w:p>
    <w:p>
      <w:pPr>
        <w:jc w:val="center"/>
        <w:rPr>
          <w:rFonts w:ascii="仿宋" w:hAnsi="仿宋" w:eastAsia="仿宋" w:cs="仿宋"/>
          <w:b/>
          <w:color w:val="000000"/>
          <w:sz w:val="28"/>
          <w:szCs w:val="28"/>
        </w:rPr>
      </w:pPr>
    </w:p>
    <w:p>
      <w:pPr>
        <w:jc w:val="center"/>
        <w:rPr>
          <w:rFonts w:ascii="仿宋" w:hAnsi="仿宋" w:eastAsia="仿宋" w:cs="仿宋"/>
          <w:b/>
          <w:color w:val="000000"/>
          <w:sz w:val="28"/>
          <w:szCs w:val="28"/>
        </w:rPr>
      </w:pPr>
    </w:p>
    <w:p>
      <w:pPr>
        <w:snapToGrid w:val="0"/>
        <w:spacing w:before="50" w:after="50"/>
        <w:rPr>
          <w:rFonts w:ascii="仿宋" w:hAnsi="仿宋" w:eastAsia="仿宋" w:cs="仿宋"/>
          <w:b/>
          <w:sz w:val="28"/>
          <w:szCs w:val="28"/>
        </w:rPr>
      </w:pPr>
      <w:bookmarkStart w:id="52" w:name="OLE_LINK14"/>
      <w:bookmarkStart w:id="53" w:name="OLE_LINK13"/>
      <w:r>
        <w:rPr>
          <w:rFonts w:hint="eastAsia" w:ascii="仿宋" w:hAnsi="仿宋" w:eastAsia="仿宋" w:cs="仿宋"/>
          <w:b/>
          <w:sz w:val="28"/>
          <w:szCs w:val="28"/>
        </w:rPr>
        <w:t>附件10：</w:t>
      </w:r>
    </w:p>
    <w:p>
      <w:pPr>
        <w:snapToGrid w:val="0"/>
        <w:spacing w:before="50" w:after="50"/>
        <w:jc w:val="center"/>
        <w:rPr>
          <w:rFonts w:ascii="仿宋" w:hAnsi="仿宋" w:eastAsia="仿宋" w:cs="仿宋"/>
          <w:b/>
          <w:sz w:val="28"/>
          <w:szCs w:val="28"/>
        </w:rPr>
      </w:pPr>
    </w:p>
    <w:p>
      <w:pPr>
        <w:snapToGrid w:val="0"/>
        <w:spacing w:before="50" w:after="50"/>
        <w:jc w:val="center"/>
        <w:rPr>
          <w:rFonts w:ascii="仿宋" w:hAnsi="仿宋" w:eastAsia="仿宋" w:cs="仿宋"/>
          <w:b/>
          <w:sz w:val="28"/>
          <w:szCs w:val="28"/>
        </w:rPr>
      </w:pPr>
      <w:r>
        <w:rPr>
          <w:rFonts w:hint="eastAsia" w:ascii="仿宋" w:hAnsi="仿宋" w:eastAsia="仿宋" w:cs="仿宋"/>
          <w:b/>
          <w:sz w:val="28"/>
          <w:szCs w:val="28"/>
        </w:rPr>
        <w:t>残疾人福利性单位声明函</w:t>
      </w:r>
    </w:p>
    <w:bookmarkEnd w:id="52"/>
    <w:bookmarkEnd w:id="53"/>
    <w:p>
      <w:pPr>
        <w:spacing w:line="588" w:lineRule="exact"/>
        <w:rPr>
          <w:rFonts w:ascii="仿宋" w:hAnsi="仿宋" w:eastAsia="仿宋" w:cs="仿宋"/>
          <w:b/>
          <w:spacing w:val="6"/>
          <w:sz w:val="28"/>
          <w:szCs w:val="28"/>
        </w:rPr>
      </w:pP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本单位对上述声明的真实性负责。如有虚假，将依法承担相应责任。</w:t>
      </w:r>
    </w:p>
    <w:p>
      <w:pPr>
        <w:snapToGrid w:val="0"/>
        <w:spacing w:line="360" w:lineRule="auto"/>
        <w:ind w:firstLine="560" w:firstLineChars="200"/>
        <w:rPr>
          <w:rFonts w:ascii="仿宋" w:hAnsi="仿宋" w:eastAsia="仿宋" w:cs="仿宋"/>
          <w:sz w:val="28"/>
          <w:szCs w:val="28"/>
        </w:rPr>
      </w:pPr>
    </w:p>
    <w:p>
      <w:pPr>
        <w:spacing w:line="588" w:lineRule="exact"/>
        <w:ind w:firstLine="584" w:firstLineChars="200"/>
        <w:rPr>
          <w:rFonts w:ascii="仿宋" w:hAnsi="仿宋" w:eastAsia="仿宋" w:cs="仿宋"/>
          <w:spacing w:val="6"/>
          <w:sz w:val="28"/>
          <w:szCs w:val="28"/>
        </w:rPr>
      </w:pPr>
    </w:p>
    <w:p>
      <w:pPr>
        <w:snapToGrid w:val="0"/>
        <w:spacing w:line="360" w:lineRule="auto"/>
        <w:ind w:firstLine="584" w:firstLineChars="200"/>
        <w:jc w:val="right"/>
        <w:rPr>
          <w:rFonts w:ascii="仿宋" w:hAnsi="仿宋" w:eastAsia="仿宋" w:cs="仿宋"/>
          <w:sz w:val="28"/>
          <w:szCs w:val="28"/>
        </w:rPr>
      </w:pPr>
      <w:r>
        <w:rPr>
          <w:rFonts w:hint="eastAsia" w:ascii="仿宋" w:hAnsi="仿宋" w:eastAsia="仿宋" w:cs="仿宋"/>
          <w:spacing w:val="6"/>
          <w:sz w:val="28"/>
          <w:szCs w:val="28"/>
        </w:rPr>
        <w:t xml:space="preserve">         </w:t>
      </w:r>
      <w:r>
        <w:rPr>
          <w:rFonts w:hint="eastAsia" w:ascii="仿宋" w:hAnsi="仿宋" w:eastAsia="仿宋" w:cs="仿宋"/>
          <w:sz w:val="28"/>
          <w:szCs w:val="28"/>
        </w:rPr>
        <w:t xml:space="preserve">      单位名称（电子签章）：</w:t>
      </w:r>
    </w:p>
    <w:p>
      <w:pPr>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 xml:space="preserve">       日  期：</w:t>
      </w:r>
    </w:p>
    <w:p>
      <w:pPr>
        <w:tabs>
          <w:tab w:val="left" w:pos="465"/>
        </w:tabs>
        <w:ind w:firstLine="2782" w:firstLineChars="990"/>
        <w:rPr>
          <w:rFonts w:ascii="仿宋" w:hAnsi="仿宋" w:eastAsia="仿宋" w:cs="仿宋"/>
          <w:b/>
          <w:bCs/>
          <w:sz w:val="28"/>
          <w:szCs w:val="28"/>
        </w:rPr>
      </w:pPr>
    </w:p>
    <w:p>
      <w:pPr>
        <w:tabs>
          <w:tab w:val="left" w:pos="465"/>
        </w:tabs>
        <w:ind w:firstLine="2782" w:firstLineChars="990"/>
        <w:rPr>
          <w:rFonts w:ascii="仿宋" w:hAnsi="仿宋" w:eastAsia="仿宋" w:cs="仿宋"/>
          <w:b/>
          <w:bCs/>
          <w:sz w:val="28"/>
          <w:szCs w:val="28"/>
        </w:rPr>
      </w:pPr>
    </w:p>
    <w:p>
      <w:pPr>
        <w:tabs>
          <w:tab w:val="left" w:pos="465"/>
        </w:tabs>
        <w:ind w:firstLine="2782" w:firstLineChars="990"/>
        <w:rPr>
          <w:rFonts w:ascii="仿宋" w:hAnsi="仿宋" w:eastAsia="仿宋" w:cs="仿宋"/>
          <w:b/>
          <w:bCs/>
          <w:sz w:val="28"/>
          <w:szCs w:val="28"/>
        </w:rPr>
      </w:pPr>
    </w:p>
    <w:p>
      <w:pPr>
        <w:tabs>
          <w:tab w:val="left" w:pos="465"/>
        </w:tabs>
        <w:ind w:firstLine="2782" w:firstLineChars="990"/>
        <w:rPr>
          <w:rFonts w:ascii="仿宋" w:hAnsi="仿宋" w:eastAsia="仿宋" w:cs="仿宋"/>
          <w:b/>
          <w:bCs/>
          <w:sz w:val="28"/>
          <w:szCs w:val="28"/>
        </w:rPr>
      </w:pPr>
    </w:p>
    <w:p>
      <w:pPr>
        <w:tabs>
          <w:tab w:val="left" w:pos="465"/>
        </w:tabs>
        <w:ind w:firstLine="2782" w:firstLineChars="990"/>
        <w:rPr>
          <w:rFonts w:ascii="仿宋" w:hAnsi="仿宋" w:eastAsia="仿宋" w:cs="仿宋"/>
          <w:b/>
          <w:bCs/>
          <w:sz w:val="28"/>
          <w:szCs w:val="28"/>
        </w:rPr>
      </w:pPr>
    </w:p>
    <w:p>
      <w:pPr>
        <w:tabs>
          <w:tab w:val="left" w:pos="465"/>
        </w:tabs>
        <w:ind w:firstLine="2782" w:firstLineChars="990"/>
        <w:rPr>
          <w:rFonts w:ascii="仿宋" w:hAnsi="仿宋" w:eastAsia="仿宋" w:cs="仿宋"/>
          <w:b/>
          <w:bCs/>
          <w:sz w:val="28"/>
          <w:szCs w:val="28"/>
        </w:rPr>
      </w:pPr>
    </w:p>
    <w:p>
      <w:pPr>
        <w:tabs>
          <w:tab w:val="left" w:pos="465"/>
        </w:tabs>
        <w:ind w:firstLine="2782" w:firstLineChars="990"/>
        <w:rPr>
          <w:rFonts w:ascii="仿宋" w:hAnsi="仿宋" w:eastAsia="仿宋" w:cs="仿宋"/>
          <w:b/>
          <w:bCs/>
          <w:sz w:val="28"/>
          <w:szCs w:val="28"/>
        </w:rPr>
      </w:pPr>
    </w:p>
    <w:p>
      <w:pPr>
        <w:tabs>
          <w:tab w:val="left" w:pos="465"/>
        </w:tabs>
        <w:ind w:firstLine="2782" w:firstLineChars="990"/>
        <w:rPr>
          <w:rFonts w:ascii="仿宋" w:hAnsi="仿宋" w:eastAsia="仿宋" w:cs="仿宋"/>
          <w:b/>
          <w:bCs/>
          <w:sz w:val="28"/>
          <w:szCs w:val="28"/>
        </w:rPr>
      </w:pPr>
    </w:p>
    <w:p>
      <w:pPr>
        <w:tabs>
          <w:tab w:val="left" w:pos="465"/>
        </w:tabs>
        <w:ind w:firstLine="2782" w:firstLineChars="990"/>
        <w:rPr>
          <w:rFonts w:ascii="仿宋" w:hAnsi="仿宋" w:eastAsia="仿宋" w:cs="仿宋"/>
          <w:b/>
          <w:bCs/>
          <w:sz w:val="28"/>
          <w:szCs w:val="28"/>
        </w:rPr>
      </w:pPr>
    </w:p>
    <w:p>
      <w:pPr>
        <w:tabs>
          <w:tab w:val="left" w:pos="465"/>
        </w:tabs>
        <w:ind w:firstLine="2782" w:firstLineChars="990"/>
        <w:rPr>
          <w:rFonts w:ascii="仿宋" w:hAnsi="仿宋" w:eastAsia="仿宋" w:cs="仿宋"/>
          <w:b/>
          <w:bCs/>
          <w:sz w:val="28"/>
          <w:szCs w:val="28"/>
        </w:rPr>
      </w:pPr>
    </w:p>
    <w:p>
      <w:pPr>
        <w:tabs>
          <w:tab w:val="left" w:pos="465"/>
        </w:tabs>
        <w:rPr>
          <w:rFonts w:ascii="仿宋" w:hAnsi="仿宋" w:eastAsia="仿宋" w:cs="仿宋"/>
          <w:b/>
          <w:bCs/>
          <w:sz w:val="28"/>
          <w:szCs w:val="28"/>
        </w:rPr>
      </w:pPr>
    </w:p>
    <w:p>
      <w:pPr>
        <w:pStyle w:val="4"/>
        <w:spacing w:line="520" w:lineRule="exact"/>
        <w:jc w:val="center"/>
        <w:rPr>
          <w:rFonts w:ascii="仿宋" w:hAnsi="仿宋" w:eastAsia="仿宋" w:cs="仿宋"/>
          <w:bCs w:val="0"/>
          <w:sz w:val="28"/>
          <w:szCs w:val="28"/>
        </w:rPr>
      </w:pPr>
      <w:bookmarkStart w:id="54" w:name="_Toc36454326"/>
      <w:r>
        <w:rPr>
          <w:rFonts w:hint="eastAsia" w:ascii="仿宋" w:hAnsi="仿宋" w:eastAsia="仿宋" w:cs="仿宋"/>
          <w:bCs w:val="0"/>
          <w:sz w:val="28"/>
          <w:szCs w:val="28"/>
        </w:rPr>
        <w:t>第五章  评标办法及标准</w:t>
      </w:r>
      <w:bookmarkEnd w:id="54"/>
    </w:p>
    <w:p>
      <w:pPr>
        <w:spacing w:line="440" w:lineRule="exact"/>
        <w:rPr>
          <w:rFonts w:ascii="仿宋" w:hAnsi="仿宋" w:eastAsia="仿宋" w:cs="仿宋"/>
          <w:b/>
          <w:bCs/>
          <w:sz w:val="28"/>
          <w:szCs w:val="28"/>
        </w:rPr>
      </w:pPr>
      <w:r>
        <w:rPr>
          <w:rFonts w:hint="eastAsia" w:ascii="仿宋" w:hAnsi="仿宋" w:eastAsia="仿宋" w:cs="仿宋"/>
          <w:b/>
          <w:bCs/>
          <w:sz w:val="28"/>
          <w:szCs w:val="28"/>
        </w:rPr>
        <w:t>1.评标依据</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1.1《中华人民共和国政府采购法》；</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1.2《政府采购货物和服务招标投标管理办法》（财政部87号令）、《中华人民共和国政府采购法实施条例》等；</w:t>
      </w:r>
    </w:p>
    <w:p>
      <w:pPr>
        <w:spacing w:line="440" w:lineRule="exact"/>
        <w:ind w:left="600"/>
        <w:rPr>
          <w:rFonts w:ascii="仿宋" w:hAnsi="仿宋" w:eastAsia="仿宋" w:cs="仿宋"/>
          <w:sz w:val="28"/>
          <w:szCs w:val="28"/>
        </w:rPr>
      </w:pPr>
      <w:r>
        <w:rPr>
          <w:rFonts w:hint="eastAsia" w:ascii="仿宋" w:hAnsi="仿宋" w:eastAsia="仿宋" w:cs="仿宋"/>
          <w:sz w:val="28"/>
          <w:szCs w:val="28"/>
        </w:rPr>
        <w:t>1.3 本项目招标文件。</w:t>
      </w:r>
    </w:p>
    <w:p>
      <w:pPr>
        <w:spacing w:line="440" w:lineRule="exact"/>
        <w:rPr>
          <w:rFonts w:ascii="仿宋" w:hAnsi="仿宋" w:eastAsia="仿宋" w:cs="仿宋"/>
          <w:b/>
          <w:bCs/>
          <w:sz w:val="28"/>
          <w:szCs w:val="28"/>
        </w:rPr>
      </w:pPr>
      <w:r>
        <w:rPr>
          <w:rFonts w:hint="eastAsia" w:ascii="仿宋" w:hAnsi="仿宋" w:eastAsia="仿宋" w:cs="仿宋"/>
          <w:b/>
          <w:bCs/>
          <w:sz w:val="28"/>
          <w:szCs w:val="28"/>
        </w:rPr>
        <w:t>2.评标原则</w:t>
      </w:r>
    </w:p>
    <w:p>
      <w:pPr>
        <w:spacing w:line="440" w:lineRule="exact"/>
        <w:rPr>
          <w:rFonts w:ascii="仿宋" w:hAnsi="仿宋" w:eastAsia="仿宋" w:cs="仿宋"/>
          <w:sz w:val="28"/>
          <w:szCs w:val="28"/>
        </w:rPr>
      </w:pPr>
      <w:r>
        <w:rPr>
          <w:rFonts w:hint="eastAsia" w:ascii="仿宋" w:hAnsi="仿宋" w:eastAsia="仿宋" w:cs="仿宋"/>
          <w:sz w:val="28"/>
          <w:szCs w:val="28"/>
        </w:rPr>
        <w:t xml:space="preserve">    2.1公开、公平、公正、科学合理评标；</w:t>
      </w:r>
    </w:p>
    <w:p>
      <w:pPr>
        <w:spacing w:line="440" w:lineRule="exact"/>
        <w:ind w:firstLine="600"/>
        <w:rPr>
          <w:rFonts w:ascii="仿宋" w:hAnsi="仿宋" w:eastAsia="仿宋" w:cs="仿宋"/>
          <w:sz w:val="28"/>
          <w:szCs w:val="28"/>
        </w:rPr>
      </w:pPr>
      <w:r>
        <w:rPr>
          <w:rFonts w:hint="eastAsia" w:ascii="仿宋" w:hAnsi="仿宋" w:eastAsia="仿宋" w:cs="仿宋"/>
          <w:sz w:val="28"/>
          <w:szCs w:val="28"/>
        </w:rPr>
        <w:t>2.2评标由评标委员会负责，评标委员会由采购人代表和有关技术、经济等方面的专家组成，成员人数为五人或者五人以上的单数。其中，技术、经济等方面的专家不少于成员总数的三分之二。评标委员会由集中采购机构依法组建，有关人员对所聘任的评标委员会成员名单必须严格保密，与投标有利害关系的人员不得进入评标委员会；</w:t>
      </w:r>
    </w:p>
    <w:p>
      <w:pPr>
        <w:spacing w:line="440" w:lineRule="exact"/>
        <w:ind w:firstLine="600"/>
        <w:rPr>
          <w:rFonts w:ascii="仿宋" w:hAnsi="仿宋" w:eastAsia="仿宋" w:cs="仿宋"/>
          <w:sz w:val="28"/>
          <w:szCs w:val="28"/>
        </w:rPr>
      </w:pPr>
      <w:r>
        <w:rPr>
          <w:rFonts w:hint="eastAsia" w:ascii="仿宋" w:hAnsi="仿宋" w:eastAsia="仿宋" w:cs="仿宋"/>
          <w:sz w:val="28"/>
          <w:szCs w:val="28"/>
        </w:rPr>
        <w:t>2.3参加评标的人员应严格遵守国家有关保密的法律、法规和规定，并接受有关部门的监督；</w:t>
      </w:r>
    </w:p>
    <w:p>
      <w:pPr>
        <w:spacing w:line="440" w:lineRule="exact"/>
        <w:ind w:firstLine="600"/>
        <w:rPr>
          <w:rFonts w:ascii="仿宋" w:hAnsi="仿宋" w:eastAsia="仿宋" w:cs="仿宋"/>
          <w:sz w:val="28"/>
          <w:szCs w:val="28"/>
        </w:rPr>
      </w:pPr>
      <w:r>
        <w:rPr>
          <w:rFonts w:hint="eastAsia" w:ascii="仿宋" w:hAnsi="仿宋" w:eastAsia="仿宋" w:cs="仿宋"/>
          <w:sz w:val="28"/>
          <w:szCs w:val="28"/>
        </w:rPr>
        <w:t>2.4根据法律法规规定，参加评标的有关人员应对整个评标、定标过程保密，不得泄露；</w:t>
      </w:r>
    </w:p>
    <w:p>
      <w:pPr>
        <w:spacing w:line="440" w:lineRule="exact"/>
        <w:ind w:left="600"/>
        <w:rPr>
          <w:rFonts w:ascii="仿宋" w:hAnsi="仿宋" w:eastAsia="仿宋" w:cs="仿宋"/>
          <w:sz w:val="28"/>
          <w:szCs w:val="28"/>
        </w:rPr>
      </w:pPr>
      <w:r>
        <w:rPr>
          <w:rFonts w:hint="eastAsia" w:ascii="仿宋" w:hAnsi="仿宋" w:eastAsia="仿宋" w:cs="仿宋"/>
          <w:sz w:val="28"/>
          <w:szCs w:val="28"/>
        </w:rPr>
        <w:t>2.5评标委员会成员（以下简称评委）应按规定的程序评标；</w:t>
      </w:r>
    </w:p>
    <w:p>
      <w:pPr>
        <w:spacing w:line="440" w:lineRule="exact"/>
        <w:ind w:firstLine="570"/>
        <w:rPr>
          <w:rFonts w:ascii="仿宋" w:hAnsi="仿宋" w:eastAsia="仿宋" w:cs="仿宋"/>
          <w:sz w:val="28"/>
          <w:szCs w:val="28"/>
        </w:rPr>
      </w:pPr>
      <w:r>
        <w:rPr>
          <w:rFonts w:hint="eastAsia" w:ascii="仿宋" w:hAnsi="仿宋" w:eastAsia="仿宋" w:cs="仿宋"/>
          <w:sz w:val="28"/>
          <w:szCs w:val="28"/>
        </w:rPr>
        <w:t>2.6评委在开始评标前，应首先检查每份投标文件的内容是否完整，是否实质上响应招标文件的要求。对于实质上未响应招标文件规定的投标文件，集中采购机构将予以拒绝。对于报价特别异常的，由评委依法认定。</w:t>
      </w:r>
    </w:p>
    <w:p>
      <w:pPr>
        <w:spacing w:line="440" w:lineRule="exact"/>
        <w:rPr>
          <w:rFonts w:ascii="仿宋" w:hAnsi="仿宋" w:eastAsia="仿宋" w:cs="仿宋"/>
          <w:sz w:val="28"/>
          <w:szCs w:val="28"/>
        </w:rPr>
      </w:pPr>
      <w:r>
        <w:rPr>
          <w:rFonts w:hint="eastAsia" w:ascii="仿宋" w:hAnsi="仿宋" w:eastAsia="仿宋" w:cs="仿宋"/>
          <w:sz w:val="28"/>
          <w:szCs w:val="28"/>
        </w:rPr>
        <w:t xml:space="preserve">    2.7评标委员会将对确定为实质上响应招标文件要求的投标文件进行比较评审。</w:t>
      </w:r>
    </w:p>
    <w:p>
      <w:pPr>
        <w:spacing w:line="440" w:lineRule="exact"/>
        <w:rPr>
          <w:rFonts w:ascii="仿宋" w:hAnsi="仿宋" w:eastAsia="仿宋" w:cs="仿宋"/>
          <w:sz w:val="28"/>
          <w:szCs w:val="28"/>
        </w:rPr>
      </w:pPr>
      <w:r>
        <w:rPr>
          <w:rFonts w:hint="eastAsia" w:ascii="仿宋" w:hAnsi="仿宋" w:eastAsia="仿宋" w:cs="仿宋"/>
          <w:sz w:val="28"/>
          <w:szCs w:val="28"/>
        </w:rPr>
        <w:t xml:space="preserve">    2.8投标人对评委施加影响的任何行为，都将被取消中标资格。</w:t>
      </w:r>
    </w:p>
    <w:p>
      <w:pPr>
        <w:pStyle w:val="18"/>
        <w:numPr>
          <w:ilvl w:val="0"/>
          <w:numId w:val="2"/>
        </w:numPr>
        <w:spacing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评标方法：综合评分法</w:t>
      </w:r>
    </w:p>
    <w:p>
      <w:pPr>
        <w:pStyle w:val="18"/>
        <w:spacing w:line="440" w:lineRule="exact"/>
        <w:ind w:firstLine="560" w:firstLineChars="200"/>
        <w:rPr>
          <w:rFonts w:ascii="仿宋" w:hAnsi="仿宋" w:eastAsia="仿宋" w:cs="仿宋"/>
          <w:bCs/>
          <w:sz w:val="28"/>
          <w:szCs w:val="28"/>
        </w:rPr>
      </w:pPr>
      <w:r>
        <w:rPr>
          <w:rFonts w:hint="eastAsia" w:ascii="仿宋" w:hAnsi="仿宋" w:eastAsia="仿宋" w:cs="仿宋"/>
          <w:bCs/>
          <w:sz w:val="28"/>
          <w:szCs w:val="28"/>
        </w:rPr>
        <w:t>本项目采用综合评分法。评标总分值由价格分、商务技术分（商务得分+技术得分）组成，总分值100分。在本项目中价格（投标报价）分为</w:t>
      </w:r>
      <w:r>
        <w:rPr>
          <w:rFonts w:hint="eastAsia" w:ascii="仿宋" w:hAnsi="仿宋" w:eastAsia="仿宋" w:cs="仿宋"/>
          <w:b/>
          <w:bCs/>
          <w:sz w:val="28"/>
          <w:szCs w:val="28"/>
        </w:rPr>
        <w:t>30分</w:t>
      </w:r>
      <w:r>
        <w:rPr>
          <w:rFonts w:hint="eastAsia" w:ascii="仿宋" w:hAnsi="仿宋" w:eastAsia="仿宋" w:cs="仿宋"/>
          <w:bCs/>
          <w:sz w:val="28"/>
          <w:szCs w:val="28"/>
        </w:rPr>
        <w:t>；商务技术分为</w:t>
      </w:r>
      <w:r>
        <w:rPr>
          <w:rFonts w:hint="eastAsia" w:ascii="仿宋" w:hAnsi="仿宋" w:eastAsia="仿宋" w:cs="仿宋"/>
          <w:b/>
          <w:bCs/>
          <w:sz w:val="28"/>
          <w:szCs w:val="28"/>
        </w:rPr>
        <w:t>70分</w:t>
      </w:r>
      <w:r>
        <w:rPr>
          <w:rFonts w:hint="eastAsia" w:ascii="仿宋" w:hAnsi="仿宋" w:eastAsia="仿宋" w:cs="仿宋"/>
          <w:bCs/>
          <w:sz w:val="28"/>
          <w:szCs w:val="28"/>
        </w:rPr>
        <w:t>。评标委员会将根据投标文件满足招标文件实质性要求前提下，按照投标报价、</w:t>
      </w:r>
      <w:r>
        <w:rPr>
          <w:rFonts w:hint="eastAsia" w:ascii="仿宋" w:hAnsi="仿宋" w:eastAsia="仿宋" w:cs="仿宋"/>
          <w:bCs/>
          <w:spacing w:val="14"/>
          <w:sz w:val="28"/>
          <w:szCs w:val="28"/>
        </w:rPr>
        <w:t>投标文件质量</w:t>
      </w:r>
      <w:r>
        <w:rPr>
          <w:rFonts w:hint="eastAsia" w:ascii="仿宋" w:hAnsi="仿宋" w:eastAsia="仿宋" w:cs="仿宋"/>
          <w:bCs/>
          <w:sz w:val="28"/>
          <w:szCs w:val="28"/>
        </w:rPr>
        <w:t>、企业荣誉与业绩、企业信誉、企业质量环保管理等认证证书、投标货物技术性能、投标项目实施方案、售后服务承诺、政策分等进行综合评估,</w:t>
      </w:r>
      <w:r>
        <w:rPr>
          <w:rFonts w:hint="eastAsia" w:ascii="仿宋" w:hAnsi="仿宋" w:eastAsia="仿宋" w:cs="仿宋"/>
          <w:b/>
          <w:bCs/>
          <w:sz w:val="28"/>
          <w:szCs w:val="28"/>
        </w:rPr>
        <w:t>在对各评委分值汇总时，以算术平均值为各投标人得分,</w:t>
      </w:r>
      <w:r>
        <w:rPr>
          <w:rFonts w:hint="eastAsia" w:ascii="仿宋" w:hAnsi="仿宋" w:eastAsia="仿宋" w:cs="仿宋"/>
          <w:bCs/>
          <w:sz w:val="28"/>
          <w:szCs w:val="28"/>
        </w:rPr>
        <w:t>以评标最终得分最高的投标人为第一中标候选供应商。</w:t>
      </w:r>
    </w:p>
    <w:p>
      <w:pPr>
        <w:spacing w:line="440" w:lineRule="exact"/>
        <w:jc w:val="left"/>
        <w:rPr>
          <w:rFonts w:ascii="仿宋" w:hAnsi="仿宋" w:eastAsia="仿宋" w:cs="仿宋"/>
          <w:b/>
          <w:bCs/>
          <w:spacing w:val="14"/>
          <w:sz w:val="28"/>
          <w:szCs w:val="28"/>
        </w:rPr>
      </w:pPr>
      <w:r>
        <w:rPr>
          <w:rFonts w:hint="eastAsia" w:ascii="仿宋" w:hAnsi="仿宋" w:eastAsia="仿宋" w:cs="仿宋"/>
          <w:b/>
          <w:bCs/>
          <w:spacing w:val="14"/>
          <w:sz w:val="28"/>
          <w:szCs w:val="28"/>
        </w:rPr>
        <w:t>3.1价格分：30分</w:t>
      </w:r>
    </w:p>
    <w:p>
      <w:pPr>
        <w:spacing w:line="440" w:lineRule="exact"/>
        <w:ind w:firstLine="616" w:firstLineChars="200"/>
        <w:jc w:val="left"/>
        <w:rPr>
          <w:rFonts w:ascii="仿宋" w:hAnsi="仿宋" w:eastAsia="仿宋"/>
          <w:spacing w:val="14"/>
          <w:sz w:val="28"/>
          <w:szCs w:val="28"/>
        </w:rPr>
      </w:pPr>
      <w:r>
        <w:rPr>
          <w:rFonts w:hint="eastAsia" w:ascii="仿宋" w:hAnsi="仿宋" w:eastAsia="仿宋"/>
          <w:spacing w:val="14"/>
          <w:sz w:val="28"/>
          <w:szCs w:val="28"/>
        </w:rPr>
        <w:t>3.1.1 以有效投标价格最低的投标报价为评标基准价，其价格分为30分。其他投标人的报价分按照下列公式计算：</w:t>
      </w:r>
    </w:p>
    <w:p>
      <w:pPr>
        <w:spacing w:line="440" w:lineRule="exact"/>
        <w:ind w:firstLine="616" w:firstLineChars="200"/>
        <w:jc w:val="left"/>
        <w:rPr>
          <w:rFonts w:ascii="仿宋" w:hAnsi="仿宋" w:eastAsia="仿宋"/>
          <w:spacing w:val="14"/>
          <w:sz w:val="28"/>
          <w:szCs w:val="28"/>
        </w:rPr>
      </w:pPr>
      <w:r>
        <w:rPr>
          <w:rFonts w:hint="eastAsia" w:ascii="仿宋" w:hAnsi="仿宋" w:eastAsia="仿宋"/>
          <w:spacing w:val="14"/>
          <w:sz w:val="28"/>
          <w:szCs w:val="28"/>
        </w:rPr>
        <w:t>投标报价得分=（评标基准价/投标报价）×30</w:t>
      </w:r>
    </w:p>
    <w:p>
      <w:pPr>
        <w:spacing w:line="44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3.1.2评标委员会在评审时发现投标人的报价明显高于其市场报价的，应当要求投标人书面说明并提供相关证明材料。投标人不能当场合理说明原因并提供证明材料的，评标委员会应将该投标人的投标文件作无效处理，并在评审报告中说明。</w:t>
      </w:r>
    </w:p>
    <w:p>
      <w:pPr>
        <w:spacing w:line="440" w:lineRule="exact"/>
        <w:ind w:firstLine="562" w:firstLineChars="200"/>
        <w:rPr>
          <w:rFonts w:ascii="仿宋" w:hAnsi="仿宋" w:eastAsia="仿宋" w:cs="仿宋"/>
          <w:b/>
          <w:snapToGrid w:val="0"/>
          <w:sz w:val="28"/>
          <w:szCs w:val="28"/>
        </w:rPr>
      </w:pPr>
      <w:r>
        <w:rPr>
          <w:rFonts w:hint="eastAsia" w:ascii="仿宋" w:hAnsi="仿宋" w:eastAsia="仿宋" w:cs="仿宋"/>
          <w:b/>
          <w:snapToGrid w:val="0"/>
          <w:sz w:val="28"/>
          <w:szCs w:val="28"/>
        </w:rPr>
        <w:t>二分之一以上的评委认为供应商报价明显高于市场平均价的将作为无效投标处理；</w:t>
      </w:r>
    </w:p>
    <w:p>
      <w:pPr>
        <w:spacing w:line="4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3.1.3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00" w:lineRule="exact"/>
        <w:ind w:firstLine="562" w:firstLineChars="200"/>
        <w:rPr>
          <w:rFonts w:ascii="仿宋" w:hAnsi="仿宋" w:eastAsia="仿宋"/>
          <w:b/>
          <w:bCs/>
          <w:sz w:val="28"/>
          <w:szCs w:val="28"/>
        </w:rPr>
      </w:pPr>
      <w:r>
        <w:rPr>
          <w:rFonts w:hint="eastAsia" w:ascii="仿宋" w:hAnsi="仿宋" w:eastAsia="仿宋" w:cs="仿宋"/>
          <w:b/>
          <w:bCs/>
          <w:sz w:val="28"/>
          <w:szCs w:val="28"/>
        </w:rPr>
        <w:t>3.1.4</w:t>
      </w:r>
      <w:r>
        <w:rPr>
          <w:rFonts w:hint="eastAsia" w:ascii="仿宋" w:hAnsi="仿宋" w:eastAsia="仿宋"/>
          <w:b/>
          <w:bCs/>
          <w:sz w:val="28"/>
          <w:szCs w:val="28"/>
        </w:rPr>
        <w:t>价格计算扣除：</w:t>
      </w:r>
    </w:p>
    <w:p>
      <w:pPr>
        <w:pStyle w:val="18"/>
        <w:spacing w:line="400" w:lineRule="exact"/>
        <w:ind w:firstLine="560" w:firstLineChars="200"/>
        <w:rPr>
          <w:rFonts w:ascii="仿宋" w:hAnsi="仿宋" w:eastAsia="仿宋"/>
          <w:bCs/>
          <w:sz w:val="28"/>
          <w:szCs w:val="28"/>
        </w:rPr>
      </w:pPr>
      <w:r>
        <w:rPr>
          <w:rFonts w:hint="eastAsia" w:ascii="仿宋" w:hAnsi="仿宋" w:eastAsia="仿宋"/>
          <w:bCs/>
          <w:sz w:val="28"/>
          <w:szCs w:val="28"/>
        </w:rPr>
        <w:t>3.1.4.1根据规定，在评审时对小型和微型企业的投标报价给予20%的扣除，取扣除后的价格作为最终投标报价（此最终投标报价仅作为价格分计算）。属于小型和微型企业的，投标文件中投标人必须提供的《中小企业声明函》，并在报价明细表中说明制造商情况。</w:t>
      </w:r>
    </w:p>
    <w:p>
      <w:pPr>
        <w:pStyle w:val="18"/>
        <w:spacing w:line="400" w:lineRule="exact"/>
        <w:ind w:firstLine="560" w:firstLineChars="200"/>
        <w:rPr>
          <w:rFonts w:ascii="仿宋" w:hAnsi="仿宋" w:eastAsia="仿宋"/>
          <w:bCs/>
          <w:sz w:val="28"/>
          <w:szCs w:val="28"/>
        </w:rPr>
      </w:pPr>
      <w:r>
        <w:rPr>
          <w:rFonts w:hint="eastAsia" w:ascii="仿宋" w:hAnsi="仿宋" w:eastAsia="仿宋"/>
          <w:bCs/>
          <w:sz w:val="28"/>
          <w:szCs w:val="28"/>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6%的价格扣除，须同时提供联合体协议约定（包含小型、微型企业的协议合同份额）。</w:t>
      </w:r>
    </w:p>
    <w:p>
      <w:pPr>
        <w:pStyle w:val="18"/>
        <w:spacing w:line="400" w:lineRule="exact"/>
        <w:ind w:firstLine="560" w:firstLineChars="200"/>
        <w:rPr>
          <w:rFonts w:ascii="仿宋" w:hAnsi="仿宋" w:eastAsia="仿宋"/>
          <w:bCs/>
          <w:sz w:val="28"/>
          <w:szCs w:val="28"/>
        </w:rPr>
      </w:pPr>
      <w:r>
        <w:rPr>
          <w:rFonts w:hint="eastAsia" w:ascii="仿宋" w:hAnsi="仿宋" w:eastAsia="仿宋"/>
          <w:bCs/>
          <w:sz w:val="28"/>
          <w:szCs w:val="28"/>
        </w:rPr>
        <w:t>3.1.4.2根据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pStyle w:val="18"/>
        <w:spacing w:line="400" w:lineRule="exact"/>
        <w:ind w:firstLine="560" w:firstLineChars="200"/>
        <w:rPr>
          <w:rFonts w:ascii="仿宋" w:hAnsi="仿宋" w:eastAsia="仿宋"/>
          <w:bCs/>
          <w:sz w:val="28"/>
          <w:szCs w:val="28"/>
        </w:rPr>
      </w:pPr>
      <w:r>
        <w:rPr>
          <w:rFonts w:hint="eastAsia" w:ascii="仿宋" w:hAnsi="仿宋" w:eastAsia="仿宋"/>
          <w:bCs/>
          <w:sz w:val="28"/>
          <w:szCs w:val="28"/>
        </w:rPr>
        <w:t>3.1.4.3根据规定，在政府采购活动中，监狱企业视同小型、微型企业，享受评审中价格扣除政策，并在投标文件中提供由省级以上监狱管理局、戒毒管理局（含新疆生产建设兵团）出具的属于监狱企业的证明文件（格式自拟）。</w:t>
      </w:r>
    </w:p>
    <w:p>
      <w:pPr>
        <w:pStyle w:val="18"/>
        <w:spacing w:line="400" w:lineRule="exact"/>
        <w:ind w:firstLine="560" w:firstLineChars="200"/>
        <w:rPr>
          <w:rFonts w:eastAsia="仿宋"/>
        </w:rPr>
      </w:pPr>
      <w:r>
        <w:rPr>
          <w:rFonts w:hint="eastAsia" w:ascii="仿宋" w:hAnsi="仿宋" w:eastAsia="仿宋"/>
          <w:bCs/>
          <w:sz w:val="28"/>
          <w:szCs w:val="28"/>
        </w:rPr>
        <w:t>上述计算扣除不累计计算，最高扣除20%；未提供以上材料的，均不给予价格计算扣除。</w:t>
      </w:r>
    </w:p>
    <w:p>
      <w:pPr>
        <w:pStyle w:val="18"/>
        <w:spacing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3.2 商务技术分：70分</w:t>
      </w:r>
    </w:p>
    <w:tbl>
      <w:tblPr>
        <w:tblStyle w:val="31"/>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34"/>
        <w:gridCol w:w="878"/>
        <w:gridCol w:w="606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pPr>
              <w:spacing w:line="440" w:lineRule="exact"/>
              <w:jc w:val="center"/>
              <w:rPr>
                <w:rFonts w:ascii="仿宋" w:hAnsi="仿宋" w:eastAsia="仿宋"/>
                <w:bCs/>
                <w:kern w:val="0"/>
                <w:sz w:val="28"/>
                <w:szCs w:val="28"/>
              </w:rPr>
            </w:pPr>
            <w:r>
              <w:rPr>
                <w:rFonts w:hint="eastAsia" w:ascii="仿宋" w:hAnsi="仿宋" w:eastAsia="仿宋"/>
                <w:bCs/>
                <w:kern w:val="0"/>
                <w:sz w:val="28"/>
                <w:szCs w:val="28"/>
              </w:rPr>
              <w:t>序号</w:t>
            </w:r>
          </w:p>
        </w:tc>
        <w:tc>
          <w:tcPr>
            <w:tcW w:w="1134" w:type="dxa"/>
          </w:tcPr>
          <w:p>
            <w:pPr>
              <w:spacing w:line="440" w:lineRule="exact"/>
              <w:jc w:val="center"/>
              <w:rPr>
                <w:rFonts w:ascii="仿宋" w:hAnsi="仿宋" w:eastAsia="仿宋"/>
                <w:bCs/>
                <w:kern w:val="0"/>
                <w:sz w:val="28"/>
                <w:szCs w:val="28"/>
              </w:rPr>
            </w:pPr>
            <w:r>
              <w:rPr>
                <w:rFonts w:hint="eastAsia" w:ascii="仿宋" w:hAnsi="仿宋" w:eastAsia="仿宋"/>
                <w:bCs/>
                <w:kern w:val="0"/>
                <w:sz w:val="28"/>
                <w:szCs w:val="28"/>
              </w:rPr>
              <w:t>评分</w:t>
            </w:r>
          </w:p>
          <w:p>
            <w:pPr>
              <w:spacing w:line="440" w:lineRule="exact"/>
              <w:jc w:val="center"/>
              <w:rPr>
                <w:rFonts w:ascii="仿宋" w:hAnsi="仿宋" w:eastAsia="仿宋"/>
                <w:bCs/>
                <w:kern w:val="0"/>
                <w:sz w:val="28"/>
                <w:szCs w:val="28"/>
              </w:rPr>
            </w:pPr>
            <w:r>
              <w:rPr>
                <w:rFonts w:hint="eastAsia" w:ascii="仿宋" w:hAnsi="仿宋" w:eastAsia="仿宋"/>
                <w:bCs/>
                <w:kern w:val="0"/>
                <w:sz w:val="28"/>
                <w:szCs w:val="28"/>
              </w:rPr>
              <w:t>因素</w:t>
            </w:r>
          </w:p>
        </w:tc>
        <w:tc>
          <w:tcPr>
            <w:tcW w:w="878" w:type="dxa"/>
            <w:vAlign w:val="center"/>
          </w:tcPr>
          <w:p>
            <w:pPr>
              <w:spacing w:line="440" w:lineRule="exact"/>
              <w:jc w:val="center"/>
              <w:rPr>
                <w:rFonts w:ascii="仿宋" w:hAnsi="仿宋" w:eastAsia="仿宋"/>
                <w:bCs/>
                <w:kern w:val="0"/>
                <w:sz w:val="28"/>
                <w:szCs w:val="28"/>
              </w:rPr>
            </w:pPr>
            <w:r>
              <w:rPr>
                <w:rFonts w:hint="eastAsia" w:ascii="仿宋" w:hAnsi="仿宋" w:eastAsia="仿宋"/>
                <w:bCs/>
                <w:kern w:val="0"/>
                <w:sz w:val="28"/>
                <w:szCs w:val="28"/>
              </w:rPr>
              <w:t>评分项</w:t>
            </w:r>
          </w:p>
        </w:tc>
        <w:tc>
          <w:tcPr>
            <w:tcW w:w="6068" w:type="dxa"/>
            <w:vAlign w:val="center"/>
          </w:tcPr>
          <w:p>
            <w:pPr>
              <w:spacing w:line="400" w:lineRule="exact"/>
              <w:jc w:val="center"/>
              <w:rPr>
                <w:rFonts w:ascii="仿宋" w:hAnsi="仿宋" w:eastAsia="仿宋"/>
                <w:bCs/>
                <w:kern w:val="0"/>
                <w:sz w:val="28"/>
                <w:szCs w:val="28"/>
              </w:rPr>
            </w:pPr>
            <w:r>
              <w:rPr>
                <w:rFonts w:hint="eastAsia" w:ascii="仿宋" w:hAnsi="仿宋" w:eastAsia="仿宋"/>
                <w:bCs/>
                <w:kern w:val="0"/>
                <w:sz w:val="28"/>
                <w:szCs w:val="28"/>
              </w:rPr>
              <w:t>评分细则</w:t>
            </w:r>
          </w:p>
        </w:tc>
        <w:tc>
          <w:tcPr>
            <w:tcW w:w="851" w:type="dxa"/>
            <w:vAlign w:val="center"/>
          </w:tcPr>
          <w:p>
            <w:pPr>
              <w:spacing w:line="400" w:lineRule="exact"/>
              <w:jc w:val="center"/>
              <w:rPr>
                <w:rFonts w:ascii="仿宋" w:hAnsi="仿宋" w:eastAsia="仿宋"/>
                <w:bCs/>
                <w:kern w:val="0"/>
                <w:sz w:val="28"/>
                <w:szCs w:val="28"/>
              </w:rPr>
            </w:pPr>
            <w:r>
              <w:rPr>
                <w:rFonts w:hint="eastAsia" w:ascii="仿宋" w:hAnsi="仿宋" w:eastAsia="仿宋"/>
                <w:bCs/>
                <w:kern w:val="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pPr>
              <w:spacing w:line="440" w:lineRule="exact"/>
              <w:jc w:val="center"/>
              <w:rPr>
                <w:rFonts w:ascii="仿宋" w:hAnsi="仿宋" w:eastAsia="仿宋"/>
                <w:bCs/>
                <w:kern w:val="0"/>
                <w:sz w:val="28"/>
                <w:szCs w:val="28"/>
              </w:rPr>
            </w:pPr>
            <w:r>
              <w:rPr>
                <w:rFonts w:hint="eastAsia" w:ascii="仿宋" w:hAnsi="仿宋" w:eastAsia="仿宋"/>
                <w:bCs/>
                <w:kern w:val="0"/>
                <w:sz w:val="28"/>
                <w:szCs w:val="28"/>
              </w:rPr>
              <w:t>1</w:t>
            </w:r>
          </w:p>
        </w:tc>
        <w:tc>
          <w:tcPr>
            <w:tcW w:w="1134" w:type="dxa"/>
            <w:vAlign w:val="center"/>
          </w:tcPr>
          <w:p>
            <w:pPr>
              <w:spacing w:line="440" w:lineRule="exact"/>
              <w:jc w:val="center"/>
              <w:rPr>
                <w:rFonts w:ascii="仿宋" w:hAnsi="仿宋" w:eastAsia="仿宋"/>
                <w:bCs/>
                <w:kern w:val="0"/>
                <w:sz w:val="28"/>
                <w:szCs w:val="28"/>
              </w:rPr>
            </w:pPr>
            <w:r>
              <w:rPr>
                <w:rFonts w:hint="eastAsia" w:ascii="仿宋" w:hAnsi="仿宋" w:eastAsia="仿宋"/>
                <w:bCs/>
                <w:kern w:val="0"/>
                <w:sz w:val="28"/>
                <w:szCs w:val="28"/>
              </w:rPr>
              <w:t>主观</w:t>
            </w:r>
          </w:p>
        </w:tc>
        <w:tc>
          <w:tcPr>
            <w:tcW w:w="878" w:type="dxa"/>
            <w:vAlign w:val="center"/>
          </w:tcPr>
          <w:p>
            <w:pPr>
              <w:spacing w:line="440" w:lineRule="exact"/>
              <w:jc w:val="center"/>
              <w:rPr>
                <w:rFonts w:ascii="仿宋" w:hAnsi="仿宋" w:eastAsia="仿宋"/>
                <w:bCs/>
                <w:kern w:val="0"/>
                <w:sz w:val="28"/>
                <w:szCs w:val="28"/>
              </w:rPr>
            </w:pPr>
            <w:r>
              <w:rPr>
                <w:rFonts w:hint="eastAsia" w:ascii="仿宋" w:hAnsi="仿宋" w:eastAsia="仿宋"/>
                <w:bCs/>
                <w:kern w:val="0"/>
                <w:sz w:val="28"/>
                <w:szCs w:val="28"/>
              </w:rPr>
              <w:t>投标文</w:t>
            </w:r>
          </w:p>
          <w:p>
            <w:pPr>
              <w:spacing w:line="440" w:lineRule="exact"/>
              <w:jc w:val="center"/>
              <w:rPr>
                <w:rFonts w:ascii="仿宋" w:hAnsi="仿宋" w:eastAsia="仿宋"/>
                <w:bCs/>
                <w:kern w:val="0"/>
                <w:sz w:val="28"/>
                <w:szCs w:val="28"/>
              </w:rPr>
            </w:pPr>
            <w:r>
              <w:rPr>
                <w:rFonts w:hint="eastAsia" w:ascii="仿宋" w:hAnsi="仿宋" w:eastAsia="仿宋"/>
                <w:bCs/>
                <w:kern w:val="0"/>
                <w:sz w:val="28"/>
                <w:szCs w:val="28"/>
              </w:rPr>
              <w:t>件质量</w:t>
            </w:r>
          </w:p>
        </w:tc>
        <w:tc>
          <w:tcPr>
            <w:tcW w:w="6068" w:type="dxa"/>
            <w:vAlign w:val="center"/>
          </w:tcPr>
          <w:p>
            <w:pPr>
              <w:spacing w:line="400" w:lineRule="exact"/>
              <w:ind w:firstLine="308" w:firstLineChars="100"/>
              <w:jc w:val="left"/>
              <w:rPr>
                <w:rFonts w:ascii="仿宋" w:hAnsi="仿宋" w:eastAsia="仿宋"/>
                <w:bCs/>
                <w:kern w:val="0"/>
                <w:sz w:val="28"/>
                <w:szCs w:val="28"/>
              </w:rPr>
            </w:pPr>
            <w:r>
              <w:rPr>
                <w:rFonts w:hint="eastAsia" w:ascii="仿宋" w:hAnsi="仿宋" w:eastAsia="仿宋"/>
                <w:spacing w:val="14"/>
                <w:kern w:val="0"/>
                <w:sz w:val="28"/>
                <w:szCs w:val="28"/>
              </w:rPr>
              <w:t>投标文件内容按招标文件要求编制完整的得0-0.5分；</w:t>
            </w:r>
            <w:r>
              <w:rPr>
                <w:rFonts w:hint="eastAsia" w:ascii="仿宋" w:hAnsi="仿宋" w:eastAsia="仿宋"/>
                <w:kern w:val="0"/>
                <w:sz w:val="28"/>
                <w:szCs w:val="28"/>
              </w:rPr>
              <w:t>投标文件按照</w:t>
            </w:r>
            <w:r>
              <w:rPr>
                <w:rFonts w:ascii="仿宋" w:hAnsi="仿宋" w:eastAsia="仿宋"/>
                <w:kern w:val="0"/>
                <w:sz w:val="28"/>
                <w:szCs w:val="28"/>
              </w:rPr>
              <w:t>电子</w:t>
            </w:r>
            <w:r>
              <w:rPr>
                <w:rFonts w:hint="eastAsia" w:ascii="仿宋" w:hAnsi="仿宋" w:eastAsia="仿宋"/>
                <w:kern w:val="0"/>
                <w:sz w:val="28"/>
                <w:szCs w:val="28"/>
              </w:rPr>
              <w:t>交易客户端关联点的要求进行关联的情况，0-1.5分；</w:t>
            </w:r>
          </w:p>
        </w:tc>
        <w:tc>
          <w:tcPr>
            <w:tcW w:w="851" w:type="dxa"/>
            <w:vAlign w:val="center"/>
          </w:tcPr>
          <w:p>
            <w:pPr>
              <w:spacing w:line="400" w:lineRule="exact"/>
              <w:rPr>
                <w:rFonts w:ascii="仿宋" w:hAnsi="仿宋" w:eastAsia="仿宋"/>
                <w:bCs/>
                <w:kern w:val="0"/>
                <w:sz w:val="28"/>
                <w:szCs w:val="28"/>
              </w:rPr>
            </w:pPr>
            <w:r>
              <w:rPr>
                <w:rFonts w:hint="eastAsia" w:ascii="仿宋" w:hAnsi="仿宋" w:eastAsia="仿宋"/>
                <w:bCs/>
                <w:kern w:val="0"/>
                <w:sz w:val="28"/>
                <w:szCs w:val="28"/>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restart"/>
            <w:vAlign w:val="center"/>
          </w:tcPr>
          <w:p>
            <w:pPr>
              <w:spacing w:line="440" w:lineRule="exact"/>
              <w:jc w:val="center"/>
              <w:rPr>
                <w:rFonts w:ascii="仿宋" w:hAnsi="仿宋" w:eastAsia="仿宋"/>
                <w:bCs/>
                <w:kern w:val="0"/>
                <w:sz w:val="28"/>
                <w:szCs w:val="28"/>
              </w:rPr>
            </w:pPr>
            <w:r>
              <w:rPr>
                <w:rFonts w:hint="eastAsia" w:ascii="仿宋" w:hAnsi="仿宋" w:eastAsia="仿宋"/>
                <w:bCs/>
                <w:kern w:val="0"/>
                <w:sz w:val="28"/>
                <w:szCs w:val="28"/>
              </w:rPr>
              <w:t>2</w:t>
            </w:r>
          </w:p>
        </w:tc>
        <w:tc>
          <w:tcPr>
            <w:tcW w:w="1134" w:type="dxa"/>
            <w:vAlign w:val="center"/>
          </w:tcPr>
          <w:p>
            <w:pPr>
              <w:spacing w:line="440" w:lineRule="exact"/>
              <w:jc w:val="center"/>
              <w:rPr>
                <w:rFonts w:ascii="仿宋" w:hAnsi="仿宋" w:eastAsia="仿宋"/>
                <w:spacing w:val="14"/>
                <w:kern w:val="0"/>
                <w:sz w:val="28"/>
                <w:szCs w:val="28"/>
              </w:rPr>
            </w:pPr>
            <w:r>
              <w:rPr>
                <w:rFonts w:hint="eastAsia" w:ascii="仿宋" w:hAnsi="仿宋" w:eastAsia="仿宋"/>
                <w:spacing w:val="14"/>
                <w:kern w:val="0"/>
                <w:sz w:val="28"/>
                <w:szCs w:val="28"/>
              </w:rPr>
              <w:t>客观</w:t>
            </w:r>
          </w:p>
        </w:tc>
        <w:tc>
          <w:tcPr>
            <w:tcW w:w="878" w:type="dxa"/>
            <w:vMerge w:val="restart"/>
            <w:vAlign w:val="center"/>
          </w:tcPr>
          <w:p>
            <w:pPr>
              <w:spacing w:line="440" w:lineRule="exact"/>
              <w:jc w:val="left"/>
              <w:rPr>
                <w:rFonts w:ascii="仿宋" w:hAnsi="仿宋" w:eastAsia="仿宋"/>
                <w:bCs/>
                <w:kern w:val="0"/>
                <w:sz w:val="28"/>
                <w:szCs w:val="28"/>
              </w:rPr>
            </w:pPr>
            <w:r>
              <w:rPr>
                <w:rFonts w:hint="eastAsia" w:ascii="仿宋" w:hAnsi="仿宋" w:eastAsia="仿宋"/>
                <w:spacing w:val="14"/>
                <w:kern w:val="0"/>
                <w:sz w:val="28"/>
                <w:szCs w:val="28"/>
              </w:rPr>
              <w:t>企业荣誉与业绩</w:t>
            </w:r>
          </w:p>
        </w:tc>
        <w:tc>
          <w:tcPr>
            <w:tcW w:w="6068" w:type="dxa"/>
            <w:vAlign w:val="center"/>
          </w:tcPr>
          <w:p>
            <w:pPr>
              <w:spacing w:line="400" w:lineRule="exact"/>
              <w:jc w:val="left"/>
              <w:rPr>
                <w:rFonts w:ascii="仿宋" w:hAnsi="仿宋" w:eastAsia="仿宋"/>
                <w:kern w:val="0"/>
                <w:sz w:val="28"/>
                <w:szCs w:val="28"/>
              </w:rPr>
            </w:pPr>
            <w:r>
              <w:rPr>
                <w:rFonts w:hint="eastAsia" w:ascii="仿宋" w:hAnsi="仿宋" w:eastAsia="仿宋"/>
                <w:kern w:val="0"/>
                <w:sz w:val="28"/>
                <w:szCs w:val="28"/>
              </w:rPr>
              <w:t>2.1荣誉：0-2分</w:t>
            </w:r>
          </w:p>
          <w:p>
            <w:pPr>
              <w:spacing w:line="400" w:lineRule="exact"/>
              <w:ind w:firstLine="280" w:firstLineChars="100"/>
              <w:jc w:val="left"/>
              <w:rPr>
                <w:rFonts w:ascii="仿宋" w:hAnsi="仿宋" w:eastAsia="仿宋"/>
                <w:bCs/>
                <w:kern w:val="0"/>
                <w:sz w:val="28"/>
                <w:szCs w:val="28"/>
              </w:rPr>
            </w:pPr>
            <w:r>
              <w:rPr>
                <w:rFonts w:hint="eastAsia" w:ascii="仿宋" w:hAnsi="仿宋" w:eastAsia="仿宋"/>
                <w:kern w:val="0"/>
                <w:sz w:val="28"/>
                <w:szCs w:val="28"/>
              </w:rPr>
              <w:t>评委按投标人提供的2018年1月1日至今政府行政职能部门或行业主管部门授予的投标企业荣誉证书（复印件并加盖投标人公章）进行评分。有国家级，包含国务院所属的部、委、办、局授予的荣誉的得2分；有省级，包含省政府所属的部、委、办、局（厅）授予的荣誉的得1分；有市级，包含市政府所属的部、委、办、局或区、县政府授予的荣誉的得0.5分。分值不重复计算。未提供不得分。</w:t>
            </w:r>
            <w:r>
              <w:rPr>
                <w:rFonts w:hint="eastAsia" w:ascii="仿宋" w:hAnsi="仿宋" w:eastAsia="仿宋"/>
                <w:b/>
                <w:kern w:val="0"/>
                <w:sz w:val="28"/>
                <w:szCs w:val="28"/>
                <w:u w:val="single"/>
              </w:rPr>
              <w:t>（证书上未体现单位名称或有效期的，请提供相应证明文件，否则不计分）。</w:t>
            </w:r>
          </w:p>
        </w:tc>
        <w:tc>
          <w:tcPr>
            <w:tcW w:w="851" w:type="dxa"/>
            <w:vAlign w:val="center"/>
          </w:tcPr>
          <w:p>
            <w:pPr>
              <w:spacing w:line="440" w:lineRule="exact"/>
              <w:jc w:val="center"/>
              <w:rPr>
                <w:rFonts w:ascii="仿宋" w:hAnsi="仿宋" w:eastAsia="仿宋"/>
                <w:bCs/>
                <w:kern w:val="0"/>
                <w:sz w:val="28"/>
                <w:szCs w:val="28"/>
              </w:rPr>
            </w:pPr>
            <w:r>
              <w:rPr>
                <w:rFonts w:hint="eastAsia" w:ascii="仿宋" w:hAnsi="仿宋" w:eastAsia="仿宋"/>
                <w:bCs/>
                <w:kern w:val="0"/>
                <w:sz w:val="28"/>
                <w:szCs w:val="28"/>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0" w:type="dxa"/>
            <w:vMerge w:val="continue"/>
            <w:vAlign w:val="center"/>
          </w:tcPr>
          <w:p>
            <w:pPr>
              <w:spacing w:line="440" w:lineRule="exact"/>
              <w:jc w:val="center"/>
              <w:rPr>
                <w:rFonts w:ascii="仿宋" w:hAnsi="仿宋" w:eastAsia="仿宋"/>
                <w:bCs/>
                <w:kern w:val="0"/>
                <w:sz w:val="28"/>
                <w:szCs w:val="28"/>
              </w:rPr>
            </w:pPr>
          </w:p>
        </w:tc>
        <w:tc>
          <w:tcPr>
            <w:tcW w:w="1134" w:type="dxa"/>
            <w:vAlign w:val="center"/>
          </w:tcPr>
          <w:p>
            <w:pPr>
              <w:spacing w:line="440" w:lineRule="exact"/>
              <w:jc w:val="center"/>
              <w:rPr>
                <w:rFonts w:ascii="仿宋" w:hAnsi="仿宋" w:eastAsia="仿宋"/>
                <w:bCs/>
                <w:kern w:val="0"/>
                <w:sz w:val="28"/>
                <w:szCs w:val="28"/>
              </w:rPr>
            </w:pPr>
            <w:r>
              <w:rPr>
                <w:rFonts w:hint="eastAsia" w:ascii="仿宋" w:hAnsi="仿宋" w:eastAsia="仿宋"/>
                <w:bCs/>
                <w:kern w:val="0"/>
                <w:sz w:val="28"/>
                <w:szCs w:val="28"/>
              </w:rPr>
              <w:t>客观</w:t>
            </w:r>
          </w:p>
        </w:tc>
        <w:tc>
          <w:tcPr>
            <w:tcW w:w="878" w:type="dxa"/>
            <w:vMerge w:val="continue"/>
            <w:vAlign w:val="center"/>
          </w:tcPr>
          <w:p>
            <w:pPr>
              <w:spacing w:line="440" w:lineRule="exact"/>
              <w:jc w:val="center"/>
              <w:rPr>
                <w:rFonts w:ascii="仿宋" w:hAnsi="仿宋" w:eastAsia="仿宋"/>
                <w:bCs/>
                <w:kern w:val="0"/>
                <w:sz w:val="28"/>
                <w:szCs w:val="28"/>
              </w:rPr>
            </w:pPr>
          </w:p>
        </w:tc>
        <w:tc>
          <w:tcPr>
            <w:tcW w:w="6068" w:type="dxa"/>
            <w:vAlign w:val="center"/>
          </w:tcPr>
          <w:p>
            <w:pPr>
              <w:spacing w:line="400" w:lineRule="exact"/>
              <w:jc w:val="left"/>
              <w:rPr>
                <w:rFonts w:ascii="仿宋" w:hAnsi="仿宋" w:eastAsia="仿宋"/>
                <w:kern w:val="0"/>
                <w:sz w:val="28"/>
                <w:szCs w:val="28"/>
              </w:rPr>
            </w:pPr>
            <w:r>
              <w:rPr>
                <w:rFonts w:hint="eastAsia" w:ascii="仿宋" w:hAnsi="仿宋" w:eastAsia="仿宋"/>
                <w:bCs/>
                <w:kern w:val="0"/>
                <w:sz w:val="28"/>
                <w:szCs w:val="28"/>
              </w:rPr>
              <w:t>2.2</w:t>
            </w:r>
            <w:r>
              <w:rPr>
                <w:rFonts w:hint="eastAsia" w:ascii="仿宋" w:hAnsi="仿宋" w:eastAsia="仿宋"/>
                <w:kern w:val="0"/>
                <w:sz w:val="28"/>
                <w:szCs w:val="28"/>
              </w:rPr>
              <w:t>企业业绩:0-2分</w:t>
            </w:r>
          </w:p>
          <w:p>
            <w:pPr>
              <w:spacing w:line="400" w:lineRule="exact"/>
              <w:ind w:firstLine="280" w:firstLineChars="100"/>
              <w:jc w:val="left"/>
              <w:rPr>
                <w:rFonts w:ascii="仿宋" w:hAnsi="仿宋" w:eastAsia="仿宋"/>
                <w:b/>
                <w:kern w:val="0"/>
                <w:sz w:val="28"/>
                <w:szCs w:val="28"/>
                <w:u w:val="single"/>
              </w:rPr>
            </w:pPr>
            <w:r>
              <w:rPr>
                <w:rFonts w:hint="eastAsia" w:ascii="仿宋" w:hAnsi="仿宋" w:eastAsia="仿宋"/>
                <w:kern w:val="0"/>
                <w:sz w:val="28"/>
                <w:szCs w:val="28"/>
              </w:rPr>
              <w:t>评委根据投标人20</w:t>
            </w:r>
            <w:r>
              <w:rPr>
                <w:rFonts w:ascii="仿宋" w:hAnsi="仿宋" w:eastAsia="仿宋"/>
                <w:kern w:val="0"/>
                <w:sz w:val="28"/>
                <w:szCs w:val="28"/>
              </w:rPr>
              <w:t>20</w:t>
            </w:r>
            <w:r>
              <w:rPr>
                <w:rFonts w:hint="eastAsia" w:ascii="仿宋" w:hAnsi="仿宋" w:eastAsia="仿宋"/>
                <w:kern w:val="0"/>
                <w:sz w:val="28"/>
                <w:szCs w:val="28"/>
              </w:rPr>
              <w:t>年1月1日至今的类似项目业绩（数量）进行评定</w:t>
            </w:r>
            <w:r>
              <w:rPr>
                <w:rFonts w:hint="eastAsia" w:ascii="仿宋" w:hAnsi="仿宋" w:eastAsia="仿宋"/>
                <w:b/>
                <w:kern w:val="0"/>
                <w:sz w:val="28"/>
                <w:szCs w:val="28"/>
              </w:rPr>
              <w:t>（</w:t>
            </w:r>
            <w:r>
              <w:rPr>
                <w:rFonts w:hint="eastAsia" w:ascii="仿宋" w:hAnsi="仿宋" w:eastAsia="仿宋"/>
                <w:b/>
                <w:kern w:val="0"/>
                <w:sz w:val="28"/>
                <w:szCs w:val="28"/>
                <w:u w:val="single"/>
              </w:rPr>
              <w:t>须同时提供合同复印件并加盖投标人公章）。</w:t>
            </w:r>
          </w:p>
          <w:p>
            <w:pPr>
              <w:spacing w:line="400" w:lineRule="exact"/>
              <w:ind w:firstLine="280" w:firstLineChars="100"/>
              <w:jc w:val="left"/>
              <w:rPr>
                <w:rFonts w:ascii="仿宋" w:hAnsi="仿宋" w:eastAsia="仿宋"/>
                <w:bCs/>
                <w:kern w:val="0"/>
                <w:sz w:val="28"/>
                <w:szCs w:val="28"/>
              </w:rPr>
            </w:pPr>
            <w:r>
              <w:rPr>
                <w:rFonts w:hint="eastAsia" w:ascii="仿宋" w:hAnsi="仿宋" w:eastAsia="仿宋"/>
                <w:kern w:val="0"/>
                <w:sz w:val="28"/>
                <w:szCs w:val="28"/>
              </w:rPr>
              <w:t>投标人每提供</w:t>
            </w:r>
            <w:r>
              <w:rPr>
                <w:rFonts w:ascii="仿宋" w:hAnsi="仿宋" w:eastAsia="仿宋"/>
                <w:kern w:val="0"/>
                <w:sz w:val="28"/>
                <w:szCs w:val="28"/>
              </w:rPr>
              <w:t>2</w:t>
            </w:r>
            <w:r>
              <w:rPr>
                <w:rFonts w:hint="eastAsia" w:ascii="仿宋" w:hAnsi="仿宋" w:eastAsia="仿宋"/>
                <w:kern w:val="0"/>
                <w:sz w:val="28"/>
                <w:szCs w:val="28"/>
              </w:rPr>
              <w:t>个安全</w:t>
            </w:r>
            <w:r>
              <w:rPr>
                <w:rFonts w:ascii="仿宋" w:hAnsi="仿宋" w:eastAsia="仿宋"/>
                <w:kern w:val="0"/>
                <w:sz w:val="28"/>
                <w:szCs w:val="28"/>
              </w:rPr>
              <w:t>类</w:t>
            </w:r>
            <w:r>
              <w:rPr>
                <w:rFonts w:hint="eastAsia" w:ascii="仿宋" w:hAnsi="仿宋" w:eastAsia="仿宋"/>
                <w:kern w:val="0"/>
                <w:sz w:val="28"/>
                <w:szCs w:val="28"/>
              </w:rPr>
              <w:t>合同的得1分，最高得</w:t>
            </w:r>
            <w:r>
              <w:rPr>
                <w:rFonts w:ascii="仿宋" w:hAnsi="仿宋" w:eastAsia="仿宋"/>
                <w:kern w:val="0"/>
                <w:sz w:val="28"/>
                <w:szCs w:val="28"/>
              </w:rPr>
              <w:t>2</w:t>
            </w:r>
            <w:r>
              <w:rPr>
                <w:rFonts w:hint="eastAsia" w:ascii="仿宋" w:hAnsi="仿宋" w:eastAsia="仿宋"/>
                <w:kern w:val="0"/>
                <w:sz w:val="28"/>
                <w:szCs w:val="28"/>
              </w:rPr>
              <w:t>分，未提供采购项目合同复印件的不得分。</w:t>
            </w:r>
          </w:p>
        </w:tc>
        <w:tc>
          <w:tcPr>
            <w:tcW w:w="851" w:type="dxa"/>
            <w:vAlign w:val="center"/>
          </w:tcPr>
          <w:p>
            <w:pPr>
              <w:spacing w:line="440" w:lineRule="exact"/>
              <w:jc w:val="center"/>
              <w:rPr>
                <w:rFonts w:ascii="仿宋" w:hAnsi="仿宋" w:eastAsia="仿宋"/>
                <w:bCs/>
                <w:kern w:val="0"/>
                <w:sz w:val="28"/>
                <w:szCs w:val="28"/>
              </w:rPr>
            </w:pPr>
            <w:r>
              <w:rPr>
                <w:rFonts w:hint="eastAsia" w:ascii="仿宋" w:hAnsi="仿宋" w:eastAsia="仿宋"/>
                <w:bCs/>
                <w:kern w:val="0"/>
                <w:sz w:val="28"/>
                <w:szCs w:val="28"/>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restart"/>
            <w:vAlign w:val="center"/>
          </w:tcPr>
          <w:p>
            <w:pPr>
              <w:spacing w:line="440" w:lineRule="exact"/>
              <w:jc w:val="center"/>
              <w:rPr>
                <w:rFonts w:ascii="仿宋" w:hAnsi="仿宋" w:eastAsia="仿宋"/>
                <w:bCs/>
                <w:kern w:val="0"/>
                <w:sz w:val="28"/>
                <w:szCs w:val="28"/>
              </w:rPr>
            </w:pPr>
          </w:p>
          <w:p>
            <w:pPr>
              <w:spacing w:line="440" w:lineRule="exact"/>
              <w:jc w:val="center"/>
              <w:rPr>
                <w:rFonts w:ascii="仿宋" w:hAnsi="仿宋" w:eastAsia="仿宋"/>
                <w:bCs/>
                <w:kern w:val="0"/>
                <w:sz w:val="28"/>
                <w:szCs w:val="28"/>
              </w:rPr>
            </w:pPr>
            <w:r>
              <w:rPr>
                <w:rFonts w:hint="eastAsia" w:ascii="仿宋" w:hAnsi="仿宋" w:eastAsia="仿宋"/>
                <w:bCs/>
                <w:kern w:val="0"/>
                <w:sz w:val="28"/>
                <w:szCs w:val="28"/>
              </w:rPr>
              <w:t>3</w:t>
            </w:r>
          </w:p>
        </w:tc>
        <w:tc>
          <w:tcPr>
            <w:tcW w:w="1134" w:type="dxa"/>
            <w:vMerge w:val="restart"/>
            <w:vAlign w:val="center"/>
          </w:tcPr>
          <w:p>
            <w:pPr>
              <w:spacing w:line="440" w:lineRule="exact"/>
              <w:jc w:val="center"/>
              <w:rPr>
                <w:rFonts w:ascii="仿宋" w:hAnsi="仿宋" w:eastAsia="仿宋"/>
                <w:bCs/>
                <w:kern w:val="0"/>
                <w:sz w:val="28"/>
                <w:szCs w:val="28"/>
              </w:rPr>
            </w:pPr>
            <w:r>
              <w:rPr>
                <w:rFonts w:hint="eastAsia" w:ascii="仿宋" w:hAnsi="仿宋" w:eastAsia="仿宋"/>
                <w:bCs/>
                <w:kern w:val="0"/>
                <w:sz w:val="28"/>
                <w:szCs w:val="28"/>
              </w:rPr>
              <w:t>客观</w:t>
            </w:r>
          </w:p>
        </w:tc>
        <w:tc>
          <w:tcPr>
            <w:tcW w:w="878" w:type="dxa"/>
            <w:vMerge w:val="restart"/>
            <w:vAlign w:val="center"/>
          </w:tcPr>
          <w:p>
            <w:pPr>
              <w:spacing w:line="440" w:lineRule="exact"/>
              <w:jc w:val="center"/>
              <w:rPr>
                <w:rFonts w:ascii="仿宋" w:hAnsi="仿宋" w:eastAsia="仿宋"/>
                <w:bCs/>
                <w:kern w:val="0"/>
                <w:sz w:val="28"/>
                <w:szCs w:val="28"/>
              </w:rPr>
            </w:pPr>
            <w:r>
              <w:rPr>
                <w:rFonts w:hint="eastAsia" w:ascii="仿宋" w:hAnsi="仿宋" w:eastAsia="仿宋"/>
                <w:bCs/>
                <w:kern w:val="0"/>
                <w:sz w:val="28"/>
                <w:szCs w:val="28"/>
              </w:rPr>
              <w:t>企业</w:t>
            </w:r>
          </w:p>
          <w:p>
            <w:pPr>
              <w:spacing w:line="440" w:lineRule="exact"/>
              <w:jc w:val="center"/>
              <w:rPr>
                <w:rFonts w:ascii="仿宋" w:hAnsi="仿宋" w:eastAsia="仿宋"/>
                <w:bCs/>
                <w:kern w:val="0"/>
                <w:sz w:val="28"/>
                <w:szCs w:val="28"/>
              </w:rPr>
            </w:pPr>
            <w:r>
              <w:rPr>
                <w:rFonts w:hint="eastAsia" w:ascii="仿宋" w:hAnsi="仿宋" w:eastAsia="仿宋"/>
                <w:bCs/>
                <w:kern w:val="0"/>
                <w:sz w:val="28"/>
                <w:szCs w:val="28"/>
              </w:rPr>
              <w:t>证书</w:t>
            </w:r>
          </w:p>
        </w:tc>
        <w:tc>
          <w:tcPr>
            <w:tcW w:w="6068" w:type="dxa"/>
            <w:vAlign w:val="center"/>
          </w:tcPr>
          <w:p>
            <w:pPr>
              <w:spacing w:line="400" w:lineRule="exact"/>
              <w:jc w:val="left"/>
              <w:rPr>
                <w:rFonts w:ascii="仿宋" w:hAnsi="仿宋" w:eastAsia="仿宋"/>
                <w:bCs/>
                <w:kern w:val="0"/>
                <w:sz w:val="28"/>
                <w:szCs w:val="28"/>
              </w:rPr>
            </w:pPr>
            <w:r>
              <w:rPr>
                <w:rFonts w:hint="eastAsia" w:ascii="仿宋" w:hAnsi="仿宋" w:eastAsia="仿宋" w:cs="仿宋"/>
                <w:kern w:val="0"/>
                <w:sz w:val="28"/>
                <w:szCs w:val="28"/>
              </w:rPr>
              <w:t>3.1投标</w:t>
            </w:r>
            <w:r>
              <w:rPr>
                <w:rFonts w:ascii="仿宋" w:hAnsi="仿宋" w:eastAsia="仿宋" w:cs="仿宋"/>
                <w:kern w:val="0"/>
                <w:sz w:val="28"/>
                <w:szCs w:val="28"/>
              </w:rPr>
              <w:t>人</w:t>
            </w:r>
            <w:r>
              <w:rPr>
                <w:rFonts w:hint="eastAsia" w:ascii="仿宋" w:hAnsi="仿宋" w:eastAsia="仿宋" w:cs="仿宋"/>
                <w:kern w:val="0"/>
                <w:sz w:val="28"/>
                <w:szCs w:val="28"/>
              </w:rPr>
              <w:t>具有有效质量体系认证证书的得1分；</w:t>
            </w:r>
          </w:p>
        </w:tc>
        <w:tc>
          <w:tcPr>
            <w:tcW w:w="851" w:type="dxa"/>
            <w:vMerge w:val="restart"/>
            <w:vAlign w:val="center"/>
          </w:tcPr>
          <w:p>
            <w:pPr>
              <w:spacing w:line="440" w:lineRule="exact"/>
              <w:jc w:val="center"/>
              <w:rPr>
                <w:rFonts w:ascii="仿宋" w:hAnsi="仿宋" w:eastAsia="仿宋"/>
                <w:bCs/>
                <w:kern w:val="0"/>
                <w:sz w:val="28"/>
                <w:szCs w:val="28"/>
              </w:rPr>
            </w:pPr>
            <w:r>
              <w:rPr>
                <w:rFonts w:ascii="仿宋" w:hAnsi="仿宋" w:eastAsia="仿宋"/>
                <w:bCs/>
                <w:kern w:val="0"/>
                <w:sz w:val="28"/>
                <w:szCs w:val="28"/>
              </w:rPr>
              <w:t>4</w:t>
            </w:r>
            <w:r>
              <w:rPr>
                <w:rFonts w:hint="eastAsia" w:ascii="仿宋" w:hAnsi="仿宋" w:eastAsia="仿宋"/>
                <w:bCs/>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vAlign w:val="center"/>
          </w:tcPr>
          <w:p>
            <w:pPr>
              <w:spacing w:line="440" w:lineRule="exact"/>
              <w:jc w:val="center"/>
              <w:rPr>
                <w:rFonts w:ascii="仿宋" w:hAnsi="仿宋" w:eastAsia="仿宋"/>
                <w:bCs/>
                <w:kern w:val="0"/>
                <w:sz w:val="28"/>
                <w:szCs w:val="28"/>
              </w:rPr>
            </w:pPr>
          </w:p>
        </w:tc>
        <w:tc>
          <w:tcPr>
            <w:tcW w:w="1134" w:type="dxa"/>
            <w:vMerge w:val="continue"/>
            <w:vAlign w:val="center"/>
          </w:tcPr>
          <w:p>
            <w:pPr>
              <w:spacing w:line="440" w:lineRule="exact"/>
              <w:jc w:val="center"/>
              <w:rPr>
                <w:rFonts w:ascii="仿宋" w:hAnsi="仿宋" w:eastAsia="仿宋"/>
                <w:bCs/>
                <w:kern w:val="0"/>
                <w:sz w:val="28"/>
                <w:szCs w:val="28"/>
              </w:rPr>
            </w:pPr>
          </w:p>
        </w:tc>
        <w:tc>
          <w:tcPr>
            <w:tcW w:w="878" w:type="dxa"/>
            <w:vMerge w:val="continue"/>
            <w:vAlign w:val="center"/>
          </w:tcPr>
          <w:p>
            <w:pPr>
              <w:spacing w:line="440" w:lineRule="exact"/>
              <w:jc w:val="center"/>
              <w:rPr>
                <w:rFonts w:ascii="仿宋" w:hAnsi="仿宋" w:eastAsia="仿宋"/>
                <w:bCs/>
                <w:kern w:val="0"/>
                <w:sz w:val="28"/>
                <w:szCs w:val="28"/>
              </w:rPr>
            </w:pPr>
          </w:p>
        </w:tc>
        <w:tc>
          <w:tcPr>
            <w:tcW w:w="6068" w:type="dxa"/>
            <w:vAlign w:val="center"/>
          </w:tcPr>
          <w:p>
            <w:pPr>
              <w:spacing w:line="400" w:lineRule="exact"/>
              <w:rPr>
                <w:rFonts w:ascii="仿宋" w:hAnsi="仿宋" w:eastAsia="仿宋" w:cs="仿宋"/>
                <w:kern w:val="0"/>
                <w:sz w:val="28"/>
                <w:szCs w:val="28"/>
              </w:rPr>
            </w:pPr>
            <w:r>
              <w:rPr>
                <w:rFonts w:hint="eastAsia" w:ascii="仿宋" w:hAnsi="仿宋" w:eastAsia="仿宋" w:cs="仿宋"/>
                <w:kern w:val="0"/>
                <w:sz w:val="28"/>
                <w:szCs w:val="28"/>
              </w:rPr>
              <w:t>3.2投标</w:t>
            </w:r>
            <w:r>
              <w:rPr>
                <w:rFonts w:ascii="仿宋" w:hAnsi="仿宋" w:eastAsia="仿宋" w:cs="仿宋"/>
                <w:kern w:val="0"/>
                <w:sz w:val="28"/>
                <w:szCs w:val="28"/>
              </w:rPr>
              <w:t>人具有</w:t>
            </w:r>
            <w:r>
              <w:rPr>
                <w:rFonts w:hint="eastAsia" w:ascii="仿宋" w:hAnsi="仿宋" w:eastAsia="仿宋" w:cs="仿宋"/>
                <w:kern w:val="0"/>
                <w:sz w:val="28"/>
                <w:szCs w:val="28"/>
              </w:rPr>
              <w:t>有效环境体系认证证书的得1分</w:t>
            </w:r>
          </w:p>
        </w:tc>
        <w:tc>
          <w:tcPr>
            <w:tcW w:w="851" w:type="dxa"/>
            <w:vMerge w:val="continue"/>
            <w:vAlign w:val="center"/>
          </w:tcPr>
          <w:p>
            <w:pPr>
              <w:spacing w:line="440" w:lineRule="exact"/>
              <w:jc w:val="center"/>
              <w:rPr>
                <w:rFonts w:ascii="仿宋" w:hAnsi="仿宋"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vAlign w:val="center"/>
          </w:tcPr>
          <w:p>
            <w:pPr>
              <w:spacing w:line="440" w:lineRule="exact"/>
              <w:jc w:val="center"/>
              <w:rPr>
                <w:rFonts w:ascii="仿宋" w:hAnsi="仿宋" w:eastAsia="仿宋"/>
                <w:bCs/>
                <w:kern w:val="0"/>
                <w:sz w:val="28"/>
                <w:szCs w:val="28"/>
              </w:rPr>
            </w:pPr>
          </w:p>
        </w:tc>
        <w:tc>
          <w:tcPr>
            <w:tcW w:w="1134" w:type="dxa"/>
            <w:vMerge w:val="continue"/>
            <w:vAlign w:val="center"/>
          </w:tcPr>
          <w:p>
            <w:pPr>
              <w:spacing w:line="440" w:lineRule="exact"/>
              <w:jc w:val="center"/>
              <w:rPr>
                <w:rFonts w:ascii="仿宋" w:hAnsi="仿宋" w:eastAsia="仿宋"/>
                <w:bCs/>
                <w:kern w:val="0"/>
                <w:sz w:val="28"/>
                <w:szCs w:val="28"/>
              </w:rPr>
            </w:pPr>
          </w:p>
        </w:tc>
        <w:tc>
          <w:tcPr>
            <w:tcW w:w="878" w:type="dxa"/>
            <w:vMerge w:val="continue"/>
            <w:vAlign w:val="center"/>
          </w:tcPr>
          <w:p>
            <w:pPr>
              <w:spacing w:line="440" w:lineRule="exact"/>
              <w:jc w:val="center"/>
              <w:rPr>
                <w:rFonts w:ascii="仿宋" w:hAnsi="仿宋" w:eastAsia="仿宋"/>
                <w:bCs/>
                <w:kern w:val="0"/>
                <w:sz w:val="28"/>
                <w:szCs w:val="28"/>
              </w:rPr>
            </w:pPr>
          </w:p>
        </w:tc>
        <w:tc>
          <w:tcPr>
            <w:tcW w:w="6068" w:type="dxa"/>
            <w:vAlign w:val="center"/>
          </w:tcPr>
          <w:p>
            <w:pPr>
              <w:spacing w:line="400" w:lineRule="exact"/>
              <w:rPr>
                <w:rFonts w:ascii="仿宋" w:hAnsi="仿宋" w:eastAsia="仿宋" w:cs="仿宋"/>
                <w:kern w:val="0"/>
                <w:sz w:val="28"/>
                <w:szCs w:val="28"/>
              </w:rPr>
            </w:pPr>
            <w:r>
              <w:rPr>
                <w:rFonts w:hint="eastAsia" w:ascii="仿宋" w:hAnsi="仿宋" w:eastAsia="仿宋" w:cs="仿宋"/>
                <w:kern w:val="0"/>
                <w:sz w:val="28"/>
                <w:szCs w:val="28"/>
              </w:rPr>
              <w:t>3.3投标人</w:t>
            </w:r>
            <w:r>
              <w:rPr>
                <w:rFonts w:ascii="仿宋" w:hAnsi="仿宋" w:eastAsia="仿宋" w:cs="仿宋"/>
                <w:kern w:val="0"/>
                <w:sz w:val="28"/>
                <w:szCs w:val="28"/>
              </w:rPr>
              <w:t>具有有效</w:t>
            </w:r>
            <w:r>
              <w:rPr>
                <w:rFonts w:hint="eastAsia" w:ascii="仿宋" w:hAnsi="仿宋" w:eastAsia="仿宋" w:cs="仿宋"/>
                <w:sz w:val="28"/>
                <w:szCs w:val="28"/>
              </w:rPr>
              <w:t>职业健康安全管理体系认证证书的</w:t>
            </w:r>
            <w:r>
              <w:rPr>
                <w:rFonts w:ascii="仿宋" w:hAnsi="仿宋" w:eastAsia="仿宋" w:cs="仿宋"/>
                <w:sz w:val="28"/>
                <w:szCs w:val="28"/>
              </w:rPr>
              <w:t>得</w:t>
            </w:r>
            <w:r>
              <w:rPr>
                <w:rFonts w:hint="eastAsia" w:ascii="仿宋" w:hAnsi="仿宋" w:eastAsia="仿宋" w:cs="仿宋"/>
                <w:sz w:val="28"/>
                <w:szCs w:val="28"/>
              </w:rPr>
              <w:t>1分</w:t>
            </w:r>
          </w:p>
        </w:tc>
        <w:tc>
          <w:tcPr>
            <w:tcW w:w="851" w:type="dxa"/>
            <w:vMerge w:val="continue"/>
            <w:vAlign w:val="center"/>
          </w:tcPr>
          <w:p>
            <w:pPr>
              <w:spacing w:line="440" w:lineRule="exact"/>
              <w:jc w:val="center"/>
              <w:rPr>
                <w:rFonts w:ascii="仿宋" w:hAnsi="仿宋"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0" w:type="dxa"/>
            <w:vMerge w:val="continue"/>
            <w:vAlign w:val="center"/>
          </w:tcPr>
          <w:p>
            <w:pPr>
              <w:spacing w:line="440" w:lineRule="exact"/>
              <w:jc w:val="center"/>
              <w:rPr>
                <w:rFonts w:ascii="仿宋" w:hAnsi="仿宋" w:eastAsia="仿宋"/>
                <w:bCs/>
                <w:kern w:val="0"/>
                <w:sz w:val="28"/>
                <w:szCs w:val="28"/>
              </w:rPr>
            </w:pPr>
          </w:p>
        </w:tc>
        <w:tc>
          <w:tcPr>
            <w:tcW w:w="1134" w:type="dxa"/>
            <w:vMerge w:val="continue"/>
          </w:tcPr>
          <w:p>
            <w:pPr>
              <w:spacing w:line="440" w:lineRule="exact"/>
              <w:jc w:val="center"/>
              <w:rPr>
                <w:rFonts w:ascii="仿宋" w:hAnsi="仿宋" w:eastAsia="仿宋"/>
                <w:bCs/>
                <w:kern w:val="0"/>
                <w:sz w:val="28"/>
                <w:szCs w:val="28"/>
              </w:rPr>
            </w:pPr>
          </w:p>
        </w:tc>
        <w:tc>
          <w:tcPr>
            <w:tcW w:w="878" w:type="dxa"/>
            <w:vMerge w:val="continue"/>
            <w:vAlign w:val="center"/>
          </w:tcPr>
          <w:p>
            <w:pPr>
              <w:spacing w:line="440" w:lineRule="exact"/>
              <w:jc w:val="center"/>
              <w:rPr>
                <w:rFonts w:ascii="仿宋" w:hAnsi="仿宋" w:eastAsia="仿宋"/>
                <w:bCs/>
                <w:kern w:val="0"/>
                <w:sz w:val="28"/>
                <w:szCs w:val="28"/>
              </w:rPr>
            </w:pPr>
          </w:p>
        </w:tc>
        <w:tc>
          <w:tcPr>
            <w:tcW w:w="6068" w:type="dxa"/>
            <w:vAlign w:val="center"/>
          </w:tcPr>
          <w:p>
            <w:pPr>
              <w:spacing w:line="400" w:lineRule="exact"/>
              <w:jc w:val="left"/>
              <w:rPr>
                <w:rFonts w:ascii="仿宋" w:hAnsi="仿宋" w:eastAsia="仿宋"/>
                <w:kern w:val="0"/>
                <w:sz w:val="28"/>
                <w:szCs w:val="28"/>
              </w:rPr>
            </w:pPr>
            <w:r>
              <w:rPr>
                <w:rFonts w:hint="eastAsia" w:ascii="仿宋" w:hAnsi="仿宋" w:eastAsia="仿宋"/>
                <w:kern w:val="0"/>
                <w:sz w:val="28"/>
                <w:szCs w:val="28"/>
              </w:rPr>
              <w:t>3.4投标人具备其他有效证书（除</w:t>
            </w:r>
            <w:r>
              <w:rPr>
                <w:rFonts w:ascii="仿宋" w:hAnsi="仿宋" w:eastAsia="仿宋"/>
                <w:kern w:val="0"/>
                <w:sz w:val="28"/>
                <w:szCs w:val="28"/>
              </w:rPr>
              <w:t>非法组织或</w:t>
            </w:r>
            <w:r>
              <w:rPr>
                <w:rFonts w:hint="eastAsia" w:ascii="仿宋" w:hAnsi="仿宋" w:eastAsia="仿宋"/>
                <w:kern w:val="0"/>
                <w:sz w:val="28"/>
                <w:szCs w:val="28"/>
              </w:rPr>
              <w:t>机构</w:t>
            </w:r>
            <w:r>
              <w:rPr>
                <w:rFonts w:ascii="仿宋" w:hAnsi="仿宋" w:eastAsia="仿宋"/>
                <w:kern w:val="0"/>
                <w:sz w:val="28"/>
                <w:szCs w:val="28"/>
              </w:rPr>
              <w:t>颁发</w:t>
            </w:r>
            <w:r>
              <w:rPr>
                <w:rFonts w:hint="eastAsia" w:ascii="仿宋" w:hAnsi="仿宋" w:eastAsia="仿宋"/>
                <w:kern w:val="0"/>
                <w:sz w:val="28"/>
                <w:szCs w:val="28"/>
              </w:rPr>
              <w:t>）的一个</w:t>
            </w:r>
            <w:r>
              <w:rPr>
                <w:rFonts w:ascii="仿宋" w:hAnsi="仿宋" w:eastAsia="仿宋"/>
                <w:kern w:val="0"/>
                <w:sz w:val="28"/>
                <w:szCs w:val="28"/>
              </w:rPr>
              <w:t>加</w:t>
            </w:r>
            <w:r>
              <w:rPr>
                <w:rFonts w:hint="eastAsia" w:ascii="仿宋" w:hAnsi="仿宋" w:eastAsia="仿宋"/>
                <w:kern w:val="0"/>
                <w:sz w:val="28"/>
                <w:szCs w:val="28"/>
              </w:rPr>
              <w:t>0.5分，</w:t>
            </w:r>
            <w:r>
              <w:rPr>
                <w:rFonts w:ascii="仿宋" w:hAnsi="仿宋" w:eastAsia="仿宋"/>
                <w:kern w:val="0"/>
                <w:sz w:val="28"/>
                <w:szCs w:val="28"/>
              </w:rPr>
              <w:t>最多加1</w:t>
            </w:r>
            <w:r>
              <w:rPr>
                <w:rFonts w:hint="eastAsia" w:ascii="仿宋" w:hAnsi="仿宋" w:eastAsia="仿宋"/>
                <w:kern w:val="0"/>
                <w:sz w:val="28"/>
                <w:szCs w:val="28"/>
              </w:rPr>
              <w:t>分。</w:t>
            </w:r>
          </w:p>
        </w:tc>
        <w:tc>
          <w:tcPr>
            <w:tcW w:w="851" w:type="dxa"/>
            <w:vMerge w:val="continue"/>
            <w:vAlign w:val="center"/>
          </w:tcPr>
          <w:p>
            <w:pPr>
              <w:spacing w:line="440" w:lineRule="exact"/>
              <w:jc w:val="center"/>
              <w:rPr>
                <w:rFonts w:ascii="仿宋" w:hAnsi="仿宋"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50" w:type="dxa"/>
            <w:vMerge w:val="continue"/>
            <w:tcBorders>
              <w:bottom w:val="single" w:color="auto" w:sz="4" w:space="0"/>
            </w:tcBorders>
            <w:vAlign w:val="center"/>
          </w:tcPr>
          <w:p>
            <w:pPr>
              <w:spacing w:line="440" w:lineRule="exact"/>
              <w:jc w:val="center"/>
              <w:rPr>
                <w:rFonts w:ascii="仿宋" w:hAnsi="仿宋" w:eastAsia="仿宋"/>
                <w:bCs/>
                <w:kern w:val="0"/>
                <w:sz w:val="28"/>
                <w:szCs w:val="28"/>
              </w:rPr>
            </w:pPr>
          </w:p>
        </w:tc>
        <w:tc>
          <w:tcPr>
            <w:tcW w:w="1134" w:type="dxa"/>
            <w:vMerge w:val="continue"/>
            <w:tcBorders>
              <w:bottom w:val="single" w:color="auto" w:sz="4" w:space="0"/>
            </w:tcBorders>
          </w:tcPr>
          <w:p>
            <w:pPr>
              <w:spacing w:line="440" w:lineRule="exact"/>
              <w:jc w:val="center"/>
              <w:rPr>
                <w:rFonts w:ascii="仿宋" w:hAnsi="仿宋" w:eastAsia="仿宋"/>
                <w:bCs/>
                <w:kern w:val="0"/>
                <w:sz w:val="28"/>
                <w:szCs w:val="28"/>
              </w:rPr>
            </w:pPr>
          </w:p>
        </w:tc>
        <w:tc>
          <w:tcPr>
            <w:tcW w:w="878" w:type="dxa"/>
            <w:vMerge w:val="continue"/>
            <w:tcBorders>
              <w:bottom w:val="single" w:color="auto" w:sz="4" w:space="0"/>
            </w:tcBorders>
            <w:vAlign w:val="center"/>
          </w:tcPr>
          <w:p>
            <w:pPr>
              <w:spacing w:line="440" w:lineRule="exact"/>
              <w:jc w:val="center"/>
              <w:rPr>
                <w:rFonts w:ascii="仿宋" w:hAnsi="仿宋" w:eastAsia="仿宋"/>
                <w:bCs/>
                <w:kern w:val="0"/>
                <w:sz w:val="28"/>
                <w:szCs w:val="28"/>
              </w:rPr>
            </w:pPr>
          </w:p>
        </w:tc>
        <w:tc>
          <w:tcPr>
            <w:tcW w:w="6068" w:type="dxa"/>
            <w:tcBorders>
              <w:bottom w:val="single" w:color="auto" w:sz="4" w:space="0"/>
            </w:tcBorders>
            <w:vAlign w:val="center"/>
          </w:tcPr>
          <w:p>
            <w:pPr>
              <w:spacing w:line="400" w:lineRule="exact"/>
              <w:jc w:val="left"/>
              <w:rPr>
                <w:rFonts w:ascii="仿宋" w:hAnsi="仿宋" w:eastAsia="仿宋"/>
                <w:kern w:val="0"/>
                <w:sz w:val="28"/>
                <w:szCs w:val="28"/>
              </w:rPr>
            </w:pPr>
            <w:r>
              <w:rPr>
                <w:rFonts w:hint="eastAsia" w:ascii="仿宋" w:hAnsi="仿宋" w:eastAsia="仿宋"/>
                <w:b/>
                <w:spacing w:val="14"/>
                <w:kern w:val="0"/>
                <w:sz w:val="28"/>
                <w:szCs w:val="28"/>
                <w:u w:val="single"/>
              </w:rPr>
              <w:t>提供证书复印件并加盖投标人公章</w:t>
            </w:r>
            <w:r>
              <w:rPr>
                <w:rFonts w:hint="eastAsia" w:ascii="仿宋" w:hAnsi="仿宋" w:eastAsia="仿宋"/>
                <w:b/>
                <w:kern w:val="0"/>
                <w:sz w:val="28"/>
                <w:szCs w:val="28"/>
                <w:u w:val="single"/>
              </w:rPr>
              <w:t>，以上证书未提供不得分</w:t>
            </w:r>
            <w:r>
              <w:rPr>
                <w:rFonts w:hint="eastAsia" w:ascii="仿宋" w:hAnsi="仿宋" w:eastAsia="仿宋"/>
                <w:b/>
                <w:spacing w:val="14"/>
                <w:kern w:val="0"/>
                <w:sz w:val="28"/>
                <w:szCs w:val="28"/>
                <w:u w:val="single"/>
              </w:rPr>
              <w:t>。</w:t>
            </w:r>
          </w:p>
        </w:tc>
        <w:tc>
          <w:tcPr>
            <w:tcW w:w="851" w:type="dxa"/>
            <w:vMerge w:val="continue"/>
            <w:tcBorders>
              <w:bottom w:val="single" w:color="auto" w:sz="4" w:space="0"/>
            </w:tcBorders>
            <w:vAlign w:val="center"/>
          </w:tcPr>
          <w:p>
            <w:pPr>
              <w:spacing w:line="440" w:lineRule="exact"/>
              <w:jc w:val="center"/>
              <w:rPr>
                <w:rFonts w:ascii="仿宋" w:hAnsi="仿宋"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50" w:type="dxa"/>
            <w:vMerge w:val="restart"/>
            <w:vAlign w:val="center"/>
          </w:tcPr>
          <w:p>
            <w:pPr>
              <w:spacing w:line="440" w:lineRule="exact"/>
              <w:jc w:val="center"/>
              <w:rPr>
                <w:rFonts w:ascii="仿宋" w:hAnsi="仿宋" w:eastAsia="仿宋"/>
                <w:bCs/>
                <w:kern w:val="0"/>
                <w:sz w:val="28"/>
                <w:szCs w:val="28"/>
              </w:rPr>
            </w:pPr>
            <w:r>
              <w:rPr>
                <w:rFonts w:hint="eastAsia" w:ascii="仿宋" w:hAnsi="仿宋" w:eastAsia="仿宋"/>
                <w:bCs/>
                <w:kern w:val="0"/>
                <w:sz w:val="28"/>
                <w:szCs w:val="28"/>
              </w:rPr>
              <w:t>4</w:t>
            </w:r>
          </w:p>
        </w:tc>
        <w:tc>
          <w:tcPr>
            <w:tcW w:w="1134" w:type="dxa"/>
            <w:vMerge w:val="restart"/>
            <w:vAlign w:val="center"/>
          </w:tcPr>
          <w:p>
            <w:pPr>
              <w:spacing w:line="440" w:lineRule="exact"/>
              <w:jc w:val="center"/>
              <w:rPr>
                <w:rFonts w:ascii="仿宋" w:hAnsi="仿宋" w:eastAsia="仿宋"/>
                <w:bCs/>
                <w:kern w:val="0"/>
                <w:sz w:val="28"/>
                <w:szCs w:val="28"/>
              </w:rPr>
            </w:pPr>
            <w:r>
              <w:rPr>
                <w:rFonts w:hint="eastAsia" w:ascii="仿宋" w:hAnsi="仿宋" w:eastAsia="仿宋"/>
                <w:bCs/>
                <w:kern w:val="0"/>
                <w:sz w:val="28"/>
                <w:szCs w:val="28"/>
              </w:rPr>
              <w:t>主观</w:t>
            </w:r>
          </w:p>
        </w:tc>
        <w:tc>
          <w:tcPr>
            <w:tcW w:w="878" w:type="dxa"/>
            <w:vMerge w:val="restart"/>
            <w:vAlign w:val="center"/>
          </w:tcPr>
          <w:p>
            <w:pPr>
              <w:spacing w:line="440" w:lineRule="exact"/>
              <w:jc w:val="center"/>
              <w:rPr>
                <w:rFonts w:ascii="仿宋" w:hAnsi="仿宋" w:eastAsia="仿宋"/>
                <w:bCs/>
                <w:kern w:val="0"/>
                <w:sz w:val="28"/>
                <w:szCs w:val="28"/>
              </w:rPr>
            </w:pPr>
            <w:r>
              <w:rPr>
                <w:rFonts w:hint="eastAsia" w:ascii="仿宋" w:hAnsi="仿宋" w:eastAsia="仿宋"/>
                <w:bCs/>
                <w:kern w:val="0"/>
                <w:sz w:val="28"/>
                <w:szCs w:val="28"/>
              </w:rPr>
              <w:t>项目实施方案</w:t>
            </w:r>
          </w:p>
        </w:tc>
        <w:tc>
          <w:tcPr>
            <w:tcW w:w="6068" w:type="dxa"/>
            <w:vAlign w:val="center"/>
          </w:tcPr>
          <w:p>
            <w:pPr>
              <w:spacing w:line="400" w:lineRule="exact"/>
              <w:rPr>
                <w:rFonts w:ascii="仿宋" w:hAnsi="仿宋" w:eastAsia="仿宋"/>
                <w:bCs/>
                <w:kern w:val="0"/>
                <w:sz w:val="28"/>
                <w:szCs w:val="28"/>
              </w:rPr>
            </w:pPr>
            <w:r>
              <w:rPr>
                <w:rFonts w:hint="eastAsia" w:ascii="仿宋" w:hAnsi="仿宋" w:eastAsia="仿宋"/>
                <w:kern w:val="0"/>
                <w:sz w:val="28"/>
                <w:szCs w:val="28"/>
              </w:rPr>
              <w:t>4.1投标项目的技术</w:t>
            </w:r>
            <w:r>
              <w:rPr>
                <w:rFonts w:ascii="仿宋" w:hAnsi="仿宋" w:eastAsia="仿宋"/>
                <w:kern w:val="0"/>
                <w:sz w:val="28"/>
                <w:szCs w:val="28"/>
              </w:rPr>
              <w:t>方案和服务方案</w:t>
            </w:r>
            <w:r>
              <w:rPr>
                <w:rFonts w:hint="eastAsia" w:ascii="仿宋" w:hAnsi="仿宋" w:eastAsia="仿宋"/>
                <w:kern w:val="0"/>
                <w:sz w:val="28"/>
                <w:szCs w:val="28"/>
              </w:rPr>
              <w:t>是否技术先进、经济合理、实用可靠：0-</w:t>
            </w:r>
            <w:r>
              <w:rPr>
                <w:rFonts w:hint="eastAsia" w:ascii="仿宋" w:hAnsi="仿宋" w:eastAsia="仿宋"/>
                <w:kern w:val="0"/>
                <w:sz w:val="28"/>
                <w:szCs w:val="28"/>
                <w:lang w:val="en-US" w:eastAsia="zh-CN"/>
              </w:rPr>
              <w:t>6</w:t>
            </w:r>
            <w:r>
              <w:rPr>
                <w:rFonts w:hint="eastAsia" w:ascii="仿宋" w:hAnsi="仿宋" w:eastAsia="仿宋"/>
                <w:kern w:val="0"/>
                <w:sz w:val="28"/>
                <w:szCs w:val="28"/>
              </w:rPr>
              <w:t>分</w:t>
            </w:r>
          </w:p>
        </w:tc>
        <w:tc>
          <w:tcPr>
            <w:tcW w:w="851" w:type="dxa"/>
            <w:vMerge w:val="restart"/>
            <w:vAlign w:val="center"/>
          </w:tcPr>
          <w:p>
            <w:pPr>
              <w:spacing w:line="440" w:lineRule="exact"/>
              <w:jc w:val="center"/>
              <w:rPr>
                <w:rFonts w:ascii="仿宋" w:hAnsi="仿宋" w:eastAsia="仿宋"/>
                <w:bCs/>
                <w:kern w:val="0"/>
                <w:sz w:val="28"/>
                <w:szCs w:val="28"/>
              </w:rPr>
            </w:pPr>
            <w:r>
              <w:rPr>
                <w:rFonts w:hint="eastAsia" w:ascii="仿宋" w:hAnsi="仿宋" w:eastAsia="仿宋"/>
                <w:bCs/>
                <w:kern w:val="0"/>
                <w:sz w:val="28"/>
                <w:szCs w:val="28"/>
                <w:lang w:val="en-US" w:eastAsia="zh-CN"/>
              </w:rPr>
              <w:t>16</w:t>
            </w:r>
            <w:r>
              <w:rPr>
                <w:rFonts w:hint="eastAsia" w:ascii="仿宋" w:hAnsi="仿宋" w:eastAsia="仿宋"/>
                <w:bCs/>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50" w:type="dxa"/>
            <w:vMerge w:val="continue"/>
            <w:vAlign w:val="center"/>
          </w:tcPr>
          <w:p>
            <w:pPr>
              <w:spacing w:line="440" w:lineRule="exact"/>
              <w:jc w:val="center"/>
              <w:rPr>
                <w:rFonts w:ascii="仿宋" w:hAnsi="仿宋" w:eastAsia="仿宋"/>
                <w:bCs/>
                <w:kern w:val="0"/>
                <w:sz w:val="28"/>
                <w:szCs w:val="28"/>
              </w:rPr>
            </w:pPr>
          </w:p>
        </w:tc>
        <w:tc>
          <w:tcPr>
            <w:tcW w:w="1134" w:type="dxa"/>
            <w:vMerge w:val="continue"/>
          </w:tcPr>
          <w:p>
            <w:pPr>
              <w:spacing w:line="440" w:lineRule="exact"/>
              <w:jc w:val="center"/>
              <w:rPr>
                <w:rFonts w:ascii="仿宋" w:hAnsi="仿宋" w:eastAsia="仿宋"/>
                <w:bCs/>
                <w:kern w:val="0"/>
                <w:sz w:val="28"/>
                <w:szCs w:val="28"/>
              </w:rPr>
            </w:pPr>
          </w:p>
        </w:tc>
        <w:tc>
          <w:tcPr>
            <w:tcW w:w="878" w:type="dxa"/>
            <w:vMerge w:val="continue"/>
            <w:vAlign w:val="center"/>
          </w:tcPr>
          <w:p>
            <w:pPr>
              <w:spacing w:line="440" w:lineRule="exact"/>
              <w:jc w:val="center"/>
              <w:rPr>
                <w:rFonts w:ascii="仿宋" w:hAnsi="仿宋" w:eastAsia="仿宋"/>
                <w:bCs/>
                <w:kern w:val="0"/>
                <w:sz w:val="28"/>
                <w:szCs w:val="28"/>
              </w:rPr>
            </w:pPr>
          </w:p>
        </w:tc>
        <w:tc>
          <w:tcPr>
            <w:tcW w:w="6068" w:type="dxa"/>
            <w:vAlign w:val="center"/>
          </w:tcPr>
          <w:p>
            <w:pPr>
              <w:spacing w:line="400" w:lineRule="exact"/>
              <w:rPr>
                <w:rFonts w:ascii="仿宋" w:hAnsi="仿宋" w:eastAsia="仿宋"/>
                <w:kern w:val="0"/>
                <w:sz w:val="28"/>
                <w:szCs w:val="28"/>
              </w:rPr>
            </w:pPr>
            <w:r>
              <w:rPr>
                <w:rFonts w:hint="eastAsia" w:ascii="仿宋" w:hAnsi="仿宋" w:eastAsia="仿宋"/>
                <w:kern w:val="0"/>
                <w:sz w:val="28"/>
                <w:szCs w:val="28"/>
              </w:rPr>
              <w:t>4.2确保供货的组织措施：0-</w:t>
            </w:r>
            <w:r>
              <w:rPr>
                <w:rFonts w:hint="eastAsia" w:ascii="仿宋" w:hAnsi="仿宋" w:eastAsia="仿宋"/>
                <w:kern w:val="0"/>
                <w:sz w:val="28"/>
                <w:szCs w:val="28"/>
                <w:lang w:val="en-US" w:eastAsia="zh-CN"/>
              </w:rPr>
              <w:t>2</w:t>
            </w:r>
            <w:r>
              <w:rPr>
                <w:rFonts w:hint="eastAsia" w:ascii="仿宋" w:hAnsi="仿宋" w:eastAsia="仿宋"/>
                <w:kern w:val="0"/>
                <w:sz w:val="28"/>
                <w:szCs w:val="28"/>
              </w:rPr>
              <w:t>分</w:t>
            </w:r>
          </w:p>
        </w:tc>
        <w:tc>
          <w:tcPr>
            <w:tcW w:w="851" w:type="dxa"/>
            <w:vMerge w:val="continue"/>
            <w:vAlign w:val="center"/>
          </w:tcPr>
          <w:p>
            <w:pPr>
              <w:spacing w:line="440" w:lineRule="exact"/>
              <w:jc w:val="center"/>
              <w:rPr>
                <w:rFonts w:ascii="仿宋" w:hAnsi="仿宋"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50" w:type="dxa"/>
            <w:vMerge w:val="continue"/>
            <w:vAlign w:val="center"/>
          </w:tcPr>
          <w:p>
            <w:pPr>
              <w:spacing w:line="440" w:lineRule="exact"/>
              <w:jc w:val="center"/>
              <w:rPr>
                <w:rFonts w:ascii="仿宋" w:hAnsi="仿宋" w:eastAsia="仿宋"/>
                <w:bCs/>
                <w:kern w:val="0"/>
                <w:sz w:val="28"/>
                <w:szCs w:val="28"/>
              </w:rPr>
            </w:pPr>
          </w:p>
        </w:tc>
        <w:tc>
          <w:tcPr>
            <w:tcW w:w="1134" w:type="dxa"/>
            <w:vMerge w:val="continue"/>
          </w:tcPr>
          <w:p>
            <w:pPr>
              <w:spacing w:line="440" w:lineRule="exact"/>
              <w:jc w:val="center"/>
              <w:rPr>
                <w:rFonts w:ascii="仿宋" w:hAnsi="仿宋" w:eastAsia="仿宋"/>
                <w:bCs/>
                <w:kern w:val="0"/>
                <w:sz w:val="28"/>
                <w:szCs w:val="28"/>
              </w:rPr>
            </w:pPr>
          </w:p>
        </w:tc>
        <w:tc>
          <w:tcPr>
            <w:tcW w:w="878" w:type="dxa"/>
            <w:vMerge w:val="continue"/>
            <w:vAlign w:val="center"/>
          </w:tcPr>
          <w:p>
            <w:pPr>
              <w:spacing w:line="440" w:lineRule="exact"/>
              <w:jc w:val="center"/>
              <w:rPr>
                <w:rFonts w:ascii="仿宋" w:hAnsi="仿宋" w:eastAsia="仿宋"/>
                <w:bCs/>
                <w:kern w:val="0"/>
                <w:sz w:val="28"/>
                <w:szCs w:val="28"/>
              </w:rPr>
            </w:pPr>
          </w:p>
        </w:tc>
        <w:tc>
          <w:tcPr>
            <w:tcW w:w="6068" w:type="dxa"/>
            <w:vAlign w:val="center"/>
          </w:tcPr>
          <w:p>
            <w:pPr>
              <w:spacing w:line="400" w:lineRule="exact"/>
              <w:rPr>
                <w:rFonts w:ascii="仿宋" w:hAnsi="仿宋" w:eastAsia="仿宋"/>
                <w:kern w:val="0"/>
                <w:sz w:val="28"/>
                <w:szCs w:val="28"/>
              </w:rPr>
            </w:pPr>
            <w:r>
              <w:rPr>
                <w:rFonts w:hint="eastAsia" w:ascii="仿宋" w:hAnsi="仿宋" w:eastAsia="仿宋"/>
                <w:kern w:val="0"/>
                <w:sz w:val="28"/>
                <w:szCs w:val="28"/>
              </w:rPr>
              <w:t>4.3确保货物调试的组织班子和人员：0-</w:t>
            </w:r>
            <w:r>
              <w:rPr>
                <w:rFonts w:hint="eastAsia" w:ascii="仿宋" w:hAnsi="仿宋" w:eastAsia="仿宋"/>
                <w:kern w:val="0"/>
                <w:sz w:val="28"/>
                <w:szCs w:val="28"/>
                <w:lang w:val="en-US" w:eastAsia="zh-CN"/>
              </w:rPr>
              <w:t>3</w:t>
            </w:r>
            <w:r>
              <w:rPr>
                <w:rFonts w:hint="eastAsia" w:ascii="仿宋" w:hAnsi="仿宋" w:eastAsia="仿宋"/>
                <w:kern w:val="0"/>
                <w:sz w:val="28"/>
                <w:szCs w:val="28"/>
              </w:rPr>
              <w:t>分</w:t>
            </w:r>
          </w:p>
        </w:tc>
        <w:tc>
          <w:tcPr>
            <w:tcW w:w="851" w:type="dxa"/>
            <w:vMerge w:val="continue"/>
            <w:vAlign w:val="center"/>
          </w:tcPr>
          <w:p>
            <w:pPr>
              <w:spacing w:line="440" w:lineRule="exact"/>
              <w:jc w:val="center"/>
              <w:rPr>
                <w:rFonts w:ascii="仿宋" w:hAnsi="仿宋"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850" w:type="dxa"/>
            <w:vMerge w:val="continue"/>
            <w:vAlign w:val="center"/>
          </w:tcPr>
          <w:p>
            <w:pPr>
              <w:spacing w:line="440" w:lineRule="exact"/>
              <w:jc w:val="center"/>
              <w:rPr>
                <w:rFonts w:ascii="仿宋" w:hAnsi="仿宋" w:eastAsia="仿宋"/>
                <w:bCs/>
                <w:kern w:val="0"/>
                <w:sz w:val="28"/>
                <w:szCs w:val="28"/>
              </w:rPr>
            </w:pPr>
          </w:p>
        </w:tc>
        <w:tc>
          <w:tcPr>
            <w:tcW w:w="1134" w:type="dxa"/>
            <w:vMerge w:val="continue"/>
          </w:tcPr>
          <w:p>
            <w:pPr>
              <w:spacing w:line="440" w:lineRule="exact"/>
              <w:jc w:val="center"/>
              <w:rPr>
                <w:rFonts w:ascii="仿宋" w:hAnsi="仿宋" w:eastAsia="仿宋"/>
                <w:bCs/>
                <w:kern w:val="0"/>
                <w:sz w:val="28"/>
                <w:szCs w:val="28"/>
              </w:rPr>
            </w:pPr>
          </w:p>
        </w:tc>
        <w:tc>
          <w:tcPr>
            <w:tcW w:w="878" w:type="dxa"/>
            <w:vMerge w:val="continue"/>
            <w:vAlign w:val="center"/>
          </w:tcPr>
          <w:p>
            <w:pPr>
              <w:spacing w:line="440" w:lineRule="exact"/>
              <w:jc w:val="center"/>
              <w:rPr>
                <w:rFonts w:ascii="仿宋" w:hAnsi="仿宋" w:eastAsia="仿宋"/>
                <w:bCs/>
                <w:kern w:val="0"/>
                <w:sz w:val="28"/>
                <w:szCs w:val="28"/>
              </w:rPr>
            </w:pPr>
          </w:p>
        </w:tc>
        <w:tc>
          <w:tcPr>
            <w:tcW w:w="6068" w:type="dxa"/>
            <w:vAlign w:val="center"/>
          </w:tcPr>
          <w:p>
            <w:pPr>
              <w:spacing w:line="400" w:lineRule="exact"/>
              <w:rPr>
                <w:rFonts w:ascii="仿宋" w:hAnsi="仿宋" w:eastAsia="仿宋"/>
                <w:kern w:val="0"/>
                <w:sz w:val="28"/>
                <w:szCs w:val="28"/>
              </w:rPr>
            </w:pPr>
            <w:r>
              <w:rPr>
                <w:rFonts w:hint="eastAsia" w:ascii="仿宋" w:hAnsi="仿宋" w:eastAsia="仿宋"/>
                <w:kern w:val="0"/>
                <w:sz w:val="28"/>
                <w:szCs w:val="28"/>
              </w:rPr>
              <w:t>4.4确保供应货物质量的措施：0-</w:t>
            </w:r>
            <w:r>
              <w:rPr>
                <w:rFonts w:hint="eastAsia" w:ascii="仿宋" w:hAnsi="仿宋" w:eastAsia="仿宋"/>
                <w:kern w:val="0"/>
                <w:sz w:val="28"/>
                <w:szCs w:val="28"/>
                <w:lang w:val="en-US" w:eastAsia="zh-CN"/>
              </w:rPr>
              <w:t>3</w:t>
            </w:r>
            <w:r>
              <w:rPr>
                <w:rFonts w:hint="eastAsia" w:ascii="仿宋" w:hAnsi="仿宋" w:eastAsia="仿宋"/>
                <w:kern w:val="0"/>
                <w:sz w:val="28"/>
                <w:szCs w:val="28"/>
              </w:rPr>
              <w:t>分</w:t>
            </w:r>
          </w:p>
        </w:tc>
        <w:tc>
          <w:tcPr>
            <w:tcW w:w="851" w:type="dxa"/>
            <w:vMerge w:val="continue"/>
            <w:vAlign w:val="center"/>
          </w:tcPr>
          <w:p>
            <w:pPr>
              <w:spacing w:line="440" w:lineRule="exact"/>
              <w:jc w:val="center"/>
              <w:rPr>
                <w:rFonts w:ascii="仿宋" w:hAnsi="仿宋"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50" w:type="dxa"/>
            <w:vMerge w:val="continue"/>
            <w:vAlign w:val="center"/>
          </w:tcPr>
          <w:p>
            <w:pPr>
              <w:spacing w:line="440" w:lineRule="exact"/>
              <w:jc w:val="center"/>
              <w:rPr>
                <w:rFonts w:ascii="仿宋" w:hAnsi="仿宋" w:eastAsia="仿宋"/>
                <w:bCs/>
                <w:kern w:val="0"/>
                <w:sz w:val="28"/>
                <w:szCs w:val="28"/>
              </w:rPr>
            </w:pPr>
          </w:p>
        </w:tc>
        <w:tc>
          <w:tcPr>
            <w:tcW w:w="1134" w:type="dxa"/>
            <w:vMerge w:val="continue"/>
          </w:tcPr>
          <w:p>
            <w:pPr>
              <w:spacing w:line="440" w:lineRule="exact"/>
              <w:jc w:val="center"/>
              <w:rPr>
                <w:rFonts w:ascii="仿宋" w:hAnsi="仿宋" w:eastAsia="仿宋"/>
                <w:bCs/>
                <w:kern w:val="0"/>
                <w:sz w:val="28"/>
                <w:szCs w:val="28"/>
              </w:rPr>
            </w:pPr>
          </w:p>
        </w:tc>
        <w:tc>
          <w:tcPr>
            <w:tcW w:w="878" w:type="dxa"/>
            <w:vMerge w:val="continue"/>
            <w:vAlign w:val="center"/>
          </w:tcPr>
          <w:p>
            <w:pPr>
              <w:spacing w:line="440" w:lineRule="exact"/>
              <w:jc w:val="center"/>
              <w:rPr>
                <w:rFonts w:ascii="仿宋" w:hAnsi="仿宋" w:eastAsia="仿宋"/>
                <w:bCs/>
                <w:kern w:val="0"/>
                <w:sz w:val="28"/>
                <w:szCs w:val="28"/>
              </w:rPr>
            </w:pPr>
          </w:p>
        </w:tc>
        <w:tc>
          <w:tcPr>
            <w:tcW w:w="6068" w:type="dxa"/>
            <w:vAlign w:val="center"/>
          </w:tcPr>
          <w:p>
            <w:pPr>
              <w:spacing w:line="400" w:lineRule="exact"/>
              <w:rPr>
                <w:rFonts w:ascii="仿宋" w:hAnsi="仿宋" w:eastAsia="仿宋"/>
                <w:kern w:val="0"/>
                <w:sz w:val="28"/>
                <w:szCs w:val="28"/>
              </w:rPr>
            </w:pPr>
            <w:r>
              <w:rPr>
                <w:rFonts w:hint="eastAsia" w:ascii="仿宋" w:hAnsi="仿宋" w:eastAsia="仿宋"/>
                <w:kern w:val="0"/>
                <w:sz w:val="28"/>
                <w:szCs w:val="28"/>
              </w:rPr>
              <w:t>4.5与货物需方单位的配合：0-2分</w:t>
            </w:r>
          </w:p>
        </w:tc>
        <w:tc>
          <w:tcPr>
            <w:tcW w:w="851" w:type="dxa"/>
            <w:vMerge w:val="continue"/>
            <w:vAlign w:val="center"/>
          </w:tcPr>
          <w:p>
            <w:pPr>
              <w:spacing w:line="440" w:lineRule="exact"/>
              <w:jc w:val="center"/>
              <w:rPr>
                <w:rFonts w:ascii="仿宋" w:hAnsi="仿宋"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850" w:type="dxa"/>
            <w:vMerge w:val="restart"/>
            <w:vAlign w:val="center"/>
          </w:tcPr>
          <w:p>
            <w:pPr>
              <w:spacing w:line="440" w:lineRule="exact"/>
              <w:jc w:val="center"/>
              <w:rPr>
                <w:rFonts w:ascii="仿宋" w:hAnsi="仿宋" w:eastAsia="仿宋"/>
                <w:bCs/>
                <w:kern w:val="0"/>
                <w:sz w:val="28"/>
                <w:szCs w:val="28"/>
              </w:rPr>
            </w:pPr>
            <w:r>
              <w:rPr>
                <w:rFonts w:hint="eastAsia" w:ascii="仿宋" w:hAnsi="仿宋" w:eastAsia="仿宋"/>
                <w:bCs/>
                <w:kern w:val="0"/>
                <w:sz w:val="28"/>
                <w:szCs w:val="28"/>
              </w:rPr>
              <w:t>5</w:t>
            </w:r>
          </w:p>
        </w:tc>
        <w:tc>
          <w:tcPr>
            <w:tcW w:w="1134" w:type="dxa"/>
            <w:vMerge w:val="restart"/>
            <w:vAlign w:val="center"/>
          </w:tcPr>
          <w:p>
            <w:pPr>
              <w:spacing w:line="440" w:lineRule="exact"/>
              <w:jc w:val="center"/>
              <w:rPr>
                <w:rFonts w:hint="eastAsia" w:ascii="仿宋" w:hAnsi="仿宋" w:eastAsia="仿宋"/>
                <w:bCs/>
                <w:kern w:val="0"/>
                <w:sz w:val="28"/>
                <w:szCs w:val="28"/>
                <w:lang w:eastAsia="zh-CN"/>
              </w:rPr>
            </w:pPr>
            <w:r>
              <w:rPr>
                <w:rFonts w:hint="eastAsia" w:ascii="仿宋" w:hAnsi="仿宋" w:eastAsia="仿宋"/>
                <w:bCs/>
                <w:kern w:val="0"/>
                <w:sz w:val="28"/>
                <w:szCs w:val="28"/>
                <w:lang w:eastAsia="zh-CN"/>
              </w:rPr>
              <w:t>客观</w:t>
            </w:r>
          </w:p>
        </w:tc>
        <w:tc>
          <w:tcPr>
            <w:tcW w:w="878" w:type="dxa"/>
            <w:vMerge w:val="restart"/>
            <w:vAlign w:val="center"/>
          </w:tcPr>
          <w:p>
            <w:pPr>
              <w:spacing w:line="440" w:lineRule="exact"/>
              <w:jc w:val="center"/>
              <w:rPr>
                <w:rFonts w:ascii="仿宋" w:hAnsi="仿宋" w:eastAsia="仿宋"/>
                <w:bCs/>
                <w:kern w:val="0"/>
                <w:sz w:val="28"/>
                <w:szCs w:val="28"/>
              </w:rPr>
            </w:pPr>
            <w:r>
              <w:rPr>
                <w:rFonts w:hint="eastAsia" w:ascii="仿宋" w:hAnsi="仿宋" w:eastAsia="仿宋"/>
                <w:bCs/>
                <w:kern w:val="0"/>
                <w:sz w:val="28"/>
                <w:szCs w:val="28"/>
              </w:rPr>
              <w:t>投标货物技术性能</w:t>
            </w:r>
          </w:p>
        </w:tc>
        <w:tc>
          <w:tcPr>
            <w:tcW w:w="6068" w:type="dxa"/>
            <w:vAlign w:val="center"/>
          </w:tcPr>
          <w:p>
            <w:pPr>
              <w:spacing w:line="400" w:lineRule="exact"/>
              <w:rPr>
                <w:rFonts w:ascii="仿宋" w:hAnsi="仿宋" w:eastAsia="仿宋"/>
                <w:bCs/>
                <w:kern w:val="0"/>
                <w:sz w:val="28"/>
                <w:szCs w:val="28"/>
              </w:rPr>
            </w:pPr>
            <w:r>
              <w:rPr>
                <w:rFonts w:hint="eastAsia" w:ascii="仿宋_GB2312" w:hAnsi="宋体" w:eastAsia="仿宋_GB2312"/>
                <w:bCs/>
                <w:kern w:val="0"/>
                <w:sz w:val="28"/>
                <w:szCs w:val="28"/>
              </w:rPr>
              <w:t>5.1响应招标文件要求的部件整体性能、技术参数、技术规格、技术规范和技术要求的得1</w:t>
            </w:r>
            <w:r>
              <w:rPr>
                <w:rFonts w:hint="eastAsia" w:ascii="仿宋_GB2312" w:hAnsi="宋体" w:eastAsia="仿宋_GB2312"/>
                <w:bCs/>
                <w:kern w:val="0"/>
                <w:sz w:val="28"/>
                <w:szCs w:val="28"/>
                <w:lang w:val="en-US" w:eastAsia="zh-CN"/>
              </w:rPr>
              <w:t>2</w:t>
            </w:r>
            <w:r>
              <w:rPr>
                <w:rFonts w:hint="eastAsia" w:ascii="仿宋_GB2312" w:hAnsi="宋体" w:eastAsia="仿宋_GB2312"/>
                <w:bCs/>
                <w:kern w:val="0"/>
                <w:sz w:val="28"/>
                <w:szCs w:val="28"/>
              </w:rPr>
              <w:t>分；</w:t>
            </w:r>
          </w:p>
        </w:tc>
        <w:tc>
          <w:tcPr>
            <w:tcW w:w="851" w:type="dxa"/>
            <w:vMerge w:val="restart"/>
            <w:vAlign w:val="center"/>
          </w:tcPr>
          <w:p>
            <w:pPr>
              <w:spacing w:line="440" w:lineRule="exact"/>
              <w:jc w:val="center"/>
              <w:rPr>
                <w:rFonts w:ascii="仿宋" w:hAnsi="仿宋" w:eastAsia="仿宋"/>
                <w:bCs/>
                <w:kern w:val="0"/>
                <w:sz w:val="28"/>
                <w:szCs w:val="28"/>
              </w:rPr>
            </w:pPr>
            <w:r>
              <w:rPr>
                <w:rFonts w:hint="eastAsia" w:ascii="仿宋" w:hAnsi="仿宋" w:eastAsia="仿宋"/>
                <w:bCs/>
                <w:kern w:val="0"/>
                <w:sz w:val="28"/>
                <w:szCs w:val="28"/>
                <w:lang w:val="en-US" w:eastAsia="zh-CN"/>
              </w:rPr>
              <w:t>28</w:t>
            </w:r>
            <w:r>
              <w:rPr>
                <w:rFonts w:hint="eastAsia" w:ascii="仿宋" w:hAnsi="仿宋" w:eastAsia="仿宋"/>
                <w:bCs/>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850" w:type="dxa"/>
            <w:vMerge w:val="continue"/>
            <w:vAlign w:val="center"/>
          </w:tcPr>
          <w:p>
            <w:pPr>
              <w:spacing w:line="440" w:lineRule="exact"/>
              <w:jc w:val="center"/>
              <w:rPr>
                <w:rFonts w:ascii="仿宋" w:hAnsi="仿宋" w:eastAsia="仿宋"/>
                <w:bCs/>
                <w:kern w:val="0"/>
                <w:sz w:val="28"/>
                <w:szCs w:val="28"/>
              </w:rPr>
            </w:pPr>
          </w:p>
        </w:tc>
        <w:tc>
          <w:tcPr>
            <w:tcW w:w="1134" w:type="dxa"/>
            <w:vMerge w:val="continue"/>
          </w:tcPr>
          <w:p>
            <w:pPr>
              <w:spacing w:line="440" w:lineRule="exact"/>
              <w:jc w:val="center"/>
              <w:rPr>
                <w:rFonts w:ascii="仿宋" w:hAnsi="仿宋" w:eastAsia="仿宋"/>
                <w:bCs/>
                <w:kern w:val="0"/>
                <w:sz w:val="28"/>
                <w:szCs w:val="28"/>
              </w:rPr>
            </w:pPr>
          </w:p>
        </w:tc>
        <w:tc>
          <w:tcPr>
            <w:tcW w:w="878" w:type="dxa"/>
            <w:vMerge w:val="continue"/>
            <w:tcBorders/>
            <w:vAlign w:val="center"/>
          </w:tcPr>
          <w:p>
            <w:pPr>
              <w:spacing w:line="440" w:lineRule="exact"/>
              <w:jc w:val="center"/>
              <w:rPr>
                <w:rFonts w:ascii="仿宋" w:hAnsi="仿宋" w:eastAsia="仿宋"/>
                <w:bCs/>
                <w:kern w:val="0"/>
                <w:sz w:val="28"/>
                <w:szCs w:val="28"/>
              </w:rPr>
            </w:pPr>
          </w:p>
        </w:tc>
        <w:tc>
          <w:tcPr>
            <w:tcW w:w="6068" w:type="dxa"/>
            <w:vAlign w:val="center"/>
          </w:tcPr>
          <w:p>
            <w:pPr>
              <w:spacing w:line="400" w:lineRule="exact"/>
              <w:rPr>
                <w:rFonts w:ascii="仿宋_GB2312" w:hAnsi="宋体" w:eastAsia="仿宋_GB2312"/>
                <w:bCs/>
                <w:kern w:val="0"/>
                <w:sz w:val="28"/>
                <w:szCs w:val="28"/>
              </w:rPr>
            </w:pPr>
            <w:r>
              <w:rPr>
                <w:rFonts w:hint="eastAsia" w:ascii="仿宋_GB2312" w:hAnsi="宋体" w:eastAsia="仿宋_GB2312"/>
                <w:bCs/>
                <w:kern w:val="0"/>
                <w:sz w:val="28"/>
                <w:szCs w:val="28"/>
              </w:rPr>
              <w:t>5.2优于招标文件要求的部件整体性能、技术参数、技术规格、技术规范和技术要求的给予逐项适当加分，每优于一项加1分，总加分不得超过1</w:t>
            </w:r>
            <w:r>
              <w:rPr>
                <w:rFonts w:hint="eastAsia" w:ascii="仿宋_GB2312" w:hAnsi="宋体" w:eastAsia="仿宋_GB2312"/>
                <w:bCs/>
                <w:kern w:val="0"/>
                <w:sz w:val="28"/>
                <w:szCs w:val="28"/>
                <w:lang w:val="en-US" w:eastAsia="zh-CN"/>
              </w:rPr>
              <w:t>2</w:t>
            </w:r>
            <w:r>
              <w:rPr>
                <w:rFonts w:hint="eastAsia" w:ascii="仿宋_GB2312" w:hAnsi="宋体" w:eastAsia="仿宋_GB2312"/>
                <w:bCs/>
                <w:kern w:val="0"/>
                <w:sz w:val="28"/>
                <w:szCs w:val="28"/>
              </w:rPr>
              <w:t>分；</w:t>
            </w:r>
          </w:p>
        </w:tc>
        <w:tc>
          <w:tcPr>
            <w:tcW w:w="851" w:type="dxa"/>
            <w:vMerge w:val="continue"/>
            <w:vAlign w:val="center"/>
          </w:tcPr>
          <w:p>
            <w:pPr>
              <w:spacing w:line="440" w:lineRule="exact"/>
              <w:jc w:val="center"/>
              <w:rPr>
                <w:rFonts w:ascii="仿宋" w:hAnsi="仿宋"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850" w:type="dxa"/>
            <w:vMerge w:val="continue"/>
            <w:vAlign w:val="center"/>
          </w:tcPr>
          <w:p>
            <w:pPr>
              <w:spacing w:line="440" w:lineRule="exact"/>
              <w:jc w:val="center"/>
              <w:rPr>
                <w:rFonts w:ascii="仿宋" w:hAnsi="仿宋" w:eastAsia="仿宋"/>
                <w:bCs/>
                <w:kern w:val="0"/>
                <w:sz w:val="28"/>
                <w:szCs w:val="28"/>
              </w:rPr>
            </w:pPr>
          </w:p>
        </w:tc>
        <w:tc>
          <w:tcPr>
            <w:tcW w:w="1134" w:type="dxa"/>
            <w:vMerge w:val="continue"/>
          </w:tcPr>
          <w:p>
            <w:pPr>
              <w:spacing w:line="440" w:lineRule="exact"/>
              <w:jc w:val="center"/>
              <w:rPr>
                <w:rFonts w:ascii="仿宋" w:hAnsi="仿宋" w:eastAsia="仿宋"/>
                <w:bCs/>
                <w:kern w:val="0"/>
                <w:sz w:val="28"/>
                <w:szCs w:val="28"/>
              </w:rPr>
            </w:pPr>
          </w:p>
        </w:tc>
        <w:tc>
          <w:tcPr>
            <w:tcW w:w="878" w:type="dxa"/>
            <w:vMerge w:val="continue"/>
            <w:tcBorders/>
            <w:vAlign w:val="center"/>
          </w:tcPr>
          <w:p>
            <w:pPr>
              <w:spacing w:line="440" w:lineRule="exact"/>
              <w:jc w:val="center"/>
              <w:rPr>
                <w:rFonts w:ascii="仿宋" w:hAnsi="仿宋" w:eastAsia="仿宋"/>
                <w:bCs/>
                <w:kern w:val="0"/>
                <w:sz w:val="28"/>
                <w:szCs w:val="28"/>
              </w:rPr>
            </w:pPr>
          </w:p>
        </w:tc>
        <w:tc>
          <w:tcPr>
            <w:tcW w:w="6068" w:type="dxa"/>
            <w:vAlign w:val="center"/>
          </w:tcPr>
          <w:p>
            <w:pPr>
              <w:spacing w:line="400" w:lineRule="exact"/>
              <w:rPr>
                <w:rFonts w:ascii="仿宋_GB2312" w:hAnsi="宋体" w:eastAsia="仿宋_GB2312"/>
                <w:bCs/>
                <w:kern w:val="0"/>
                <w:sz w:val="28"/>
                <w:szCs w:val="28"/>
              </w:rPr>
            </w:pPr>
            <w:r>
              <w:rPr>
                <w:rFonts w:hint="eastAsia" w:ascii="仿宋_GB2312" w:hAnsi="宋体" w:eastAsia="仿宋_GB2312"/>
                <w:bCs/>
                <w:kern w:val="0"/>
                <w:sz w:val="28"/>
                <w:szCs w:val="28"/>
              </w:rPr>
              <w:t>5.3低于招标文件要求的部件整体性能、技术参数、技术规格、技术规范和技术要求的给予逐项适当减分（非实质性偏离，</w:t>
            </w:r>
            <w:r>
              <w:rPr>
                <w:rFonts w:ascii="仿宋_GB2312" w:hAnsi="宋体" w:eastAsia="仿宋_GB2312"/>
                <w:bCs/>
                <w:kern w:val="0"/>
                <w:sz w:val="28"/>
                <w:szCs w:val="28"/>
              </w:rPr>
              <w:t>第二章中未</w:t>
            </w:r>
            <w:r>
              <w:rPr>
                <w:rFonts w:hint="eastAsia" w:ascii="仿宋_GB2312" w:hAnsi="宋体" w:eastAsia="仿宋_GB2312"/>
                <w:bCs/>
                <w:kern w:val="0"/>
                <w:sz w:val="28"/>
                <w:szCs w:val="28"/>
              </w:rPr>
              <w:t>标注“★”的条款</w:t>
            </w:r>
            <w:r>
              <w:rPr>
                <w:rFonts w:ascii="仿宋_GB2312" w:hAnsi="宋体" w:eastAsia="仿宋_GB2312"/>
                <w:bCs/>
                <w:kern w:val="0"/>
                <w:sz w:val="28"/>
                <w:szCs w:val="28"/>
              </w:rPr>
              <w:t>）</w:t>
            </w:r>
            <w:r>
              <w:rPr>
                <w:rFonts w:hint="eastAsia" w:ascii="仿宋_GB2312" w:hAnsi="宋体" w:eastAsia="仿宋_GB2312"/>
                <w:bCs/>
                <w:kern w:val="0"/>
                <w:sz w:val="28"/>
                <w:szCs w:val="28"/>
              </w:rPr>
              <w:t>；</w:t>
            </w:r>
            <w:r>
              <w:rPr>
                <w:rFonts w:ascii="仿宋_GB2312" w:hAnsi="宋体" w:eastAsia="仿宋_GB2312"/>
                <w:bCs/>
                <w:kern w:val="0"/>
                <w:sz w:val="28"/>
                <w:szCs w:val="28"/>
              </w:rPr>
              <w:t>“</w:t>
            </w:r>
            <w:r>
              <w:rPr>
                <w:rFonts w:hint="eastAsia" w:ascii="东文宋体" w:hAnsi="东文宋体" w:eastAsia="东文宋体" w:cs="东文宋体"/>
                <w:bCs/>
                <w:kern w:val="0"/>
                <w:sz w:val="28"/>
                <w:szCs w:val="28"/>
              </w:rPr>
              <w:t>▲</w:t>
            </w:r>
            <w:r>
              <w:rPr>
                <w:rFonts w:ascii="仿宋_GB2312" w:hAnsi="宋体" w:eastAsia="仿宋_GB2312"/>
                <w:bCs/>
                <w:kern w:val="0"/>
                <w:sz w:val="28"/>
                <w:szCs w:val="28"/>
              </w:rPr>
              <w:t xml:space="preserve"> ”为重点项，每低于此项扣2分，其他每低于一项扣0.5</w:t>
            </w:r>
            <w:r>
              <w:rPr>
                <w:rFonts w:hint="eastAsia" w:ascii="仿宋_GB2312" w:hAnsi="宋体" w:eastAsia="仿宋_GB2312"/>
                <w:bCs/>
                <w:kern w:val="0"/>
                <w:sz w:val="28"/>
                <w:szCs w:val="28"/>
              </w:rPr>
              <w:t>分</w:t>
            </w:r>
            <w:r>
              <w:rPr>
                <w:rFonts w:ascii="仿宋_GB2312" w:hAnsi="宋体" w:eastAsia="仿宋_GB2312"/>
                <w:bCs/>
                <w:kern w:val="0"/>
                <w:sz w:val="28"/>
                <w:szCs w:val="28"/>
              </w:rPr>
              <w:t>，</w:t>
            </w:r>
            <w:r>
              <w:rPr>
                <w:rFonts w:hint="eastAsia" w:ascii="仿宋_GB2312" w:hAnsi="宋体" w:eastAsia="仿宋_GB2312"/>
                <w:bCs/>
                <w:kern w:val="0"/>
                <w:sz w:val="28"/>
                <w:szCs w:val="28"/>
              </w:rPr>
              <w:t>（要求</w:t>
            </w:r>
            <w:r>
              <w:rPr>
                <w:rFonts w:ascii="仿宋_GB2312" w:hAnsi="宋体" w:eastAsia="仿宋_GB2312"/>
                <w:bCs/>
                <w:kern w:val="0"/>
                <w:sz w:val="28"/>
                <w:szCs w:val="28"/>
              </w:rPr>
              <w:t>提供检测报告或证书截图的如未提供则</w:t>
            </w:r>
            <w:r>
              <w:rPr>
                <w:rFonts w:hint="eastAsia" w:ascii="仿宋_GB2312" w:hAnsi="宋体" w:eastAsia="仿宋_GB2312"/>
                <w:bCs/>
                <w:kern w:val="0"/>
                <w:sz w:val="28"/>
                <w:szCs w:val="28"/>
              </w:rPr>
              <w:t>算</w:t>
            </w:r>
            <w:r>
              <w:rPr>
                <w:rFonts w:ascii="仿宋_GB2312" w:hAnsi="宋体" w:eastAsia="仿宋_GB2312"/>
                <w:bCs/>
                <w:kern w:val="0"/>
                <w:sz w:val="28"/>
                <w:szCs w:val="28"/>
              </w:rPr>
              <w:t>不满足</w:t>
            </w:r>
            <w:r>
              <w:rPr>
                <w:rFonts w:hint="eastAsia" w:ascii="仿宋_GB2312" w:hAnsi="宋体" w:eastAsia="仿宋_GB2312"/>
                <w:bCs/>
                <w:kern w:val="0"/>
                <w:sz w:val="28"/>
                <w:szCs w:val="28"/>
              </w:rPr>
              <w:t>）总减分不得超过1</w:t>
            </w:r>
            <w:r>
              <w:rPr>
                <w:rFonts w:hint="eastAsia" w:ascii="仿宋_GB2312" w:hAnsi="宋体" w:eastAsia="仿宋_GB2312"/>
                <w:bCs/>
                <w:kern w:val="0"/>
                <w:sz w:val="28"/>
                <w:szCs w:val="28"/>
                <w:lang w:val="en-US" w:eastAsia="zh-CN"/>
              </w:rPr>
              <w:t>2</w:t>
            </w:r>
            <w:r>
              <w:rPr>
                <w:rFonts w:hint="eastAsia" w:ascii="仿宋_GB2312" w:hAnsi="宋体" w:eastAsia="仿宋_GB2312"/>
                <w:bCs/>
                <w:kern w:val="0"/>
                <w:sz w:val="28"/>
                <w:szCs w:val="28"/>
              </w:rPr>
              <w:t>分;</w:t>
            </w:r>
          </w:p>
        </w:tc>
        <w:tc>
          <w:tcPr>
            <w:tcW w:w="851" w:type="dxa"/>
            <w:vMerge w:val="continue"/>
            <w:vAlign w:val="center"/>
          </w:tcPr>
          <w:p>
            <w:pPr>
              <w:spacing w:line="440" w:lineRule="exact"/>
              <w:jc w:val="center"/>
              <w:rPr>
                <w:rFonts w:ascii="仿宋" w:hAnsi="仿宋"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0" w:type="dxa"/>
            <w:vMerge w:val="continue"/>
            <w:vAlign w:val="center"/>
          </w:tcPr>
          <w:p>
            <w:pPr>
              <w:spacing w:line="440" w:lineRule="exact"/>
              <w:jc w:val="center"/>
              <w:rPr>
                <w:rFonts w:ascii="仿宋" w:hAnsi="仿宋" w:eastAsia="仿宋"/>
                <w:bCs/>
                <w:kern w:val="0"/>
                <w:sz w:val="28"/>
                <w:szCs w:val="28"/>
              </w:rPr>
            </w:pPr>
          </w:p>
        </w:tc>
        <w:tc>
          <w:tcPr>
            <w:tcW w:w="1134" w:type="dxa"/>
          </w:tcPr>
          <w:p>
            <w:pPr>
              <w:spacing w:line="440" w:lineRule="exact"/>
              <w:jc w:val="center"/>
              <w:rPr>
                <w:rFonts w:hint="eastAsia" w:ascii="仿宋" w:hAnsi="仿宋" w:eastAsia="仿宋"/>
                <w:bCs/>
                <w:kern w:val="0"/>
                <w:sz w:val="28"/>
                <w:szCs w:val="28"/>
                <w:lang w:eastAsia="zh-CN"/>
              </w:rPr>
            </w:pPr>
            <w:r>
              <w:rPr>
                <w:rFonts w:hint="eastAsia" w:ascii="仿宋" w:hAnsi="仿宋" w:eastAsia="仿宋"/>
                <w:bCs/>
                <w:kern w:val="0"/>
                <w:sz w:val="28"/>
                <w:szCs w:val="28"/>
                <w:lang w:eastAsia="zh-CN"/>
              </w:rPr>
              <w:t>主观</w:t>
            </w:r>
          </w:p>
        </w:tc>
        <w:tc>
          <w:tcPr>
            <w:tcW w:w="878" w:type="dxa"/>
            <w:vMerge w:val="continue"/>
            <w:tcBorders/>
            <w:vAlign w:val="center"/>
          </w:tcPr>
          <w:p>
            <w:pPr>
              <w:spacing w:line="440" w:lineRule="exact"/>
              <w:jc w:val="center"/>
              <w:rPr>
                <w:rFonts w:ascii="仿宋" w:hAnsi="仿宋" w:eastAsia="仿宋"/>
                <w:bCs/>
                <w:kern w:val="0"/>
                <w:sz w:val="28"/>
                <w:szCs w:val="28"/>
              </w:rPr>
            </w:pPr>
          </w:p>
        </w:tc>
        <w:tc>
          <w:tcPr>
            <w:tcW w:w="6068" w:type="dxa"/>
            <w:vAlign w:val="center"/>
          </w:tcPr>
          <w:p>
            <w:pPr>
              <w:spacing w:line="400" w:lineRule="exact"/>
              <w:jc w:val="left"/>
              <w:rPr>
                <w:rFonts w:ascii="仿宋_GB2312" w:hAnsi="宋体" w:eastAsia="仿宋_GB2312"/>
                <w:bCs/>
                <w:kern w:val="0"/>
                <w:sz w:val="28"/>
                <w:szCs w:val="28"/>
              </w:rPr>
            </w:pPr>
            <w:r>
              <w:rPr>
                <w:rFonts w:hint="eastAsia" w:ascii="仿宋_GB2312" w:hAnsi="宋体" w:eastAsia="仿宋_GB2312"/>
                <w:bCs/>
                <w:kern w:val="0"/>
                <w:sz w:val="28"/>
                <w:szCs w:val="28"/>
              </w:rPr>
              <w:t>5.4评委根据</w:t>
            </w:r>
            <w:r>
              <w:rPr>
                <w:rFonts w:hint="eastAsia" w:ascii="仿宋_GB2312" w:hAnsi="宋体" w:eastAsia="仿宋_GB2312"/>
                <w:kern w:val="0"/>
                <w:sz w:val="28"/>
                <w:szCs w:val="28"/>
              </w:rPr>
              <w:t>投标产品整体性能比较评分：0-</w:t>
            </w:r>
            <w:r>
              <w:rPr>
                <w:rFonts w:hint="eastAsia" w:ascii="仿宋_GB2312" w:hAnsi="宋体" w:eastAsia="仿宋_GB2312"/>
                <w:kern w:val="0"/>
                <w:sz w:val="28"/>
                <w:szCs w:val="28"/>
                <w:lang w:val="en-US" w:eastAsia="zh-CN"/>
              </w:rPr>
              <w:t>4</w:t>
            </w:r>
            <w:r>
              <w:rPr>
                <w:rFonts w:hint="eastAsia" w:ascii="仿宋_GB2312" w:hAnsi="宋体" w:eastAsia="仿宋_GB2312"/>
                <w:kern w:val="0"/>
                <w:sz w:val="28"/>
                <w:szCs w:val="28"/>
              </w:rPr>
              <w:t>分</w:t>
            </w:r>
          </w:p>
        </w:tc>
        <w:tc>
          <w:tcPr>
            <w:tcW w:w="851" w:type="dxa"/>
            <w:vMerge w:val="continue"/>
            <w:vAlign w:val="center"/>
          </w:tcPr>
          <w:p>
            <w:pPr>
              <w:spacing w:line="440" w:lineRule="exact"/>
              <w:jc w:val="center"/>
              <w:rPr>
                <w:rFonts w:ascii="仿宋" w:hAnsi="仿宋"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0" w:type="dxa"/>
            <w:vMerge w:val="restart"/>
            <w:vAlign w:val="center"/>
          </w:tcPr>
          <w:p>
            <w:pPr>
              <w:spacing w:line="440" w:lineRule="exact"/>
              <w:jc w:val="center"/>
              <w:rPr>
                <w:rFonts w:ascii="仿宋" w:hAnsi="仿宋" w:eastAsia="仿宋"/>
                <w:bCs/>
                <w:kern w:val="0"/>
                <w:sz w:val="28"/>
                <w:szCs w:val="28"/>
              </w:rPr>
            </w:pPr>
            <w:r>
              <w:rPr>
                <w:rFonts w:hint="eastAsia" w:ascii="仿宋" w:hAnsi="仿宋" w:eastAsia="仿宋"/>
                <w:bCs/>
                <w:kern w:val="0"/>
                <w:sz w:val="28"/>
                <w:szCs w:val="28"/>
              </w:rPr>
              <w:t>6</w:t>
            </w:r>
          </w:p>
        </w:tc>
        <w:tc>
          <w:tcPr>
            <w:tcW w:w="1134" w:type="dxa"/>
            <w:vMerge w:val="restart"/>
            <w:vAlign w:val="center"/>
          </w:tcPr>
          <w:p>
            <w:pPr>
              <w:spacing w:line="440" w:lineRule="exact"/>
              <w:jc w:val="center"/>
              <w:rPr>
                <w:rFonts w:ascii="仿宋" w:hAnsi="仿宋" w:eastAsia="仿宋"/>
                <w:bCs/>
                <w:kern w:val="0"/>
                <w:sz w:val="28"/>
                <w:szCs w:val="28"/>
              </w:rPr>
            </w:pPr>
            <w:r>
              <w:rPr>
                <w:rFonts w:hint="eastAsia" w:ascii="仿宋" w:hAnsi="仿宋" w:eastAsia="仿宋"/>
                <w:bCs/>
                <w:kern w:val="0"/>
                <w:sz w:val="28"/>
                <w:szCs w:val="28"/>
              </w:rPr>
              <w:t>客观</w:t>
            </w:r>
          </w:p>
        </w:tc>
        <w:tc>
          <w:tcPr>
            <w:tcW w:w="878" w:type="dxa"/>
            <w:vMerge w:val="restart"/>
            <w:vAlign w:val="center"/>
          </w:tcPr>
          <w:p>
            <w:pPr>
              <w:spacing w:line="440" w:lineRule="exact"/>
              <w:jc w:val="center"/>
              <w:rPr>
                <w:rFonts w:ascii="仿宋" w:hAnsi="仿宋" w:eastAsia="仿宋"/>
                <w:bCs/>
                <w:kern w:val="0"/>
                <w:sz w:val="28"/>
                <w:szCs w:val="28"/>
              </w:rPr>
            </w:pPr>
            <w:r>
              <w:rPr>
                <w:rFonts w:hint="eastAsia" w:ascii="仿宋" w:hAnsi="仿宋" w:eastAsia="仿宋"/>
                <w:bCs/>
                <w:kern w:val="0"/>
                <w:sz w:val="28"/>
                <w:szCs w:val="28"/>
              </w:rPr>
              <w:t>安全服务技术</w:t>
            </w:r>
            <w:r>
              <w:rPr>
                <w:rFonts w:ascii="仿宋" w:hAnsi="仿宋" w:eastAsia="仿宋"/>
                <w:bCs/>
                <w:kern w:val="0"/>
                <w:sz w:val="28"/>
                <w:szCs w:val="28"/>
              </w:rPr>
              <w:t>团队力量</w:t>
            </w:r>
          </w:p>
        </w:tc>
        <w:tc>
          <w:tcPr>
            <w:tcW w:w="6068" w:type="dxa"/>
            <w:vAlign w:val="center"/>
          </w:tcPr>
          <w:p>
            <w:pPr>
              <w:spacing w:line="400" w:lineRule="exact"/>
              <w:jc w:val="left"/>
              <w:rPr>
                <w:rFonts w:ascii="仿宋_GB2312" w:hAnsi="宋体" w:eastAsia="仿宋_GB2312"/>
                <w:bCs/>
                <w:kern w:val="0"/>
                <w:sz w:val="28"/>
                <w:szCs w:val="28"/>
              </w:rPr>
            </w:pPr>
            <w:r>
              <w:rPr>
                <w:rFonts w:ascii="仿宋_GB2312" w:hAnsi="宋体" w:eastAsia="仿宋_GB2312"/>
                <w:bCs/>
                <w:kern w:val="0"/>
                <w:sz w:val="28"/>
                <w:szCs w:val="28"/>
              </w:rPr>
              <w:t>6.1</w:t>
            </w:r>
            <w:r>
              <w:rPr>
                <w:rFonts w:hint="eastAsia" w:ascii="仿宋_GB2312" w:hAnsi="宋体" w:eastAsia="仿宋_GB2312"/>
                <w:bCs/>
                <w:kern w:val="0"/>
                <w:sz w:val="28"/>
                <w:szCs w:val="28"/>
              </w:rPr>
              <w:t>项目经理全日制本科计算机类专业，且同时具有PMP、CISSP、CISA、CISP、CISP-PTE证明其能力证书（提供证明文件），证书少一项扣0.5分，扣完为止，最多得</w:t>
            </w:r>
            <w:r>
              <w:rPr>
                <w:rFonts w:ascii="仿宋_GB2312" w:hAnsi="宋体" w:eastAsia="仿宋_GB2312"/>
                <w:bCs/>
                <w:kern w:val="0"/>
                <w:sz w:val="28"/>
                <w:szCs w:val="28"/>
              </w:rPr>
              <w:t>2</w:t>
            </w:r>
            <w:r>
              <w:rPr>
                <w:rFonts w:hint="eastAsia" w:ascii="仿宋_GB2312" w:hAnsi="宋体" w:eastAsia="仿宋_GB2312"/>
                <w:bCs/>
                <w:kern w:val="0"/>
                <w:sz w:val="28"/>
                <w:szCs w:val="28"/>
              </w:rPr>
              <w:t>分；</w:t>
            </w:r>
          </w:p>
        </w:tc>
        <w:tc>
          <w:tcPr>
            <w:tcW w:w="851" w:type="dxa"/>
            <w:vMerge w:val="restart"/>
            <w:vAlign w:val="center"/>
          </w:tcPr>
          <w:p>
            <w:pPr>
              <w:spacing w:line="440" w:lineRule="exact"/>
              <w:jc w:val="center"/>
              <w:rPr>
                <w:rFonts w:ascii="仿宋" w:hAnsi="仿宋" w:eastAsia="仿宋"/>
                <w:bCs/>
                <w:kern w:val="0"/>
                <w:sz w:val="28"/>
                <w:szCs w:val="28"/>
              </w:rPr>
            </w:pPr>
            <w:r>
              <w:rPr>
                <w:rFonts w:hint="eastAsia" w:ascii="仿宋" w:hAnsi="仿宋" w:eastAsia="仿宋"/>
                <w:bCs/>
                <w:kern w:val="0"/>
                <w:sz w:val="28"/>
                <w:szCs w:val="2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0" w:type="dxa"/>
            <w:vMerge w:val="continue"/>
            <w:vAlign w:val="center"/>
          </w:tcPr>
          <w:p>
            <w:pPr>
              <w:spacing w:line="440" w:lineRule="exact"/>
              <w:jc w:val="center"/>
              <w:rPr>
                <w:rFonts w:ascii="仿宋" w:hAnsi="仿宋" w:eastAsia="仿宋"/>
                <w:bCs/>
                <w:kern w:val="0"/>
                <w:sz w:val="28"/>
                <w:szCs w:val="28"/>
              </w:rPr>
            </w:pPr>
          </w:p>
        </w:tc>
        <w:tc>
          <w:tcPr>
            <w:tcW w:w="1134" w:type="dxa"/>
            <w:vMerge w:val="continue"/>
          </w:tcPr>
          <w:p>
            <w:pPr>
              <w:spacing w:line="440" w:lineRule="exact"/>
              <w:jc w:val="center"/>
              <w:rPr>
                <w:rFonts w:ascii="仿宋" w:hAnsi="仿宋" w:eastAsia="仿宋"/>
                <w:bCs/>
                <w:kern w:val="0"/>
                <w:sz w:val="28"/>
                <w:szCs w:val="28"/>
              </w:rPr>
            </w:pPr>
          </w:p>
        </w:tc>
        <w:tc>
          <w:tcPr>
            <w:tcW w:w="878" w:type="dxa"/>
            <w:vMerge w:val="continue"/>
            <w:vAlign w:val="center"/>
          </w:tcPr>
          <w:p>
            <w:pPr>
              <w:spacing w:line="440" w:lineRule="exact"/>
              <w:jc w:val="center"/>
              <w:rPr>
                <w:rFonts w:ascii="仿宋" w:hAnsi="仿宋" w:eastAsia="仿宋"/>
                <w:bCs/>
                <w:kern w:val="0"/>
                <w:sz w:val="28"/>
                <w:szCs w:val="28"/>
              </w:rPr>
            </w:pPr>
          </w:p>
        </w:tc>
        <w:tc>
          <w:tcPr>
            <w:tcW w:w="6068" w:type="dxa"/>
            <w:vAlign w:val="center"/>
          </w:tcPr>
          <w:p>
            <w:pPr>
              <w:spacing w:line="400" w:lineRule="exact"/>
              <w:jc w:val="left"/>
              <w:rPr>
                <w:rFonts w:ascii="仿宋_GB2312" w:hAnsi="宋体" w:eastAsia="仿宋_GB2312"/>
                <w:bCs/>
                <w:kern w:val="0"/>
                <w:sz w:val="28"/>
                <w:szCs w:val="28"/>
              </w:rPr>
            </w:pPr>
            <w:r>
              <w:rPr>
                <w:rFonts w:ascii="仿宋_GB2312" w:hAnsi="宋体" w:eastAsia="仿宋_GB2312"/>
                <w:bCs/>
                <w:kern w:val="0"/>
                <w:sz w:val="28"/>
                <w:szCs w:val="28"/>
              </w:rPr>
              <w:t>6.2</w:t>
            </w:r>
            <w:r>
              <w:rPr>
                <w:rFonts w:hint="eastAsia" w:ascii="仿宋_GB2312" w:hAnsi="宋体" w:eastAsia="仿宋_GB2312"/>
                <w:bCs/>
                <w:kern w:val="0"/>
                <w:sz w:val="28"/>
                <w:szCs w:val="28"/>
              </w:rPr>
              <w:t>项目经理本人具备CNVD原创漏洞提交证明文件，得1分，不具有不得分，</w:t>
            </w:r>
            <w:r>
              <w:rPr>
                <w:rFonts w:ascii="仿宋_GB2312" w:hAnsi="宋体" w:eastAsia="仿宋_GB2312"/>
                <w:bCs/>
                <w:kern w:val="0"/>
                <w:sz w:val="28"/>
                <w:szCs w:val="28"/>
              </w:rPr>
              <w:t>证书上的名字与投标文件中的项目团队中人员名字一致，不一致不得分</w:t>
            </w:r>
            <w:r>
              <w:rPr>
                <w:rFonts w:hint="eastAsia" w:ascii="仿宋_GB2312" w:hAnsi="宋体" w:eastAsia="仿宋_GB2312"/>
                <w:bCs/>
                <w:kern w:val="0"/>
                <w:sz w:val="28"/>
                <w:szCs w:val="28"/>
              </w:rPr>
              <w:t>。</w:t>
            </w:r>
          </w:p>
        </w:tc>
        <w:tc>
          <w:tcPr>
            <w:tcW w:w="851" w:type="dxa"/>
            <w:vMerge w:val="continue"/>
            <w:vAlign w:val="center"/>
          </w:tcPr>
          <w:p>
            <w:pPr>
              <w:spacing w:line="440" w:lineRule="exact"/>
              <w:jc w:val="center"/>
              <w:rPr>
                <w:rFonts w:ascii="仿宋" w:hAnsi="仿宋"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0" w:type="dxa"/>
            <w:vMerge w:val="continue"/>
            <w:vAlign w:val="center"/>
          </w:tcPr>
          <w:p>
            <w:pPr>
              <w:spacing w:line="440" w:lineRule="exact"/>
              <w:jc w:val="center"/>
              <w:rPr>
                <w:rFonts w:ascii="仿宋" w:hAnsi="仿宋" w:eastAsia="仿宋"/>
                <w:bCs/>
                <w:kern w:val="0"/>
                <w:sz w:val="28"/>
                <w:szCs w:val="28"/>
              </w:rPr>
            </w:pPr>
          </w:p>
        </w:tc>
        <w:tc>
          <w:tcPr>
            <w:tcW w:w="1134" w:type="dxa"/>
            <w:vMerge w:val="continue"/>
          </w:tcPr>
          <w:p>
            <w:pPr>
              <w:spacing w:line="440" w:lineRule="exact"/>
              <w:jc w:val="center"/>
              <w:rPr>
                <w:rFonts w:ascii="仿宋" w:hAnsi="仿宋" w:eastAsia="仿宋"/>
                <w:bCs/>
                <w:kern w:val="0"/>
                <w:sz w:val="28"/>
                <w:szCs w:val="28"/>
              </w:rPr>
            </w:pPr>
          </w:p>
        </w:tc>
        <w:tc>
          <w:tcPr>
            <w:tcW w:w="878" w:type="dxa"/>
            <w:vMerge w:val="continue"/>
            <w:vAlign w:val="center"/>
          </w:tcPr>
          <w:p>
            <w:pPr>
              <w:spacing w:line="440" w:lineRule="exact"/>
              <w:jc w:val="center"/>
              <w:rPr>
                <w:rFonts w:ascii="仿宋" w:hAnsi="仿宋" w:eastAsia="仿宋"/>
                <w:bCs/>
                <w:kern w:val="0"/>
                <w:sz w:val="28"/>
                <w:szCs w:val="28"/>
              </w:rPr>
            </w:pPr>
          </w:p>
        </w:tc>
        <w:tc>
          <w:tcPr>
            <w:tcW w:w="6068" w:type="dxa"/>
            <w:vAlign w:val="center"/>
          </w:tcPr>
          <w:p>
            <w:pPr>
              <w:spacing w:line="400" w:lineRule="exact"/>
              <w:jc w:val="left"/>
              <w:rPr>
                <w:rFonts w:ascii="仿宋_GB2312" w:hAnsi="宋体" w:eastAsia="仿宋_GB2312"/>
                <w:bCs/>
                <w:kern w:val="0"/>
                <w:sz w:val="28"/>
                <w:szCs w:val="28"/>
              </w:rPr>
            </w:pPr>
            <w:r>
              <w:rPr>
                <w:rFonts w:ascii="仿宋_GB2312" w:hAnsi="宋体" w:eastAsia="仿宋_GB2312"/>
                <w:bCs/>
                <w:kern w:val="0"/>
                <w:sz w:val="28"/>
                <w:szCs w:val="28"/>
              </w:rPr>
              <w:t>6.3</w:t>
            </w:r>
            <w:r>
              <w:rPr>
                <w:rFonts w:hint="eastAsia" w:ascii="仿宋_GB2312" w:hAnsi="宋体" w:eastAsia="仿宋_GB2312"/>
                <w:bCs/>
                <w:kern w:val="0"/>
                <w:sz w:val="28"/>
                <w:szCs w:val="28"/>
              </w:rPr>
              <w:t>项目服务团队（除项目经理外）人数不少于4个，需提供CISP证书；得1分，未提供或少于规定人数不得分。</w:t>
            </w:r>
          </w:p>
        </w:tc>
        <w:tc>
          <w:tcPr>
            <w:tcW w:w="851" w:type="dxa"/>
            <w:vMerge w:val="continue"/>
            <w:vAlign w:val="center"/>
          </w:tcPr>
          <w:p>
            <w:pPr>
              <w:spacing w:line="440" w:lineRule="exact"/>
              <w:jc w:val="center"/>
              <w:rPr>
                <w:rFonts w:ascii="仿宋" w:hAnsi="仿宋"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6" w:hRule="atLeast"/>
          <w:jc w:val="center"/>
        </w:trPr>
        <w:tc>
          <w:tcPr>
            <w:tcW w:w="850" w:type="dxa"/>
            <w:vMerge w:val="continue"/>
            <w:vAlign w:val="center"/>
          </w:tcPr>
          <w:p>
            <w:pPr>
              <w:spacing w:line="440" w:lineRule="exact"/>
              <w:jc w:val="center"/>
              <w:rPr>
                <w:rFonts w:ascii="仿宋" w:hAnsi="仿宋" w:eastAsia="仿宋"/>
                <w:bCs/>
                <w:kern w:val="0"/>
                <w:sz w:val="28"/>
                <w:szCs w:val="28"/>
              </w:rPr>
            </w:pPr>
          </w:p>
        </w:tc>
        <w:tc>
          <w:tcPr>
            <w:tcW w:w="1134" w:type="dxa"/>
            <w:vMerge w:val="continue"/>
          </w:tcPr>
          <w:p>
            <w:pPr>
              <w:spacing w:line="440" w:lineRule="exact"/>
              <w:jc w:val="center"/>
              <w:rPr>
                <w:rFonts w:ascii="仿宋" w:hAnsi="仿宋" w:eastAsia="仿宋"/>
                <w:bCs/>
                <w:kern w:val="0"/>
                <w:sz w:val="28"/>
                <w:szCs w:val="28"/>
              </w:rPr>
            </w:pPr>
          </w:p>
        </w:tc>
        <w:tc>
          <w:tcPr>
            <w:tcW w:w="878" w:type="dxa"/>
            <w:vMerge w:val="continue"/>
            <w:vAlign w:val="center"/>
          </w:tcPr>
          <w:p>
            <w:pPr>
              <w:spacing w:line="440" w:lineRule="exact"/>
              <w:jc w:val="center"/>
              <w:rPr>
                <w:rFonts w:ascii="仿宋" w:hAnsi="仿宋" w:eastAsia="仿宋"/>
                <w:bCs/>
                <w:kern w:val="0"/>
                <w:sz w:val="28"/>
                <w:szCs w:val="28"/>
              </w:rPr>
            </w:pPr>
          </w:p>
        </w:tc>
        <w:tc>
          <w:tcPr>
            <w:tcW w:w="6068" w:type="dxa"/>
            <w:vAlign w:val="center"/>
          </w:tcPr>
          <w:p>
            <w:pPr>
              <w:spacing w:line="400" w:lineRule="exact"/>
              <w:jc w:val="left"/>
              <w:rPr>
                <w:rFonts w:ascii="仿宋_GB2312" w:hAnsi="宋体" w:eastAsia="仿宋_GB2312"/>
                <w:bCs/>
                <w:kern w:val="0"/>
                <w:sz w:val="28"/>
                <w:szCs w:val="28"/>
              </w:rPr>
            </w:pPr>
            <w:r>
              <w:rPr>
                <w:rFonts w:ascii="仿宋_GB2312" w:hAnsi="宋体" w:eastAsia="仿宋_GB2312"/>
                <w:bCs/>
                <w:kern w:val="0"/>
                <w:sz w:val="28"/>
                <w:szCs w:val="28"/>
              </w:rPr>
              <w:t>6.4</w:t>
            </w:r>
            <w:r>
              <w:rPr>
                <w:rFonts w:hint="eastAsia" w:ascii="仿宋_GB2312" w:hAnsi="宋体" w:eastAsia="仿宋_GB2312"/>
                <w:bCs/>
                <w:kern w:val="0"/>
                <w:sz w:val="28"/>
                <w:szCs w:val="28"/>
              </w:rPr>
              <w:t>安全服务人员具备漏洞挖掘能力的专家，具备挖掘TOP5互联网公司（阿里、腾讯、百度、京东、网易）漏洞的能力，并提供相应公司SRC（应急响应中心）出具的证明材料得1分，未提供不得分。</w:t>
            </w:r>
          </w:p>
        </w:tc>
        <w:tc>
          <w:tcPr>
            <w:tcW w:w="851" w:type="dxa"/>
            <w:vMerge w:val="continue"/>
            <w:vAlign w:val="center"/>
          </w:tcPr>
          <w:p>
            <w:pPr>
              <w:spacing w:line="440" w:lineRule="exact"/>
              <w:jc w:val="center"/>
              <w:rPr>
                <w:rFonts w:ascii="仿宋" w:hAnsi="仿宋"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850" w:type="dxa"/>
            <w:vMerge w:val="continue"/>
            <w:vAlign w:val="center"/>
          </w:tcPr>
          <w:p>
            <w:pPr>
              <w:spacing w:line="440" w:lineRule="exact"/>
              <w:jc w:val="center"/>
              <w:rPr>
                <w:rFonts w:ascii="仿宋" w:hAnsi="仿宋" w:eastAsia="仿宋"/>
                <w:bCs/>
                <w:kern w:val="0"/>
                <w:sz w:val="28"/>
                <w:szCs w:val="28"/>
              </w:rPr>
            </w:pPr>
          </w:p>
        </w:tc>
        <w:tc>
          <w:tcPr>
            <w:tcW w:w="1134" w:type="dxa"/>
            <w:vMerge w:val="continue"/>
          </w:tcPr>
          <w:p>
            <w:pPr>
              <w:spacing w:line="440" w:lineRule="exact"/>
              <w:jc w:val="center"/>
              <w:rPr>
                <w:rFonts w:ascii="仿宋" w:hAnsi="仿宋" w:eastAsia="仿宋"/>
                <w:bCs/>
                <w:kern w:val="0"/>
                <w:sz w:val="28"/>
                <w:szCs w:val="28"/>
              </w:rPr>
            </w:pPr>
          </w:p>
        </w:tc>
        <w:tc>
          <w:tcPr>
            <w:tcW w:w="878" w:type="dxa"/>
            <w:vMerge w:val="continue"/>
            <w:vAlign w:val="center"/>
          </w:tcPr>
          <w:p>
            <w:pPr>
              <w:spacing w:line="440" w:lineRule="exact"/>
              <w:jc w:val="center"/>
              <w:rPr>
                <w:rFonts w:ascii="仿宋" w:hAnsi="仿宋" w:eastAsia="仿宋"/>
                <w:bCs/>
                <w:kern w:val="0"/>
                <w:sz w:val="28"/>
                <w:szCs w:val="28"/>
              </w:rPr>
            </w:pPr>
          </w:p>
        </w:tc>
        <w:tc>
          <w:tcPr>
            <w:tcW w:w="6068" w:type="dxa"/>
            <w:vAlign w:val="center"/>
          </w:tcPr>
          <w:p>
            <w:pPr>
              <w:spacing w:line="400" w:lineRule="exact"/>
              <w:jc w:val="left"/>
              <w:rPr>
                <w:rFonts w:ascii="仿宋_GB2312" w:hAnsi="宋体" w:eastAsia="仿宋_GB2312"/>
                <w:bCs/>
                <w:kern w:val="0"/>
                <w:sz w:val="28"/>
                <w:szCs w:val="28"/>
              </w:rPr>
            </w:pPr>
            <w:r>
              <w:rPr>
                <w:rFonts w:hint="eastAsia" w:ascii="仿宋" w:hAnsi="仿宋" w:eastAsia="仿宋"/>
                <w:b/>
                <w:kern w:val="0"/>
                <w:sz w:val="28"/>
                <w:szCs w:val="28"/>
                <w:u w:val="single"/>
              </w:rPr>
              <w:t>以上人员须提供相应证书及最近一个月社保证明复印件并加盖公章，原件备查，未提供不得分 。</w:t>
            </w:r>
          </w:p>
        </w:tc>
        <w:tc>
          <w:tcPr>
            <w:tcW w:w="851" w:type="dxa"/>
            <w:vMerge w:val="continue"/>
            <w:vAlign w:val="center"/>
          </w:tcPr>
          <w:p>
            <w:pPr>
              <w:spacing w:line="440" w:lineRule="exact"/>
              <w:jc w:val="center"/>
              <w:rPr>
                <w:rFonts w:ascii="仿宋" w:hAnsi="仿宋"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850" w:type="dxa"/>
            <w:vMerge w:val="restart"/>
            <w:vAlign w:val="center"/>
          </w:tcPr>
          <w:p>
            <w:pPr>
              <w:spacing w:line="440" w:lineRule="exact"/>
              <w:jc w:val="center"/>
              <w:rPr>
                <w:rFonts w:ascii="仿宋" w:hAnsi="仿宋" w:eastAsia="仿宋"/>
                <w:bCs/>
                <w:kern w:val="0"/>
                <w:sz w:val="28"/>
                <w:szCs w:val="28"/>
              </w:rPr>
            </w:pPr>
            <w:r>
              <w:rPr>
                <w:rFonts w:hint="eastAsia" w:ascii="仿宋" w:hAnsi="仿宋" w:eastAsia="仿宋"/>
                <w:bCs/>
                <w:kern w:val="0"/>
                <w:sz w:val="28"/>
                <w:szCs w:val="28"/>
              </w:rPr>
              <w:t>7</w:t>
            </w:r>
          </w:p>
        </w:tc>
        <w:tc>
          <w:tcPr>
            <w:tcW w:w="1134" w:type="dxa"/>
            <w:vAlign w:val="center"/>
          </w:tcPr>
          <w:p>
            <w:pPr>
              <w:spacing w:line="440" w:lineRule="exact"/>
              <w:jc w:val="center"/>
              <w:rPr>
                <w:rFonts w:ascii="仿宋" w:hAnsi="仿宋" w:eastAsia="仿宋"/>
                <w:bCs/>
                <w:kern w:val="0"/>
                <w:sz w:val="28"/>
                <w:szCs w:val="28"/>
              </w:rPr>
            </w:pPr>
            <w:r>
              <w:rPr>
                <w:rFonts w:hint="eastAsia" w:ascii="仿宋" w:hAnsi="仿宋" w:eastAsia="仿宋"/>
                <w:bCs/>
                <w:kern w:val="0"/>
                <w:sz w:val="28"/>
                <w:szCs w:val="28"/>
              </w:rPr>
              <w:t>客观</w:t>
            </w:r>
          </w:p>
        </w:tc>
        <w:tc>
          <w:tcPr>
            <w:tcW w:w="878" w:type="dxa"/>
            <w:vMerge w:val="restart"/>
            <w:vAlign w:val="center"/>
          </w:tcPr>
          <w:p>
            <w:pPr>
              <w:spacing w:line="440" w:lineRule="exact"/>
              <w:jc w:val="center"/>
              <w:rPr>
                <w:rFonts w:ascii="仿宋" w:hAnsi="仿宋" w:eastAsia="仿宋"/>
                <w:bCs/>
                <w:kern w:val="0"/>
                <w:sz w:val="28"/>
                <w:szCs w:val="28"/>
              </w:rPr>
            </w:pPr>
            <w:r>
              <w:rPr>
                <w:rFonts w:hint="eastAsia" w:ascii="仿宋" w:hAnsi="仿宋" w:eastAsia="仿宋"/>
                <w:bCs/>
                <w:kern w:val="0"/>
                <w:sz w:val="28"/>
                <w:szCs w:val="28"/>
              </w:rPr>
              <w:t>售后服务承诺</w:t>
            </w:r>
          </w:p>
        </w:tc>
        <w:tc>
          <w:tcPr>
            <w:tcW w:w="6068" w:type="dxa"/>
            <w:vAlign w:val="center"/>
          </w:tcPr>
          <w:p>
            <w:pPr>
              <w:spacing w:line="400" w:lineRule="exact"/>
              <w:rPr>
                <w:rFonts w:ascii="仿宋" w:hAnsi="仿宋" w:eastAsia="仿宋"/>
                <w:kern w:val="0"/>
                <w:sz w:val="28"/>
                <w:szCs w:val="28"/>
              </w:rPr>
            </w:pPr>
            <w:r>
              <w:rPr>
                <w:rFonts w:hint="eastAsia" w:ascii="仿宋" w:hAnsi="仿宋" w:eastAsia="仿宋"/>
                <w:kern w:val="0"/>
                <w:sz w:val="28"/>
                <w:szCs w:val="28"/>
              </w:rPr>
              <w:t>7.1质保期：0-1分</w:t>
            </w:r>
          </w:p>
          <w:p>
            <w:pPr>
              <w:spacing w:line="400" w:lineRule="exact"/>
              <w:ind w:firstLine="560" w:firstLineChars="200"/>
              <w:rPr>
                <w:rFonts w:ascii="仿宋" w:hAnsi="仿宋" w:eastAsia="仿宋"/>
                <w:bCs/>
                <w:kern w:val="0"/>
                <w:sz w:val="28"/>
                <w:szCs w:val="28"/>
              </w:rPr>
            </w:pPr>
            <w:r>
              <w:rPr>
                <w:rFonts w:hint="eastAsia" w:ascii="仿宋" w:hAnsi="仿宋" w:eastAsia="仿宋"/>
                <w:bCs/>
                <w:kern w:val="0"/>
                <w:sz w:val="28"/>
                <w:szCs w:val="28"/>
              </w:rPr>
              <w:t>质保期响应招标文件要求，每超过一年加0.5分，最高得1分，</w:t>
            </w:r>
            <w:r>
              <w:rPr>
                <w:rFonts w:hint="eastAsia" w:ascii="仿宋" w:hAnsi="仿宋" w:eastAsia="仿宋"/>
                <w:b/>
                <w:kern w:val="0"/>
                <w:sz w:val="28"/>
                <w:szCs w:val="28"/>
              </w:rPr>
              <w:t>少于规定质保期的将做投标无效处理</w:t>
            </w:r>
            <w:r>
              <w:rPr>
                <w:rFonts w:hint="eastAsia" w:ascii="仿宋" w:hAnsi="仿宋" w:eastAsia="仿宋"/>
                <w:bCs/>
                <w:kern w:val="0"/>
                <w:sz w:val="28"/>
                <w:szCs w:val="28"/>
              </w:rPr>
              <w:t>；</w:t>
            </w:r>
          </w:p>
        </w:tc>
        <w:tc>
          <w:tcPr>
            <w:tcW w:w="851" w:type="dxa"/>
            <w:vMerge w:val="restart"/>
            <w:vAlign w:val="center"/>
          </w:tcPr>
          <w:p>
            <w:pPr>
              <w:spacing w:line="440" w:lineRule="exact"/>
              <w:jc w:val="center"/>
              <w:rPr>
                <w:rFonts w:ascii="仿宋" w:hAnsi="仿宋" w:eastAsia="仿宋"/>
                <w:bCs/>
                <w:kern w:val="0"/>
                <w:sz w:val="28"/>
                <w:szCs w:val="28"/>
              </w:rPr>
            </w:pPr>
            <w:r>
              <w:rPr>
                <w:rFonts w:hint="eastAsia" w:ascii="仿宋" w:hAnsi="仿宋" w:eastAsia="仿宋"/>
                <w:bCs/>
                <w:kern w:val="0"/>
                <w:sz w:val="28"/>
                <w:szCs w:val="28"/>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jc w:val="center"/>
        </w:trPr>
        <w:tc>
          <w:tcPr>
            <w:tcW w:w="850" w:type="dxa"/>
            <w:vMerge w:val="continue"/>
            <w:vAlign w:val="center"/>
          </w:tcPr>
          <w:p>
            <w:pPr>
              <w:spacing w:line="440" w:lineRule="exact"/>
              <w:jc w:val="center"/>
              <w:rPr>
                <w:rFonts w:ascii="仿宋" w:hAnsi="仿宋" w:eastAsia="仿宋"/>
                <w:bCs/>
                <w:kern w:val="0"/>
                <w:sz w:val="28"/>
                <w:szCs w:val="28"/>
              </w:rPr>
            </w:pPr>
          </w:p>
        </w:tc>
        <w:tc>
          <w:tcPr>
            <w:tcW w:w="1134" w:type="dxa"/>
            <w:vAlign w:val="center"/>
          </w:tcPr>
          <w:p>
            <w:pPr>
              <w:spacing w:line="440" w:lineRule="exact"/>
              <w:jc w:val="center"/>
              <w:rPr>
                <w:rFonts w:ascii="仿宋" w:hAnsi="仿宋" w:eastAsia="仿宋"/>
                <w:bCs/>
                <w:kern w:val="0"/>
                <w:sz w:val="28"/>
                <w:szCs w:val="28"/>
              </w:rPr>
            </w:pPr>
            <w:r>
              <w:rPr>
                <w:rFonts w:hint="eastAsia" w:ascii="仿宋" w:hAnsi="仿宋" w:eastAsia="仿宋"/>
                <w:bCs/>
                <w:kern w:val="0"/>
                <w:sz w:val="28"/>
                <w:szCs w:val="28"/>
              </w:rPr>
              <w:t>客观</w:t>
            </w:r>
          </w:p>
        </w:tc>
        <w:tc>
          <w:tcPr>
            <w:tcW w:w="878" w:type="dxa"/>
            <w:vMerge w:val="continue"/>
            <w:vAlign w:val="center"/>
          </w:tcPr>
          <w:p>
            <w:pPr>
              <w:spacing w:line="440" w:lineRule="exact"/>
              <w:jc w:val="center"/>
              <w:rPr>
                <w:rFonts w:ascii="仿宋" w:hAnsi="仿宋" w:eastAsia="仿宋"/>
                <w:bCs/>
                <w:kern w:val="0"/>
                <w:sz w:val="28"/>
                <w:szCs w:val="28"/>
              </w:rPr>
            </w:pPr>
          </w:p>
        </w:tc>
        <w:tc>
          <w:tcPr>
            <w:tcW w:w="6068" w:type="dxa"/>
            <w:vAlign w:val="center"/>
          </w:tcPr>
          <w:p>
            <w:pPr>
              <w:spacing w:line="400" w:lineRule="exact"/>
              <w:rPr>
                <w:rFonts w:ascii="仿宋_GB2312" w:hAnsi="宋体" w:eastAsia="仿宋_GB2312"/>
                <w:bCs/>
                <w:kern w:val="0"/>
                <w:sz w:val="28"/>
                <w:szCs w:val="28"/>
              </w:rPr>
            </w:pPr>
            <w:r>
              <w:rPr>
                <w:rFonts w:hint="eastAsia" w:ascii="仿宋_GB2312" w:hAnsi="宋体" w:eastAsia="仿宋_GB2312"/>
                <w:bCs/>
                <w:kern w:val="0"/>
                <w:sz w:val="28"/>
                <w:szCs w:val="28"/>
              </w:rPr>
              <w:t>7.2售后服务网点：0-2分</w:t>
            </w:r>
          </w:p>
          <w:p>
            <w:pPr>
              <w:spacing w:line="400" w:lineRule="exact"/>
              <w:ind w:firstLine="560" w:firstLineChars="200"/>
              <w:rPr>
                <w:rFonts w:ascii="仿宋_GB2312" w:hAnsi="宋体" w:eastAsia="仿宋_GB2312"/>
                <w:bCs/>
                <w:kern w:val="0"/>
                <w:sz w:val="28"/>
                <w:szCs w:val="28"/>
              </w:rPr>
            </w:pPr>
            <w:r>
              <w:rPr>
                <w:rFonts w:hint="eastAsia" w:ascii="仿宋_GB2312" w:hAnsi="宋体" w:eastAsia="仿宋_GB2312"/>
                <w:bCs/>
                <w:kern w:val="0"/>
                <w:sz w:val="28"/>
                <w:szCs w:val="28"/>
              </w:rPr>
              <w:t>投标人在湖州地区配备或承诺合同履行前设立售后服务单位的得2分；投标人在与湖州地域接壤的地区配备或承诺合同履行前设立售后服务单位得</w:t>
            </w:r>
            <w:r>
              <w:rPr>
                <w:rFonts w:ascii="仿宋_GB2312" w:hAnsi="宋体" w:eastAsia="仿宋_GB2312"/>
                <w:bCs/>
                <w:kern w:val="0"/>
                <w:sz w:val="28"/>
                <w:szCs w:val="28"/>
              </w:rPr>
              <w:t>1</w:t>
            </w:r>
            <w:r>
              <w:rPr>
                <w:rFonts w:hint="eastAsia" w:ascii="仿宋_GB2312" w:hAnsi="宋体" w:eastAsia="仿宋_GB2312"/>
                <w:bCs/>
                <w:kern w:val="0"/>
                <w:sz w:val="28"/>
                <w:szCs w:val="28"/>
              </w:rPr>
              <w:t>分；投标人在其他地区配备售后服务单位的，得0.5分（须提供详细的网点全称、营业执照、联系人、联系方式等相关证明材料）；</w:t>
            </w:r>
          </w:p>
          <w:p>
            <w:pPr>
              <w:spacing w:line="400" w:lineRule="exact"/>
              <w:ind w:firstLine="481" w:firstLineChars="200"/>
              <w:rPr>
                <w:rFonts w:ascii="仿宋" w:hAnsi="仿宋" w:eastAsia="仿宋"/>
                <w:kern w:val="0"/>
                <w:sz w:val="28"/>
                <w:szCs w:val="28"/>
              </w:rPr>
            </w:pPr>
            <w:r>
              <w:rPr>
                <w:rFonts w:hint="eastAsia" w:ascii="仿宋" w:hAnsi="仿宋" w:eastAsia="仿宋"/>
                <w:b/>
                <w:kern w:val="0"/>
                <w:sz w:val="24"/>
              </w:rPr>
              <w:t>投标时承诺合同履行前设立售后服务网点的，必须在合同履行前设立，否则以提供虚假材料谋取中标报同级政府采购监管部门处理。</w:t>
            </w:r>
          </w:p>
        </w:tc>
        <w:tc>
          <w:tcPr>
            <w:tcW w:w="851" w:type="dxa"/>
            <w:vMerge w:val="continue"/>
            <w:vAlign w:val="center"/>
          </w:tcPr>
          <w:p>
            <w:pPr>
              <w:spacing w:line="440" w:lineRule="exact"/>
              <w:jc w:val="center"/>
              <w:rPr>
                <w:rFonts w:ascii="仿宋" w:hAnsi="仿宋"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50" w:type="dxa"/>
            <w:vMerge w:val="continue"/>
            <w:vAlign w:val="center"/>
          </w:tcPr>
          <w:p>
            <w:pPr>
              <w:spacing w:line="440" w:lineRule="exact"/>
              <w:jc w:val="center"/>
              <w:rPr>
                <w:rFonts w:ascii="仿宋" w:hAnsi="仿宋" w:eastAsia="仿宋"/>
                <w:bCs/>
                <w:kern w:val="0"/>
                <w:sz w:val="28"/>
                <w:szCs w:val="28"/>
              </w:rPr>
            </w:pPr>
          </w:p>
        </w:tc>
        <w:tc>
          <w:tcPr>
            <w:tcW w:w="1134" w:type="dxa"/>
            <w:vMerge w:val="restart"/>
            <w:vAlign w:val="center"/>
          </w:tcPr>
          <w:p>
            <w:pPr>
              <w:spacing w:line="440" w:lineRule="exact"/>
              <w:jc w:val="center"/>
              <w:rPr>
                <w:rFonts w:ascii="仿宋" w:hAnsi="仿宋" w:eastAsia="仿宋"/>
                <w:bCs/>
                <w:kern w:val="0"/>
                <w:sz w:val="28"/>
                <w:szCs w:val="28"/>
              </w:rPr>
            </w:pPr>
            <w:r>
              <w:rPr>
                <w:rFonts w:hint="eastAsia" w:ascii="仿宋" w:hAnsi="仿宋" w:eastAsia="仿宋"/>
                <w:bCs/>
                <w:kern w:val="0"/>
                <w:sz w:val="28"/>
                <w:szCs w:val="28"/>
              </w:rPr>
              <w:t>主观</w:t>
            </w:r>
          </w:p>
        </w:tc>
        <w:tc>
          <w:tcPr>
            <w:tcW w:w="878" w:type="dxa"/>
            <w:vMerge w:val="continue"/>
            <w:vAlign w:val="center"/>
          </w:tcPr>
          <w:p>
            <w:pPr>
              <w:spacing w:line="440" w:lineRule="exact"/>
              <w:jc w:val="center"/>
              <w:rPr>
                <w:rFonts w:ascii="仿宋" w:hAnsi="仿宋" w:eastAsia="仿宋"/>
                <w:bCs/>
                <w:kern w:val="0"/>
                <w:sz w:val="28"/>
                <w:szCs w:val="28"/>
              </w:rPr>
            </w:pPr>
          </w:p>
        </w:tc>
        <w:tc>
          <w:tcPr>
            <w:tcW w:w="6068" w:type="dxa"/>
            <w:vAlign w:val="center"/>
          </w:tcPr>
          <w:p>
            <w:pPr>
              <w:spacing w:line="400" w:lineRule="exact"/>
              <w:rPr>
                <w:rFonts w:ascii="仿宋_GB2312" w:hAnsi="宋体" w:eastAsia="仿宋_GB2312"/>
                <w:bCs/>
                <w:kern w:val="0"/>
                <w:sz w:val="28"/>
                <w:szCs w:val="28"/>
              </w:rPr>
            </w:pPr>
            <w:r>
              <w:rPr>
                <w:rFonts w:hint="eastAsia" w:ascii="仿宋_GB2312" w:hAnsi="宋体" w:eastAsia="仿宋_GB2312"/>
                <w:bCs/>
                <w:kern w:val="0"/>
                <w:sz w:val="28"/>
                <w:szCs w:val="28"/>
              </w:rPr>
              <w:t>7.3操作培训承诺：0-1分；</w:t>
            </w:r>
          </w:p>
        </w:tc>
        <w:tc>
          <w:tcPr>
            <w:tcW w:w="851" w:type="dxa"/>
            <w:vMerge w:val="continue"/>
            <w:vAlign w:val="center"/>
          </w:tcPr>
          <w:p>
            <w:pPr>
              <w:spacing w:line="440" w:lineRule="exact"/>
              <w:jc w:val="center"/>
              <w:rPr>
                <w:rFonts w:ascii="仿宋" w:hAnsi="仿宋"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jc w:val="center"/>
        </w:trPr>
        <w:tc>
          <w:tcPr>
            <w:tcW w:w="850" w:type="dxa"/>
            <w:vMerge w:val="continue"/>
            <w:vAlign w:val="center"/>
          </w:tcPr>
          <w:p>
            <w:pPr>
              <w:spacing w:line="440" w:lineRule="exact"/>
              <w:jc w:val="center"/>
              <w:rPr>
                <w:rFonts w:ascii="仿宋" w:hAnsi="仿宋" w:eastAsia="仿宋"/>
                <w:bCs/>
                <w:kern w:val="0"/>
                <w:sz w:val="28"/>
                <w:szCs w:val="28"/>
              </w:rPr>
            </w:pPr>
          </w:p>
        </w:tc>
        <w:tc>
          <w:tcPr>
            <w:tcW w:w="1134" w:type="dxa"/>
            <w:vMerge w:val="continue"/>
          </w:tcPr>
          <w:p>
            <w:pPr>
              <w:spacing w:line="440" w:lineRule="exact"/>
              <w:jc w:val="center"/>
              <w:rPr>
                <w:rFonts w:ascii="仿宋" w:hAnsi="仿宋" w:eastAsia="仿宋"/>
                <w:bCs/>
                <w:kern w:val="0"/>
                <w:sz w:val="28"/>
                <w:szCs w:val="28"/>
              </w:rPr>
            </w:pPr>
          </w:p>
        </w:tc>
        <w:tc>
          <w:tcPr>
            <w:tcW w:w="878" w:type="dxa"/>
            <w:vMerge w:val="continue"/>
            <w:vAlign w:val="center"/>
          </w:tcPr>
          <w:p>
            <w:pPr>
              <w:spacing w:line="440" w:lineRule="exact"/>
              <w:jc w:val="center"/>
              <w:rPr>
                <w:rFonts w:ascii="仿宋" w:hAnsi="仿宋" w:eastAsia="仿宋"/>
                <w:bCs/>
                <w:kern w:val="0"/>
                <w:sz w:val="28"/>
                <w:szCs w:val="28"/>
              </w:rPr>
            </w:pPr>
          </w:p>
        </w:tc>
        <w:tc>
          <w:tcPr>
            <w:tcW w:w="6068" w:type="dxa"/>
            <w:vAlign w:val="center"/>
          </w:tcPr>
          <w:p>
            <w:pPr>
              <w:spacing w:line="400" w:lineRule="exact"/>
              <w:rPr>
                <w:rFonts w:ascii="仿宋_GB2312" w:hAnsi="宋体" w:eastAsia="仿宋_GB2312"/>
                <w:bCs/>
                <w:kern w:val="0"/>
                <w:sz w:val="28"/>
                <w:szCs w:val="28"/>
              </w:rPr>
            </w:pPr>
            <w:r>
              <w:rPr>
                <w:rFonts w:hint="eastAsia" w:ascii="仿宋_GB2312" w:hAnsi="宋体" w:eastAsia="仿宋_GB2312"/>
                <w:bCs/>
                <w:kern w:val="0"/>
                <w:sz w:val="28"/>
                <w:szCs w:val="28"/>
              </w:rPr>
              <w:t>7.4维修响应时间：0-</w:t>
            </w:r>
            <w:r>
              <w:rPr>
                <w:rFonts w:hint="eastAsia" w:ascii="仿宋_GB2312" w:hAnsi="宋体" w:eastAsia="仿宋_GB2312"/>
                <w:bCs/>
                <w:kern w:val="0"/>
                <w:sz w:val="28"/>
                <w:szCs w:val="28"/>
                <w:lang w:val="en-US" w:eastAsia="zh-CN"/>
              </w:rPr>
              <w:t>2</w:t>
            </w:r>
            <w:r>
              <w:rPr>
                <w:rFonts w:hint="eastAsia" w:ascii="仿宋_GB2312" w:hAnsi="宋体" w:eastAsia="仿宋_GB2312"/>
                <w:bCs/>
                <w:kern w:val="0"/>
                <w:sz w:val="28"/>
                <w:szCs w:val="28"/>
              </w:rPr>
              <w:t>分</w:t>
            </w:r>
          </w:p>
          <w:p>
            <w:pPr>
              <w:spacing w:line="400" w:lineRule="exact"/>
              <w:ind w:firstLine="560" w:firstLineChars="200"/>
              <w:rPr>
                <w:rFonts w:ascii="仿宋_GB2312" w:hAnsi="宋体" w:eastAsia="仿宋_GB2312"/>
                <w:bCs/>
                <w:kern w:val="0"/>
                <w:sz w:val="28"/>
                <w:szCs w:val="28"/>
              </w:rPr>
            </w:pPr>
            <w:r>
              <w:rPr>
                <w:rFonts w:hint="eastAsia" w:ascii="仿宋_GB2312" w:hAnsi="宋体" w:eastAsia="仿宋_GB2312"/>
                <w:bCs/>
                <w:kern w:val="0"/>
                <w:sz w:val="28"/>
                <w:szCs w:val="28"/>
              </w:rPr>
              <w:t>接到采购人报修通知（电话、电传等）后3小时现场响应得1分，每减少1小时加0.5分；每增加1小时扣0.5分，扣完为止；最高得2分；</w:t>
            </w:r>
          </w:p>
        </w:tc>
        <w:tc>
          <w:tcPr>
            <w:tcW w:w="851" w:type="dxa"/>
            <w:vMerge w:val="continue"/>
            <w:vAlign w:val="center"/>
          </w:tcPr>
          <w:p>
            <w:pPr>
              <w:spacing w:line="440" w:lineRule="exact"/>
              <w:jc w:val="center"/>
              <w:rPr>
                <w:rFonts w:ascii="仿宋" w:hAnsi="仿宋"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50" w:type="dxa"/>
            <w:vMerge w:val="continue"/>
            <w:vAlign w:val="center"/>
          </w:tcPr>
          <w:p>
            <w:pPr>
              <w:spacing w:line="440" w:lineRule="exact"/>
              <w:jc w:val="center"/>
              <w:rPr>
                <w:rFonts w:ascii="仿宋" w:hAnsi="仿宋" w:eastAsia="仿宋"/>
                <w:bCs/>
                <w:kern w:val="0"/>
                <w:sz w:val="28"/>
                <w:szCs w:val="28"/>
              </w:rPr>
            </w:pPr>
          </w:p>
        </w:tc>
        <w:tc>
          <w:tcPr>
            <w:tcW w:w="1134" w:type="dxa"/>
            <w:vMerge w:val="continue"/>
          </w:tcPr>
          <w:p>
            <w:pPr>
              <w:spacing w:line="440" w:lineRule="exact"/>
              <w:jc w:val="center"/>
              <w:rPr>
                <w:rFonts w:ascii="仿宋" w:hAnsi="仿宋" w:eastAsia="仿宋"/>
                <w:bCs/>
                <w:kern w:val="0"/>
                <w:sz w:val="28"/>
                <w:szCs w:val="28"/>
              </w:rPr>
            </w:pPr>
          </w:p>
        </w:tc>
        <w:tc>
          <w:tcPr>
            <w:tcW w:w="878" w:type="dxa"/>
            <w:vMerge w:val="continue"/>
            <w:vAlign w:val="center"/>
          </w:tcPr>
          <w:p>
            <w:pPr>
              <w:spacing w:line="440" w:lineRule="exact"/>
              <w:jc w:val="center"/>
              <w:rPr>
                <w:rFonts w:ascii="仿宋" w:hAnsi="仿宋" w:eastAsia="仿宋"/>
                <w:bCs/>
                <w:kern w:val="0"/>
                <w:sz w:val="28"/>
                <w:szCs w:val="28"/>
              </w:rPr>
            </w:pPr>
          </w:p>
        </w:tc>
        <w:tc>
          <w:tcPr>
            <w:tcW w:w="6068" w:type="dxa"/>
            <w:vAlign w:val="center"/>
          </w:tcPr>
          <w:p>
            <w:pPr>
              <w:spacing w:line="400" w:lineRule="exact"/>
              <w:rPr>
                <w:rFonts w:ascii="仿宋_GB2312" w:hAnsi="宋体" w:eastAsia="仿宋_GB2312"/>
                <w:bCs/>
                <w:kern w:val="0"/>
                <w:sz w:val="28"/>
                <w:szCs w:val="28"/>
              </w:rPr>
            </w:pPr>
            <w:r>
              <w:rPr>
                <w:rFonts w:hint="eastAsia" w:ascii="仿宋_GB2312" w:hAnsi="宋体" w:eastAsia="仿宋_GB2312"/>
                <w:bCs/>
                <w:kern w:val="0"/>
                <w:sz w:val="28"/>
                <w:szCs w:val="28"/>
              </w:rPr>
              <w:t>7.5质保期后服务维修结算承诺0-1分；</w:t>
            </w:r>
          </w:p>
        </w:tc>
        <w:tc>
          <w:tcPr>
            <w:tcW w:w="851" w:type="dxa"/>
            <w:vMerge w:val="continue"/>
            <w:vAlign w:val="center"/>
          </w:tcPr>
          <w:p>
            <w:pPr>
              <w:spacing w:line="440" w:lineRule="exact"/>
              <w:jc w:val="center"/>
              <w:rPr>
                <w:rFonts w:ascii="仿宋" w:hAnsi="仿宋"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50" w:type="dxa"/>
            <w:vMerge w:val="continue"/>
            <w:vAlign w:val="center"/>
          </w:tcPr>
          <w:p>
            <w:pPr>
              <w:spacing w:line="440" w:lineRule="exact"/>
              <w:jc w:val="center"/>
              <w:rPr>
                <w:rFonts w:ascii="仿宋" w:hAnsi="仿宋" w:eastAsia="仿宋"/>
                <w:bCs/>
                <w:kern w:val="0"/>
                <w:sz w:val="28"/>
                <w:szCs w:val="28"/>
              </w:rPr>
            </w:pPr>
          </w:p>
        </w:tc>
        <w:tc>
          <w:tcPr>
            <w:tcW w:w="1134" w:type="dxa"/>
            <w:vMerge w:val="continue"/>
          </w:tcPr>
          <w:p>
            <w:pPr>
              <w:spacing w:line="440" w:lineRule="exact"/>
              <w:jc w:val="center"/>
              <w:rPr>
                <w:rFonts w:ascii="仿宋" w:hAnsi="仿宋" w:eastAsia="仿宋"/>
                <w:bCs/>
                <w:kern w:val="0"/>
                <w:sz w:val="28"/>
                <w:szCs w:val="28"/>
              </w:rPr>
            </w:pPr>
          </w:p>
        </w:tc>
        <w:tc>
          <w:tcPr>
            <w:tcW w:w="878" w:type="dxa"/>
            <w:vMerge w:val="continue"/>
            <w:vAlign w:val="center"/>
          </w:tcPr>
          <w:p>
            <w:pPr>
              <w:spacing w:line="440" w:lineRule="exact"/>
              <w:jc w:val="center"/>
              <w:rPr>
                <w:rFonts w:ascii="仿宋" w:hAnsi="仿宋" w:eastAsia="仿宋"/>
                <w:bCs/>
                <w:kern w:val="0"/>
                <w:sz w:val="28"/>
                <w:szCs w:val="28"/>
              </w:rPr>
            </w:pPr>
          </w:p>
        </w:tc>
        <w:tc>
          <w:tcPr>
            <w:tcW w:w="6068" w:type="dxa"/>
            <w:vAlign w:val="center"/>
          </w:tcPr>
          <w:p>
            <w:pPr>
              <w:spacing w:line="400" w:lineRule="exact"/>
              <w:rPr>
                <w:rFonts w:ascii="仿宋_GB2312" w:hAnsi="宋体" w:eastAsia="仿宋_GB2312"/>
                <w:bCs/>
                <w:kern w:val="0"/>
                <w:sz w:val="28"/>
                <w:szCs w:val="28"/>
              </w:rPr>
            </w:pPr>
            <w:r>
              <w:rPr>
                <w:rFonts w:ascii="仿宋_GB2312" w:hAnsi="宋体" w:eastAsia="仿宋_GB2312"/>
                <w:bCs/>
                <w:kern w:val="0"/>
                <w:sz w:val="28"/>
                <w:szCs w:val="28"/>
              </w:rPr>
              <w:t>7</w:t>
            </w:r>
            <w:r>
              <w:rPr>
                <w:rFonts w:hint="eastAsia" w:ascii="仿宋_GB2312" w:hAnsi="宋体" w:eastAsia="仿宋_GB2312"/>
                <w:bCs/>
                <w:kern w:val="0"/>
                <w:sz w:val="28"/>
                <w:szCs w:val="28"/>
              </w:rPr>
              <w:t>.6投标人提出的对采购项目有建设性的承诺0-</w:t>
            </w:r>
            <w:r>
              <w:rPr>
                <w:rFonts w:hint="eastAsia" w:ascii="仿宋_GB2312" w:hAnsi="宋体" w:eastAsia="仿宋_GB2312"/>
                <w:bCs/>
                <w:kern w:val="0"/>
                <w:sz w:val="28"/>
                <w:szCs w:val="28"/>
                <w:lang w:val="en-US" w:eastAsia="zh-CN"/>
              </w:rPr>
              <w:t>1</w:t>
            </w:r>
            <w:r>
              <w:rPr>
                <w:rFonts w:hint="eastAsia" w:ascii="仿宋_GB2312" w:hAnsi="宋体" w:eastAsia="仿宋_GB2312"/>
                <w:bCs/>
                <w:kern w:val="0"/>
                <w:sz w:val="28"/>
                <w:szCs w:val="28"/>
              </w:rPr>
              <w:t>分。</w:t>
            </w:r>
          </w:p>
        </w:tc>
        <w:tc>
          <w:tcPr>
            <w:tcW w:w="851" w:type="dxa"/>
            <w:vMerge w:val="continue"/>
            <w:vAlign w:val="center"/>
          </w:tcPr>
          <w:p>
            <w:pPr>
              <w:spacing w:line="440" w:lineRule="exact"/>
              <w:jc w:val="center"/>
              <w:rPr>
                <w:rFonts w:ascii="仿宋" w:hAnsi="仿宋" w:eastAsia="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5" w:hRule="atLeast"/>
          <w:jc w:val="center"/>
        </w:trPr>
        <w:tc>
          <w:tcPr>
            <w:tcW w:w="850" w:type="dxa"/>
            <w:vMerge w:val="restart"/>
            <w:vAlign w:val="center"/>
          </w:tcPr>
          <w:p>
            <w:pPr>
              <w:spacing w:line="440" w:lineRule="exact"/>
              <w:jc w:val="center"/>
              <w:rPr>
                <w:rFonts w:ascii="仿宋" w:hAnsi="仿宋" w:eastAsia="仿宋"/>
                <w:bCs/>
                <w:kern w:val="0"/>
                <w:sz w:val="28"/>
                <w:szCs w:val="28"/>
              </w:rPr>
            </w:pPr>
            <w:r>
              <w:rPr>
                <w:rFonts w:hint="eastAsia" w:ascii="仿宋" w:hAnsi="仿宋" w:eastAsia="仿宋"/>
                <w:bCs/>
                <w:kern w:val="0"/>
                <w:sz w:val="28"/>
                <w:szCs w:val="28"/>
              </w:rPr>
              <w:t>8</w:t>
            </w:r>
          </w:p>
        </w:tc>
        <w:tc>
          <w:tcPr>
            <w:tcW w:w="1134" w:type="dxa"/>
            <w:vMerge w:val="restart"/>
            <w:vAlign w:val="center"/>
          </w:tcPr>
          <w:p>
            <w:pPr>
              <w:spacing w:line="440" w:lineRule="exact"/>
              <w:jc w:val="center"/>
              <w:rPr>
                <w:rFonts w:ascii="仿宋" w:hAnsi="仿宋" w:eastAsia="仿宋"/>
                <w:bCs/>
                <w:kern w:val="0"/>
                <w:sz w:val="28"/>
                <w:szCs w:val="28"/>
              </w:rPr>
            </w:pPr>
            <w:r>
              <w:rPr>
                <w:rFonts w:hint="eastAsia" w:ascii="仿宋" w:hAnsi="仿宋" w:eastAsia="仿宋"/>
                <w:bCs/>
                <w:kern w:val="0"/>
                <w:sz w:val="28"/>
                <w:szCs w:val="28"/>
              </w:rPr>
              <w:t>客观</w:t>
            </w:r>
          </w:p>
        </w:tc>
        <w:tc>
          <w:tcPr>
            <w:tcW w:w="878" w:type="dxa"/>
            <w:vMerge w:val="restart"/>
            <w:vAlign w:val="center"/>
          </w:tcPr>
          <w:p>
            <w:pPr>
              <w:spacing w:line="440" w:lineRule="exact"/>
              <w:jc w:val="center"/>
              <w:rPr>
                <w:rFonts w:ascii="仿宋" w:hAnsi="仿宋" w:eastAsia="仿宋"/>
                <w:bCs/>
                <w:kern w:val="0"/>
                <w:sz w:val="28"/>
                <w:szCs w:val="28"/>
              </w:rPr>
            </w:pPr>
            <w:r>
              <w:rPr>
                <w:rFonts w:hint="eastAsia" w:ascii="仿宋" w:hAnsi="仿宋" w:eastAsia="仿宋"/>
                <w:bCs/>
                <w:kern w:val="0"/>
                <w:sz w:val="28"/>
                <w:szCs w:val="28"/>
              </w:rPr>
              <w:t>政策分</w:t>
            </w:r>
          </w:p>
        </w:tc>
        <w:tc>
          <w:tcPr>
            <w:tcW w:w="6068" w:type="dxa"/>
            <w:vAlign w:val="center"/>
          </w:tcPr>
          <w:p>
            <w:pPr>
              <w:spacing w:line="400" w:lineRule="exact"/>
              <w:jc w:val="left"/>
              <w:rPr>
                <w:rFonts w:ascii="仿宋" w:hAnsi="仿宋" w:eastAsia="仿宋"/>
                <w:bCs/>
                <w:kern w:val="0"/>
                <w:sz w:val="28"/>
                <w:szCs w:val="28"/>
              </w:rPr>
            </w:pPr>
            <w:r>
              <w:rPr>
                <w:rFonts w:ascii="仿宋" w:hAnsi="仿宋" w:eastAsia="仿宋"/>
                <w:bCs/>
                <w:kern w:val="0"/>
                <w:sz w:val="28"/>
                <w:szCs w:val="28"/>
              </w:rPr>
              <w:t>8</w:t>
            </w:r>
            <w:r>
              <w:rPr>
                <w:rFonts w:hint="eastAsia" w:ascii="仿宋" w:hAnsi="仿宋" w:eastAsia="仿宋"/>
                <w:bCs/>
                <w:kern w:val="0"/>
                <w:sz w:val="28"/>
                <w:szCs w:val="28"/>
              </w:rPr>
              <w:t>.1投标产品具有参与实施政府采购节能产品认证机构出具的认证证书或证书发布平台的投标产品认证证书查询截图的</w:t>
            </w:r>
            <w:r>
              <w:rPr>
                <w:rFonts w:ascii="仿宋" w:hAnsi="仿宋" w:eastAsia="仿宋"/>
                <w:bCs/>
                <w:kern w:val="0"/>
                <w:sz w:val="28"/>
                <w:szCs w:val="28"/>
              </w:rPr>
              <w:t>得0.5</w:t>
            </w:r>
            <w:r>
              <w:rPr>
                <w:rFonts w:hint="eastAsia" w:ascii="仿宋" w:hAnsi="仿宋" w:eastAsia="仿宋"/>
                <w:bCs/>
                <w:kern w:val="0"/>
                <w:sz w:val="28"/>
                <w:szCs w:val="28"/>
              </w:rPr>
              <w:t>分；</w:t>
            </w:r>
          </w:p>
          <w:p>
            <w:pPr>
              <w:spacing w:line="400" w:lineRule="exact"/>
              <w:ind w:firstLine="560" w:firstLineChars="200"/>
              <w:jc w:val="left"/>
              <w:rPr>
                <w:rFonts w:ascii="仿宋" w:hAnsi="仿宋" w:eastAsia="仿宋"/>
                <w:bCs/>
                <w:kern w:val="0"/>
                <w:sz w:val="28"/>
                <w:szCs w:val="28"/>
              </w:rPr>
            </w:pPr>
            <w:r>
              <w:rPr>
                <w:rFonts w:hint="eastAsia" w:ascii="仿宋" w:hAnsi="仿宋" w:eastAsia="仿宋"/>
                <w:bCs/>
                <w:kern w:val="0"/>
                <w:sz w:val="28"/>
                <w:szCs w:val="28"/>
              </w:rPr>
              <w:t>具有参与实施政府采购环境标志产品认证机构出具的认证证书或证书发布平台的投标产品认证证书查询截图的</w:t>
            </w:r>
            <w:r>
              <w:rPr>
                <w:rFonts w:ascii="仿宋" w:hAnsi="仿宋" w:eastAsia="仿宋"/>
                <w:bCs/>
                <w:kern w:val="0"/>
                <w:sz w:val="28"/>
                <w:szCs w:val="28"/>
              </w:rPr>
              <w:t>得</w:t>
            </w:r>
            <w:r>
              <w:rPr>
                <w:rFonts w:hint="eastAsia" w:ascii="仿宋" w:hAnsi="仿宋" w:eastAsia="仿宋"/>
                <w:bCs/>
                <w:kern w:val="0"/>
                <w:sz w:val="28"/>
                <w:szCs w:val="28"/>
              </w:rPr>
              <w:t>0.5分；</w:t>
            </w:r>
          </w:p>
          <w:p>
            <w:pPr>
              <w:spacing w:line="400" w:lineRule="exact"/>
              <w:ind w:firstLine="562" w:firstLineChars="200"/>
              <w:jc w:val="left"/>
              <w:rPr>
                <w:rFonts w:ascii="仿宋" w:hAnsi="仿宋" w:eastAsia="仿宋"/>
                <w:b/>
                <w:bCs/>
                <w:kern w:val="0"/>
                <w:sz w:val="28"/>
                <w:szCs w:val="28"/>
              </w:rPr>
            </w:pPr>
            <w:r>
              <w:rPr>
                <w:rFonts w:hint="eastAsia" w:ascii="仿宋" w:hAnsi="仿宋" w:eastAsia="仿宋"/>
                <w:b/>
                <w:bCs/>
                <w:kern w:val="0"/>
                <w:sz w:val="28"/>
                <w:szCs w:val="28"/>
              </w:rPr>
              <w:t>※</w:t>
            </w:r>
            <w:r>
              <w:rPr>
                <w:rFonts w:hint="eastAsia" w:ascii="仿宋" w:hAnsi="仿宋" w:eastAsia="仿宋"/>
                <w:bCs/>
                <w:kern w:val="0"/>
                <w:sz w:val="28"/>
                <w:szCs w:val="28"/>
              </w:rPr>
              <w:t>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pacing w:line="400" w:lineRule="exact"/>
              <w:jc w:val="left"/>
              <w:rPr>
                <w:rFonts w:ascii="仿宋" w:hAnsi="仿宋" w:eastAsia="仿宋"/>
                <w:bCs/>
                <w:kern w:val="0"/>
                <w:sz w:val="28"/>
                <w:szCs w:val="28"/>
              </w:rPr>
            </w:pPr>
            <w:r>
              <w:rPr>
                <w:rFonts w:ascii="仿宋" w:hAnsi="仿宋" w:eastAsia="仿宋"/>
                <w:bCs/>
                <w:kern w:val="0"/>
                <w:sz w:val="28"/>
                <w:szCs w:val="28"/>
              </w:rPr>
              <w:t>8</w:t>
            </w:r>
            <w:r>
              <w:rPr>
                <w:rFonts w:hint="eastAsia" w:ascii="仿宋" w:hAnsi="仿宋" w:eastAsia="仿宋"/>
                <w:bCs/>
                <w:kern w:val="0"/>
                <w:sz w:val="28"/>
                <w:szCs w:val="28"/>
              </w:rPr>
              <w:t>.2投标产品具有参与实施绿色产品认证机构出具的认证证书的，其中</w:t>
            </w:r>
            <w:r>
              <w:rPr>
                <w:rFonts w:ascii="仿宋" w:hAnsi="仿宋" w:eastAsia="仿宋"/>
                <w:kern w:val="0"/>
                <w:sz w:val="28"/>
                <w:szCs w:val="28"/>
              </w:rPr>
              <w:drawing>
                <wp:inline distT="0" distB="0" distL="114300" distR="114300">
                  <wp:extent cx="408305" cy="233680"/>
                  <wp:effectExtent l="0" t="0" r="10795" b="13970"/>
                  <wp:docPr id="2" name="图片 1" descr="D:\360极速浏览器下载\20190703152158.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descr="D:\360极速浏览器下载\20190703152158.jpg"/>
                          <pic:cNvPicPr>
                            <a:picLocks noChangeAspect="true"/>
                          </pic:cNvPicPr>
                        </pic:nvPicPr>
                        <pic:blipFill>
                          <a:blip r:embed="rId12"/>
                          <a:stretch>
                            <a:fillRect/>
                          </a:stretch>
                        </pic:blipFill>
                        <pic:spPr>
                          <a:xfrm>
                            <a:off x="0" y="0"/>
                            <a:ext cx="408305" cy="233680"/>
                          </a:xfrm>
                          <a:prstGeom prst="rect">
                            <a:avLst/>
                          </a:prstGeom>
                          <a:noFill/>
                          <a:ln>
                            <a:noFill/>
                          </a:ln>
                        </pic:spPr>
                      </pic:pic>
                    </a:graphicData>
                  </a:graphic>
                </wp:inline>
              </w:drawing>
            </w:r>
            <w:r>
              <w:rPr>
                <w:rFonts w:hint="eastAsia" w:ascii="仿宋" w:hAnsi="仿宋" w:eastAsia="仿宋"/>
                <w:bCs/>
                <w:kern w:val="0"/>
                <w:sz w:val="28"/>
                <w:szCs w:val="28"/>
              </w:rPr>
              <w:t>标识得1分、</w:t>
            </w:r>
            <w:r>
              <w:rPr>
                <w:rFonts w:ascii="仿宋" w:hAnsi="仿宋" w:eastAsia="仿宋"/>
                <w:kern w:val="0"/>
                <w:sz w:val="28"/>
                <w:szCs w:val="28"/>
              </w:rPr>
              <w:drawing>
                <wp:inline distT="0" distB="0" distL="114300" distR="114300">
                  <wp:extent cx="389255" cy="223520"/>
                  <wp:effectExtent l="0" t="0" r="10795" b="5080"/>
                  <wp:docPr id="1" name="图片 2" descr="D:\360极速浏览器下载\20190703152220.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2" descr="D:\360极速浏览器下载\20190703152220.jpg"/>
                          <pic:cNvPicPr>
                            <a:picLocks noChangeAspect="true"/>
                          </pic:cNvPicPr>
                        </pic:nvPicPr>
                        <pic:blipFill>
                          <a:blip r:embed="rId13"/>
                          <a:stretch>
                            <a:fillRect/>
                          </a:stretch>
                        </pic:blipFill>
                        <pic:spPr>
                          <a:xfrm>
                            <a:off x="0" y="0"/>
                            <a:ext cx="389255" cy="223520"/>
                          </a:xfrm>
                          <a:prstGeom prst="rect">
                            <a:avLst/>
                          </a:prstGeom>
                          <a:noFill/>
                          <a:ln>
                            <a:noFill/>
                          </a:ln>
                        </pic:spPr>
                      </pic:pic>
                    </a:graphicData>
                  </a:graphic>
                </wp:inline>
              </w:drawing>
            </w:r>
            <w:r>
              <w:rPr>
                <w:rFonts w:hint="eastAsia" w:ascii="仿宋" w:hAnsi="仿宋" w:eastAsia="仿宋"/>
                <w:bCs/>
                <w:kern w:val="0"/>
                <w:sz w:val="28"/>
                <w:szCs w:val="28"/>
              </w:rPr>
              <w:t>标识得0.5分，</w:t>
            </w:r>
            <w:r>
              <w:rPr>
                <w:rFonts w:ascii="仿宋" w:hAnsi="仿宋" w:eastAsia="仿宋"/>
                <w:bCs/>
                <w:kern w:val="0"/>
                <w:sz w:val="28"/>
                <w:szCs w:val="28"/>
              </w:rPr>
              <w:t>最高得</w:t>
            </w:r>
            <w:r>
              <w:rPr>
                <w:rFonts w:hint="eastAsia" w:ascii="仿宋" w:hAnsi="仿宋" w:eastAsia="仿宋"/>
                <w:bCs/>
                <w:kern w:val="0"/>
                <w:sz w:val="28"/>
                <w:szCs w:val="28"/>
              </w:rPr>
              <w:t>1分；</w:t>
            </w:r>
          </w:p>
          <w:p>
            <w:pPr>
              <w:spacing w:line="400" w:lineRule="exact"/>
              <w:ind w:firstLine="560" w:firstLineChars="200"/>
              <w:jc w:val="left"/>
              <w:rPr>
                <w:rFonts w:ascii="仿宋" w:hAnsi="仿宋" w:eastAsia="仿宋"/>
                <w:bCs/>
                <w:kern w:val="0"/>
                <w:sz w:val="28"/>
                <w:szCs w:val="28"/>
              </w:rPr>
            </w:pPr>
            <w:r>
              <w:rPr>
                <w:rFonts w:hint="eastAsia" w:ascii="仿宋" w:hAnsi="仿宋" w:eastAsia="仿宋"/>
                <w:kern w:val="0"/>
                <w:sz w:val="28"/>
                <w:szCs w:val="28"/>
              </w:rPr>
              <w:t>※</w:t>
            </w:r>
            <w:r>
              <w:rPr>
                <w:rFonts w:hint="eastAsia" w:ascii="仿宋" w:hAnsi="仿宋" w:eastAsia="仿宋"/>
                <w:bCs/>
                <w:kern w:val="0"/>
                <w:sz w:val="28"/>
                <w:szCs w:val="28"/>
              </w:rPr>
              <w:t>详见中国绿色产品标识认证信息平台。</w:t>
            </w:r>
          </w:p>
          <w:p>
            <w:pPr>
              <w:spacing w:line="400" w:lineRule="exact"/>
              <w:jc w:val="left"/>
              <w:rPr>
                <w:rFonts w:ascii="仿宋" w:hAnsi="仿宋" w:eastAsia="仿宋"/>
                <w:bCs/>
                <w:kern w:val="0"/>
                <w:sz w:val="28"/>
                <w:szCs w:val="28"/>
              </w:rPr>
            </w:pPr>
            <w:r>
              <w:rPr>
                <w:rFonts w:ascii="仿宋" w:hAnsi="仿宋" w:eastAsia="仿宋"/>
                <w:kern w:val="0"/>
                <w:sz w:val="28"/>
                <w:szCs w:val="28"/>
              </w:rPr>
              <w:t>8</w:t>
            </w:r>
            <w:r>
              <w:rPr>
                <w:rFonts w:hint="eastAsia" w:ascii="仿宋" w:hAnsi="仿宋" w:eastAsia="仿宋"/>
                <w:kern w:val="0"/>
                <w:sz w:val="28"/>
                <w:szCs w:val="28"/>
              </w:rPr>
              <w:t>.3投标产品(非部件)本</w:t>
            </w:r>
            <w:bookmarkStart w:id="55" w:name="_GoBack"/>
            <w:bookmarkEnd w:id="55"/>
            <w:r>
              <w:rPr>
                <w:rFonts w:hint="eastAsia" w:ascii="仿宋" w:hAnsi="仿宋" w:eastAsia="仿宋"/>
                <w:kern w:val="0"/>
                <w:sz w:val="28"/>
                <w:szCs w:val="28"/>
              </w:rPr>
              <w:t>身属于回收利用资源加工制作的，得1分；</w:t>
            </w:r>
          </w:p>
        </w:tc>
        <w:tc>
          <w:tcPr>
            <w:tcW w:w="851" w:type="dxa"/>
            <w:vMerge w:val="restart"/>
            <w:vAlign w:val="center"/>
          </w:tcPr>
          <w:p>
            <w:pPr>
              <w:spacing w:line="440" w:lineRule="exact"/>
              <w:jc w:val="center"/>
              <w:rPr>
                <w:rFonts w:ascii="仿宋" w:hAnsi="仿宋" w:eastAsia="仿宋"/>
                <w:bCs/>
                <w:kern w:val="0"/>
                <w:sz w:val="28"/>
                <w:szCs w:val="28"/>
              </w:rPr>
            </w:pPr>
            <w:r>
              <w:rPr>
                <w:rFonts w:ascii="仿宋" w:hAnsi="仿宋" w:eastAsia="仿宋"/>
                <w:bCs/>
                <w:kern w:val="0"/>
                <w:sz w:val="28"/>
                <w:szCs w:val="28"/>
              </w:rPr>
              <w:t>3</w:t>
            </w:r>
            <w:r>
              <w:rPr>
                <w:rFonts w:hint="eastAsia" w:ascii="仿宋" w:hAnsi="仿宋" w:eastAsia="仿宋"/>
                <w:bCs/>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50" w:type="dxa"/>
            <w:vMerge w:val="continue"/>
            <w:vAlign w:val="center"/>
          </w:tcPr>
          <w:p>
            <w:pPr>
              <w:spacing w:line="440" w:lineRule="exact"/>
              <w:jc w:val="center"/>
              <w:rPr>
                <w:rFonts w:ascii="仿宋" w:hAnsi="仿宋" w:eastAsia="仿宋"/>
                <w:bCs/>
                <w:kern w:val="0"/>
                <w:sz w:val="28"/>
                <w:szCs w:val="28"/>
              </w:rPr>
            </w:pPr>
          </w:p>
        </w:tc>
        <w:tc>
          <w:tcPr>
            <w:tcW w:w="1134" w:type="dxa"/>
            <w:vMerge w:val="continue"/>
            <w:vAlign w:val="center"/>
          </w:tcPr>
          <w:p>
            <w:pPr>
              <w:spacing w:line="440" w:lineRule="exact"/>
              <w:jc w:val="center"/>
              <w:rPr>
                <w:rFonts w:ascii="仿宋" w:hAnsi="仿宋" w:eastAsia="仿宋"/>
                <w:bCs/>
                <w:kern w:val="0"/>
                <w:sz w:val="28"/>
                <w:szCs w:val="28"/>
              </w:rPr>
            </w:pPr>
          </w:p>
        </w:tc>
        <w:tc>
          <w:tcPr>
            <w:tcW w:w="878" w:type="dxa"/>
            <w:vMerge w:val="continue"/>
            <w:vAlign w:val="center"/>
          </w:tcPr>
          <w:p>
            <w:pPr>
              <w:spacing w:line="440" w:lineRule="exact"/>
              <w:jc w:val="center"/>
              <w:rPr>
                <w:rFonts w:ascii="仿宋" w:hAnsi="仿宋" w:eastAsia="仿宋"/>
                <w:bCs/>
                <w:kern w:val="0"/>
                <w:sz w:val="28"/>
                <w:szCs w:val="28"/>
              </w:rPr>
            </w:pPr>
          </w:p>
        </w:tc>
        <w:tc>
          <w:tcPr>
            <w:tcW w:w="6068" w:type="dxa"/>
            <w:vAlign w:val="center"/>
          </w:tcPr>
          <w:p>
            <w:pPr>
              <w:spacing w:line="400" w:lineRule="exact"/>
              <w:ind w:firstLine="560" w:firstLineChars="200"/>
              <w:jc w:val="left"/>
              <w:rPr>
                <w:rFonts w:ascii="仿宋" w:hAnsi="仿宋" w:eastAsia="仿宋"/>
                <w:bCs/>
                <w:kern w:val="0"/>
                <w:sz w:val="28"/>
                <w:szCs w:val="28"/>
              </w:rPr>
            </w:pPr>
            <w:r>
              <w:rPr>
                <w:rFonts w:hint="eastAsia" w:ascii="仿宋" w:hAnsi="仿宋" w:eastAsia="仿宋"/>
                <w:kern w:val="0"/>
                <w:sz w:val="28"/>
                <w:szCs w:val="28"/>
              </w:rPr>
              <w:t>政策分加分需由投标人提供相关证明资料及法律依据，如未提供则不得加分。</w:t>
            </w:r>
          </w:p>
        </w:tc>
        <w:tc>
          <w:tcPr>
            <w:tcW w:w="851" w:type="dxa"/>
            <w:vMerge w:val="continue"/>
            <w:vAlign w:val="center"/>
          </w:tcPr>
          <w:p>
            <w:pPr>
              <w:spacing w:line="440" w:lineRule="exact"/>
              <w:jc w:val="center"/>
              <w:rPr>
                <w:rFonts w:ascii="仿宋" w:hAnsi="仿宋" w:eastAsia="仿宋"/>
                <w:bCs/>
                <w:kern w:val="0"/>
                <w:sz w:val="28"/>
                <w:szCs w:val="28"/>
              </w:rPr>
            </w:pPr>
          </w:p>
        </w:tc>
      </w:tr>
    </w:tbl>
    <w:p>
      <w:pPr>
        <w:pStyle w:val="2"/>
        <w:ind w:firstLine="0" w:firstLineChars="0"/>
        <w:rPr>
          <w:rFonts w:ascii="仿宋" w:hAnsi="仿宋" w:eastAsia="仿宋" w:cs="仿宋"/>
          <w:sz w:val="28"/>
          <w:szCs w:val="28"/>
        </w:rPr>
      </w:pPr>
    </w:p>
    <w:p>
      <w:pPr>
        <w:spacing w:line="440" w:lineRule="exact"/>
        <w:ind w:firstLine="550" w:firstLineChars="196"/>
        <w:rPr>
          <w:rFonts w:ascii="仿宋" w:hAnsi="仿宋" w:eastAsia="仿宋" w:cs="仿宋"/>
          <w:b/>
          <w:bCs/>
          <w:sz w:val="28"/>
          <w:szCs w:val="28"/>
        </w:rPr>
      </w:pPr>
      <w:r>
        <w:rPr>
          <w:rFonts w:hint="eastAsia" w:ascii="仿宋" w:hAnsi="仿宋" w:eastAsia="仿宋" w:cs="仿宋"/>
          <w:b/>
          <w:bCs/>
          <w:sz w:val="28"/>
          <w:szCs w:val="28"/>
        </w:rPr>
        <w:t>价格部分、商务技术部分各项得分保留小数点后二位小数，第三位四舍五入。</w:t>
      </w:r>
    </w:p>
    <w:p>
      <w:pPr>
        <w:spacing w:line="440" w:lineRule="exact"/>
        <w:rPr>
          <w:rFonts w:ascii="仿宋" w:hAnsi="仿宋" w:eastAsia="仿宋" w:cs="仿宋"/>
          <w:b/>
          <w:bCs/>
          <w:spacing w:val="14"/>
          <w:sz w:val="28"/>
          <w:szCs w:val="28"/>
        </w:rPr>
      </w:pPr>
      <w:r>
        <w:rPr>
          <w:rFonts w:hint="eastAsia" w:ascii="仿宋" w:hAnsi="仿宋" w:eastAsia="仿宋" w:cs="仿宋"/>
          <w:b/>
          <w:bCs/>
          <w:spacing w:val="14"/>
          <w:sz w:val="28"/>
          <w:szCs w:val="28"/>
        </w:rPr>
        <w:t>5.评标程序与方法</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5.1对通过资格性检查的投标人进行</w:t>
      </w:r>
      <w:r>
        <w:rPr>
          <w:rFonts w:hint="eastAsia" w:ascii="仿宋" w:hAnsi="仿宋" w:eastAsia="仿宋" w:cs="仿宋"/>
          <w:bCs/>
          <w:sz w:val="28"/>
          <w:szCs w:val="28"/>
        </w:rPr>
        <w:t>符合性</w:t>
      </w:r>
      <w:r>
        <w:rPr>
          <w:rFonts w:hint="eastAsia" w:ascii="仿宋" w:hAnsi="仿宋" w:eastAsia="仿宋" w:cs="仿宋"/>
          <w:sz w:val="28"/>
          <w:szCs w:val="28"/>
        </w:rPr>
        <w:t>检查。依据招标文件的规定，从投标文件的有效性、完整性和对招标文件的响应程度进行审查，以确定是否对招标文件的实质性要求做出响应。</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5.2澄清有关问题。对投标文件中含义不明确、同类问题表述不一致或者有明显文字和计算错误的内容，评标委员会可要求投标人做出必要的澄清、说明。投标人的说明或者澄清应当采用数据电文形式，加盖单位电子签章，并不得超出投标文件的范围或者改变投标文件的实质性内容。</w:t>
      </w:r>
    </w:p>
    <w:p>
      <w:pPr>
        <w:spacing w:line="440" w:lineRule="exact"/>
        <w:ind w:firstLine="560" w:firstLineChars="200"/>
        <w:rPr>
          <w:rFonts w:ascii="仿宋" w:hAnsi="仿宋" w:eastAsia="仿宋" w:cs="仿宋"/>
          <w:spacing w:val="-4"/>
          <w:sz w:val="28"/>
          <w:szCs w:val="28"/>
        </w:rPr>
      </w:pPr>
      <w:r>
        <w:rPr>
          <w:rFonts w:hint="eastAsia" w:ascii="仿宋" w:hAnsi="仿宋" w:eastAsia="仿宋" w:cs="仿宋"/>
          <w:sz w:val="28"/>
          <w:szCs w:val="28"/>
        </w:rPr>
        <w:t>5.3</w:t>
      </w:r>
      <w:r>
        <w:rPr>
          <w:rFonts w:hint="eastAsia" w:ascii="仿宋" w:hAnsi="仿宋" w:eastAsia="仿宋" w:cs="仿宋"/>
          <w:spacing w:val="-4"/>
          <w:sz w:val="28"/>
          <w:szCs w:val="28"/>
        </w:rPr>
        <w:t>比较与评价。评标委员会按上述规定的评标内容和标准，对资格性检查和符合性检查合格的投标文件进行综合比较与独立评分。评委个人主观打分偏离所有评审小组成员主观打分平均值30%（含）以上的，由评审委员会启动评分畸高、畸低行为认定程序，限制专家自由裁量权。</w:t>
      </w:r>
    </w:p>
    <w:p>
      <w:pPr>
        <w:spacing w:line="440" w:lineRule="exact"/>
        <w:ind w:firstLine="600"/>
        <w:rPr>
          <w:rFonts w:ascii="仿宋" w:hAnsi="仿宋" w:eastAsia="仿宋" w:cs="仿宋"/>
          <w:sz w:val="28"/>
          <w:szCs w:val="28"/>
        </w:rPr>
      </w:pPr>
      <w:r>
        <w:rPr>
          <w:rFonts w:hint="eastAsia" w:ascii="仿宋" w:hAnsi="仿宋" w:eastAsia="仿宋" w:cs="仿宋"/>
          <w:sz w:val="28"/>
          <w:szCs w:val="28"/>
        </w:rPr>
        <w:t>5.4推荐中标候选供应商名单。按各评委评出的最终得分由高到低顺序排列，推荐1名中标候选供应商（如最终得分相同的，按投标报价由低到高顺序排列;最终得分且投标报价相同的，按技术指标优劣顺序排列）。</w:t>
      </w:r>
    </w:p>
    <w:p>
      <w:pPr>
        <w:spacing w:line="440" w:lineRule="exact"/>
        <w:rPr>
          <w:rFonts w:ascii="仿宋" w:hAnsi="仿宋" w:eastAsia="仿宋" w:cs="仿宋"/>
          <w:b/>
          <w:bCs/>
          <w:sz w:val="28"/>
          <w:szCs w:val="28"/>
        </w:rPr>
      </w:pPr>
      <w:r>
        <w:rPr>
          <w:rFonts w:hint="eastAsia" w:ascii="仿宋" w:hAnsi="仿宋" w:eastAsia="仿宋" w:cs="仿宋"/>
          <w:b/>
          <w:bCs/>
          <w:sz w:val="28"/>
          <w:szCs w:val="28"/>
        </w:rPr>
        <w:t>6.监督管理</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本项目在湖州市财政局监督下进行。</w:t>
      </w:r>
    </w:p>
    <w:p>
      <w:pPr>
        <w:spacing w:line="500" w:lineRule="exact"/>
        <w:ind w:firstLine="560" w:firstLineChars="200"/>
        <w:rPr>
          <w:rFonts w:ascii="仿宋" w:hAnsi="仿宋" w:eastAsia="仿宋" w:cs="仿宋"/>
          <w:sz w:val="28"/>
          <w:szCs w:val="28"/>
        </w:rPr>
      </w:pP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Verdana">
    <w:altName w:val="DejaVu Sans"/>
    <w:panose1 w:val="020B0604030504040204"/>
    <w:charset w:val="00"/>
    <w:family w:val="swiss"/>
    <w:pitch w:val="default"/>
    <w:sig w:usb0="00000000" w:usb1="00000000" w:usb2="00000010" w:usb3="00000000" w:csb0="2000019F" w:csb1="00000000"/>
  </w:font>
  <w:font w:name="Tahoma">
    <w:altName w:val="DejaVu Sans"/>
    <w:panose1 w:val="020B0604030504040204"/>
    <w:charset w:val="00"/>
    <w:family w:val="swiss"/>
    <w:pitch w:val="default"/>
    <w:sig w:usb0="00000000" w:usb1="00000000" w:usb2="00000029" w:usb3="00000000" w:csb0="000101FF" w:csb1="00000000"/>
  </w:font>
  <w:font w:name="仿宋">
    <w:altName w:val="方正仿宋_GBK"/>
    <w:panose1 w:val="02010609060101010101"/>
    <w:charset w:val="86"/>
    <w:family w:val="modern"/>
    <w:pitch w:val="default"/>
    <w:sig w:usb0="00000000" w:usb1="00000000" w:usb2="00000016" w:usb3="00000000" w:csb0="00040001" w:csb1="00000000"/>
  </w:font>
  <w:font w:name="东文宋体">
    <w:altName w:val="方正书宋_GBK"/>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asciiTheme="minorEastAsia" w:hAnsiTheme="minorEastAsia" w:eastAsiaTheme="minorEastAsia"/>
      </w:rPr>
    </w:pPr>
    <w:r>
      <w:rPr>
        <w:rFonts w:hint="eastAsia" w:asciiTheme="minorEastAsia" w:hAnsiTheme="minorEastAsia" w:eastAsiaTheme="minorEastAsia"/>
      </w:rPr>
      <w:t>第</w:t>
    </w:r>
    <w:sdt>
      <w:sdtPr>
        <w:rPr>
          <w:rFonts w:asciiTheme="minorEastAsia" w:hAnsiTheme="minorEastAsia" w:eastAsiaTheme="minorEastAsia"/>
        </w:rPr>
        <w:id w:val="1"/>
      </w:sdtPr>
      <w:sdtEndPr>
        <w:rPr>
          <w:rFonts w:asciiTheme="minorEastAsia" w:hAnsiTheme="minorEastAsia" w:eastAsiaTheme="minorEastAsia"/>
        </w:rPr>
      </w:sdtEndPr>
      <w:sdtContent>
        <w:sdt>
          <w:sdtPr>
            <w:rPr>
              <w:rFonts w:asciiTheme="minorEastAsia" w:hAnsiTheme="minorEastAsia" w:eastAsiaTheme="minorEastAsia"/>
            </w:rPr>
            <w:id w:val="1846590257"/>
          </w:sdtPr>
          <w:sdtEndPr>
            <w:rPr>
              <w:rFonts w:asciiTheme="minorEastAsia" w:hAnsiTheme="minorEastAsia" w:eastAsiaTheme="minorEastAsia"/>
            </w:rPr>
          </w:sdtEndPr>
          <w:sdtContent>
            <w:r>
              <w:rPr>
                <w:rFonts w:asciiTheme="minorEastAsia" w:hAnsiTheme="minorEastAsia" w:eastAsiaTheme="minorEastAsia"/>
                <w:bCs/>
              </w:rPr>
              <w:fldChar w:fldCharType="begin"/>
            </w:r>
            <w:r>
              <w:rPr>
                <w:rFonts w:asciiTheme="minorEastAsia" w:hAnsiTheme="minorEastAsia" w:eastAsiaTheme="minorEastAsia"/>
                <w:bCs/>
              </w:rPr>
              <w:instrText xml:space="preserve">PAGE</w:instrText>
            </w:r>
            <w:r>
              <w:rPr>
                <w:rFonts w:asciiTheme="minorEastAsia" w:hAnsiTheme="minorEastAsia" w:eastAsiaTheme="minorEastAsia"/>
                <w:bCs/>
              </w:rPr>
              <w:fldChar w:fldCharType="separate"/>
            </w:r>
            <w:r>
              <w:rPr>
                <w:rFonts w:asciiTheme="minorEastAsia" w:hAnsiTheme="minorEastAsia" w:eastAsiaTheme="minorEastAsia"/>
                <w:bCs/>
              </w:rPr>
              <w:t>19</w:t>
            </w:r>
            <w:r>
              <w:rPr>
                <w:rFonts w:asciiTheme="minorEastAsia" w:hAnsiTheme="minorEastAsia" w:eastAsiaTheme="minorEastAsia"/>
                <w:bCs/>
              </w:rPr>
              <w:fldChar w:fldCharType="end"/>
            </w:r>
            <w:r>
              <w:rPr>
                <w:rFonts w:hint="eastAsia" w:asciiTheme="minorEastAsia" w:hAnsiTheme="minorEastAsia" w:eastAsiaTheme="minorEastAsia"/>
                <w:bCs/>
              </w:rPr>
              <w:t>页，共</w:t>
            </w:r>
            <w:r>
              <w:rPr>
                <w:rFonts w:asciiTheme="minorEastAsia" w:hAnsiTheme="minorEastAsia" w:eastAsiaTheme="minorEastAsia"/>
                <w:bCs/>
              </w:rPr>
              <w:fldChar w:fldCharType="begin"/>
            </w:r>
            <w:r>
              <w:rPr>
                <w:rFonts w:asciiTheme="minorEastAsia" w:hAnsiTheme="minorEastAsia" w:eastAsiaTheme="minorEastAsia"/>
                <w:bCs/>
              </w:rPr>
              <w:instrText xml:space="preserve">NUMPAGES</w:instrText>
            </w:r>
            <w:r>
              <w:rPr>
                <w:rFonts w:asciiTheme="minorEastAsia" w:hAnsiTheme="minorEastAsia" w:eastAsiaTheme="minorEastAsia"/>
                <w:bCs/>
              </w:rPr>
              <w:fldChar w:fldCharType="separate"/>
            </w:r>
            <w:r>
              <w:rPr>
                <w:rFonts w:asciiTheme="minorEastAsia" w:hAnsiTheme="minorEastAsia" w:eastAsiaTheme="minorEastAsia"/>
                <w:bCs/>
              </w:rPr>
              <w:t>58</w:t>
            </w:r>
            <w:r>
              <w:rPr>
                <w:rFonts w:asciiTheme="minorEastAsia" w:hAnsiTheme="minorEastAsia" w:eastAsiaTheme="minorEastAsia"/>
                <w:bCs/>
              </w:rPr>
              <w:fldChar w:fldCharType="end"/>
            </w:r>
            <w:r>
              <w:rPr>
                <w:rFonts w:hint="eastAsia" w:asciiTheme="minorEastAsia" w:hAnsiTheme="minorEastAsia" w:eastAsiaTheme="minorEastAsia"/>
                <w:bCs/>
              </w:rPr>
              <w:t>页</w:t>
            </w:r>
          </w:sdtContent>
        </w:sdt>
      </w:sdtContent>
    </w:sdt>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pPr>
      <w:pStyle w:val="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8568783"/>
    </w:sdtPr>
    <w:sdtContent>
      <w:sdt>
        <w:sdtPr>
          <w:id w:val="98381352"/>
        </w:sdtPr>
        <w:sdtContent>
          <w:p>
            <w:pPr>
              <w:pStyle w:val="20"/>
              <w:jc w:val="center"/>
            </w:pPr>
            <w:r>
              <w:rPr>
                <w:rFonts w:hint="eastAsia"/>
              </w:rPr>
              <w:t>第</w:t>
            </w:r>
            <w:r>
              <w:rPr>
                <w:lang w:val="zh-CN"/>
              </w:rPr>
              <w:t xml:space="preserve"> </w:t>
            </w:r>
            <w:r>
              <w:rPr>
                <w:bCs/>
              </w:rPr>
              <w:fldChar w:fldCharType="begin"/>
            </w:r>
            <w:r>
              <w:rPr>
                <w:bCs/>
              </w:rPr>
              <w:instrText xml:space="preserve">PAGE</w:instrText>
            </w:r>
            <w:r>
              <w:rPr>
                <w:bCs/>
              </w:rPr>
              <w:fldChar w:fldCharType="separate"/>
            </w:r>
            <w:r>
              <w:rPr>
                <w:bCs/>
              </w:rPr>
              <w:t>41</w:t>
            </w:r>
            <w:r>
              <w:rPr>
                <w:bCs/>
              </w:rPr>
              <w:fldChar w:fldCharType="end"/>
            </w:r>
            <w:r>
              <w:rPr>
                <w:lang w:val="zh-CN"/>
              </w:rPr>
              <w:t xml:space="preserve"> </w:t>
            </w:r>
            <w:r>
              <w:rPr>
                <w:rFonts w:hint="eastAsia"/>
                <w:lang w:val="zh-CN"/>
              </w:rPr>
              <w:t>页，共</w:t>
            </w:r>
            <w:r>
              <w:rPr>
                <w:lang w:val="zh-CN"/>
              </w:rPr>
              <w:t xml:space="preserve"> </w:t>
            </w:r>
            <w:r>
              <w:rPr>
                <w:bCs/>
              </w:rPr>
              <w:fldChar w:fldCharType="begin"/>
            </w:r>
            <w:r>
              <w:rPr>
                <w:bCs/>
              </w:rPr>
              <w:instrText xml:space="preserve">NUMPAGES</w:instrText>
            </w:r>
            <w:r>
              <w:rPr>
                <w:bCs/>
              </w:rPr>
              <w:fldChar w:fldCharType="separate"/>
            </w:r>
            <w:r>
              <w:rPr>
                <w:bCs/>
              </w:rPr>
              <w:t>58</w:t>
            </w:r>
            <w:r>
              <w:rPr>
                <w:bCs/>
              </w:rPr>
              <w:fldChar w:fldCharType="end"/>
            </w:r>
            <w:r>
              <w:rPr>
                <w:rFonts w:hint="eastAsia"/>
                <w:bCs/>
              </w:rPr>
              <w:t xml:space="preserve"> 页</w:t>
            </w:r>
          </w:p>
        </w:sdtContent>
      </w:sdt>
    </w:sdtContent>
  </w:sdt>
  <w:p>
    <w:pPr>
      <w:pStyle w:val="2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right" w:y="1"/>
      <w:rPr>
        <w:rStyle w:val="35"/>
      </w:rPr>
    </w:pPr>
    <w:r>
      <w:fldChar w:fldCharType="begin"/>
    </w:r>
    <w:r>
      <w:rPr>
        <w:rStyle w:val="35"/>
      </w:rPr>
      <w:instrText xml:space="preserve">PAGE  </w:instrText>
    </w:r>
    <w:r>
      <w:fldChar w:fldCharType="end"/>
    </w:r>
  </w:p>
  <w:p>
    <w:pPr>
      <w:pStyle w:val="2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1EFF24"/>
    <w:multiLevelType w:val="singleLevel"/>
    <w:tmpl w:val="FF1EFF24"/>
    <w:lvl w:ilvl="0" w:tentative="0">
      <w:start w:val="3"/>
      <w:numFmt w:val="decimal"/>
      <w:lvlText w:val="%1."/>
      <w:lvlJc w:val="left"/>
      <w:pPr>
        <w:tabs>
          <w:tab w:val="left" w:pos="312"/>
        </w:tabs>
      </w:pPr>
    </w:lvl>
  </w:abstractNum>
  <w:abstractNum w:abstractNumId="1">
    <w:nsid w:val="4EB36067"/>
    <w:multiLevelType w:val="multilevel"/>
    <w:tmpl w:val="4EB36067"/>
    <w:lvl w:ilvl="0" w:tentative="0">
      <w:start w:val="1"/>
      <w:numFmt w:val="chineseCountingThousand"/>
      <w:suff w:val="space"/>
      <w:lvlText w:val="第%1章"/>
      <w:lvlJc w:val="left"/>
      <w:pPr>
        <w:ind w:left="0" w:firstLine="0"/>
      </w:pPr>
      <w:rPr>
        <w:rFonts w:hint="eastAsia"/>
        <w:b/>
        <w:i w:val="0"/>
        <w:spacing w:val="0"/>
      </w:rPr>
    </w:lvl>
    <w:lvl w:ilvl="1" w:tentative="0">
      <w:start w:val="1"/>
      <w:numFmt w:val="decimal"/>
      <w:isLgl/>
      <w:suff w:val="space"/>
      <w:lvlText w:val="%1.%2"/>
      <w:lvlJc w:val="left"/>
      <w:pPr>
        <w:ind w:left="0" w:firstLine="0"/>
      </w:pPr>
      <w:rPr>
        <w:rFonts w:hint="eastAsia"/>
      </w:rPr>
    </w:lvl>
    <w:lvl w:ilvl="2" w:tentative="0">
      <w:start w:val="1"/>
      <w:numFmt w:val="decimal"/>
      <w:pStyle w:val="6"/>
      <w:isLgl/>
      <w:suff w:val="space"/>
      <w:lvlText w:val="%1.%2.%3"/>
      <w:lvlJc w:val="left"/>
      <w:pPr>
        <w:ind w:left="851"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1134" w:firstLine="0"/>
      </w:pPr>
      <w:rPr>
        <w:rFonts w:hint="eastAsia"/>
      </w:rPr>
    </w:lvl>
    <w:lvl w:ilvl="6" w:tentative="0">
      <w:start w:val="1"/>
      <w:numFmt w:val="decimal"/>
      <w:isLgl/>
      <w:suff w:val="space"/>
      <w:lvlText w:val="%1.%2.%3.%4.%5.%6.%7"/>
      <w:lvlJc w:val="left"/>
      <w:pPr>
        <w:ind w:left="0" w:firstLine="0"/>
      </w:pPr>
      <w:rPr>
        <w:rFonts w:hint="eastAsia"/>
      </w:rPr>
    </w:lvl>
    <w:lvl w:ilvl="7" w:tentative="0">
      <w:start w:val="1"/>
      <w:numFmt w:val="decimal"/>
      <w:isLgl/>
      <w:suff w:val="space"/>
      <w:lvlText w:val="%1.%2.%3.%4.%5.%6.%7.%8"/>
      <w:lvlJc w:val="left"/>
      <w:pPr>
        <w:ind w:left="0" w:firstLine="0"/>
      </w:pPr>
      <w:rPr>
        <w:rFonts w:hint="eastAsia"/>
      </w:rPr>
    </w:lvl>
    <w:lvl w:ilvl="8" w:tentative="0">
      <w:start w:val="1"/>
      <w:numFmt w:val="decimal"/>
      <w:isLgl/>
      <w:suff w:val="space"/>
      <w:lvlText w:val="%1.%2.%3.%4.%5.%6.%7.%8.%9"/>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hideSpellingErrors/>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lOGIwZDUyOGViZjVjN2QyMmRmZGYwMjQ3ZGY1MzAifQ=="/>
  </w:docVars>
  <w:rsids>
    <w:rsidRoot w:val="00172A27"/>
    <w:rsid w:val="00000A61"/>
    <w:rsid w:val="00000E8C"/>
    <w:rsid w:val="00001CC3"/>
    <w:rsid w:val="00004C58"/>
    <w:rsid w:val="0000575F"/>
    <w:rsid w:val="00005A44"/>
    <w:rsid w:val="0001075D"/>
    <w:rsid w:val="00010E1D"/>
    <w:rsid w:val="0001135A"/>
    <w:rsid w:val="00011AEC"/>
    <w:rsid w:val="00011DA5"/>
    <w:rsid w:val="0001231C"/>
    <w:rsid w:val="00012CED"/>
    <w:rsid w:val="0001407D"/>
    <w:rsid w:val="000146AD"/>
    <w:rsid w:val="00015A55"/>
    <w:rsid w:val="00016254"/>
    <w:rsid w:val="00017723"/>
    <w:rsid w:val="00020A06"/>
    <w:rsid w:val="00020B09"/>
    <w:rsid w:val="00020D9D"/>
    <w:rsid w:val="00020F3E"/>
    <w:rsid w:val="000220A9"/>
    <w:rsid w:val="0002425C"/>
    <w:rsid w:val="00024367"/>
    <w:rsid w:val="00024CA1"/>
    <w:rsid w:val="000261C4"/>
    <w:rsid w:val="00027010"/>
    <w:rsid w:val="00027862"/>
    <w:rsid w:val="00027FAC"/>
    <w:rsid w:val="0003010F"/>
    <w:rsid w:val="00030DFB"/>
    <w:rsid w:val="0003218E"/>
    <w:rsid w:val="00032BFF"/>
    <w:rsid w:val="00035CE2"/>
    <w:rsid w:val="00036DE4"/>
    <w:rsid w:val="00037CBC"/>
    <w:rsid w:val="0004066C"/>
    <w:rsid w:val="000425DC"/>
    <w:rsid w:val="00044E45"/>
    <w:rsid w:val="00047912"/>
    <w:rsid w:val="00050307"/>
    <w:rsid w:val="000504C0"/>
    <w:rsid w:val="00052B32"/>
    <w:rsid w:val="00052FD3"/>
    <w:rsid w:val="000533BA"/>
    <w:rsid w:val="00055444"/>
    <w:rsid w:val="000559EA"/>
    <w:rsid w:val="00055C24"/>
    <w:rsid w:val="000567CE"/>
    <w:rsid w:val="0005685E"/>
    <w:rsid w:val="00056B75"/>
    <w:rsid w:val="00057086"/>
    <w:rsid w:val="00057464"/>
    <w:rsid w:val="00057786"/>
    <w:rsid w:val="0006093C"/>
    <w:rsid w:val="00061E81"/>
    <w:rsid w:val="000646B2"/>
    <w:rsid w:val="000647A2"/>
    <w:rsid w:val="00065CA6"/>
    <w:rsid w:val="00065DBE"/>
    <w:rsid w:val="00066E83"/>
    <w:rsid w:val="0006757E"/>
    <w:rsid w:val="00071054"/>
    <w:rsid w:val="00072DDE"/>
    <w:rsid w:val="000730CE"/>
    <w:rsid w:val="00073376"/>
    <w:rsid w:val="000733B9"/>
    <w:rsid w:val="000741C2"/>
    <w:rsid w:val="0007448A"/>
    <w:rsid w:val="0007674E"/>
    <w:rsid w:val="00081F8F"/>
    <w:rsid w:val="00083345"/>
    <w:rsid w:val="0008336D"/>
    <w:rsid w:val="0008347D"/>
    <w:rsid w:val="000840B6"/>
    <w:rsid w:val="00084999"/>
    <w:rsid w:val="000850BE"/>
    <w:rsid w:val="00085867"/>
    <w:rsid w:val="00085B17"/>
    <w:rsid w:val="00087844"/>
    <w:rsid w:val="00090252"/>
    <w:rsid w:val="0009060D"/>
    <w:rsid w:val="000907FD"/>
    <w:rsid w:val="000910E2"/>
    <w:rsid w:val="000941D2"/>
    <w:rsid w:val="0009438C"/>
    <w:rsid w:val="0009565F"/>
    <w:rsid w:val="00096654"/>
    <w:rsid w:val="0009759E"/>
    <w:rsid w:val="000A10B3"/>
    <w:rsid w:val="000A174A"/>
    <w:rsid w:val="000A28BD"/>
    <w:rsid w:val="000A2D29"/>
    <w:rsid w:val="000A3A34"/>
    <w:rsid w:val="000A3E7F"/>
    <w:rsid w:val="000A5249"/>
    <w:rsid w:val="000A6426"/>
    <w:rsid w:val="000B1A2F"/>
    <w:rsid w:val="000B27AA"/>
    <w:rsid w:val="000B2AF4"/>
    <w:rsid w:val="000B4459"/>
    <w:rsid w:val="000B4B44"/>
    <w:rsid w:val="000B5858"/>
    <w:rsid w:val="000B593B"/>
    <w:rsid w:val="000B7966"/>
    <w:rsid w:val="000C13AA"/>
    <w:rsid w:val="000C150C"/>
    <w:rsid w:val="000C203F"/>
    <w:rsid w:val="000C3C20"/>
    <w:rsid w:val="000C4C55"/>
    <w:rsid w:val="000C5310"/>
    <w:rsid w:val="000C5D02"/>
    <w:rsid w:val="000C6CAC"/>
    <w:rsid w:val="000D0B69"/>
    <w:rsid w:val="000D3084"/>
    <w:rsid w:val="000D3258"/>
    <w:rsid w:val="000D3B78"/>
    <w:rsid w:val="000D454E"/>
    <w:rsid w:val="000D59B9"/>
    <w:rsid w:val="000D6A2E"/>
    <w:rsid w:val="000E193D"/>
    <w:rsid w:val="000E20AD"/>
    <w:rsid w:val="000E2BE1"/>
    <w:rsid w:val="000E2F05"/>
    <w:rsid w:val="000E42CC"/>
    <w:rsid w:val="000E6EDA"/>
    <w:rsid w:val="000E71D7"/>
    <w:rsid w:val="000F16EA"/>
    <w:rsid w:val="000F2757"/>
    <w:rsid w:val="000F30D3"/>
    <w:rsid w:val="000F343C"/>
    <w:rsid w:val="000F3F4F"/>
    <w:rsid w:val="000F4129"/>
    <w:rsid w:val="000F4DFF"/>
    <w:rsid w:val="000F6CB2"/>
    <w:rsid w:val="001020B4"/>
    <w:rsid w:val="00103DE9"/>
    <w:rsid w:val="0010491A"/>
    <w:rsid w:val="00106A43"/>
    <w:rsid w:val="00106A99"/>
    <w:rsid w:val="00107093"/>
    <w:rsid w:val="00112371"/>
    <w:rsid w:val="00112EB9"/>
    <w:rsid w:val="00112EF3"/>
    <w:rsid w:val="00114348"/>
    <w:rsid w:val="001165F5"/>
    <w:rsid w:val="00116964"/>
    <w:rsid w:val="00117546"/>
    <w:rsid w:val="0012001C"/>
    <w:rsid w:val="0012089D"/>
    <w:rsid w:val="00120F80"/>
    <w:rsid w:val="001229F6"/>
    <w:rsid w:val="00123F3B"/>
    <w:rsid w:val="0012496A"/>
    <w:rsid w:val="00124D0F"/>
    <w:rsid w:val="0012626E"/>
    <w:rsid w:val="0012698E"/>
    <w:rsid w:val="001269A4"/>
    <w:rsid w:val="001270B5"/>
    <w:rsid w:val="00127312"/>
    <w:rsid w:val="001276E2"/>
    <w:rsid w:val="00127CB9"/>
    <w:rsid w:val="00127D76"/>
    <w:rsid w:val="001302DB"/>
    <w:rsid w:val="00131470"/>
    <w:rsid w:val="00132F78"/>
    <w:rsid w:val="00132FC5"/>
    <w:rsid w:val="001331F7"/>
    <w:rsid w:val="00133B3F"/>
    <w:rsid w:val="001346BD"/>
    <w:rsid w:val="00136677"/>
    <w:rsid w:val="0013744B"/>
    <w:rsid w:val="001401D3"/>
    <w:rsid w:val="00142A4C"/>
    <w:rsid w:val="00143B5B"/>
    <w:rsid w:val="00144046"/>
    <w:rsid w:val="001441D9"/>
    <w:rsid w:val="00144E75"/>
    <w:rsid w:val="00147CBC"/>
    <w:rsid w:val="0015150E"/>
    <w:rsid w:val="0015258E"/>
    <w:rsid w:val="00153209"/>
    <w:rsid w:val="0015397B"/>
    <w:rsid w:val="00153D3D"/>
    <w:rsid w:val="0015467E"/>
    <w:rsid w:val="00157357"/>
    <w:rsid w:val="00157C71"/>
    <w:rsid w:val="00161C99"/>
    <w:rsid w:val="00162A2F"/>
    <w:rsid w:val="00162E7E"/>
    <w:rsid w:val="00163C1D"/>
    <w:rsid w:val="00166905"/>
    <w:rsid w:val="001673CB"/>
    <w:rsid w:val="001713A8"/>
    <w:rsid w:val="001719E6"/>
    <w:rsid w:val="0017290F"/>
    <w:rsid w:val="00172A27"/>
    <w:rsid w:val="0017439E"/>
    <w:rsid w:val="001753BE"/>
    <w:rsid w:val="00180761"/>
    <w:rsid w:val="001812F9"/>
    <w:rsid w:val="00184B13"/>
    <w:rsid w:val="00186799"/>
    <w:rsid w:val="001870EA"/>
    <w:rsid w:val="0018782E"/>
    <w:rsid w:val="001929B7"/>
    <w:rsid w:val="00192F52"/>
    <w:rsid w:val="0019405C"/>
    <w:rsid w:val="00194422"/>
    <w:rsid w:val="00194E3B"/>
    <w:rsid w:val="00196507"/>
    <w:rsid w:val="0019657E"/>
    <w:rsid w:val="001965C1"/>
    <w:rsid w:val="001977B5"/>
    <w:rsid w:val="001A03C5"/>
    <w:rsid w:val="001A1145"/>
    <w:rsid w:val="001A2F42"/>
    <w:rsid w:val="001A36EC"/>
    <w:rsid w:val="001A4411"/>
    <w:rsid w:val="001A681B"/>
    <w:rsid w:val="001A6F6D"/>
    <w:rsid w:val="001A754B"/>
    <w:rsid w:val="001A7D06"/>
    <w:rsid w:val="001B15CF"/>
    <w:rsid w:val="001B205B"/>
    <w:rsid w:val="001B2B83"/>
    <w:rsid w:val="001B3ADE"/>
    <w:rsid w:val="001B4019"/>
    <w:rsid w:val="001B4D1C"/>
    <w:rsid w:val="001B51B8"/>
    <w:rsid w:val="001B64D9"/>
    <w:rsid w:val="001B7209"/>
    <w:rsid w:val="001B7783"/>
    <w:rsid w:val="001C06CA"/>
    <w:rsid w:val="001C0C44"/>
    <w:rsid w:val="001C347A"/>
    <w:rsid w:val="001C4A8F"/>
    <w:rsid w:val="001C4FFB"/>
    <w:rsid w:val="001C5D75"/>
    <w:rsid w:val="001C6E8B"/>
    <w:rsid w:val="001D07FD"/>
    <w:rsid w:val="001D095E"/>
    <w:rsid w:val="001D1C12"/>
    <w:rsid w:val="001D1D47"/>
    <w:rsid w:val="001D3BA7"/>
    <w:rsid w:val="001D41A7"/>
    <w:rsid w:val="001D5291"/>
    <w:rsid w:val="001D6A24"/>
    <w:rsid w:val="001D6A78"/>
    <w:rsid w:val="001D6CBC"/>
    <w:rsid w:val="001D748B"/>
    <w:rsid w:val="001D7EB2"/>
    <w:rsid w:val="001E1124"/>
    <w:rsid w:val="001E1FE1"/>
    <w:rsid w:val="001E3272"/>
    <w:rsid w:val="001E3E19"/>
    <w:rsid w:val="001E4340"/>
    <w:rsid w:val="001E5DED"/>
    <w:rsid w:val="001E7B2C"/>
    <w:rsid w:val="001F2002"/>
    <w:rsid w:val="001F47FF"/>
    <w:rsid w:val="001F4AC5"/>
    <w:rsid w:val="001F4CB3"/>
    <w:rsid w:val="001F52B2"/>
    <w:rsid w:val="001F63CB"/>
    <w:rsid w:val="001F6662"/>
    <w:rsid w:val="001F73C4"/>
    <w:rsid w:val="002006CE"/>
    <w:rsid w:val="002037A2"/>
    <w:rsid w:val="00203BB8"/>
    <w:rsid w:val="002046AC"/>
    <w:rsid w:val="00206677"/>
    <w:rsid w:val="002069B6"/>
    <w:rsid w:val="00206F73"/>
    <w:rsid w:val="0020731E"/>
    <w:rsid w:val="0020739C"/>
    <w:rsid w:val="0020767E"/>
    <w:rsid w:val="002079FB"/>
    <w:rsid w:val="002107D5"/>
    <w:rsid w:val="00211320"/>
    <w:rsid w:val="002117FF"/>
    <w:rsid w:val="00212A8E"/>
    <w:rsid w:val="00214C4D"/>
    <w:rsid w:val="00216870"/>
    <w:rsid w:val="002206B7"/>
    <w:rsid w:val="0022179C"/>
    <w:rsid w:val="00223114"/>
    <w:rsid w:val="00226CF6"/>
    <w:rsid w:val="00227546"/>
    <w:rsid w:val="00233E1C"/>
    <w:rsid w:val="00233F78"/>
    <w:rsid w:val="00234CE4"/>
    <w:rsid w:val="0023642F"/>
    <w:rsid w:val="00236F01"/>
    <w:rsid w:val="00240CC1"/>
    <w:rsid w:val="00242127"/>
    <w:rsid w:val="00243A08"/>
    <w:rsid w:val="002459E6"/>
    <w:rsid w:val="00245BA7"/>
    <w:rsid w:val="00246AC8"/>
    <w:rsid w:val="00246D47"/>
    <w:rsid w:val="00251444"/>
    <w:rsid w:val="002519C5"/>
    <w:rsid w:val="00252279"/>
    <w:rsid w:val="002522DC"/>
    <w:rsid w:val="00253FDD"/>
    <w:rsid w:val="00254AA2"/>
    <w:rsid w:val="002553CF"/>
    <w:rsid w:val="00255DC8"/>
    <w:rsid w:val="0026068E"/>
    <w:rsid w:val="00261BC1"/>
    <w:rsid w:val="00262506"/>
    <w:rsid w:val="00262827"/>
    <w:rsid w:val="002650DB"/>
    <w:rsid w:val="00265D73"/>
    <w:rsid w:val="002665E7"/>
    <w:rsid w:val="00270E6D"/>
    <w:rsid w:val="00271460"/>
    <w:rsid w:val="00271C10"/>
    <w:rsid w:val="002724E4"/>
    <w:rsid w:val="00273905"/>
    <w:rsid w:val="00273A46"/>
    <w:rsid w:val="00273B25"/>
    <w:rsid w:val="00275273"/>
    <w:rsid w:val="00276C48"/>
    <w:rsid w:val="002770A0"/>
    <w:rsid w:val="00281272"/>
    <w:rsid w:val="00282BFB"/>
    <w:rsid w:val="00283E8A"/>
    <w:rsid w:val="00285638"/>
    <w:rsid w:val="00286859"/>
    <w:rsid w:val="00287C79"/>
    <w:rsid w:val="00290489"/>
    <w:rsid w:val="002911E5"/>
    <w:rsid w:val="002913D9"/>
    <w:rsid w:val="002919BD"/>
    <w:rsid w:val="002931AC"/>
    <w:rsid w:val="002A0AAD"/>
    <w:rsid w:val="002A10A1"/>
    <w:rsid w:val="002A2AAB"/>
    <w:rsid w:val="002A3396"/>
    <w:rsid w:val="002A37AB"/>
    <w:rsid w:val="002A3B53"/>
    <w:rsid w:val="002A3C3C"/>
    <w:rsid w:val="002A3E4F"/>
    <w:rsid w:val="002A4440"/>
    <w:rsid w:val="002A5994"/>
    <w:rsid w:val="002A62C2"/>
    <w:rsid w:val="002A7314"/>
    <w:rsid w:val="002A77F9"/>
    <w:rsid w:val="002A7A01"/>
    <w:rsid w:val="002A7C0E"/>
    <w:rsid w:val="002A7C25"/>
    <w:rsid w:val="002B00E6"/>
    <w:rsid w:val="002B3373"/>
    <w:rsid w:val="002B34F9"/>
    <w:rsid w:val="002B4198"/>
    <w:rsid w:val="002B46B2"/>
    <w:rsid w:val="002B49FF"/>
    <w:rsid w:val="002B685C"/>
    <w:rsid w:val="002B6C21"/>
    <w:rsid w:val="002B7244"/>
    <w:rsid w:val="002B7BFE"/>
    <w:rsid w:val="002B7F46"/>
    <w:rsid w:val="002C1315"/>
    <w:rsid w:val="002C2A0D"/>
    <w:rsid w:val="002C46A1"/>
    <w:rsid w:val="002C644C"/>
    <w:rsid w:val="002C77E5"/>
    <w:rsid w:val="002C7992"/>
    <w:rsid w:val="002D01F9"/>
    <w:rsid w:val="002D0BAA"/>
    <w:rsid w:val="002D2A33"/>
    <w:rsid w:val="002D39F0"/>
    <w:rsid w:val="002D3C57"/>
    <w:rsid w:val="002D3EC4"/>
    <w:rsid w:val="002D43F5"/>
    <w:rsid w:val="002D57FD"/>
    <w:rsid w:val="002D630A"/>
    <w:rsid w:val="002D6599"/>
    <w:rsid w:val="002E0535"/>
    <w:rsid w:val="002E0719"/>
    <w:rsid w:val="002E2747"/>
    <w:rsid w:val="002F0D70"/>
    <w:rsid w:val="002F129C"/>
    <w:rsid w:val="002F1621"/>
    <w:rsid w:val="002F1E3C"/>
    <w:rsid w:val="002F2CF6"/>
    <w:rsid w:val="002F4161"/>
    <w:rsid w:val="002F4B1A"/>
    <w:rsid w:val="002F583C"/>
    <w:rsid w:val="002F76E9"/>
    <w:rsid w:val="003007FA"/>
    <w:rsid w:val="0030167C"/>
    <w:rsid w:val="00302294"/>
    <w:rsid w:val="00302483"/>
    <w:rsid w:val="00302609"/>
    <w:rsid w:val="00303091"/>
    <w:rsid w:val="00303C7E"/>
    <w:rsid w:val="0030545C"/>
    <w:rsid w:val="00306366"/>
    <w:rsid w:val="00306A54"/>
    <w:rsid w:val="00310FDC"/>
    <w:rsid w:val="003118D1"/>
    <w:rsid w:val="003121BA"/>
    <w:rsid w:val="00313767"/>
    <w:rsid w:val="003143B9"/>
    <w:rsid w:val="00315E96"/>
    <w:rsid w:val="00316638"/>
    <w:rsid w:val="003168D9"/>
    <w:rsid w:val="00317B3D"/>
    <w:rsid w:val="00320FC8"/>
    <w:rsid w:val="00321260"/>
    <w:rsid w:val="00322E62"/>
    <w:rsid w:val="00323664"/>
    <w:rsid w:val="00324756"/>
    <w:rsid w:val="00324BA5"/>
    <w:rsid w:val="00325578"/>
    <w:rsid w:val="00326796"/>
    <w:rsid w:val="00326BEF"/>
    <w:rsid w:val="0032718B"/>
    <w:rsid w:val="00330255"/>
    <w:rsid w:val="00330966"/>
    <w:rsid w:val="00332D7F"/>
    <w:rsid w:val="00334125"/>
    <w:rsid w:val="00337B3E"/>
    <w:rsid w:val="00337E98"/>
    <w:rsid w:val="00340F0C"/>
    <w:rsid w:val="00341BD9"/>
    <w:rsid w:val="0034297D"/>
    <w:rsid w:val="00342BAD"/>
    <w:rsid w:val="0034405F"/>
    <w:rsid w:val="003440B8"/>
    <w:rsid w:val="00345451"/>
    <w:rsid w:val="00345572"/>
    <w:rsid w:val="00346005"/>
    <w:rsid w:val="003466BD"/>
    <w:rsid w:val="00346A37"/>
    <w:rsid w:val="00347779"/>
    <w:rsid w:val="00354BF8"/>
    <w:rsid w:val="00355592"/>
    <w:rsid w:val="0035677A"/>
    <w:rsid w:val="0035697D"/>
    <w:rsid w:val="00356CAB"/>
    <w:rsid w:val="00356CCC"/>
    <w:rsid w:val="00356F16"/>
    <w:rsid w:val="00361172"/>
    <w:rsid w:val="00361894"/>
    <w:rsid w:val="00363A36"/>
    <w:rsid w:val="003643EA"/>
    <w:rsid w:val="00364940"/>
    <w:rsid w:val="00364A01"/>
    <w:rsid w:val="00364CF4"/>
    <w:rsid w:val="00372082"/>
    <w:rsid w:val="003728C7"/>
    <w:rsid w:val="003733D8"/>
    <w:rsid w:val="00373F8E"/>
    <w:rsid w:val="003748AB"/>
    <w:rsid w:val="00380AFE"/>
    <w:rsid w:val="003838B8"/>
    <w:rsid w:val="003840EA"/>
    <w:rsid w:val="00385750"/>
    <w:rsid w:val="00390AB0"/>
    <w:rsid w:val="00390F1F"/>
    <w:rsid w:val="00391128"/>
    <w:rsid w:val="003926DC"/>
    <w:rsid w:val="00392B7F"/>
    <w:rsid w:val="003936E5"/>
    <w:rsid w:val="003949A5"/>
    <w:rsid w:val="003955BF"/>
    <w:rsid w:val="00395F02"/>
    <w:rsid w:val="00396374"/>
    <w:rsid w:val="00396855"/>
    <w:rsid w:val="00396E1D"/>
    <w:rsid w:val="00396F8B"/>
    <w:rsid w:val="00397E0F"/>
    <w:rsid w:val="003A160A"/>
    <w:rsid w:val="003A334B"/>
    <w:rsid w:val="003A3EFB"/>
    <w:rsid w:val="003A43C5"/>
    <w:rsid w:val="003A6AC8"/>
    <w:rsid w:val="003A6D34"/>
    <w:rsid w:val="003A7512"/>
    <w:rsid w:val="003B2383"/>
    <w:rsid w:val="003B2570"/>
    <w:rsid w:val="003B2972"/>
    <w:rsid w:val="003B2D91"/>
    <w:rsid w:val="003B4034"/>
    <w:rsid w:val="003B4E90"/>
    <w:rsid w:val="003B63B4"/>
    <w:rsid w:val="003B7539"/>
    <w:rsid w:val="003C045C"/>
    <w:rsid w:val="003C0898"/>
    <w:rsid w:val="003C0B88"/>
    <w:rsid w:val="003C165E"/>
    <w:rsid w:val="003C20F8"/>
    <w:rsid w:val="003C21F2"/>
    <w:rsid w:val="003C3332"/>
    <w:rsid w:val="003C3E5F"/>
    <w:rsid w:val="003C3F5E"/>
    <w:rsid w:val="003C46A0"/>
    <w:rsid w:val="003C6399"/>
    <w:rsid w:val="003C6974"/>
    <w:rsid w:val="003C7C37"/>
    <w:rsid w:val="003D0302"/>
    <w:rsid w:val="003D102E"/>
    <w:rsid w:val="003D296E"/>
    <w:rsid w:val="003D2F80"/>
    <w:rsid w:val="003D3C34"/>
    <w:rsid w:val="003D3E27"/>
    <w:rsid w:val="003D496B"/>
    <w:rsid w:val="003D56D8"/>
    <w:rsid w:val="003D703A"/>
    <w:rsid w:val="003E11CD"/>
    <w:rsid w:val="003E380F"/>
    <w:rsid w:val="003E4555"/>
    <w:rsid w:val="003E6F3F"/>
    <w:rsid w:val="003F1572"/>
    <w:rsid w:val="003F321F"/>
    <w:rsid w:val="003F33EC"/>
    <w:rsid w:val="003F38B8"/>
    <w:rsid w:val="003F395F"/>
    <w:rsid w:val="003F3998"/>
    <w:rsid w:val="003F4EAD"/>
    <w:rsid w:val="004004C2"/>
    <w:rsid w:val="00400666"/>
    <w:rsid w:val="004012AB"/>
    <w:rsid w:val="004014F3"/>
    <w:rsid w:val="00401AB9"/>
    <w:rsid w:val="00401F21"/>
    <w:rsid w:val="004026C6"/>
    <w:rsid w:val="00403B52"/>
    <w:rsid w:val="004046D2"/>
    <w:rsid w:val="0041076A"/>
    <w:rsid w:val="00410C54"/>
    <w:rsid w:val="00412EAC"/>
    <w:rsid w:val="0041451D"/>
    <w:rsid w:val="00415CB1"/>
    <w:rsid w:val="0041780A"/>
    <w:rsid w:val="00420D24"/>
    <w:rsid w:val="004215AB"/>
    <w:rsid w:val="004218D8"/>
    <w:rsid w:val="004245B9"/>
    <w:rsid w:val="004273DD"/>
    <w:rsid w:val="004274E6"/>
    <w:rsid w:val="00427C56"/>
    <w:rsid w:val="0043053D"/>
    <w:rsid w:val="0043128D"/>
    <w:rsid w:val="00432078"/>
    <w:rsid w:val="00432228"/>
    <w:rsid w:val="0043387A"/>
    <w:rsid w:val="00433ED8"/>
    <w:rsid w:val="00434056"/>
    <w:rsid w:val="00436529"/>
    <w:rsid w:val="00440061"/>
    <w:rsid w:val="00440A97"/>
    <w:rsid w:val="00441F71"/>
    <w:rsid w:val="00442937"/>
    <w:rsid w:val="00442BA0"/>
    <w:rsid w:val="00443171"/>
    <w:rsid w:val="0044360C"/>
    <w:rsid w:val="00443E66"/>
    <w:rsid w:val="004446A6"/>
    <w:rsid w:val="00444F6C"/>
    <w:rsid w:val="0045225B"/>
    <w:rsid w:val="004525D1"/>
    <w:rsid w:val="00452D91"/>
    <w:rsid w:val="00452DB2"/>
    <w:rsid w:val="004559A0"/>
    <w:rsid w:val="00460101"/>
    <w:rsid w:val="00460BF1"/>
    <w:rsid w:val="00462455"/>
    <w:rsid w:val="00462637"/>
    <w:rsid w:val="0046321D"/>
    <w:rsid w:val="00463236"/>
    <w:rsid w:val="00463CE1"/>
    <w:rsid w:val="00466F8E"/>
    <w:rsid w:val="0047177E"/>
    <w:rsid w:val="00473D99"/>
    <w:rsid w:val="0047448F"/>
    <w:rsid w:val="00474893"/>
    <w:rsid w:val="00475645"/>
    <w:rsid w:val="004760A3"/>
    <w:rsid w:val="00480AA8"/>
    <w:rsid w:val="0048283C"/>
    <w:rsid w:val="00484B0F"/>
    <w:rsid w:val="00484D66"/>
    <w:rsid w:val="00484DCE"/>
    <w:rsid w:val="00485B6F"/>
    <w:rsid w:val="0048682A"/>
    <w:rsid w:val="00486B7F"/>
    <w:rsid w:val="00490797"/>
    <w:rsid w:val="0049184C"/>
    <w:rsid w:val="00492CF7"/>
    <w:rsid w:val="00492E80"/>
    <w:rsid w:val="004944F4"/>
    <w:rsid w:val="00495EAD"/>
    <w:rsid w:val="00496066"/>
    <w:rsid w:val="00497FF6"/>
    <w:rsid w:val="004A07E0"/>
    <w:rsid w:val="004A2BE2"/>
    <w:rsid w:val="004A432E"/>
    <w:rsid w:val="004A5502"/>
    <w:rsid w:val="004A5DCF"/>
    <w:rsid w:val="004A602E"/>
    <w:rsid w:val="004A62A5"/>
    <w:rsid w:val="004A6D8E"/>
    <w:rsid w:val="004B1991"/>
    <w:rsid w:val="004B221F"/>
    <w:rsid w:val="004B4ED4"/>
    <w:rsid w:val="004B5486"/>
    <w:rsid w:val="004B5A94"/>
    <w:rsid w:val="004B675F"/>
    <w:rsid w:val="004B70B4"/>
    <w:rsid w:val="004B7B30"/>
    <w:rsid w:val="004B7C55"/>
    <w:rsid w:val="004C117B"/>
    <w:rsid w:val="004C2338"/>
    <w:rsid w:val="004C25BD"/>
    <w:rsid w:val="004C2851"/>
    <w:rsid w:val="004C2A99"/>
    <w:rsid w:val="004C5083"/>
    <w:rsid w:val="004C62AB"/>
    <w:rsid w:val="004C7B99"/>
    <w:rsid w:val="004C7C5B"/>
    <w:rsid w:val="004C7FE1"/>
    <w:rsid w:val="004D2337"/>
    <w:rsid w:val="004D3573"/>
    <w:rsid w:val="004D4763"/>
    <w:rsid w:val="004D4881"/>
    <w:rsid w:val="004D4947"/>
    <w:rsid w:val="004D4F4E"/>
    <w:rsid w:val="004D5EB2"/>
    <w:rsid w:val="004D75B9"/>
    <w:rsid w:val="004D7A1B"/>
    <w:rsid w:val="004E005A"/>
    <w:rsid w:val="004E0A1A"/>
    <w:rsid w:val="004E0B13"/>
    <w:rsid w:val="004E31E8"/>
    <w:rsid w:val="004E3500"/>
    <w:rsid w:val="004E425E"/>
    <w:rsid w:val="004E454E"/>
    <w:rsid w:val="004E5030"/>
    <w:rsid w:val="004E5038"/>
    <w:rsid w:val="004E5B45"/>
    <w:rsid w:val="004E7C21"/>
    <w:rsid w:val="004F1756"/>
    <w:rsid w:val="004F197A"/>
    <w:rsid w:val="004F3B69"/>
    <w:rsid w:val="004F3ED9"/>
    <w:rsid w:val="004F46F1"/>
    <w:rsid w:val="004F494C"/>
    <w:rsid w:val="004F59D1"/>
    <w:rsid w:val="004F5EFD"/>
    <w:rsid w:val="00500418"/>
    <w:rsid w:val="00501119"/>
    <w:rsid w:val="00503720"/>
    <w:rsid w:val="005037C2"/>
    <w:rsid w:val="0050431B"/>
    <w:rsid w:val="0050576D"/>
    <w:rsid w:val="005077D2"/>
    <w:rsid w:val="00512631"/>
    <w:rsid w:val="00512E2A"/>
    <w:rsid w:val="00514F3C"/>
    <w:rsid w:val="005155A5"/>
    <w:rsid w:val="00516E97"/>
    <w:rsid w:val="0052036D"/>
    <w:rsid w:val="00520833"/>
    <w:rsid w:val="00520852"/>
    <w:rsid w:val="00521A78"/>
    <w:rsid w:val="0052249F"/>
    <w:rsid w:val="005231F3"/>
    <w:rsid w:val="00530F2E"/>
    <w:rsid w:val="0053189D"/>
    <w:rsid w:val="00531FA2"/>
    <w:rsid w:val="00532E23"/>
    <w:rsid w:val="00534C86"/>
    <w:rsid w:val="005354C5"/>
    <w:rsid w:val="005354F4"/>
    <w:rsid w:val="005375ED"/>
    <w:rsid w:val="00541184"/>
    <w:rsid w:val="005417F6"/>
    <w:rsid w:val="00542430"/>
    <w:rsid w:val="00542876"/>
    <w:rsid w:val="00543CC6"/>
    <w:rsid w:val="005443C5"/>
    <w:rsid w:val="0054530F"/>
    <w:rsid w:val="00545E4C"/>
    <w:rsid w:val="00546714"/>
    <w:rsid w:val="00546F59"/>
    <w:rsid w:val="00547568"/>
    <w:rsid w:val="00547CF3"/>
    <w:rsid w:val="005507E6"/>
    <w:rsid w:val="00551A96"/>
    <w:rsid w:val="00551FF2"/>
    <w:rsid w:val="0055388E"/>
    <w:rsid w:val="005573AF"/>
    <w:rsid w:val="00561212"/>
    <w:rsid w:val="005623E4"/>
    <w:rsid w:val="00567B36"/>
    <w:rsid w:val="005704B8"/>
    <w:rsid w:val="005717F9"/>
    <w:rsid w:val="005726E7"/>
    <w:rsid w:val="00574BC3"/>
    <w:rsid w:val="00575874"/>
    <w:rsid w:val="00575AE5"/>
    <w:rsid w:val="00576282"/>
    <w:rsid w:val="0057785A"/>
    <w:rsid w:val="00577FDC"/>
    <w:rsid w:val="00580EB5"/>
    <w:rsid w:val="0058119F"/>
    <w:rsid w:val="005825B6"/>
    <w:rsid w:val="00583B4F"/>
    <w:rsid w:val="00585B2B"/>
    <w:rsid w:val="00585CB2"/>
    <w:rsid w:val="005878A5"/>
    <w:rsid w:val="005902FC"/>
    <w:rsid w:val="005918B1"/>
    <w:rsid w:val="005922C1"/>
    <w:rsid w:val="00592576"/>
    <w:rsid w:val="005927E2"/>
    <w:rsid w:val="00593369"/>
    <w:rsid w:val="0059380E"/>
    <w:rsid w:val="0059534B"/>
    <w:rsid w:val="00596452"/>
    <w:rsid w:val="0059657C"/>
    <w:rsid w:val="005978D8"/>
    <w:rsid w:val="005A233C"/>
    <w:rsid w:val="005A295C"/>
    <w:rsid w:val="005A2DCB"/>
    <w:rsid w:val="005A3284"/>
    <w:rsid w:val="005A38B6"/>
    <w:rsid w:val="005A43FD"/>
    <w:rsid w:val="005A50E6"/>
    <w:rsid w:val="005A55FB"/>
    <w:rsid w:val="005A5A88"/>
    <w:rsid w:val="005A6F4A"/>
    <w:rsid w:val="005A7092"/>
    <w:rsid w:val="005B2620"/>
    <w:rsid w:val="005B2EAB"/>
    <w:rsid w:val="005B5126"/>
    <w:rsid w:val="005B5CD5"/>
    <w:rsid w:val="005C0777"/>
    <w:rsid w:val="005C20E5"/>
    <w:rsid w:val="005C235E"/>
    <w:rsid w:val="005C26FD"/>
    <w:rsid w:val="005C4C69"/>
    <w:rsid w:val="005C4D52"/>
    <w:rsid w:val="005C58D2"/>
    <w:rsid w:val="005C5C35"/>
    <w:rsid w:val="005C65DB"/>
    <w:rsid w:val="005C689A"/>
    <w:rsid w:val="005D04F0"/>
    <w:rsid w:val="005D2CE2"/>
    <w:rsid w:val="005D2DB4"/>
    <w:rsid w:val="005D442D"/>
    <w:rsid w:val="005D4837"/>
    <w:rsid w:val="005E267A"/>
    <w:rsid w:val="005E3509"/>
    <w:rsid w:val="005E4C54"/>
    <w:rsid w:val="005E5B74"/>
    <w:rsid w:val="005E5D24"/>
    <w:rsid w:val="005E7EEA"/>
    <w:rsid w:val="005F11C5"/>
    <w:rsid w:val="005F134A"/>
    <w:rsid w:val="005F2267"/>
    <w:rsid w:val="005F369C"/>
    <w:rsid w:val="005F46AA"/>
    <w:rsid w:val="005F5ADA"/>
    <w:rsid w:val="00601550"/>
    <w:rsid w:val="006020EE"/>
    <w:rsid w:val="0060296E"/>
    <w:rsid w:val="00604159"/>
    <w:rsid w:val="00604598"/>
    <w:rsid w:val="006067B4"/>
    <w:rsid w:val="00606A1B"/>
    <w:rsid w:val="006117A0"/>
    <w:rsid w:val="00612BD5"/>
    <w:rsid w:val="0061530D"/>
    <w:rsid w:val="006160C5"/>
    <w:rsid w:val="00616BFB"/>
    <w:rsid w:val="006170FB"/>
    <w:rsid w:val="00620569"/>
    <w:rsid w:val="006211E7"/>
    <w:rsid w:val="006228E8"/>
    <w:rsid w:val="00624B91"/>
    <w:rsid w:val="00624FAF"/>
    <w:rsid w:val="00626DBE"/>
    <w:rsid w:val="00630A6F"/>
    <w:rsid w:val="00632382"/>
    <w:rsid w:val="00633A50"/>
    <w:rsid w:val="00633B07"/>
    <w:rsid w:val="006349CB"/>
    <w:rsid w:val="006368BA"/>
    <w:rsid w:val="00637489"/>
    <w:rsid w:val="00637810"/>
    <w:rsid w:val="00640E46"/>
    <w:rsid w:val="006410EF"/>
    <w:rsid w:val="0064156C"/>
    <w:rsid w:val="006422AE"/>
    <w:rsid w:val="0064233E"/>
    <w:rsid w:val="0064470C"/>
    <w:rsid w:val="00645265"/>
    <w:rsid w:val="006516BB"/>
    <w:rsid w:val="0065191D"/>
    <w:rsid w:val="00651990"/>
    <w:rsid w:val="0065276F"/>
    <w:rsid w:val="006552A9"/>
    <w:rsid w:val="00655CE9"/>
    <w:rsid w:val="00657034"/>
    <w:rsid w:val="00657230"/>
    <w:rsid w:val="006574D6"/>
    <w:rsid w:val="00660CF0"/>
    <w:rsid w:val="00660F53"/>
    <w:rsid w:val="0066160B"/>
    <w:rsid w:val="00661975"/>
    <w:rsid w:val="00662CF1"/>
    <w:rsid w:val="006634F9"/>
    <w:rsid w:val="006635EC"/>
    <w:rsid w:val="006639A6"/>
    <w:rsid w:val="006647D8"/>
    <w:rsid w:val="00665078"/>
    <w:rsid w:val="00665224"/>
    <w:rsid w:val="00665E81"/>
    <w:rsid w:val="00666FC4"/>
    <w:rsid w:val="006673C5"/>
    <w:rsid w:val="00667A25"/>
    <w:rsid w:val="006704AF"/>
    <w:rsid w:val="006705D1"/>
    <w:rsid w:val="006710FB"/>
    <w:rsid w:val="00671538"/>
    <w:rsid w:val="00671D33"/>
    <w:rsid w:val="00672CA0"/>
    <w:rsid w:val="00674ED7"/>
    <w:rsid w:val="00676487"/>
    <w:rsid w:val="00676552"/>
    <w:rsid w:val="006771CD"/>
    <w:rsid w:val="006800D0"/>
    <w:rsid w:val="00682B8F"/>
    <w:rsid w:val="00682F0F"/>
    <w:rsid w:val="00683857"/>
    <w:rsid w:val="00685294"/>
    <w:rsid w:val="006852C5"/>
    <w:rsid w:val="006870B3"/>
    <w:rsid w:val="00687496"/>
    <w:rsid w:val="0068792F"/>
    <w:rsid w:val="00691640"/>
    <w:rsid w:val="0069239C"/>
    <w:rsid w:val="0069254E"/>
    <w:rsid w:val="006930E3"/>
    <w:rsid w:val="00694BB8"/>
    <w:rsid w:val="00694E04"/>
    <w:rsid w:val="00694F0C"/>
    <w:rsid w:val="00696F27"/>
    <w:rsid w:val="00697700"/>
    <w:rsid w:val="00697DEE"/>
    <w:rsid w:val="00697F50"/>
    <w:rsid w:val="006A2A19"/>
    <w:rsid w:val="006A3CC4"/>
    <w:rsid w:val="006A4ED9"/>
    <w:rsid w:val="006A66A7"/>
    <w:rsid w:val="006A7009"/>
    <w:rsid w:val="006A7418"/>
    <w:rsid w:val="006A7C90"/>
    <w:rsid w:val="006B08CA"/>
    <w:rsid w:val="006B1F7E"/>
    <w:rsid w:val="006B2E69"/>
    <w:rsid w:val="006B6B2C"/>
    <w:rsid w:val="006C0CAA"/>
    <w:rsid w:val="006C2552"/>
    <w:rsid w:val="006C27F3"/>
    <w:rsid w:val="006C2D83"/>
    <w:rsid w:val="006C31BA"/>
    <w:rsid w:val="006C3F0C"/>
    <w:rsid w:val="006C473F"/>
    <w:rsid w:val="006C7A1F"/>
    <w:rsid w:val="006D083B"/>
    <w:rsid w:val="006D0A2F"/>
    <w:rsid w:val="006D0D39"/>
    <w:rsid w:val="006D0EBA"/>
    <w:rsid w:val="006D1186"/>
    <w:rsid w:val="006D226C"/>
    <w:rsid w:val="006D242A"/>
    <w:rsid w:val="006D29D2"/>
    <w:rsid w:val="006D4CA9"/>
    <w:rsid w:val="006D5326"/>
    <w:rsid w:val="006D6E83"/>
    <w:rsid w:val="006D77D6"/>
    <w:rsid w:val="006D794F"/>
    <w:rsid w:val="006E0232"/>
    <w:rsid w:val="006E21FB"/>
    <w:rsid w:val="006E3ED4"/>
    <w:rsid w:val="006E5560"/>
    <w:rsid w:val="006E628B"/>
    <w:rsid w:val="006E66CC"/>
    <w:rsid w:val="006E725C"/>
    <w:rsid w:val="006F03F6"/>
    <w:rsid w:val="006F12DE"/>
    <w:rsid w:val="006F131A"/>
    <w:rsid w:val="006F34EC"/>
    <w:rsid w:val="006F48DA"/>
    <w:rsid w:val="006F4DF3"/>
    <w:rsid w:val="006F59A1"/>
    <w:rsid w:val="006F68C8"/>
    <w:rsid w:val="006F6EB5"/>
    <w:rsid w:val="006F7DA5"/>
    <w:rsid w:val="007009C5"/>
    <w:rsid w:val="0070119A"/>
    <w:rsid w:val="00702F63"/>
    <w:rsid w:val="00703CAE"/>
    <w:rsid w:val="00705511"/>
    <w:rsid w:val="00706228"/>
    <w:rsid w:val="00706259"/>
    <w:rsid w:val="00706A8E"/>
    <w:rsid w:val="0070784B"/>
    <w:rsid w:val="00710ACE"/>
    <w:rsid w:val="00710B99"/>
    <w:rsid w:val="00712BE0"/>
    <w:rsid w:val="007149B3"/>
    <w:rsid w:val="00714F6A"/>
    <w:rsid w:val="00715036"/>
    <w:rsid w:val="007153C9"/>
    <w:rsid w:val="00715880"/>
    <w:rsid w:val="00715C4A"/>
    <w:rsid w:val="0071669E"/>
    <w:rsid w:val="00720096"/>
    <w:rsid w:val="00720401"/>
    <w:rsid w:val="007204B8"/>
    <w:rsid w:val="0072082C"/>
    <w:rsid w:val="0072162E"/>
    <w:rsid w:val="007230DE"/>
    <w:rsid w:val="00723F69"/>
    <w:rsid w:val="0072617F"/>
    <w:rsid w:val="00726B9B"/>
    <w:rsid w:val="007271D7"/>
    <w:rsid w:val="007314B0"/>
    <w:rsid w:val="0073158B"/>
    <w:rsid w:val="0073220B"/>
    <w:rsid w:val="00733934"/>
    <w:rsid w:val="0073724F"/>
    <w:rsid w:val="00740AA6"/>
    <w:rsid w:val="0074189D"/>
    <w:rsid w:val="00742480"/>
    <w:rsid w:val="007430D7"/>
    <w:rsid w:val="00743DD4"/>
    <w:rsid w:val="007447DE"/>
    <w:rsid w:val="00744D63"/>
    <w:rsid w:val="00745981"/>
    <w:rsid w:val="007460AF"/>
    <w:rsid w:val="00747184"/>
    <w:rsid w:val="007472C3"/>
    <w:rsid w:val="0074781A"/>
    <w:rsid w:val="007479DE"/>
    <w:rsid w:val="00750CDD"/>
    <w:rsid w:val="00751A3A"/>
    <w:rsid w:val="007540E2"/>
    <w:rsid w:val="007541AC"/>
    <w:rsid w:val="007543C7"/>
    <w:rsid w:val="0075489B"/>
    <w:rsid w:val="00754E6C"/>
    <w:rsid w:val="007615C1"/>
    <w:rsid w:val="0076257D"/>
    <w:rsid w:val="00762A70"/>
    <w:rsid w:val="007645FA"/>
    <w:rsid w:val="00765194"/>
    <w:rsid w:val="00765827"/>
    <w:rsid w:val="00766AE9"/>
    <w:rsid w:val="00770A3B"/>
    <w:rsid w:val="00771D9B"/>
    <w:rsid w:val="00772137"/>
    <w:rsid w:val="007722EC"/>
    <w:rsid w:val="00773B75"/>
    <w:rsid w:val="0077661B"/>
    <w:rsid w:val="0077687B"/>
    <w:rsid w:val="00777AD8"/>
    <w:rsid w:val="00780B40"/>
    <w:rsid w:val="00781D7B"/>
    <w:rsid w:val="00782D69"/>
    <w:rsid w:val="00784518"/>
    <w:rsid w:val="00784B34"/>
    <w:rsid w:val="00786959"/>
    <w:rsid w:val="00787B3B"/>
    <w:rsid w:val="00791268"/>
    <w:rsid w:val="00792991"/>
    <w:rsid w:val="00792F25"/>
    <w:rsid w:val="007958CF"/>
    <w:rsid w:val="00796A40"/>
    <w:rsid w:val="00796DF2"/>
    <w:rsid w:val="00796F30"/>
    <w:rsid w:val="00797BAC"/>
    <w:rsid w:val="007A1FB1"/>
    <w:rsid w:val="007A71A1"/>
    <w:rsid w:val="007A7B71"/>
    <w:rsid w:val="007A7E1C"/>
    <w:rsid w:val="007B0774"/>
    <w:rsid w:val="007B07E2"/>
    <w:rsid w:val="007B0EF0"/>
    <w:rsid w:val="007B11B9"/>
    <w:rsid w:val="007B210A"/>
    <w:rsid w:val="007B2124"/>
    <w:rsid w:val="007B2CB4"/>
    <w:rsid w:val="007B36D5"/>
    <w:rsid w:val="007B3DA6"/>
    <w:rsid w:val="007B528F"/>
    <w:rsid w:val="007C0BE5"/>
    <w:rsid w:val="007C13B2"/>
    <w:rsid w:val="007C1BC0"/>
    <w:rsid w:val="007C3856"/>
    <w:rsid w:val="007C3C41"/>
    <w:rsid w:val="007C4130"/>
    <w:rsid w:val="007C46A9"/>
    <w:rsid w:val="007C5D5D"/>
    <w:rsid w:val="007C616F"/>
    <w:rsid w:val="007C6A68"/>
    <w:rsid w:val="007C6C89"/>
    <w:rsid w:val="007C6FE5"/>
    <w:rsid w:val="007C76F0"/>
    <w:rsid w:val="007D0398"/>
    <w:rsid w:val="007D1DE2"/>
    <w:rsid w:val="007D2E1E"/>
    <w:rsid w:val="007D3CB5"/>
    <w:rsid w:val="007E122A"/>
    <w:rsid w:val="007E267B"/>
    <w:rsid w:val="007E2BF4"/>
    <w:rsid w:val="007E3422"/>
    <w:rsid w:val="007E39A4"/>
    <w:rsid w:val="007E4404"/>
    <w:rsid w:val="007E5BD6"/>
    <w:rsid w:val="007F000E"/>
    <w:rsid w:val="007F0D35"/>
    <w:rsid w:val="007F1102"/>
    <w:rsid w:val="007F2AC3"/>
    <w:rsid w:val="007F2D0D"/>
    <w:rsid w:val="007F33CE"/>
    <w:rsid w:val="007F3DD5"/>
    <w:rsid w:val="007F4617"/>
    <w:rsid w:val="007F6BCA"/>
    <w:rsid w:val="007F751F"/>
    <w:rsid w:val="007F7F1B"/>
    <w:rsid w:val="008007DC"/>
    <w:rsid w:val="00800CCE"/>
    <w:rsid w:val="00801D66"/>
    <w:rsid w:val="00802EEA"/>
    <w:rsid w:val="00803726"/>
    <w:rsid w:val="008063DC"/>
    <w:rsid w:val="00807422"/>
    <w:rsid w:val="00807EFF"/>
    <w:rsid w:val="00811F70"/>
    <w:rsid w:val="0081246A"/>
    <w:rsid w:val="00812A9F"/>
    <w:rsid w:val="00812FB7"/>
    <w:rsid w:val="00814704"/>
    <w:rsid w:val="00815E68"/>
    <w:rsid w:val="00816083"/>
    <w:rsid w:val="00816E1F"/>
    <w:rsid w:val="00817445"/>
    <w:rsid w:val="00817BCE"/>
    <w:rsid w:val="008203F2"/>
    <w:rsid w:val="00820434"/>
    <w:rsid w:val="00820CEE"/>
    <w:rsid w:val="00821976"/>
    <w:rsid w:val="00821C1D"/>
    <w:rsid w:val="008230BF"/>
    <w:rsid w:val="0082336C"/>
    <w:rsid w:val="008241A5"/>
    <w:rsid w:val="0082460A"/>
    <w:rsid w:val="008266D5"/>
    <w:rsid w:val="00826ACC"/>
    <w:rsid w:val="00826F5A"/>
    <w:rsid w:val="00827904"/>
    <w:rsid w:val="00830401"/>
    <w:rsid w:val="00834681"/>
    <w:rsid w:val="00834977"/>
    <w:rsid w:val="00834D17"/>
    <w:rsid w:val="00835998"/>
    <w:rsid w:val="00837371"/>
    <w:rsid w:val="00837F57"/>
    <w:rsid w:val="008400BE"/>
    <w:rsid w:val="008407D9"/>
    <w:rsid w:val="008408C0"/>
    <w:rsid w:val="00841609"/>
    <w:rsid w:val="00841F36"/>
    <w:rsid w:val="008424A8"/>
    <w:rsid w:val="00842E97"/>
    <w:rsid w:val="008445D3"/>
    <w:rsid w:val="00844845"/>
    <w:rsid w:val="00844BF6"/>
    <w:rsid w:val="00844DC6"/>
    <w:rsid w:val="008457E7"/>
    <w:rsid w:val="00846B3B"/>
    <w:rsid w:val="008470DC"/>
    <w:rsid w:val="008477B5"/>
    <w:rsid w:val="00852B86"/>
    <w:rsid w:val="00853578"/>
    <w:rsid w:val="008544DA"/>
    <w:rsid w:val="008549B4"/>
    <w:rsid w:val="00855498"/>
    <w:rsid w:val="00856176"/>
    <w:rsid w:val="00856673"/>
    <w:rsid w:val="008567BC"/>
    <w:rsid w:val="00860AB9"/>
    <w:rsid w:val="0086356B"/>
    <w:rsid w:val="00864841"/>
    <w:rsid w:val="00864876"/>
    <w:rsid w:val="00864DE0"/>
    <w:rsid w:val="008658DC"/>
    <w:rsid w:val="00865C5E"/>
    <w:rsid w:val="008673A1"/>
    <w:rsid w:val="0087049A"/>
    <w:rsid w:val="00870F25"/>
    <w:rsid w:val="00871FEA"/>
    <w:rsid w:val="00872618"/>
    <w:rsid w:val="008727DF"/>
    <w:rsid w:val="00872B03"/>
    <w:rsid w:val="00875455"/>
    <w:rsid w:val="008756BB"/>
    <w:rsid w:val="00875ADA"/>
    <w:rsid w:val="00875EDB"/>
    <w:rsid w:val="0087641E"/>
    <w:rsid w:val="0087727E"/>
    <w:rsid w:val="00877702"/>
    <w:rsid w:val="008777D4"/>
    <w:rsid w:val="00877B56"/>
    <w:rsid w:val="00877C99"/>
    <w:rsid w:val="00877DDD"/>
    <w:rsid w:val="00877FCD"/>
    <w:rsid w:val="008805EF"/>
    <w:rsid w:val="00880643"/>
    <w:rsid w:val="00880856"/>
    <w:rsid w:val="00881A66"/>
    <w:rsid w:val="0088259B"/>
    <w:rsid w:val="0088349F"/>
    <w:rsid w:val="008835C1"/>
    <w:rsid w:val="00883619"/>
    <w:rsid w:val="00885FE6"/>
    <w:rsid w:val="00886CC1"/>
    <w:rsid w:val="0088789D"/>
    <w:rsid w:val="00890B08"/>
    <w:rsid w:val="00890CFA"/>
    <w:rsid w:val="00891454"/>
    <w:rsid w:val="00892636"/>
    <w:rsid w:val="0089357D"/>
    <w:rsid w:val="00893B1E"/>
    <w:rsid w:val="008950C2"/>
    <w:rsid w:val="00896273"/>
    <w:rsid w:val="00896ADD"/>
    <w:rsid w:val="008970DE"/>
    <w:rsid w:val="008979BB"/>
    <w:rsid w:val="008A0EC2"/>
    <w:rsid w:val="008A1D09"/>
    <w:rsid w:val="008A3444"/>
    <w:rsid w:val="008A4274"/>
    <w:rsid w:val="008A5689"/>
    <w:rsid w:val="008A60A4"/>
    <w:rsid w:val="008A61F6"/>
    <w:rsid w:val="008A6E13"/>
    <w:rsid w:val="008B2120"/>
    <w:rsid w:val="008B2681"/>
    <w:rsid w:val="008B38F8"/>
    <w:rsid w:val="008B44AF"/>
    <w:rsid w:val="008B4EAB"/>
    <w:rsid w:val="008B60A2"/>
    <w:rsid w:val="008B6FCA"/>
    <w:rsid w:val="008C02AB"/>
    <w:rsid w:val="008C02C0"/>
    <w:rsid w:val="008C1B43"/>
    <w:rsid w:val="008C1F00"/>
    <w:rsid w:val="008C43E1"/>
    <w:rsid w:val="008C4503"/>
    <w:rsid w:val="008C5B62"/>
    <w:rsid w:val="008C7FA4"/>
    <w:rsid w:val="008D124B"/>
    <w:rsid w:val="008D14B5"/>
    <w:rsid w:val="008D20DC"/>
    <w:rsid w:val="008D34A9"/>
    <w:rsid w:val="008D4CDA"/>
    <w:rsid w:val="008D4F40"/>
    <w:rsid w:val="008D57FD"/>
    <w:rsid w:val="008D6357"/>
    <w:rsid w:val="008D6B04"/>
    <w:rsid w:val="008D6CDB"/>
    <w:rsid w:val="008E0F50"/>
    <w:rsid w:val="008E125D"/>
    <w:rsid w:val="008E1BDC"/>
    <w:rsid w:val="008E2590"/>
    <w:rsid w:val="008E2BF0"/>
    <w:rsid w:val="008E6055"/>
    <w:rsid w:val="008F0F31"/>
    <w:rsid w:val="008F1C25"/>
    <w:rsid w:val="008F1C6B"/>
    <w:rsid w:val="008F26B4"/>
    <w:rsid w:val="008F2AFA"/>
    <w:rsid w:val="008F414A"/>
    <w:rsid w:val="008F64A7"/>
    <w:rsid w:val="008F7144"/>
    <w:rsid w:val="008F771A"/>
    <w:rsid w:val="008F7EC6"/>
    <w:rsid w:val="00900067"/>
    <w:rsid w:val="0090124E"/>
    <w:rsid w:val="00901E27"/>
    <w:rsid w:val="00901EBB"/>
    <w:rsid w:val="00903826"/>
    <w:rsid w:val="00904ADF"/>
    <w:rsid w:val="00906A57"/>
    <w:rsid w:val="00906ACF"/>
    <w:rsid w:val="00911561"/>
    <w:rsid w:val="00911ED2"/>
    <w:rsid w:val="00911FD6"/>
    <w:rsid w:val="0091243E"/>
    <w:rsid w:val="009135E0"/>
    <w:rsid w:val="00913B6F"/>
    <w:rsid w:val="00913BD4"/>
    <w:rsid w:val="0091755F"/>
    <w:rsid w:val="00917743"/>
    <w:rsid w:val="00917AF9"/>
    <w:rsid w:val="009244E1"/>
    <w:rsid w:val="00926344"/>
    <w:rsid w:val="009268D7"/>
    <w:rsid w:val="00926A73"/>
    <w:rsid w:val="00926C40"/>
    <w:rsid w:val="00927D54"/>
    <w:rsid w:val="00930144"/>
    <w:rsid w:val="00930CCA"/>
    <w:rsid w:val="00933145"/>
    <w:rsid w:val="00934049"/>
    <w:rsid w:val="00934876"/>
    <w:rsid w:val="0093525D"/>
    <w:rsid w:val="00935687"/>
    <w:rsid w:val="00935CB6"/>
    <w:rsid w:val="0093611E"/>
    <w:rsid w:val="00936B36"/>
    <w:rsid w:val="00936BE0"/>
    <w:rsid w:val="009378F9"/>
    <w:rsid w:val="00941DE6"/>
    <w:rsid w:val="00943F25"/>
    <w:rsid w:val="00944011"/>
    <w:rsid w:val="009451EB"/>
    <w:rsid w:val="009468A0"/>
    <w:rsid w:val="009477B8"/>
    <w:rsid w:val="00950F36"/>
    <w:rsid w:val="00951753"/>
    <w:rsid w:val="0095198C"/>
    <w:rsid w:val="00951EF1"/>
    <w:rsid w:val="00952739"/>
    <w:rsid w:val="009564A6"/>
    <w:rsid w:val="00956681"/>
    <w:rsid w:val="00957829"/>
    <w:rsid w:val="00957C8D"/>
    <w:rsid w:val="00957E7C"/>
    <w:rsid w:val="0096058C"/>
    <w:rsid w:val="009606E9"/>
    <w:rsid w:val="00961085"/>
    <w:rsid w:val="00961241"/>
    <w:rsid w:val="009639D4"/>
    <w:rsid w:val="00964FF9"/>
    <w:rsid w:val="00965001"/>
    <w:rsid w:val="00966428"/>
    <w:rsid w:val="0096773A"/>
    <w:rsid w:val="00970141"/>
    <w:rsid w:val="00970A2D"/>
    <w:rsid w:val="00970DD1"/>
    <w:rsid w:val="00971E55"/>
    <w:rsid w:val="00974922"/>
    <w:rsid w:val="009776D2"/>
    <w:rsid w:val="009776ED"/>
    <w:rsid w:val="00977728"/>
    <w:rsid w:val="00980577"/>
    <w:rsid w:val="00980E75"/>
    <w:rsid w:val="00983CEA"/>
    <w:rsid w:val="00985D28"/>
    <w:rsid w:val="00986758"/>
    <w:rsid w:val="00986CA7"/>
    <w:rsid w:val="00991857"/>
    <w:rsid w:val="00991D10"/>
    <w:rsid w:val="00996438"/>
    <w:rsid w:val="00997746"/>
    <w:rsid w:val="00997C21"/>
    <w:rsid w:val="009A0A43"/>
    <w:rsid w:val="009A1B23"/>
    <w:rsid w:val="009A2294"/>
    <w:rsid w:val="009A35C0"/>
    <w:rsid w:val="009A6301"/>
    <w:rsid w:val="009A6357"/>
    <w:rsid w:val="009A6485"/>
    <w:rsid w:val="009B06F5"/>
    <w:rsid w:val="009B172A"/>
    <w:rsid w:val="009B2936"/>
    <w:rsid w:val="009B337C"/>
    <w:rsid w:val="009B33C1"/>
    <w:rsid w:val="009B3F70"/>
    <w:rsid w:val="009B46AD"/>
    <w:rsid w:val="009C034B"/>
    <w:rsid w:val="009C20F2"/>
    <w:rsid w:val="009C24D3"/>
    <w:rsid w:val="009C3163"/>
    <w:rsid w:val="009C34B2"/>
    <w:rsid w:val="009C475A"/>
    <w:rsid w:val="009C5DEC"/>
    <w:rsid w:val="009C6B61"/>
    <w:rsid w:val="009D004B"/>
    <w:rsid w:val="009D02D9"/>
    <w:rsid w:val="009D2124"/>
    <w:rsid w:val="009D2E34"/>
    <w:rsid w:val="009D2F2F"/>
    <w:rsid w:val="009D38DE"/>
    <w:rsid w:val="009D3F69"/>
    <w:rsid w:val="009D4BE6"/>
    <w:rsid w:val="009D5EF1"/>
    <w:rsid w:val="009D69D1"/>
    <w:rsid w:val="009D6B8C"/>
    <w:rsid w:val="009D7EE7"/>
    <w:rsid w:val="009E0345"/>
    <w:rsid w:val="009E147E"/>
    <w:rsid w:val="009E2D52"/>
    <w:rsid w:val="009E34C1"/>
    <w:rsid w:val="009E3613"/>
    <w:rsid w:val="009E58B9"/>
    <w:rsid w:val="009E6637"/>
    <w:rsid w:val="009E6E4F"/>
    <w:rsid w:val="009E70D9"/>
    <w:rsid w:val="009E7CBF"/>
    <w:rsid w:val="009F1551"/>
    <w:rsid w:val="009F1755"/>
    <w:rsid w:val="009F367A"/>
    <w:rsid w:val="009F36E5"/>
    <w:rsid w:val="009F39DA"/>
    <w:rsid w:val="009F5D65"/>
    <w:rsid w:val="00A021DF"/>
    <w:rsid w:val="00A03308"/>
    <w:rsid w:val="00A054A4"/>
    <w:rsid w:val="00A10735"/>
    <w:rsid w:val="00A10C7D"/>
    <w:rsid w:val="00A1226A"/>
    <w:rsid w:val="00A12E63"/>
    <w:rsid w:val="00A14453"/>
    <w:rsid w:val="00A1513B"/>
    <w:rsid w:val="00A154A2"/>
    <w:rsid w:val="00A16EB7"/>
    <w:rsid w:val="00A21508"/>
    <w:rsid w:val="00A215B1"/>
    <w:rsid w:val="00A221BB"/>
    <w:rsid w:val="00A224DD"/>
    <w:rsid w:val="00A23A0A"/>
    <w:rsid w:val="00A263D4"/>
    <w:rsid w:val="00A270A8"/>
    <w:rsid w:val="00A27B5C"/>
    <w:rsid w:val="00A31975"/>
    <w:rsid w:val="00A32083"/>
    <w:rsid w:val="00A322B4"/>
    <w:rsid w:val="00A3238B"/>
    <w:rsid w:val="00A32D3A"/>
    <w:rsid w:val="00A3428D"/>
    <w:rsid w:val="00A34DB2"/>
    <w:rsid w:val="00A34E50"/>
    <w:rsid w:val="00A36127"/>
    <w:rsid w:val="00A3616B"/>
    <w:rsid w:val="00A36201"/>
    <w:rsid w:val="00A37AC5"/>
    <w:rsid w:val="00A4051B"/>
    <w:rsid w:val="00A406DA"/>
    <w:rsid w:val="00A40920"/>
    <w:rsid w:val="00A426E9"/>
    <w:rsid w:val="00A42BF4"/>
    <w:rsid w:val="00A4394A"/>
    <w:rsid w:val="00A45D4E"/>
    <w:rsid w:val="00A4694E"/>
    <w:rsid w:val="00A51940"/>
    <w:rsid w:val="00A51E76"/>
    <w:rsid w:val="00A541CE"/>
    <w:rsid w:val="00A57BD0"/>
    <w:rsid w:val="00A6155D"/>
    <w:rsid w:val="00A64423"/>
    <w:rsid w:val="00A65098"/>
    <w:rsid w:val="00A65575"/>
    <w:rsid w:val="00A6559F"/>
    <w:rsid w:val="00A663BE"/>
    <w:rsid w:val="00A67D00"/>
    <w:rsid w:val="00A70F2F"/>
    <w:rsid w:val="00A716C3"/>
    <w:rsid w:val="00A719FA"/>
    <w:rsid w:val="00A7209B"/>
    <w:rsid w:val="00A74136"/>
    <w:rsid w:val="00A744FA"/>
    <w:rsid w:val="00A773C5"/>
    <w:rsid w:val="00A7775B"/>
    <w:rsid w:val="00A8078C"/>
    <w:rsid w:val="00A82B1A"/>
    <w:rsid w:val="00A82DF3"/>
    <w:rsid w:val="00A848B8"/>
    <w:rsid w:val="00A84AD0"/>
    <w:rsid w:val="00A8507C"/>
    <w:rsid w:val="00A86262"/>
    <w:rsid w:val="00A87AAF"/>
    <w:rsid w:val="00A913E5"/>
    <w:rsid w:val="00A91C6F"/>
    <w:rsid w:val="00A93C0B"/>
    <w:rsid w:val="00A95666"/>
    <w:rsid w:val="00A96638"/>
    <w:rsid w:val="00A97007"/>
    <w:rsid w:val="00A973CE"/>
    <w:rsid w:val="00A97608"/>
    <w:rsid w:val="00A97B43"/>
    <w:rsid w:val="00A97E9C"/>
    <w:rsid w:val="00AA0624"/>
    <w:rsid w:val="00AA0891"/>
    <w:rsid w:val="00AA1D7E"/>
    <w:rsid w:val="00AA26CC"/>
    <w:rsid w:val="00AA27EC"/>
    <w:rsid w:val="00AA328D"/>
    <w:rsid w:val="00AA3CD2"/>
    <w:rsid w:val="00AA5BB3"/>
    <w:rsid w:val="00AA79B4"/>
    <w:rsid w:val="00AA7A9D"/>
    <w:rsid w:val="00AA7C55"/>
    <w:rsid w:val="00AB065D"/>
    <w:rsid w:val="00AB1060"/>
    <w:rsid w:val="00AB2079"/>
    <w:rsid w:val="00AB300B"/>
    <w:rsid w:val="00AB3604"/>
    <w:rsid w:val="00AB52E7"/>
    <w:rsid w:val="00AB6187"/>
    <w:rsid w:val="00AB7ABA"/>
    <w:rsid w:val="00AC0910"/>
    <w:rsid w:val="00AC0F19"/>
    <w:rsid w:val="00AC1683"/>
    <w:rsid w:val="00AC18EA"/>
    <w:rsid w:val="00AC1E5B"/>
    <w:rsid w:val="00AC3BA0"/>
    <w:rsid w:val="00AC3C6B"/>
    <w:rsid w:val="00AC3CBA"/>
    <w:rsid w:val="00AC5CA4"/>
    <w:rsid w:val="00AC5E3E"/>
    <w:rsid w:val="00AC6520"/>
    <w:rsid w:val="00AC7487"/>
    <w:rsid w:val="00AD0436"/>
    <w:rsid w:val="00AD0A67"/>
    <w:rsid w:val="00AD0DEC"/>
    <w:rsid w:val="00AD1763"/>
    <w:rsid w:val="00AD27B4"/>
    <w:rsid w:val="00AD2F22"/>
    <w:rsid w:val="00AD42DC"/>
    <w:rsid w:val="00AD67DB"/>
    <w:rsid w:val="00AD6B4C"/>
    <w:rsid w:val="00AD74F6"/>
    <w:rsid w:val="00AE089F"/>
    <w:rsid w:val="00AE098E"/>
    <w:rsid w:val="00AE1752"/>
    <w:rsid w:val="00AE1DB6"/>
    <w:rsid w:val="00AE2A3C"/>
    <w:rsid w:val="00AE4483"/>
    <w:rsid w:val="00AE5F73"/>
    <w:rsid w:val="00AE6813"/>
    <w:rsid w:val="00AE6BDA"/>
    <w:rsid w:val="00AE72E8"/>
    <w:rsid w:val="00AE7886"/>
    <w:rsid w:val="00AF1D5B"/>
    <w:rsid w:val="00AF2B57"/>
    <w:rsid w:val="00AF346D"/>
    <w:rsid w:val="00AF3EB3"/>
    <w:rsid w:val="00AF47AB"/>
    <w:rsid w:val="00AF47D2"/>
    <w:rsid w:val="00AF69E0"/>
    <w:rsid w:val="00AF7119"/>
    <w:rsid w:val="00AF7536"/>
    <w:rsid w:val="00AF7A66"/>
    <w:rsid w:val="00B00076"/>
    <w:rsid w:val="00B0106E"/>
    <w:rsid w:val="00B01618"/>
    <w:rsid w:val="00B01A9E"/>
    <w:rsid w:val="00B01EA1"/>
    <w:rsid w:val="00B02067"/>
    <w:rsid w:val="00B020E7"/>
    <w:rsid w:val="00B0257E"/>
    <w:rsid w:val="00B029D9"/>
    <w:rsid w:val="00B041D8"/>
    <w:rsid w:val="00B04B91"/>
    <w:rsid w:val="00B059E7"/>
    <w:rsid w:val="00B07269"/>
    <w:rsid w:val="00B07EA6"/>
    <w:rsid w:val="00B10606"/>
    <w:rsid w:val="00B13309"/>
    <w:rsid w:val="00B136FB"/>
    <w:rsid w:val="00B13F22"/>
    <w:rsid w:val="00B16172"/>
    <w:rsid w:val="00B20A3A"/>
    <w:rsid w:val="00B20C20"/>
    <w:rsid w:val="00B20FD0"/>
    <w:rsid w:val="00B228ED"/>
    <w:rsid w:val="00B247E3"/>
    <w:rsid w:val="00B249FA"/>
    <w:rsid w:val="00B31118"/>
    <w:rsid w:val="00B321D8"/>
    <w:rsid w:val="00B33648"/>
    <w:rsid w:val="00B33831"/>
    <w:rsid w:val="00B34458"/>
    <w:rsid w:val="00B35003"/>
    <w:rsid w:val="00B3563D"/>
    <w:rsid w:val="00B419EC"/>
    <w:rsid w:val="00B41E4C"/>
    <w:rsid w:val="00B42BEC"/>
    <w:rsid w:val="00B42C8C"/>
    <w:rsid w:val="00B43AB7"/>
    <w:rsid w:val="00B4532F"/>
    <w:rsid w:val="00B45DA2"/>
    <w:rsid w:val="00B4736F"/>
    <w:rsid w:val="00B501DA"/>
    <w:rsid w:val="00B51B82"/>
    <w:rsid w:val="00B52039"/>
    <w:rsid w:val="00B529D8"/>
    <w:rsid w:val="00B52C51"/>
    <w:rsid w:val="00B5347C"/>
    <w:rsid w:val="00B55237"/>
    <w:rsid w:val="00B57CFC"/>
    <w:rsid w:val="00B60593"/>
    <w:rsid w:val="00B619B7"/>
    <w:rsid w:val="00B61A43"/>
    <w:rsid w:val="00B64DF7"/>
    <w:rsid w:val="00B678C9"/>
    <w:rsid w:val="00B71498"/>
    <w:rsid w:val="00B71DE3"/>
    <w:rsid w:val="00B724E3"/>
    <w:rsid w:val="00B7251F"/>
    <w:rsid w:val="00B72AF7"/>
    <w:rsid w:val="00B745CA"/>
    <w:rsid w:val="00B75513"/>
    <w:rsid w:val="00B7597A"/>
    <w:rsid w:val="00B759E9"/>
    <w:rsid w:val="00B761BC"/>
    <w:rsid w:val="00B77B51"/>
    <w:rsid w:val="00B80780"/>
    <w:rsid w:val="00B8208D"/>
    <w:rsid w:val="00B84029"/>
    <w:rsid w:val="00B8472D"/>
    <w:rsid w:val="00B84BFF"/>
    <w:rsid w:val="00B85208"/>
    <w:rsid w:val="00B903A2"/>
    <w:rsid w:val="00B92416"/>
    <w:rsid w:val="00B927E3"/>
    <w:rsid w:val="00B94947"/>
    <w:rsid w:val="00B94FA9"/>
    <w:rsid w:val="00B95448"/>
    <w:rsid w:val="00B9671E"/>
    <w:rsid w:val="00B97988"/>
    <w:rsid w:val="00B97B5A"/>
    <w:rsid w:val="00BA0535"/>
    <w:rsid w:val="00BA2364"/>
    <w:rsid w:val="00BA46D9"/>
    <w:rsid w:val="00BA5FA2"/>
    <w:rsid w:val="00BB057B"/>
    <w:rsid w:val="00BB20E8"/>
    <w:rsid w:val="00BB317C"/>
    <w:rsid w:val="00BB4FB5"/>
    <w:rsid w:val="00BB555F"/>
    <w:rsid w:val="00BB5810"/>
    <w:rsid w:val="00BB5F70"/>
    <w:rsid w:val="00BC087C"/>
    <w:rsid w:val="00BC156F"/>
    <w:rsid w:val="00BC2A53"/>
    <w:rsid w:val="00BC3716"/>
    <w:rsid w:val="00BC42BE"/>
    <w:rsid w:val="00BC5F03"/>
    <w:rsid w:val="00BC617D"/>
    <w:rsid w:val="00BD128D"/>
    <w:rsid w:val="00BD2859"/>
    <w:rsid w:val="00BD3F81"/>
    <w:rsid w:val="00BD3FB9"/>
    <w:rsid w:val="00BD602D"/>
    <w:rsid w:val="00BD6711"/>
    <w:rsid w:val="00BD7229"/>
    <w:rsid w:val="00BD7EA9"/>
    <w:rsid w:val="00BE008F"/>
    <w:rsid w:val="00BE03EE"/>
    <w:rsid w:val="00BE0B8E"/>
    <w:rsid w:val="00BE437E"/>
    <w:rsid w:val="00BE4533"/>
    <w:rsid w:val="00BE4CB9"/>
    <w:rsid w:val="00BE4D2A"/>
    <w:rsid w:val="00BE6434"/>
    <w:rsid w:val="00BF027C"/>
    <w:rsid w:val="00BF0CC2"/>
    <w:rsid w:val="00BF2DD1"/>
    <w:rsid w:val="00BF5790"/>
    <w:rsid w:val="00BF7A13"/>
    <w:rsid w:val="00BF7CF6"/>
    <w:rsid w:val="00BF7DBE"/>
    <w:rsid w:val="00C0058E"/>
    <w:rsid w:val="00C00BB7"/>
    <w:rsid w:val="00C00CFB"/>
    <w:rsid w:val="00C02136"/>
    <w:rsid w:val="00C03BD6"/>
    <w:rsid w:val="00C06AFD"/>
    <w:rsid w:val="00C06FA9"/>
    <w:rsid w:val="00C0786A"/>
    <w:rsid w:val="00C07904"/>
    <w:rsid w:val="00C07E00"/>
    <w:rsid w:val="00C10979"/>
    <w:rsid w:val="00C10D22"/>
    <w:rsid w:val="00C10DBE"/>
    <w:rsid w:val="00C10EB2"/>
    <w:rsid w:val="00C1160E"/>
    <w:rsid w:val="00C12AEF"/>
    <w:rsid w:val="00C131B9"/>
    <w:rsid w:val="00C13401"/>
    <w:rsid w:val="00C142F8"/>
    <w:rsid w:val="00C15022"/>
    <w:rsid w:val="00C1692D"/>
    <w:rsid w:val="00C17376"/>
    <w:rsid w:val="00C20BE5"/>
    <w:rsid w:val="00C213C1"/>
    <w:rsid w:val="00C2204E"/>
    <w:rsid w:val="00C22ED9"/>
    <w:rsid w:val="00C2321A"/>
    <w:rsid w:val="00C24BBB"/>
    <w:rsid w:val="00C24F1F"/>
    <w:rsid w:val="00C25F41"/>
    <w:rsid w:val="00C263FD"/>
    <w:rsid w:val="00C267B7"/>
    <w:rsid w:val="00C3007A"/>
    <w:rsid w:val="00C300A8"/>
    <w:rsid w:val="00C31BB0"/>
    <w:rsid w:val="00C3372A"/>
    <w:rsid w:val="00C3673A"/>
    <w:rsid w:val="00C37378"/>
    <w:rsid w:val="00C401BB"/>
    <w:rsid w:val="00C40214"/>
    <w:rsid w:val="00C40EAA"/>
    <w:rsid w:val="00C40EB2"/>
    <w:rsid w:val="00C40F72"/>
    <w:rsid w:val="00C414C2"/>
    <w:rsid w:val="00C417D2"/>
    <w:rsid w:val="00C41E1C"/>
    <w:rsid w:val="00C42591"/>
    <w:rsid w:val="00C43D86"/>
    <w:rsid w:val="00C44A6C"/>
    <w:rsid w:val="00C45EB6"/>
    <w:rsid w:val="00C47AA1"/>
    <w:rsid w:val="00C5092A"/>
    <w:rsid w:val="00C51685"/>
    <w:rsid w:val="00C51E68"/>
    <w:rsid w:val="00C52B57"/>
    <w:rsid w:val="00C5560A"/>
    <w:rsid w:val="00C5563C"/>
    <w:rsid w:val="00C557EE"/>
    <w:rsid w:val="00C55C89"/>
    <w:rsid w:val="00C562B3"/>
    <w:rsid w:val="00C57B86"/>
    <w:rsid w:val="00C61F25"/>
    <w:rsid w:val="00C62F34"/>
    <w:rsid w:val="00C65804"/>
    <w:rsid w:val="00C66CB9"/>
    <w:rsid w:val="00C66DA4"/>
    <w:rsid w:val="00C67680"/>
    <w:rsid w:val="00C70BEC"/>
    <w:rsid w:val="00C714FC"/>
    <w:rsid w:val="00C7660A"/>
    <w:rsid w:val="00C76701"/>
    <w:rsid w:val="00C76855"/>
    <w:rsid w:val="00C774EB"/>
    <w:rsid w:val="00C81448"/>
    <w:rsid w:val="00C8186B"/>
    <w:rsid w:val="00C838FA"/>
    <w:rsid w:val="00C8532A"/>
    <w:rsid w:val="00C85B31"/>
    <w:rsid w:val="00C869B1"/>
    <w:rsid w:val="00C936C4"/>
    <w:rsid w:val="00C93D1B"/>
    <w:rsid w:val="00C949CF"/>
    <w:rsid w:val="00C97018"/>
    <w:rsid w:val="00C97AB3"/>
    <w:rsid w:val="00C97ADC"/>
    <w:rsid w:val="00CA00A5"/>
    <w:rsid w:val="00CA019F"/>
    <w:rsid w:val="00CA1EA6"/>
    <w:rsid w:val="00CA2D7D"/>
    <w:rsid w:val="00CA37A2"/>
    <w:rsid w:val="00CA45B1"/>
    <w:rsid w:val="00CA68D9"/>
    <w:rsid w:val="00CA6A05"/>
    <w:rsid w:val="00CA7C63"/>
    <w:rsid w:val="00CB0819"/>
    <w:rsid w:val="00CB0CBF"/>
    <w:rsid w:val="00CB0D45"/>
    <w:rsid w:val="00CB15C0"/>
    <w:rsid w:val="00CB1F76"/>
    <w:rsid w:val="00CB50C9"/>
    <w:rsid w:val="00CB5186"/>
    <w:rsid w:val="00CB552C"/>
    <w:rsid w:val="00CB5EB1"/>
    <w:rsid w:val="00CB64AF"/>
    <w:rsid w:val="00CC1408"/>
    <w:rsid w:val="00CC2E54"/>
    <w:rsid w:val="00CC4636"/>
    <w:rsid w:val="00CC47CE"/>
    <w:rsid w:val="00CC628E"/>
    <w:rsid w:val="00CC6FCF"/>
    <w:rsid w:val="00CD04FF"/>
    <w:rsid w:val="00CD068C"/>
    <w:rsid w:val="00CD1B4C"/>
    <w:rsid w:val="00CD1BAA"/>
    <w:rsid w:val="00CD3D7E"/>
    <w:rsid w:val="00CD3F51"/>
    <w:rsid w:val="00CD45CA"/>
    <w:rsid w:val="00CD7123"/>
    <w:rsid w:val="00CD776D"/>
    <w:rsid w:val="00CD7A30"/>
    <w:rsid w:val="00CE04E0"/>
    <w:rsid w:val="00CE06A9"/>
    <w:rsid w:val="00CE0E97"/>
    <w:rsid w:val="00CE175C"/>
    <w:rsid w:val="00CE2D6A"/>
    <w:rsid w:val="00CE32A6"/>
    <w:rsid w:val="00CE571D"/>
    <w:rsid w:val="00CE6735"/>
    <w:rsid w:val="00CE6E3D"/>
    <w:rsid w:val="00CF04C4"/>
    <w:rsid w:val="00CF0A01"/>
    <w:rsid w:val="00CF10F6"/>
    <w:rsid w:val="00CF2167"/>
    <w:rsid w:val="00CF2621"/>
    <w:rsid w:val="00CF2BAF"/>
    <w:rsid w:val="00CF373D"/>
    <w:rsid w:val="00CF4002"/>
    <w:rsid w:val="00CF5437"/>
    <w:rsid w:val="00CF5F95"/>
    <w:rsid w:val="00CF68B1"/>
    <w:rsid w:val="00D002CA"/>
    <w:rsid w:val="00D00425"/>
    <w:rsid w:val="00D00B72"/>
    <w:rsid w:val="00D00D89"/>
    <w:rsid w:val="00D01839"/>
    <w:rsid w:val="00D019A8"/>
    <w:rsid w:val="00D02EC7"/>
    <w:rsid w:val="00D07021"/>
    <w:rsid w:val="00D072CB"/>
    <w:rsid w:val="00D107D7"/>
    <w:rsid w:val="00D11337"/>
    <w:rsid w:val="00D11558"/>
    <w:rsid w:val="00D11B63"/>
    <w:rsid w:val="00D129BC"/>
    <w:rsid w:val="00D1353C"/>
    <w:rsid w:val="00D162B5"/>
    <w:rsid w:val="00D1714E"/>
    <w:rsid w:val="00D174C6"/>
    <w:rsid w:val="00D23015"/>
    <w:rsid w:val="00D24AB8"/>
    <w:rsid w:val="00D26719"/>
    <w:rsid w:val="00D27701"/>
    <w:rsid w:val="00D27804"/>
    <w:rsid w:val="00D3069D"/>
    <w:rsid w:val="00D30A5C"/>
    <w:rsid w:val="00D3188E"/>
    <w:rsid w:val="00D31DC8"/>
    <w:rsid w:val="00D31EDC"/>
    <w:rsid w:val="00D32300"/>
    <w:rsid w:val="00D3291D"/>
    <w:rsid w:val="00D33EF2"/>
    <w:rsid w:val="00D35BCB"/>
    <w:rsid w:val="00D36054"/>
    <w:rsid w:val="00D40D2C"/>
    <w:rsid w:val="00D42DED"/>
    <w:rsid w:val="00D435A5"/>
    <w:rsid w:val="00D441A6"/>
    <w:rsid w:val="00D44425"/>
    <w:rsid w:val="00D44C0F"/>
    <w:rsid w:val="00D44DA1"/>
    <w:rsid w:val="00D4618D"/>
    <w:rsid w:val="00D46399"/>
    <w:rsid w:val="00D471FF"/>
    <w:rsid w:val="00D4733B"/>
    <w:rsid w:val="00D476DC"/>
    <w:rsid w:val="00D502AA"/>
    <w:rsid w:val="00D50C37"/>
    <w:rsid w:val="00D51737"/>
    <w:rsid w:val="00D53F9F"/>
    <w:rsid w:val="00D54087"/>
    <w:rsid w:val="00D5410F"/>
    <w:rsid w:val="00D5655E"/>
    <w:rsid w:val="00D6008E"/>
    <w:rsid w:val="00D60B5F"/>
    <w:rsid w:val="00D62155"/>
    <w:rsid w:val="00D63A43"/>
    <w:rsid w:val="00D66681"/>
    <w:rsid w:val="00D723AB"/>
    <w:rsid w:val="00D76186"/>
    <w:rsid w:val="00D76A0A"/>
    <w:rsid w:val="00D77001"/>
    <w:rsid w:val="00D77510"/>
    <w:rsid w:val="00D7798F"/>
    <w:rsid w:val="00D77CB3"/>
    <w:rsid w:val="00D82077"/>
    <w:rsid w:val="00D82209"/>
    <w:rsid w:val="00D82C98"/>
    <w:rsid w:val="00D82FC3"/>
    <w:rsid w:val="00D84B8F"/>
    <w:rsid w:val="00D8554B"/>
    <w:rsid w:val="00D87011"/>
    <w:rsid w:val="00D9076A"/>
    <w:rsid w:val="00D9270C"/>
    <w:rsid w:val="00D942D3"/>
    <w:rsid w:val="00D9433D"/>
    <w:rsid w:val="00D948D0"/>
    <w:rsid w:val="00D94AF2"/>
    <w:rsid w:val="00D94E1D"/>
    <w:rsid w:val="00D97730"/>
    <w:rsid w:val="00D978E1"/>
    <w:rsid w:val="00D97DE3"/>
    <w:rsid w:val="00DA0D9A"/>
    <w:rsid w:val="00DA1C5F"/>
    <w:rsid w:val="00DA22F1"/>
    <w:rsid w:val="00DA37BE"/>
    <w:rsid w:val="00DA3E2B"/>
    <w:rsid w:val="00DA46F5"/>
    <w:rsid w:val="00DA4FD3"/>
    <w:rsid w:val="00DA54CB"/>
    <w:rsid w:val="00DA695E"/>
    <w:rsid w:val="00DA7555"/>
    <w:rsid w:val="00DA79BE"/>
    <w:rsid w:val="00DB0773"/>
    <w:rsid w:val="00DB226B"/>
    <w:rsid w:val="00DB2A06"/>
    <w:rsid w:val="00DB2A6D"/>
    <w:rsid w:val="00DB40A2"/>
    <w:rsid w:val="00DB49E0"/>
    <w:rsid w:val="00DB4D4D"/>
    <w:rsid w:val="00DB6113"/>
    <w:rsid w:val="00DB61A2"/>
    <w:rsid w:val="00DB74E7"/>
    <w:rsid w:val="00DB775B"/>
    <w:rsid w:val="00DB7DB0"/>
    <w:rsid w:val="00DC4F01"/>
    <w:rsid w:val="00DC62D4"/>
    <w:rsid w:val="00DC6CFB"/>
    <w:rsid w:val="00DC6EAA"/>
    <w:rsid w:val="00DD1198"/>
    <w:rsid w:val="00DD24D6"/>
    <w:rsid w:val="00DD29B9"/>
    <w:rsid w:val="00DD5031"/>
    <w:rsid w:val="00DD6367"/>
    <w:rsid w:val="00DD63CD"/>
    <w:rsid w:val="00DE09A5"/>
    <w:rsid w:val="00DE0F7F"/>
    <w:rsid w:val="00DE339B"/>
    <w:rsid w:val="00DE3C15"/>
    <w:rsid w:val="00DE53EE"/>
    <w:rsid w:val="00DE6A3C"/>
    <w:rsid w:val="00DF0639"/>
    <w:rsid w:val="00DF3237"/>
    <w:rsid w:val="00DF3CCE"/>
    <w:rsid w:val="00DF3FDB"/>
    <w:rsid w:val="00DF5555"/>
    <w:rsid w:val="00DF6083"/>
    <w:rsid w:val="00DF6A9B"/>
    <w:rsid w:val="00DF78DF"/>
    <w:rsid w:val="00DF7E44"/>
    <w:rsid w:val="00E002AD"/>
    <w:rsid w:val="00E013BD"/>
    <w:rsid w:val="00E01FFB"/>
    <w:rsid w:val="00E038A7"/>
    <w:rsid w:val="00E06B0A"/>
    <w:rsid w:val="00E07ED7"/>
    <w:rsid w:val="00E07FEC"/>
    <w:rsid w:val="00E114B5"/>
    <w:rsid w:val="00E115AF"/>
    <w:rsid w:val="00E11859"/>
    <w:rsid w:val="00E118E4"/>
    <w:rsid w:val="00E11AB2"/>
    <w:rsid w:val="00E13E60"/>
    <w:rsid w:val="00E14B17"/>
    <w:rsid w:val="00E2005F"/>
    <w:rsid w:val="00E2048E"/>
    <w:rsid w:val="00E22132"/>
    <w:rsid w:val="00E24339"/>
    <w:rsid w:val="00E24669"/>
    <w:rsid w:val="00E24B52"/>
    <w:rsid w:val="00E255CA"/>
    <w:rsid w:val="00E26BFF"/>
    <w:rsid w:val="00E27832"/>
    <w:rsid w:val="00E309FE"/>
    <w:rsid w:val="00E3123D"/>
    <w:rsid w:val="00E34DE1"/>
    <w:rsid w:val="00E363D8"/>
    <w:rsid w:val="00E36B8C"/>
    <w:rsid w:val="00E370A9"/>
    <w:rsid w:val="00E37355"/>
    <w:rsid w:val="00E4039C"/>
    <w:rsid w:val="00E414CA"/>
    <w:rsid w:val="00E42021"/>
    <w:rsid w:val="00E433CE"/>
    <w:rsid w:val="00E43564"/>
    <w:rsid w:val="00E43BBB"/>
    <w:rsid w:val="00E43C6A"/>
    <w:rsid w:val="00E44040"/>
    <w:rsid w:val="00E44260"/>
    <w:rsid w:val="00E45C1C"/>
    <w:rsid w:val="00E4617D"/>
    <w:rsid w:val="00E461FB"/>
    <w:rsid w:val="00E51138"/>
    <w:rsid w:val="00E5121E"/>
    <w:rsid w:val="00E5180A"/>
    <w:rsid w:val="00E51F97"/>
    <w:rsid w:val="00E52ADB"/>
    <w:rsid w:val="00E540F8"/>
    <w:rsid w:val="00E554A7"/>
    <w:rsid w:val="00E55B08"/>
    <w:rsid w:val="00E56280"/>
    <w:rsid w:val="00E56C89"/>
    <w:rsid w:val="00E56D66"/>
    <w:rsid w:val="00E60162"/>
    <w:rsid w:val="00E61880"/>
    <w:rsid w:val="00E62AFE"/>
    <w:rsid w:val="00E6397B"/>
    <w:rsid w:val="00E66F98"/>
    <w:rsid w:val="00E70533"/>
    <w:rsid w:val="00E70A26"/>
    <w:rsid w:val="00E70A34"/>
    <w:rsid w:val="00E71888"/>
    <w:rsid w:val="00E71A80"/>
    <w:rsid w:val="00E740C7"/>
    <w:rsid w:val="00E74AA4"/>
    <w:rsid w:val="00E74EE5"/>
    <w:rsid w:val="00E754AC"/>
    <w:rsid w:val="00E75C83"/>
    <w:rsid w:val="00E762BE"/>
    <w:rsid w:val="00E76379"/>
    <w:rsid w:val="00E76AE8"/>
    <w:rsid w:val="00E76FC1"/>
    <w:rsid w:val="00E7770E"/>
    <w:rsid w:val="00E800FF"/>
    <w:rsid w:val="00E80ABB"/>
    <w:rsid w:val="00E81ADF"/>
    <w:rsid w:val="00E8227F"/>
    <w:rsid w:val="00E82528"/>
    <w:rsid w:val="00E83924"/>
    <w:rsid w:val="00E84044"/>
    <w:rsid w:val="00E853F6"/>
    <w:rsid w:val="00E854DF"/>
    <w:rsid w:val="00E85A8D"/>
    <w:rsid w:val="00E86403"/>
    <w:rsid w:val="00E86518"/>
    <w:rsid w:val="00E87C07"/>
    <w:rsid w:val="00E903CC"/>
    <w:rsid w:val="00E90E6A"/>
    <w:rsid w:val="00E92E44"/>
    <w:rsid w:val="00E92EB5"/>
    <w:rsid w:val="00E940B0"/>
    <w:rsid w:val="00E96D39"/>
    <w:rsid w:val="00E97C9F"/>
    <w:rsid w:val="00EA0662"/>
    <w:rsid w:val="00EA22EF"/>
    <w:rsid w:val="00EA2DEB"/>
    <w:rsid w:val="00EA3E9F"/>
    <w:rsid w:val="00EA3FD8"/>
    <w:rsid w:val="00EA4CCF"/>
    <w:rsid w:val="00EA749C"/>
    <w:rsid w:val="00EB0966"/>
    <w:rsid w:val="00EB3754"/>
    <w:rsid w:val="00EB3E4A"/>
    <w:rsid w:val="00EB4FCA"/>
    <w:rsid w:val="00EB55B7"/>
    <w:rsid w:val="00EB59D3"/>
    <w:rsid w:val="00EB5FE9"/>
    <w:rsid w:val="00EB631F"/>
    <w:rsid w:val="00EB6CC9"/>
    <w:rsid w:val="00EB77BD"/>
    <w:rsid w:val="00EB7B3A"/>
    <w:rsid w:val="00EC11EF"/>
    <w:rsid w:val="00EC2950"/>
    <w:rsid w:val="00EC2D62"/>
    <w:rsid w:val="00EC4036"/>
    <w:rsid w:val="00EC427F"/>
    <w:rsid w:val="00EC430C"/>
    <w:rsid w:val="00EC524B"/>
    <w:rsid w:val="00ED04C6"/>
    <w:rsid w:val="00ED12B5"/>
    <w:rsid w:val="00ED15F5"/>
    <w:rsid w:val="00ED1D2B"/>
    <w:rsid w:val="00ED2C73"/>
    <w:rsid w:val="00ED2CE5"/>
    <w:rsid w:val="00ED3C60"/>
    <w:rsid w:val="00ED3FAC"/>
    <w:rsid w:val="00ED53DF"/>
    <w:rsid w:val="00ED6BAC"/>
    <w:rsid w:val="00EE2537"/>
    <w:rsid w:val="00EE42AE"/>
    <w:rsid w:val="00EE4479"/>
    <w:rsid w:val="00EE4E87"/>
    <w:rsid w:val="00EE52BF"/>
    <w:rsid w:val="00EE6878"/>
    <w:rsid w:val="00EE7E58"/>
    <w:rsid w:val="00EF1719"/>
    <w:rsid w:val="00EF2109"/>
    <w:rsid w:val="00EF24D4"/>
    <w:rsid w:val="00EF3298"/>
    <w:rsid w:val="00EF511D"/>
    <w:rsid w:val="00EF5435"/>
    <w:rsid w:val="00EF7421"/>
    <w:rsid w:val="00EF752B"/>
    <w:rsid w:val="00F007CE"/>
    <w:rsid w:val="00F00A3B"/>
    <w:rsid w:val="00F00CE3"/>
    <w:rsid w:val="00F01E3B"/>
    <w:rsid w:val="00F05DD8"/>
    <w:rsid w:val="00F10342"/>
    <w:rsid w:val="00F10541"/>
    <w:rsid w:val="00F10E72"/>
    <w:rsid w:val="00F1553C"/>
    <w:rsid w:val="00F1568C"/>
    <w:rsid w:val="00F16877"/>
    <w:rsid w:val="00F16F13"/>
    <w:rsid w:val="00F17A3F"/>
    <w:rsid w:val="00F2089B"/>
    <w:rsid w:val="00F20A35"/>
    <w:rsid w:val="00F20ACC"/>
    <w:rsid w:val="00F21398"/>
    <w:rsid w:val="00F21CE2"/>
    <w:rsid w:val="00F220B3"/>
    <w:rsid w:val="00F22E8C"/>
    <w:rsid w:val="00F2565F"/>
    <w:rsid w:val="00F27128"/>
    <w:rsid w:val="00F2718C"/>
    <w:rsid w:val="00F27CAD"/>
    <w:rsid w:val="00F27CE2"/>
    <w:rsid w:val="00F30950"/>
    <w:rsid w:val="00F309D1"/>
    <w:rsid w:val="00F3128F"/>
    <w:rsid w:val="00F312ED"/>
    <w:rsid w:val="00F32B6C"/>
    <w:rsid w:val="00F34506"/>
    <w:rsid w:val="00F3460B"/>
    <w:rsid w:val="00F34B80"/>
    <w:rsid w:val="00F354D6"/>
    <w:rsid w:val="00F35A22"/>
    <w:rsid w:val="00F3708A"/>
    <w:rsid w:val="00F37926"/>
    <w:rsid w:val="00F4041D"/>
    <w:rsid w:val="00F40FF1"/>
    <w:rsid w:val="00F41F0F"/>
    <w:rsid w:val="00F423FA"/>
    <w:rsid w:val="00F4253A"/>
    <w:rsid w:val="00F45D37"/>
    <w:rsid w:val="00F4650D"/>
    <w:rsid w:val="00F502DA"/>
    <w:rsid w:val="00F50ED3"/>
    <w:rsid w:val="00F511E7"/>
    <w:rsid w:val="00F51F3C"/>
    <w:rsid w:val="00F52389"/>
    <w:rsid w:val="00F5260D"/>
    <w:rsid w:val="00F5302B"/>
    <w:rsid w:val="00F53397"/>
    <w:rsid w:val="00F53F53"/>
    <w:rsid w:val="00F55047"/>
    <w:rsid w:val="00F553D3"/>
    <w:rsid w:val="00F5580E"/>
    <w:rsid w:val="00F56845"/>
    <w:rsid w:val="00F6036F"/>
    <w:rsid w:val="00F60AF4"/>
    <w:rsid w:val="00F61094"/>
    <w:rsid w:val="00F618F8"/>
    <w:rsid w:val="00F61EB1"/>
    <w:rsid w:val="00F61FFC"/>
    <w:rsid w:val="00F6202A"/>
    <w:rsid w:val="00F62C76"/>
    <w:rsid w:val="00F64918"/>
    <w:rsid w:val="00F652CC"/>
    <w:rsid w:val="00F65360"/>
    <w:rsid w:val="00F65C8D"/>
    <w:rsid w:val="00F6641E"/>
    <w:rsid w:val="00F6708A"/>
    <w:rsid w:val="00F677C6"/>
    <w:rsid w:val="00F67B77"/>
    <w:rsid w:val="00F73686"/>
    <w:rsid w:val="00F74C97"/>
    <w:rsid w:val="00F75890"/>
    <w:rsid w:val="00F7760A"/>
    <w:rsid w:val="00F776F7"/>
    <w:rsid w:val="00F77848"/>
    <w:rsid w:val="00F80B4D"/>
    <w:rsid w:val="00F813F4"/>
    <w:rsid w:val="00F81441"/>
    <w:rsid w:val="00F82E4B"/>
    <w:rsid w:val="00F83C39"/>
    <w:rsid w:val="00F83F9D"/>
    <w:rsid w:val="00F842E3"/>
    <w:rsid w:val="00F8449B"/>
    <w:rsid w:val="00F84C93"/>
    <w:rsid w:val="00F87967"/>
    <w:rsid w:val="00F87B8B"/>
    <w:rsid w:val="00F91B18"/>
    <w:rsid w:val="00F9204F"/>
    <w:rsid w:val="00F922A2"/>
    <w:rsid w:val="00F9237D"/>
    <w:rsid w:val="00F92A8D"/>
    <w:rsid w:val="00F93390"/>
    <w:rsid w:val="00F94647"/>
    <w:rsid w:val="00F96467"/>
    <w:rsid w:val="00F967D2"/>
    <w:rsid w:val="00F9695E"/>
    <w:rsid w:val="00FA1780"/>
    <w:rsid w:val="00FA39DF"/>
    <w:rsid w:val="00FA4773"/>
    <w:rsid w:val="00FA4E6E"/>
    <w:rsid w:val="00FA5436"/>
    <w:rsid w:val="00FA58E4"/>
    <w:rsid w:val="00FA61EC"/>
    <w:rsid w:val="00FA6396"/>
    <w:rsid w:val="00FA654D"/>
    <w:rsid w:val="00FA6ACF"/>
    <w:rsid w:val="00FA72F4"/>
    <w:rsid w:val="00FA7464"/>
    <w:rsid w:val="00FB007B"/>
    <w:rsid w:val="00FB089E"/>
    <w:rsid w:val="00FB19DE"/>
    <w:rsid w:val="00FB2554"/>
    <w:rsid w:val="00FB653B"/>
    <w:rsid w:val="00FB6E2F"/>
    <w:rsid w:val="00FB70F3"/>
    <w:rsid w:val="00FC02B8"/>
    <w:rsid w:val="00FC19D6"/>
    <w:rsid w:val="00FC2208"/>
    <w:rsid w:val="00FC2538"/>
    <w:rsid w:val="00FC3791"/>
    <w:rsid w:val="00FC5082"/>
    <w:rsid w:val="00FC5156"/>
    <w:rsid w:val="00FC5604"/>
    <w:rsid w:val="00FC584B"/>
    <w:rsid w:val="00FC74E7"/>
    <w:rsid w:val="00FC7FF9"/>
    <w:rsid w:val="00FD0B03"/>
    <w:rsid w:val="00FD0FCD"/>
    <w:rsid w:val="00FD1BFE"/>
    <w:rsid w:val="00FD2187"/>
    <w:rsid w:val="00FD2749"/>
    <w:rsid w:val="00FD2A3F"/>
    <w:rsid w:val="00FD2AA5"/>
    <w:rsid w:val="00FD5C09"/>
    <w:rsid w:val="00FD6772"/>
    <w:rsid w:val="00FE0460"/>
    <w:rsid w:val="00FE0634"/>
    <w:rsid w:val="00FE0789"/>
    <w:rsid w:val="00FE1741"/>
    <w:rsid w:val="00FE251E"/>
    <w:rsid w:val="00FE2831"/>
    <w:rsid w:val="00FE3640"/>
    <w:rsid w:val="00FE46D3"/>
    <w:rsid w:val="00FE60FE"/>
    <w:rsid w:val="00FE6142"/>
    <w:rsid w:val="00FE6958"/>
    <w:rsid w:val="00FF0C25"/>
    <w:rsid w:val="00FF14A3"/>
    <w:rsid w:val="00FF21E4"/>
    <w:rsid w:val="00FF354F"/>
    <w:rsid w:val="00FF5025"/>
    <w:rsid w:val="00FF5C9D"/>
    <w:rsid w:val="00FF6EFE"/>
    <w:rsid w:val="00FF6F3B"/>
    <w:rsid w:val="01066359"/>
    <w:rsid w:val="01133700"/>
    <w:rsid w:val="019165A7"/>
    <w:rsid w:val="02E3763A"/>
    <w:rsid w:val="03CDAA36"/>
    <w:rsid w:val="03EA7FC2"/>
    <w:rsid w:val="059A08B5"/>
    <w:rsid w:val="06EA1EAA"/>
    <w:rsid w:val="06F92A94"/>
    <w:rsid w:val="07125F5D"/>
    <w:rsid w:val="07156016"/>
    <w:rsid w:val="079E421C"/>
    <w:rsid w:val="07A40243"/>
    <w:rsid w:val="08A52894"/>
    <w:rsid w:val="08F877B2"/>
    <w:rsid w:val="0B6D4F8E"/>
    <w:rsid w:val="0BB068C4"/>
    <w:rsid w:val="0BD16649"/>
    <w:rsid w:val="0BD77A1C"/>
    <w:rsid w:val="0D0B7C15"/>
    <w:rsid w:val="0D2759EA"/>
    <w:rsid w:val="0D4613A0"/>
    <w:rsid w:val="0D5142FA"/>
    <w:rsid w:val="0E667B0F"/>
    <w:rsid w:val="0EAB7C77"/>
    <w:rsid w:val="0EBF602F"/>
    <w:rsid w:val="0F02049B"/>
    <w:rsid w:val="0F223DF5"/>
    <w:rsid w:val="10A4667A"/>
    <w:rsid w:val="10CD6114"/>
    <w:rsid w:val="11E53FD3"/>
    <w:rsid w:val="12E2141C"/>
    <w:rsid w:val="12E461C9"/>
    <w:rsid w:val="13A52C7B"/>
    <w:rsid w:val="14A541E2"/>
    <w:rsid w:val="14E96317"/>
    <w:rsid w:val="16233FB9"/>
    <w:rsid w:val="1652230F"/>
    <w:rsid w:val="1679D03C"/>
    <w:rsid w:val="16C90F79"/>
    <w:rsid w:val="16F760E1"/>
    <w:rsid w:val="17FB4426"/>
    <w:rsid w:val="17FF73FA"/>
    <w:rsid w:val="1834380F"/>
    <w:rsid w:val="183F5D7D"/>
    <w:rsid w:val="188626E1"/>
    <w:rsid w:val="188D062F"/>
    <w:rsid w:val="189D32E6"/>
    <w:rsid w:val="18B15020"/>
    <w:rsid w:val="18EE3BF9"/>
    <w:rsid w:val="195FA7C6"/>
    <w:rsid w:val="197D4306"/>
    <w:rsid w:val="198464B8"/>
    <w:rsid w:val="19AD1818"/>
    <w:rsid w:val="1AD21A71"/>
    <w:rsid w:val="1AFF064A"/>
    <w:rsid w:val="1B464139"/>
    <w:rsid w:val="1B5C6CA2"/>
    <w:rsid w:val="1B815792"/>
    <w:rsid w:val="1BCC3392"/>
    <w:rsid w:val="1C02000E"/>
    <w:rsid w:val="1C1527EF"/>
    <w:rsid w:val="1C376DEB"/>
    <w:rsid w:val="1C3C5DA9"/>
    <w:rsid w:val="1C3FD069"/>
    <w:rsid w:val="1CBF7B25"/>
    <w:rsid w:val="1CDA63F0"/>
    <w:rsid w:val="1D814759"/>
    <w:rsid w:val="1D8D1A27"/>
    <w:rsid w:val="1DEFC6D6"/>
    <w:rsid w:val="1E694820"/>
    <w:rsid w:val="1F2F1703"/>
    <w:rsid w:val="1F6F0FAD"/>
    <w:rsid w:val="1FB5F711"/>
    <w:rsid w:val="215521EE"/>
    <w:rsid w:val="2159105B"/>
    <w:rsid w:val="216B0A11"/>
    <w:rsid w:val="218867EF"/>
    <w:rsid w:val="225C5E14"/>
    <w:rsid w:val="22CF052E"/>
    <w:rsid w:val="233A3E53"/>
    <w:rsid w:val="234C0B21"/>
    <w:rsid w:val="23A7139E"/>
    <w:rsid w:val="23B87D44"/>
    <w:rsid w:val="23C40697"/>
    <w:rsid w:val="23E304C1"/>
    <w:rsid w:val="24734990"/>
    <w:rsid w:val="24CD7912"/>
    <w:rsid w:val="260D4DDB"/>
    <w:rsid w:val="26164E0A"/>
    <w:rsid w:val="26B175B2"/>
    <w:rsid w:val="26F53BCE"/>
    <w:rsid w:val="26F7CB0C"/>
    <w:rsid w:val="26FCED7C"/>
    <w:rsid w:val="277D0479"/>
    <w:rsid w:val="281610E5"/>
    <w:rsid w:val="286232E1"/>
    <w:rsid w:val="286958CC"/>
    <w:rsid w:val="28BA3037"/>
    <w:rsid w:val="2948054F"/>
    <w:rsid w:val="29564F26"/>
    <w:rsid w:val="295F5542"/>
    <w:rsid w:val="2961687A"/>
    <w:rsid w:val="29756490"/>
    <w:rsid w:val="2A507B46"/>
    <w:rsid w:val="2A577527"/>
    <w:rsid w:val="2A8D2F66"/>
    <w:rsid w:val="2B55434F"/>
    <w:rsid w:val="2BF13513"/>
    <w:rsid w:val="2C1D56D6"/>
    <w:rsid w:val="2CB741EC"/>
    <w:rsid w:val="2DAF5570"/>
    <w:rsid w:val="2DCC15CF"/>
    <w:rsid w:val="2DEE2F51"/>
    <w:rsid w:val="2F0E362D"/>
    <w:rsid w:val="2F31401A"/>
    <w:rsid w:val="2F7E59EF"/>
    <w:rsid w:val="2FA55F7F"/>
    <w:rsid w:val="2FB2285C"/>
    <w:rsid w:val="2FC43EC1"/>
    <w:rsid w:val="2FFEB2E6"/>
    <w:rsid w:val="31466222"/>
    <w:rsid w:val="31901DDD"/>
    <w:rsid w:val="324A0271"/>
    <w:rsid w:val="327F1430"/>
    <w:rsid w:val="32864DB1"/>
    <w:rsid w:val="32FB6057"/>
    <w:rsid w:val="33886EBD"/>
    <w:rsid w:val="33FCCA0A"/>
    <w:rsid w:val="3565470A"/>
    <w:rsid w:val="35D2187E"/>
    <w:rsid w:val="36062EA2"/>
    <w:rsid w:val="36B4742B"/>
    <w:rsid w:val="36F75539"/>
    <w:rsid w:val="36FB9139"/>
    <w:rsid w:val="37BC6661"/>
    <w:rsid w:val="37F66A4F"/>
    <w:rsid w:val="37FB2775"/>
    <w:rsid w:val="380F4517"/>
    <w:rsid w:val="38536197"/>
    <w:rsid w:val="390309AD"/>
    <w:rsid w:val="39ED990C"/>
    <w:rsid w:val="3B6FA8CC"/>
    <w:rsid w:val="3B7BED05"/>
    <w:rsid w:val="3BB14E11"/>
    <w:rsid w:val="3C3D1317"/>
    <w:rsid w:val="3C656DC6"/>
    <w:rsid w:val="3CD0586A"/>
    <w:rsid w:val="3D0E7D29"/>
    <w:rsid w:val="3D179B8B"/>
    <w:rsid w:val="3D3E437F"/>
    <w:rsid w:val="3D3F1996"/>
    <w:rsid w:val="3D8B2795"/>
    <w:rsid w:val="3DD5126B"/>
    <w:rsid w:val="3E7A0B33"/>
    <w:rsid w:val="3E9BCA02"/>
    <w:rsid w:val="3E9E0570"/>
    <w:rsid w:val="3EE6528E"/>
    <w:rsid w:val="3EFB9FC1"/>
    <w:rsid w:val="3EFCD703"/>
    <w:rsid w:val="3EFFC537"/>
    <w:rsid w:val="3F28071B"/>
    <w:rsid w:val="3F5D1D06"/>
    <w:rsid w:val="3F6E189C"/>
    <w:rsid w:val="3F7F9013"/>
    <w:rsid w:val="3F8EE13E"/>
    <w:rsid w:val="3FBCC615"/>
    <w:rsid w:val="3FDFC31D"/>
    <w:rsid w:val="3FEF2A6B"/>
    <w:rsid w:val="3FFFF28C"/>
    <w:rsid w:val="40045CCB"/>
    <w:rsid w:val="40317F03"/>
    <w:rsid w:val="405F39EA"/>
    <w:rsid w:val="413542E7"/>
    <w:rsid w:val="41366F80"/>
    <w:rsid w:val="41D879EF"/>
    <w:rsid w:val="42460039"/>
    <w:rsid w:val="424F326E"/>
    <w:rsid w:val="428F456B"/>
    <w:rsid w:val="459C6F06"/>
    <w:rsid w:val="45A07ADC"/>
    <w:rsid w:val="468E48B0"/>
    <w:rsid w:val="46C876BF"/>
    <w:rsid w:val="46D93D23"/>
    <w:rsid w:val="470A78E3"/>
    <w:rsid w:val="47DDE2D5"/>
    <w:rsid w:val="48D107CF"/>
    <w:rsid w:val="48F14395"/>
    <w:rsid w:val="496656D8"/>
    <w:rsid w:val="4A46377C"/>
    <w:rsid w:val="4A985531"/>
    <w:rsid w:val="4ADA274F"/>
    <w:rsid w:val="4B507199"/>
    <w:rsid w:val="4B543A80"/>
    <w:rsid w:val="4B5A6D19"/>
    <w:rsid w:val="4B9E3483"/>
    <w:rsid w:val="4BE41488"/>
    <w:rsid w:val="4C1E3D32"/>
    <w:rsid w:val="4C49601A"/>
    <w:rsid w:val="4C585AB4"/>
    <w:rsid w:val="4C6C4B57"/>
    <w:rsid w:val="4D613184"/>
    <w:rsid w:val="4DDED1F7"/>
    <w:rsid w:val="4E2F43C1"/>
    <w:rsid w:val="4EDD6510"/>
    <w:rsid w:val="4EF20DA9"/>
    <w:rsid w:val="4F56661D"/>
    <w:rsid w:val="4F7F0BF9"/>
    <w:rsid w:val="4F7F3F92"/>
    <w:rsid w:val="4FB7135A"/>
    <w:rsid w:val="4FB73198"/>
    <w:rsid w:val="4FFE7132"/>
    <w:rsid w:val="501554AB"/>
    <w:rsid w:val="50425A08"/>
    <w:rsid w:val="50516DE7"/>
    <w:rsid w:val="50C3437D"/>
    <w:rsid w:val="514316E9"/>
    <w:rsid w:val="515B351A"/>
    <w:rsid w:val="516253C4"/>
    <w:rsid w:val="519B5C7E"/>
    <w:rsid w:val="52CF1070"/>
    <w:rsid w:val="52E40C56"/>
    <w:rsid w:val="533C31C2"/>
    <w:rsid w:val="5357DA30"/>
    <w:rsid w:val="53BD144D"/>
    <w:rsid w:val="54471BD3"/>
    <w:rsid w:val="5572776B"/>
    <w:rsid w:val="55A52E77"/>
    <w:rsid w:val="572EB7CC"/>
    <w:rsid w:val="573A3AB9"/>
    <w:rsid w:val="574E2FD2"/>
    <w:rsid w:val="5752403E"/>
    <w:rsid w:val="577D9CD7"/>
    <w:rsid w:val="57BABE06"/>
    <w:rsid w:val="57BD6213"/>
    <w:rsid w:val="57BF6AEA"/>
    <w:rsid w:val="57FB8EB6"/>
    <w:rsid w:val="58255E64"/>
    <w:rsid w:val="583E418F"/>
    <w:rsid w:val="58CF0608"/>
    <w:rsid w:val="5A4A3313"/>
    <w:rsid w:val="5A6E0410"/>
    <w:rsid w:val="5A6E3C3C"/>
    <w:rsid w:val="5AFD4E02"/>
    <w:rsid w:val="5B5D738C"/>
    <w:rsid w:val="5BBA678C"/>
    <w:rsid w:val="5BBFB391"/>
    <w:rsid w:val="5BE262AB"/>
    <w:rsid w:val="5BFBF413"/>
    <w:rsid w:val="5BFD15A6"/>
    <w:rsid w:val="5C580EB9"/>
    <w:rsid w:val="5C9B255D"/>
    <w:rsid w:val="5CC77DB7"/>
    <w:rsid w:val="5D7E836A"/>
    <w:rsid w:val="5DBE3A88"/>
    <w:rsid w:val="5DFCEED7"/>
    <w:rsid w:val="5E134195"/>
    <w:rsid w:val="5E57056A"/>
    <w:rsid w:val="5F4D1084"/>
    <w:rsid w:val="5F574931"/>
    <w:rsid w:val="5F653392"/>
    <w:rsid w:val="5F9F0E1C"/>
    <w:rsid w:val="5FA70236"/>
    <w:rsid w:val="5FC51D93"/>
    <w:rsid w:val="5FC96EB1"/>
    <w:rsid w:val="5FDEE6FC"/>
    <w:rsid w:val="5FEBF471"/>
    <w:rsid w:val="5FF60C0D"/>
    <w:rsid w:val="5FFDC3F8"/>
    <w:rsid w:val="5FFF25DC"/>
    <w:rsid w:val="5FFF366B"/>
    <w:rsid w:val="6017063D"/>
    <w:rsid w:val="6068003C"/>
    <w:rsid w:val="60AF5C2B"/>
    <w:rsid w:val="60E55FC6"/>
    <w:rsid w:val="612453EE"/>
    <w:rsid w:val="613A000F"/>
    <w:rsid w:val="615024CA"/>
    <w:rsid w:val="61563DF9"/>
    <w:rsid w:val="61867B96"/>
    <w:rsid w:val="61BD3992"/>
    <w:rsid w:val="61C22899"/>
    <w:rsid w:val="61DD4B79"/>
    <w:rsid w:val="61FB5C75"/>
    <w:rsid w:val="627111A7"/>
    <w:rsid w:val="627A79CB"/>
    <w:rsid w:val="62B801B0"/>
    <w:rsid w:val="63261E26"/>
    <w:rsid w:val="635748C3"/>
    <w:rsid w:val="639FA7B5"/>
    <w:rsid w:val="63D14A88"/>
    <w:rsid w:val="63D34862"/>
    <w:rsid w:val="63EE8392"/>
    <w:rsid w:val="63F110B9"/>
    <w:rsid w:val="64A26573"/>
    <w:rsid w:val="65B640BD"/>
    <w:rsid w:val="65CB5B13"/>
    <w:rsid w:val="65F986C6"/>
    <w:rsid w:val="665BFF06"/>
    <w:rsid w:val="67FA92D6"/>
    <w:rsid w:val="67FFB8BD"/>
    <w:rsid w:val="681E4F9A"/>
    <w:rsid w:val="68416194"/>
    <w:rsid w:val="687541B2"/>
    <w:rsid w:val="68D8699F"/>
    <w:rsid w:val="69446BC9"/>
    <w:rsid w:val="69F707E9"/>
    <w:rsid w:val="6A156404"/>
    <w:rsid w:val="6A1915B2"/>
    <w:rsid w:val="6A910C4D"/>
    <w:rsid w:val="6AF02D0E"/>
    <w:rsid w:val="6B7FEFCA"/>
    <w:rsid w:val="6B9760D8"/>
    <w:rsid w:val="6BD7C85E"/>
    <w:rsid w:val="6BD7CF89"/>
    <w:rsid w:val="6BDF9CA4"/>
    <w:rsid w:val="6BE20784"/>
    <w:rsid w:val="6BEE3CC9"/>
    <w:rsid w:val="6BFB4EC8"/>
    <w:rsid w:val="6C1508DF"/>
    <w:rsid w:val="6C23442F"/>
    <w:rsid w:val="6C527581"/>
    <w:rsid w:val="6C76B483"/>
    <w:rsid w:val="6C7B109E"/>
    <w:rsid w:val="6C9375A4"/>
    <w:rsid w:val="6CAD18ED"/>
    <w:rsid w:val="6CD2D8AC"/>
    <w:rsid w:val="6D478248"/>
    <w:rsid w:val="6D6B15AD"/>
    <w:rsid w:val="6DF37D4F"/>
    <w:rsid w:val="6DF744B2"/>
    <w:rsid w:val="6DFF8EEF"/>
    <w:rsid w:val="6E4118B0"/>
    <w:rsid w:val="6ED635EB"/>
    <w:rsid w:val="6EF16D72"/>
    <w:rsid w:val="6EF7634F"/>
    <w:rsid w:val="6EFEE687"/>
    <w:rsid w:val="6F110FC5"/>
    <w:rsid w:val="6F196179"/>
    <w:rsid w:val="6F7FC052"/>
    <w:rsid w:val="6FB94D60"/>
    <w:rsid w:val="6FD62B1F"/>
    <w:rsid w:val="6FDBAC7B"/>
    <w:rsid w:val="6FF02573"/>
    <w:rsid w:val="6FFC21AB"/>
    <w:rsid w:val="6FFE919A"/>
    <w:rsid w:val="6FFF9A7F"/>
    <w:rsid w:val="70330A9B"/>
    <w:rsid w:val="70A77661"/>
    <w:rsid w:val="70D63EAD"/>
    <w:rsid w:val="70E04962"/>
    <w:rsid w:val="71261F83"/>
    <w:rsid w:val="71BB3216"/>
    <w:rsid w:val="71F75DEA"/>
    <w:rsid w:val="720B2AD6"/>
    <w:rsid w:val="72997A96"/>
    <w:rsid w:val="729D5A9E"/>
    <w:rsid w:val="72F60C61"/>
    <w:rsid w:val="72F9BCEA"/>
    <w:rsid w:val="72FC846D"/>
    <w:rsid w:val="734E4A03"/>
    <w:rsid w:val="73FC6EC7"/>
    <w:rsid w:val="73FD774E"/>
    <w:rsid w:val="73FF0B75"/>
    <w:rsid w:val="73FF6476"/>
    <w:rsid w:val="73FF7B6F"/>
    <w:rsid w:val="74C1280E"/>
    <w:rsid w:val="75295BE7"/>
    <w:rsid w:val="75658274"/>
    <w:rsid w:val="75782D22"/>
    <w:rsid w:val="757E1972"/>
    <w:rsid w:val="75936B43"/>
    <w:rsid w:val="759F35D1"/>
    <w:rsid w:val="75EA00C2"/>
    <w:rsid w:val="76185B41"/>
    <w:rsid w:val="763D62D4"/>
    <w:rsid w:val="767B43A9"/>
    <w:rsid w:val="76CD3C9B"/>
    <w:rsid w:val="76DA244C"/>
    <w:rsid w:val="76F45F27"/>
    <w:rsid w:val="77167A98"/>
    <w:rsid w:val="77350BFF"/>
    <w:rsid w:val="774320FF"/>
    <w:rsid w:val="775E9DDD"/>
    <w:rsid w:val="778A0F8C"/>
    <w:rsid w:val="77AF8CD8"/>
    <w:rsid w:val="77B293B7"/>
    <w:rsid w:val="77BA49C6"/>
    <w:rsid w:val="77F76CD8"/>
    <w:rsid w:val="77FE33BD"/>
    <w:rsid w:val="77FE7847"/>
    <w:rsid w:val="78651B87"/>
    <w:rsid w:val="78837099"/>
    <w:rsid w:val="78CFF4F4"/>
    <w:rsid w:val="79987ADD"/>
    <w:rsid w:val="79B500A9"/>
    <w:rsid w:val="79D32E61"/>
    <w:rsid w:val="79D35795"/>
    <w:rsid w:val="79E58F9D"/>
    <w:rsid w:val="79FBB935"/>
    <w:rsid w:val="79FFB6B4"/>
    <w:rsid w:val="7A35787F"/>
    <w:rsid w:val="7AF77906"/>
    <w:rsid w:val="7AFF74AD"/>
    <w:rsid w:val="7AFFC2D7"/>
    <w:rsid w:val="7B292135"/>
    <w:rsid w:val="7B393532"/>
    <w:rsid w:val="7B3FDE96"/>
    <w:rsid w:val="7B53326B"/>
    <w:rsid w:val="7B7B0E04"/>
    <w:rsid w:val="7B7D9BC7"/>
    <w:rsid w:val="7B7F26E7"/>
    <w:rsid w:val="7B8DFF11"/>
    <w:rsid w:val="7B996353"/>
    <w:rsid w:val="7B9F4FAC"/>
    <w:rsid w:val="7BA63AF9"/>
    <w:rsid w:val="7BBB2AC0"/>
    <w:rsid w:val="7BC041D3"/>
    <w:rsid w:val="7BEE0E3F"/>
    <w:rsid w:val="7BEF6387"/>
    <w:rsid w:val="7BFF9EE3"/>
    <w:rsid w:val="7BFFB6BD"/>
    <w:rsid w:val="7C881148"/>
    <w:rsid w:val="7CC60E88"/>
    <w:rsid w:val="7CEADDA1"/>
    <w:rsid w:val="7CF85E9B"/>
    <w:rsid w:val="7CFDA063"/>
    <w:rsid w:val="7D142DAC"/>
    <w:rsid w:val="7D5A7A3D"/>
    <w:rsid w:val="7D8EA7BA"/>
    <w:rsid w:val="7DAAC17A"/>
    <w:rsid w:val="7DAEE00C"/>
    <w:rsid w:val="7DDF0426"/>
    <w:rsid w:val="7DFC2CCB"/>
    <w:rsid w:val="7DFE299C"/>
    <w:rsid w:val="7DFED5B2"/>
    <w:rsid w:val="7DFF9470"/>
    <w:rsid w:val="7E17C650"/>
    <w:rsid w:val="7E63C76D"/>
    <w:rsid w:val="7E7389F9"/>
    <w:rsid w:val="7E7F492A"/>
    <w:rsid w:val="7EDDE468"/>
    <w:rsid w:val="7EDF26C6"/>
    <w:rsid w:val="7EE8047A"/>
    <w:rsid w:val="7EFE3903"/>
    <w:rsid w:val="7F1172CE"/>
    <w:rsid w:val="7F1E629A"/>
    <w:rsid w:val="7F2F0A6A"/>
    <w:rsid w:val="7F3D17A5"/>
    <w:rsid w:val="7F4B1D9D"/>
    <w:rsid w:val="7F5D1E37"/>
    <w:rsid w:val="7F5E5D82"/>
    <w:rsid w:val="7F751424"/>
    <w:rsid w:val="7F7FEE4D"/>
    <w:rsid w:val="7F7FFF6B"/>
    <w:rsid w:val="7F8BBEAE"/>
    <w:rsid w:val="7FAD948A"/>
    <w:rsid w:val="7FCE6114"/>
    <w:rsid w:val="7FCEAE6D"/>
    <w:rsid w:val="7FCEF902"/>
    <w:rsid w:val="7FDAE848"/>
    <w:rsid w:val="7FDF7633"/>
    <w:rsid w:val="7FEDD813"/>
    <w:rsid w:val="7FEF3261"/>
    <w:rsid w:val="7FEFC8EA"/>
    <w:rsid w:val="7FF7EB42"/>
    <w:rsid w:val="7FFB720A"/>
    <w:rsid w:val="7FFB8CD6"/>
    <w:rsid w:val="7FFB9918"/>
    <w:rsid w:val="7FFDA6E7"/>
    <w:rsid w:val="7FFEB48B"/>
    <w:rsid w:val="7FFF1D6D"/>
    <w:rsid w:val="7FFFE6B2"/>
    <w:rsid w:val="8BFF8E14"/>
    <w:rsid w:val="95748ADD"/>
    <w:rsid w:val="976F37C1"/>
    <w:rsid w:val="97FAD1EE"/>
    <w:rsid w:val="9BBF8D15"/>
    <w:rsid w:val="9D937E89"/>
    <w:rsid w:val="9DB8B022"/>
    <w:rsid w:val="9DDFA266"/>
    <w:rsid w:val="9F3DFB85"/>
    <w:rsid w:val="9F7B2C90"/>
    <w:rsid w:val="9FFBE7F1"/>
    <w:rsid w:val="A63F9B8B"/>
    <w:rsid w:val="A7E5A158"/>
    <w:rsid w:val="AB97F0EC"/>
    <w:rsid w:val="AB9F4FB5"/>
    <w:rsid w:val="ABFDBE38"/>
    <w:rsid w:val="AE6BCF78"/>
    <w:rsid w:val="AFDF882A"/>
    <w:rsid w:val="AFEF91B2"/>
    <w:rsid w:val="B1FB138E"/>
    <w:rsid w:val="B67D59D0"/>
    <w:rsid w:val="B6FDD982"/>
    <w:rsid w:val="B6FFEBBD"/>
    <w:rsid w:val="B7D77C8D"/>
    <w:rsid w:val="B7DD90B1"/>
    <w:rsid w:val="BA7B23C6"/>
    <w:rsid w:val="BADF4915"/>
    <w:rsid w:val="BB5FC936"/>
    <w:rsid w:val="BB7727AA"/>
    <w:rsid w:val="BBCD6D58"/>
    <w:rsid w:val="BBEE7899"/>
    <w:rsid w:val="BBFFDB35"/>
    <w:rsid w:val="BC2BCD0E"/>
    <w:rsid w:val="BD2F5AC0"/>
    <w:rsid w:val="BDEDC0B2"/>
    <w:rsid w:val="BDFFBC2D"/>
    <w:rsid w:val="BF073A71"/>
    <w:rsid w:val="BF8FC32B"/>
    <w:rsid w:val="BFCD7786"/>
    <w:rsid w:val="BFDF9AEA"/>
    <w:rsid w:val="BFF1A96F"/>
    <w:rsid w:val="BFFF0D2F"/>
    <w:rsid w:val="BFFF574C"/>
    <w:rsid w:val="BFFFAFE9"/>
    <w:rsid w:val="C0BFBD3C"/>
    <w:rsid w:val="C34F9853"/>
    <w:rsid w:val="C387C4C3"/>
    <w:rsid w:val="C5FA185C"/>
    <w:rsid w:val="C5FF471B"/>
    <w:rsid w:val="C7C72023"/>
    <w:rsid w:val="C7FB6F9B"/>
    <w:rsid w:val="CA2B30B5"/>
    <w:rsid w:val="CB5CFE19"/>
    <w:rsid w:val="CDEFC422"/>
    <w:rsid w:val="CEE0B8B2"/>
    <w:rsid w:val="CF71F5C8"/>
    <w:rsid w:val="CF7B328F"/>
    <w:rsid w:val="CFACAC30"/>
    <w:rsid w:val="CFFFBBB4"/>
    <w:rsid w:val="CFFFD82C"/>
    <w:rsid w:val="D1EF24BD"/>
    <w:rsid w:val="D2630A82"/>
    <w:rsid w:val="D5EF0D32"/>
    <w:rsid w:val="D5F64390"/>
    <w:rsid w:val="D5FFC8E6"/>
    <w:rsid w:val="D97F097F"/>
    <w:rsid w:val="D9EB0E18"/>
    <w:rsid w:val="D9F60553"/>
    <w:rsid w:val="DAB79669"/>
    <w:rsid w:val="DAB907CA"/>
    <w:rsid w:val="DAFB0E0C"/>
    <w:rsid w:val="DBB777FE"/>
    <w:rsid w:val="DBC49791"/>
    <w:rsid w:val="DBE9B462"/>
    <w:rsid w:val="DBF9AF13"/>
    <w:rsid w:val="DBFE7141"/>
    <w:rsid w:val="DBFF4D23"/>
    <w:rsid w:val="DBFFE2BD"/>
    <w:rsid w:val="DEFB2E38"/>
    <w:rsid w:val="DF47C653"/>
    <w:rsid w:val="DFEF34AD"/>
    <w:rsid w:val="DFFD7940"/>
    <w:rsid w:val="DFFE4B2D"/>
    <w:rsid w:val="E1DA9ABC"/>
    <w:rsid w:val="E1FE556F"/>
    <w:rsid w:val="E3FDB927"/>
    <w:rsid w:val="E5EFBF97"/>
    <w:rsid w:val="E5FEFA93"/>
    <w:rsid w:val="E6EC4282"/>
    <w:rsid w:val="E6FF8EB9"/>
    <w:rsid w:val="E79F6C0D"/>
    <w:rsid w:val="E7D76492"/>
    <w:rsid w:val="E9BF2D3C"/>
    <w:rsid w:val="EB7DA18F"/>
    <w:rsid w:val="EB7F47AB"/>
    <w:rsid w:val="EB979F84"/>
    <w:rsid w:val="EBB1645C"/>
    <w:rsid w:val="EBFE9FD6"/>
    <w:rsid w:val="EDB72023"/>
    <w:rsid w:val="EDDF5B87"/>
    <w:rsid w:val="EDF7085C"/>
    <w:rsid w:val="EDF70AD1"/>
    <w:rsid w:val="EE6F9AFF"/>
    <w:rsid w:val="EEFE397B"/>
    <w:rsid w:val="EF1B177D"/>
    <w:rsid w:val="EFBC0CB1"/>
    <w:rsid w:val="EFDA5BE2"/>
    <w:rsid w:val="EFFD5EE6"/>
    <w:rsid w:val="F0FFDC01"/>
    <w:rsid w:val="F32F1D78"/>
    <w:rsid w:val="F3D20B74"/>
    <w:rsid w:val="F55F0231"/>
    <w:rsid w:val="F5B6A37E"/>
    <w:rsid w:val="F5FFB10E"/>
    <w:rsid w:val="F66593CB"/>
    <w:rsid w:val="F7772F86"/>
    <w:rsid w:val="F77F032D"/>
    <w:rsid w:val="F78D53DF"/>
    <w:rsid w:val="F7A2F81E"/>
    <w:rsid w:val="F7BB4BB2"/>
    <w:rsid w:val="F7BF5FF3"/>
    <w:rsid w:val="F7F3DD9D"/>
    <w:rsid w:val="F7FD9895"/>
    <w:rsid w:val="F7FF0871"/>
    <w:rsid w:val="F7FFFA75"/>
    <w:rsid w:val="F8F389C9"/>
    <w:rsid w:val="F9D7A8FE"/>
    <w:rsid w:val="F9DF2179"/>
    <w:rsid w:val="FA5AB82F"/>
    <w:rsid w:val="FAEFD810"/>
    <w:rsid w:val="FAFC4B7B"/>
    <w:rsid w:val="FB7D31EA"/>
    <w:rsid w:val="FBB93422"/>
    <w:rsid w:val="FBBFCC4A"/>
    <w:rsid w:val="FBF6CA5A"/>
    <w:rsid w:val="FBFBF037"/>
    <w:rsid w:val="FBFE4E79"/>
    <w:rsid w:val="FBFF084B"/>
    <w:rsid w:val="FBFFC234"/>
    <w:rsid w:val="FCEFB7FB"/>
    <w:rsid w:val="FD13FEDE"/>
    <w:rsid w:val="FD361F9C"/>
    <w:rsid w:val="FD3DAF5D"/>
    <w:rsid w:val="FD7FF82C"/>
    <w:rsid w:val="FDDF32F3"/>
    <w:rsid w:val="FDEF346B"/>
    <w:rsid w:val="FDFDCF05"/>
    <w:rsid w:val="FDFF08DA"/>
    <w:rsid w:val="FDFFB659"/>
    <w:rsid w:val="FE2FF28B"/>
    <w:rsid w:val="FE55B9D0"/>
    <w:rsid w:val="FEEF96D5"/>
    <w:rsid w:val="FEFA7BD6"/>
    <w:rsid w:val="FEFD670D"/>
    <w:rsid w:val="FF1FB705"/>
    <w:rsid w:val="FF764952"/>
    <w:rsid w:val="FF78576C"/>
    <w:rsid w:val="FF7F0546"/>
    <w:rsid w:val="FF7FC7D9"/>
    <w:rsid w:val="FFA700A1"/>
    <w:rsid w:val="FFA73A07"/>
    <w:rsid w:val="FFC9C8FA"/>
    <w:rsid w:val="FFCE78B0"/>
    <w:rsid w:val="FFD43084"/>
    <w:rsid w:val="FFD7028C"/>
    <w:rsid w:val="FFDA9C8D"/>
    <w:rsid w:val="FFDDC919"/>
    <w:rsid w:val="FFEF4089"/>
    <w:rsid w:val="FFF7006C"/>
    <w:rsid w:val="FFF7D867"/>
    <w:rsid w:val="FFF7EA5D"/>
    <w:rsid w:val="FFF94640"/>
    <w:rsid w:val="FFFA035F"/>
    <w:rsid w:val="FFFB01A9"/>
    <w:rsid w:val="FFFBE591"/>
    <w:rsid w:val="FFFDF18A"/>
    <w:rsid w:val="FFFE9F83"/>
    <w:rsid w:val="FFFF3F96"/>
    <w:rsid w:val="FFFFC4E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unhideWhenUsed/>
    <w:qFormat/>
    <w:uiPriority w:val="0"/>
    <w:pPr>
      <w:keepNext/>
      <w:keepLines/>
      <w:numPr>
        <w:ilvl w:val="2"/>
        <w:numId w:val="1"/>
      </w:numPr>
      <w:spacing w:before="120" w:after="120" w:line="360" w:lineRule="auto"/>
      <w:ind w:left="993"/>
      <w:outlineLvl w:val="2"/>
    </w:pPr>
    <w:rPr>
      <w:rFonts w:ascii="Calibri" w:hAnsi="Calibri" w:eastAsia="黑体"/>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99"/>
    <w:pPr>
      <w:spacing w:after="120" w:line="240" w:lineRule="auto"/>
      <w:ind w:firstLine="420" w:firstLineChars="100"/>
      <w:jc w:val="both"/>
    </w:pPr>
    <w:rPr>
      <w:rFonts w:eastAsia="宋体"/>
      <w:color w:val="auto"/>
      <w:sz w:val="21"/>
    </w:rPr>
  </w:style>
  <w:style w:type="paragraph" w:styleId="3">
    <w:name w:val="Body Text"/>
    <w:basedOn w:val="1"/>
    <w:next w:val="2"/>
    <w:qFormat/>
    <w:uiPriority w:val="0"/>
    <w:pPr>
      <w:spacing w:line="520" w:lineRule="exact"/>
      <w:jc w:val="center"/>
    </w:pPr>
    <w:rPr>
      <w:rFonts w:eastAsia="黑体"/>
      <w:color w:val="FF0000"/>
      <w:sz w:val="44"/>
    </w:rPr>
  </w:style>
  <w:style w:type="paragraph" w:styleId="8">
    <w:name w:val="toc 7"/>
    <w:basedOn w:val="1"/>
    <w:next w:val="1"/>
    <w:qFormat/>
    <w:uiPriority w:val="0"/>
    <w:pPr>
      <w:ind w:left="1260"/>
      <w:jc w:val="left"/>
    </w:pPr>
    <w:rPr>
      <w:rFonts w:asciiTheme="minorHAnsi" w:hAnsiTheme="minorHAnsi"/>
      <w:sz w:val="18"/>
      <w:szCs w:val="18"/>
    </w:rPr>
  </w:style>
  <w:style w:type="paragraph" w:styleId="9">
    <w:name w:val="Normal Indent"/>
    <w:basedOn w:val="1"/>
    <w:qFormat/>
    <w:uiPriority w:val="0"/>
    <w:pPr>
      <w:ind w:firstLine="420"/>
    </w:pPr>
    <w:rPr>
      <w:szCs w:val="20"/>
    </w:rPr>
  </w:style>
  <w:style w:type="paragraph" w:styleId="10">
    <w:name w:val="caption"/>
    <w:basedOn w:val="1"/>
    <w:next w:val="1"/>
    <w:link w:val="56"/>
    <w:qFormat/>
    <w:uiPriority w:val="0"/>
    <w:pPr>
      <w:spacing w:before="152" w:after="160"/>
    </w:pPr>
    <w:rPr>
      <w:rFonts w:ascii="Arial" w:hAnsi="Arial" w:eastAsia="黑体" w:cs="Arial"/>
      <w:kern w:val="0"/>
      <w:sz w:val="20"/>
      <w:szCs w:val="20"/>
    </w:rPr>
  </w:style>
  <w:style w:type="paragraph" w:styleId="11">
    <w:name w:val="annotation text"/>
    <w:basedOn w:val="1"/>
    <w:qFormat/>
    <w:uiPriority w:val="0"/>
    <w:pPr>
      <w:jc w:val="left"/>
    </w:pPr>
  </w:style>
  <w:style w:type="paragraph" w:styleId="12">
    <w:name w:val="Body Text Indent"/>
    <w:basedOn w:val="1"/>
    <w:link w:val="42"/>
    <w:qFormat/>
    <w:uiPriority w:val="99"/>
    <w:pPr>
      <w:spacing w:line="360" w:lineRule="auto"/>
      <w:ind w:firstLine="600" w:firstLineChars="200"/>
    </w:pPr>
    <w:rPr>
      <w:rFonts w:ascii="仿宋_GB2312" w:hAnsi="宋体" w:eastAsia="仿宋_GB2312"/>
      <w:sz w:val="30"/>
    </w:rPr>
  </w:style>
  <w:style w:type="paragraph" w:styleId="13">
    <w:name w:val="toc 5"/>
    <w:basedOn w:val="1"/>
    <w:next w:val="1"/>
    <w:qFormat/>
    <w:uiPriority w:val="0"/>
    <w:pPr>
      <w:ind w:left="840"/>
      <w:jc w:val="left"/>
    </w:pPr>
    <w:rPr>
      <w:rFonts w:asciiTheme="minorHAnsi" w:hAnsiTheme="minorHAnsi"/>
      <w:sz w:val="18"/>
      <w:szCs w:val="18"/>
    </w:rPr>
  </w:style>
  <w:style w:type="paragraph" w:styleId="14">
    <w:name w:val="toc 3"/>
    <w:basedOn w:val="1"/>
    <w:next w:val="1"/>
    <w:qFormat/>
    <w:uiPriority w:val="0"/>
    <w:pPr>
      <w:ind w:left="420"/>
      <w:jc w:val="left"/>
    </w:pPr>
    <w:rPr>
      <w:rFonts w:asciiTheme="minorHAnsi" w:hAnsiTheme="minorHAnsi"/>
      <w:i/>
      <w:iCs/>
      <w:sz w:val="20"/>
      <w:szCs w:val="20"/>
    </w:rPr>
  </w:style>
  <w:style w:type="paragraph" w:styleId="15">
    <w:name w:val="Plain Text"/>
    <w:basedOn w:val="1"/>
    <w:link w:val="46"/>
    <w:qFormat/>
    <w:uiPriority w:val="99"/>
    <w:pPr>
      <w:spacing w:beforeLines="50" w:afterLines="50" w:line="400" w:lineRule="exact"/>
    </w:pPr>
    <w:rPr>
      <w:rFonts w:ascii="宋体" w:hAnsi="Courier New"/>
      <w:sz w:val="24"/>
    </w:rPr>
  </w:style>
  <w:style w:type="paragraph" w:styleId="16">
    <w:name w:val="toc 8"/>
    <w:basedOn w:val="1"/>
    <w:next w:val="1"/>
    <w:qFormat/>
    <w:uiPriority w:val="0"/>
    <w:pPr>
      <w:ind w:left="1470"/>
      <w:jc w:val="left"/>
    </w:pPr>
    <w:rPr>
      <w:rFonts w:asciiTheme="minorHAnsi" w:hAnsiTheme="minorHAnsi"/>
      <w:sz w:val="18"/>
      <w:szCs w:val="18"/>
    </w:rPr>
  </w:style>
  <w:style w:type="paragraph" w:styleId="17">
    <w:name w:val="Date"/>
    <w:basedOn w:val="1"/>
    <w:next w:val="1"/>
    <w:link w:val="52"/>
    <w:qFormat/>
    <w:uiPriority w:val="0"/>
    <w:pPr>
      <w:ind w:left="100" w:leftChars="2500"/>
    </w:pPr>
    <w:rPr>
      <w:rFonts w:ascii="仿宋_GB2312" w:hAnsi="宋体" w:eastAsia="仿宋_GB2312"/>
      <w:sz w:val="30"/>
    </w:rPr>
  </w:style>
  <w:style w:type="paragraph" w:styleId="18">
    <w:name w:val="Body Text Indent 2"/>
    <w:basedOn w:val="1"/>
    <w:link w:val="51"/>
    <w:qFormat/>
    <w:uiPriority w:val="0"/>
    <w:pPr>
      <w:spacing w:line="320" w:lineRule="atLeast"/>
      <w:ind w:firstLine="600" w:firstLineChars="250"/>
    </w:pPr>
    <w:rPr>
      <w:rFonts w:ascii="宋体" w:hAnsi="宋体"/>
      <w:sz w:val="24"/>
    </w:rPr>
  </w:style>
  <w:style w:type="paragraph" w:styleId="19">
    <w:name w:val="Balloon Text"/>
    <w:basedOn w:val="1"/>
    <w:link w:val="48"/>
    <w:qFormat/>
    <w:uiPriority w:val="0"/>
    <w:rPr>
      <w:sz w:val="18"/>
      <w:szCs w:val="18"/>
    </w:rPr>
  </w:style>
  <w:style w:type="paragraph" w:styleId="20">
    <w:name w:val="footer"/>
    <w:basedOn w:val="1"/>
    <w:link w:val="41"/>
    <w:qFormat/>
    <w:uiPriority w:val="99"/>
    <w:pPr>
      <w:tabs>
        <w:tab w:val="center" w:pos="4153"/>
        <w:tab w:val="right" w:pos="8306"/>
      </w:tabs>
      <w:snapToGrid w:val="0"/>
      <w:jc w:val="left"/>
    </w:pPr>
    <w:rPr>
      <w:sz w:val="18"/>
      <w:szCs w:val="18"/>
    </w:rPr>
  </w:style>
  <w:style w:type="paragraph" w:styleId="21">
    <w:name w:val="header"/>
    <w:basedOn w:val="1"/>
    <w:link w:val="45"/>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heme="minorHAnsi" w:hAnsiTheme="minorHAnsi"/>
      <w:b/>
      <w:bCs/>
      <w:caps/>
      <w:sz w:val="20"/>
      <w:szCs w:val="20"/>
    </w:rPr>
  </w:style>
  <w:style w:type="paragraph" w:styleId="23">
    <w:name w:val="toc 4"/>
    <w:basedOn w:val="1"/>
    <w:next w:val="1"/>
    <w:qFormat/>
    <w:uiPriority w:val="0"/>
    <w:pPr>
      <w:ind w:left="630"/>
      <w:jc w:val="left"/>
    </w:pPr>
    <w:rPr>
      <w:rFonts w:asciiTheme="minorHAnsi" w:hAnsiTheme="minorHAnsi"/>
      <w:sz w:val="18"/>
      <w:szCs w:val="18"/>
    </w:rPr>
  </w:style>
  <w:style w:type="paragraph" w:styleId="24">
    <w:name w:val="toc 6"/>
    <w:basedOn w:val="1"/>
    <w:next w:val="1"/>
    <w:qFormat/>
    <w:uiPriority w:val="0"/>
    <w:pPr>
      <w:ind w:left="1050"/>
      <w:jc w:val="left"/>
    </w:pPr>
    <w:rPr>
      <w:rFonts w:asciiTheme="minorHAnsi" w:hAnsiTheme="minorHAnsi"/>
      <w:sz w:val="18"/>
      <w:szCs w:val="18"/>
    </w:rPr>
  </w:style>
  <w:style w:type="paragraph" w:styleId="25">
    <w:name w:val="Body Text Indent 3"/>
    <w:basedOn w:val="1"/>
    <w:qFormat/>
    <w:uiPriority w:val="0"/>
    <w:pPr>
      <w:spacing w:line="560" w:lineRule="exact"/>
      <w:ind w:firstLine="568" w:firstLineChars="200"/>
    </w:pPr>
    <w:rPr>
      <w:rFonts w:ascii="仿宋_GB2312" w:hAnsi="宋体" w:eastAsia="仿宋_GB2312"/>
      <w:spacing w:val="-8"/>
      <w:sz w:val="30"/>
    </w:rPr>
  </w:style>
  <w:style w:type="paragraph" w:styleId="26">
    <w:name w:val="toc 2"/>
    <w:basedOn w:val="1"/>
    <w:next w:val="1"/>
    <w:qFormat/>
    <w:uiPriority w:val="39"/>
    <w:pPr>
      <w:ind w:left="210"/>
      <w:jc w:val="left"/>
    </w:pPr>
    <w:rPr>
      <w:rFonts w:asciiTheme="minorHAnsi" w:hAnsiTheme="minorHAnsi"/>
      <w:smallCaps/>
      <w:sz w:val="20"/>
      <w:szCs w:val="20"/>
    </w:rPr>
  </w:style>
  <w:style w:type="paragraph" w:styleId="27">
    <w:name w:val="toc 9"/>
    <w:basedOn w:val="1"/>
    <w:next w:val="1"/>
    <w:qFormat/>
    <w:uiPriority w:val="0"/>
    <w:pPr>
      <w:ind w:left="1680"/>
      <w:jc w:val="left"/>
    </w:pPr>
    <w:rPr>
      <w:rFonts w:asciiTheme="minorHAnsi" w:hAnsiTheme="minorHAnsi"/>
      <w:sz w:val="18"/>
      <w:szCs w:val="18"/>
    </w:rPr>
  </w:style>
  <w:style w:type="paragraph" w:styleId="28">
    <w:name w:val="Body Text 2"/>
    <w:basedOn w:val="1"/>
    <w:link w:val="53"/>
    <w:qFormat/>
    <w:uiPriority w:val="0"/>
    <w:pPr>
      <w:spacing w:after="120" w:line="480" w:lineRule="auto"/>
    </w:pPr>
  </w:style>
  <w:style w:type="paragraph" w:styleId="2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qFormat/>
    <w:uiPriority w:val="0"/>
    <w:rPr>
      <w:b/>
      <w:bCs/>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Emphasis"/>
    <w:basedOn w:val="33"/>
    <w:qFormat/>
    <w:uiPriority w:val="0"/>
    <w:rPr>
      <w:i/>
    </w:rPr>
  </w:style>
  <w:style w:type="character" w:styleId="38">
    <w:name w:val="Hyperlink"/>
    <w:qFormat/>
    <w:uiPriority w:val="99"/>
    <w:rPr>
      <w:color w:val="0000FF"/>
      <w:u w:val="single"/>
    </w:rPr>
  </w:style>
  <w:style w:type="paragraph" w:customStyle="1" w:styleId="39">
    <w:name w:val="Default"/>
    <w:next w:val="1"/>
    <w:qFormat/>
    <w:uiPriority w:val="0"/>
    <w:pPr>
      <w:widowControl w:val="0"/>
      <w:autoSpaceDE w:val="0"/>
      <w:autoSpaceDN w:val="0"/>
      <w:adjustRightInd w:val="0"/>
    </w:pPr>
    <w:rPr>
      <w:rFonts w:ascii="微软雅黑" w:hAnsi="Calibri" w:eastAsia="微软雅黑" w:cs="Times New Roman"/>
      <w:color w:val="000000"/>
      <w:sz w:val="24"/>
      <w:szCs w:val="24"/>
      <w:lang w:val="en-US" w:eastAsia="zh-CN" w:bidi="ar-SA"/>
    </w:rPr>
  </w:style>
  <w:style w:type="paragraph" w:customStyle="1" w:styleId="40">
    <w:name w:val="表格文字"/>
    <w:basedOn w:val="1"/>
    <w:next w:val="3"/>
    <w:qFormat/>
    <w:uiPriority w:val="0"/>
    <w:pPr>
      <w:adjustRightInd w:val="0"/>
      <w:spacing w:line="420" w:lineRule="atLeast"/>
      <w:jc w:val="left"/>
      <w:textAlignment w:val="baseline"/>
    </w:pPr>
    <w:rPr>
      <w:kern w:val="0"/>
      <w:szCs w:val="21"/>
    </w:rPr>
  </w:style>
  <w:style w:type="character" w:customStyle="1" w:styleId="41">
    <w:name w:val="页脚 Char"/>
    <w:link w:val="20"/>
    <w:qFormat/>
    <w:uiPriority w:val="99"/>
    <w:rPr>
      <w:kern w:val="2"/>
      <w:sz w:val="18"/>
      <w:szCs w:val="18"/>
    </w:rPr>
  </w:style>
  <w:style w:type="character" w:customStyle="1" w:styleId="42">
    <w:name w:val="正文文本缩进 Char"/>
    <w:link w:val="12"/>
    <w:qFormat/>
    <w:uiPriority w:val="99"/>
    <w:rPr>
      <w:rFonts w:ascii="仿宋_GB2312" w:hAnsi="宋体" w:eastAsia="仿宋_GB2312"/>
      <w:kern w:val="2"/>
      <w:sz w:val="30"/>
      <w:szCs w:val="24"/>
      <w:lang w:val="en-US" w:eastAsia="zh-CN" w:bidi="ar-SA"/>
    </w:rPr>
  </w:style>
  <w:style w:type="character" w:customStyle="1" w:styleId="43">
    <w:name w:val="ptb181"/>
    <w:qFormat/>
    <w:uiPriority w:val="0"/>
    <w:rPr>
      <w:rFonts w:hint="default" w:ascii="Verdana" w:hAnsi="Verdana"/>
      <w:b/>
      <w:bCs/>
      <w:color w:val="000000"/>
      <w:sz w:val="27"/>
      <w:szCs w:val="27"/>
    </w:rPr>
  </w:style>
  <w:style w:type="paragraph" w:customStyle="1" w:styleId="44">
    <w:name w:val="Char"/>
    <w:basedOn w:val="1"/>
    <w:qFormat/>
    <w:uiPriority w:val="0"/>
    <w:rPr>
      <w:rFonts w:ascii="仿宋_GB2312" w:eastAsia="仿宋_GB2312"/>
      <w:b/>
      <w:sz w:val="32"/>
      <w:szCs w:val="32"/>
    </w:rPr>
  </w:style>
  <w:style w:type="character" w:customStyle="1" w:styleId="45">
    <w:name w:val="页眉 Char"/>
    <w:link w:val="21"/>
    <w:qFormat/>
    <w:uiPriority w:val="0"/>
    <w:rPr>
      <w:kern w:val="2"/>
      <w:sz w:val="18"/>
      <w:szCs w:val="18"/>
    </w:rPr>
  </w:style>
  <w:style w:type="character" w:customStyle="1" w:styleId="46">
    <w:name w:val="纯文本 Char"/>
    <w:link w:val="15"/>
    <w:qFormat/>
    <w:uiPriority w:val="0"/>
    <w:rPr>
      <w:rFonts w:ascii="宋体" w:hAnsi="Courier New"/>
      <w:kern w:val="2"/>
      <w:sz w:val="24"/>
      <w:szCs w:val="24"/>
    </w:rPr>
  </w:style>
  <w:style w:type="paragraph" w:customStyle="1" w:styleId="47">
    <w:name w:val="默认段落字体 Para Char Char Char Char Char Char Char Char Char1 Char Char Char Char"/>
    <w:basedOn w:val="1"/>
    <w:qFormat/>
    <w:uiPriority w:val="0"/>
    <w:rPr>
      <w:rFonts w:ascii="Tahoma" w:hAnsi="Tahoma"/>
      <w:sz w:val="24"/>
      <w:szCs w:val="20"/>
    </w:rPr>
  </w:style>
  <w:style w:type="character" w:customStyle="1" w:styleId="48">
    <w:name w:val="批注框文本 Char"/>
    <w:link w:val="19"/>
    <w:qFormat/>
    <w:uiPriority w:val="0"/>
    <w:rPr>
      <w:kern w:val="2"/>
      <w:sz w:val="18"/>
      <w:szCs w:val="18"/>
    </w:rPr>
  </w:style>
  <w:style w:type="paragraph" w:customStyle="1" w:styleId="49">
    <w:name w:val="Char1 Char Char Char"/>
    <w:basedOn w:val="1"/>
    <w:qFormat/>
    <w:uiPriority w:val="0"/>
    <w:pPr>
      <w:widowControl/>
      <w:snapToGrid w:val="0"/>
      <w:spacing w:before="120" w:after="160" w:line="360" w:lineRule="auto"/>
      <w:ind w:right="-360"/>
      <w:jc w:val="left"/>
    </w:pPr>
  </w:style>
  <w:style w:type="character" w:customStyle="1" w:styleId="50">
    <w:name w:val="value"/>
    <w:basedOn w:val="33"/>
    <w:qFormat/>
    <w:uiPriority w:val="0"/>
  </w:style>
  <w:style w:type="character" w:customStyle="1" w:styleId="51">
    <w:name w:val="正文文本缩进 2 Char"/>
    <w:basedOn w:val="33"/>
    <w:link w:val="18"/>
    <w:qFormat/>
    <w:uiPriority w:val="0"/>
    <w:rPr>
      <w:rFonts w:ascii="宋体" w:hAnsi="宋体"/>
      <w:kern w:val="2"/>
      <w:sz w:val="24"/>
      <w:szCs w:val="24"/>
    </w:rPr>
  </w:style>
  <w:style w:type="character" w:customStyle="1" w:styleId="52">
    <w:name w:val="日期 Char"/>
    <w:basedOn w:val="33"/>
    <w:link w:val="17"/>
    <w:qFormat/>
    <w:locked/>
    <w:uiPriority w:val="0"/>
    <w:rPr>
      <w:rFonts w:ascii="仿宋_GB2312" w:hAnsi="宋体" w:eastAsia="仿宋_GB2312"/>
      <w:kern w:val="2"/>
      <w:sz w:val="30"/>
      <w:szCs w:val="24"/>
    </w:rPr>
  </w:style>
  <w:style w:type="character" w:customStyle="1" w:styleId="53">
    <w:name w:val="正文文本 2 Char"/>
    <w:basedOn w:val="33"/>
    <w:link w:val="28"/>
    <w:qFormat/>
    <w:uiPriority w:val="0"/>
    <w:rPr>
      <w:kern w:val="2"/>
      <w:sz w:val="21"/>
      <w:szCs w:val="24"/>
    </w:rPr>
  </w:style>
  <w:style w:type="character" w:customStyle="1" w:styleId="54">
    <w:name w:val="页脚 Char1"/>
    <w:qFormat/>
    <w:uiPriority w:val="99"/>
    <w:rPr>
      <w:sz w:val="18"/>
      <w:szCs w:val="18"/>
    </w:rPr>
  </w:style>
  <w:style w:type="character" w:customStyle="1" w:styleId="55">
    <w:name w:val="页眉 Char1"/>
    <w:qFormat/>
    <w:uiPriority w:val="0"/>
    <w:rPr>
      <w:sz w:val="18"/>
      <w:szCs w:val="18"/>
    </w:rPr>
  </w:style>
  <w:style w:type="character" w:customStyle="1" w:styleId="56">
    <w:name w:val="题注 Char"/>
    <w:link w:val="10"/>
    <w:qFormat/>
    <w:uiPriority w:val="0"/>
    <w:rPr>
      <w:rFonts w:ascii="Arial" w:hAnsi="Arial" w:eastAsia="黑体" w:cs="Arial"/>
    </w:rPr>
  </w:style>
  <w:style w:type="paragraph" w:customStyle="1" w:styleId="57">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58">
    <w:name w:val="纯文本 字符"/>
    <w:qFormat/>
    <w:uiPriority w:val="99"/>
    <w:rPr>
      <w:rFonts w:ascii="宋体" w:hAnsi="Courier New" w:eastAsia="宋体"/>
      <w:kern w:val="2"/>
      <w:sz w:val="21"/>
      <w:lang w:val="en-US" w:eastAsia="zh-CN" w:bidi="ar-SA"/>
    </w:rPr>
  </w:style>
  <w:style w:type="character" w:customStyle="1" w:styleId="59">
    <w:name w:val="bookmark-item"/>
    <w:basedOn w:val="33"/>
    <w:qFormat/>
    <w:uiPriority w:val="0"/>
  </w:style>
  <w:style w:type="paragraph" w:customStyle="1" w:styleId="60">
    <w:name w:val="段"/>
    <w:basedOn w:val="1"/>
    <w:next w:val="1"/>
    <w:qFormat/>
    <w:uiPriority w:val="0"/>
    <w:pPr>
      <w:widowControl/>
      <w:autoSpaceDE w:val="0"/>
      <w:autoSpaceDN w:val="0"/>
      <w:ind w:firstLine="200" w:firstLineChars="200"/>
    </w:pPr>
    <w:rPr>
      <w:rFonts w:ascii="宋体" w:hAnsi="Calibri" w:cs="宋体"/>
      <w:kern w:val="0"/>
      <w:szCs w:val="21"/>
    </w:rPr>
  </w:style>
  <w:style w:type="paragraph" w:customStyle="1" w:styleId="61">
    <w:name w:val="此正文"/>
    <w:basedOn w:val="1"/>
    <w:qFormat/>
    <w:uiPriority w:val="0"/>
    <w:pPr>
      <w:spacing w:line="360" w:lineRule="auto"/>
      <w:ind w:firstLine="200" w:firstLineChars="200"/>
    </w:pPr>
    <w:rPr>
      <w:sz w:val="24"/>
    </w:rPr>
  </w:style>
  <w:style w:type="paragraph" w:styleId="62">
    <w:name w:val="List Paragraph"/>
    <w:basedOn w:val="1"/>
    <w:qFormat/>
    <w:uiPriority w:val="34"/>
    <w:pPr>
      <w:ind w:firstLine="420" w:firstLineChars="200"/>
    </w:pPr>
  </w:style>
  <w:style w:type="paragraph" w:customStyle="1" w:styleId="63">
    <w:name w:val="段落样式"/>
    <w:basedOn w:val="1"/>
    <w:next w:val="62"/>
    <w:qFormat/>
    <w:uiPriority w:val="0"/>
    <w:pPr>
      <w:ind w:firstLine="420" w:firstLineChars="200"/>
    </w:pPr>
    <w:rPr>
      <w:kern w:val="0"/>
      <w:sz w:val="20"/>
      <w:szCs w:val="20"/>
    </w:rPr>
  </w:style>
  <w:style w:type="paragraph" w:customStyle="1" w:styleId="64">
    <w:name w:val="列出段落1"/>
    <w:basedOn w:val="1"/>
    <w:qFormat/>
    <w:uiPriority w:val="0"/>
    <w:pPr>
      <w:ind w:firstLine="420" w:firstLineChars="200"/>
    </w:pPr>
  </w:style>
  <w:style w:type="paragraph" w:styleId="65">
    <w:name w:val="No Spacing"/>
    <w:basedOn w:val="1"/>
    <w:qFormat/>
    <w:uiPriority w:val="1"/>
    <w:rPr>
      <w:rFonts w:ascii="Calibri" w:hAnsi="Calibri"/>
      <w:sz w:val="24"/>
    </w:rPr>
  </w:style>
  <w:style w:type="character" w:customStyle="1" w:styleId="66">
    <w:name w:val="font91"/>
    <w:basedOn w:val="33"/>
    <w:qFormat/>
    <w:uiPriority w:val="0"/>
    <w:rPr>
      <w:rFonts w:hint="eastAsia" w:ascii="宋体" w:hAnsi="宋体" w:eastAsia="宋体" w:cs="宋体"/>
      <w:color w:val="FF0000"/>
      <w:sz w:val="22"/>
      <w:szCs w:val="22"/>
      <w:u w:val="none"/>
    </w:rPr>
  </w:style>
  <w:style w:type="character" w:customStyle="1" w:styleId="67">
    <w:name w:val="font21"/>
    <w:basedOn w:val="33"/>
    <w:qFormat/>
    <w:uiPriority w:val="0"/>
    <w:rPr>
      <w:rFonts w:hint="eastAsia" w:ascii="宋体" w:hAnsi="宋体" w:eastAsia="宋体" w:cs="宋体"/>
      <w:color w:val="000000"/>
      <w:sz w:val="22"/>
      <w:szCs w:val="22"/>
      <w:u w:val="none"/>
    </w:rPr>
  </w:style>
  <w:style w:type="character" w:customStyle="1" w:styleId="68">
    <w:name w:val="font11"/>
    <w:basedOn w:val="33"/>
    <w:qFormat/>
    <w:uiPriority w:val="0"/>
    <w:rPr>
      <w:rFonts w:hint="eastAsia" w:ascii="宋体" w:hAnsi="宋体" w:eastAsia="宋体" w:cs="宋体"/>
      <w:color w:val="000000"/>
      <w:sz w:val="24"/>
      <w:szCs w:val="24"/>
      <w:u w:val="none"/>
    </w:rPr>
  </w:style>
  <w:style w:type="character" w:customStyle="1" w:styleId="69">
    <w:name w:val="font41"/>
    <w:basedOn w:val="33"/>
    <w:qFormat/>
    <w:uiPriority w:val="0"/>
    <w:rPr>
      <w:rFonts w:hint="eastAsia" w:ascii="宋体" w:hAnsi="宋体" w:eastAsia="宋体" w:cs="宋体"/>
      <w:color w:val="000000"/>
      <w:sz w:val="20"/>
      <w:szCs w:val="20"/>
      <w:u w:val="none"/>
    </w:rPr>
  </w:style>
  <w:style w:type="paragraph" w:customStyle="1" w:styleId="70">
    <w:name w:val="_Style 3"/>
    <w:basedOn w:val="1"/>
    <w:qFormat/>
    <w:uiPriority w:val="34"/>
    <w:pPr>
      <w:ind w:firstLine="420" w:firstLineChars="200"/>
    </w:pPr>
    <w:rPr>
      <w:rFonts w:eastAsia="仿宋_GB2312"/>
      <w:sz w:val="28"/>
    </w:rPr>
  </w:style>
  <w:style w:type="paragraph" w:customStyle="1" w:styleId="71">
    <w:name w:val="_Style 13"/>
    <w:basedOn w:val="1"/>
    <w:next w:val="62"/>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58</Pages>
  <Words>6539</Words>
  <Characters>37275</Characters>
  <Lines>310</Lines>
  <Paragraphs>87</Paragraphs>
  <TotalTime>53</TotalTime>
  <ScaleCrop>false</ScaleCrop>
  <LinksUpToDate>false</LinksUpToDate>
  <CharactersWithSpaces>43727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2021-03-29T16:35:00Z</dcterms:created>
  <dc:creator>user</dc:creator>
  <cp:lastModifiedBy>Huzhou</cp:lastModifiedBy>
  <cp:lastPrinted>2022-04-13T08:41:00Z</cp:lastPrinted>
  <dcterms:modified xsi:type="dcterms:W3CDTF">2022-11-24T09:46:28Z</dcterms:modified>
  <dc:title>项目名称：浙江省湖州市（单位）</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1A8D26A178F048C6B7F698228E7AA46B</vt:lpwstr>
  </property>
  <property fmtid="{D5CDD505-2E9C-101B-9397-08002B2CF9AE}" pid="4" name="woTemplateTypoMode" linkTarget="0">
    <vt:lpwstr>web</vt:lpwstr>
  </property>
  <property fmtid="{D5CDD505-2E9C-101B-9397-08002B2CF9AE}" pid="5" name="woTemplate" linkTarget="0">
    <vt:i4>1</vt:i4>
  </property>
</Properties>
</file>