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color w:val="auto"/>
        </w:rPr>
      </w:pPr>
      <w:bookmarkStart w:id="0" w:name="_Toc380429933"/>
      <w:bookmarkStart w:id="1" w:name="_Toc381081805"/>
    </w:p>
    <w:p>
      <w:pPr>
        <w:spacing w:beforeLines="50"/>
        <w:jc w:val="center"/>
        <w:rPr>
          <w:rFonts w:asciiTheme="majorEastAsia" w:hAnsiTheme="majorEastAsia" w:eastAsiaTheme="majorEastAsia" w:cstheme="majorEastAsia"/>
          <w:b/>
          <w:color w:val="auto"/>
          <w:spacing w:val="-20"/>
          <w:sz w:val="48"/>
          <w:szCs w:val="48"/>
        </w:rPr>
      </w:pPr>
      <w:r>
        <w:rPr>
          <w:rFonts w:hint="eastAsia" w:asciiTheme="majorEastAsia" w:hAnsiTheme="majorEastAsia" w:eastAsiaTheme="majorEastAsia" w:cstheme="majorEastAsia"/>
          <w:b/>
          <w:color w:val="auto"/>
          <w:spacing w:val="-20"/>
          <w:sz w:val="48"/>
          <w:szCs w:val="48"/>
        </w:rPr>
        <w:t>湖州市本级（含吴兴、南浔财政审核中心）政府投资项目工程造价咨询服务框架协议采购</w:t>
      </w:r>
    </w:p>
    <w:p>
      <w:pPr>
        <w:spacing w:beforeLines="50"/>
        <w:rPr>
          <w:rFonts w:asciiTheme="majorEastAsia" w:hAnsiTheme="majorEastAsia" w:eastAsiaTheme="majorEastAsia" w:cstheme="majorEastAsia"/>
          <w:b/>
          <w:color w:val="auto"/>
          <w:sz w:val="48"/>
          <w:szCs w:val="48"/>
        </w:rPr>
      </w:pPr>
    </w:p>
    <w:p>
      <w:pPr>
        <w:spacing w:beforeLines="50"/>
        <w:jc w:val="center"/>
        <w:rPr>
          <w:rFonts w:asciiTheme="majorEastAsia" w:hAnsiTheme="majorEastAsia" w:eastAsiaTheme="majorEastAsia" w:cstheme="majorEastAsia"/>
          <w:b/>
          <w:color w:val="auto"/>
          <w:sz w:val="48"/>
          <w:szCs w:val="48"/>
        </w:rPr>
      </w:pPr>
    </w:p>
    <w:p>
      <w:pPr>
        <w:spacing w:beforeLines="50"/>
        <w:jc w:val="center"/>
        <w:rPr>
          <w:rFonts w:asciiTheme="majorEastAsia" w:hAnsiTheme="majorEastAsia" w:eastAsiaTheme="majorEastAsia" w:cstheme="majorEastAsia"/>
          <w:b/>
          <w:color w:val="auto"/>
          <w:sz w:val="48"/>
          <w:szCs w:val="48"/>
        </w:rPr>
      </w:pPr>
      <w:r>
        <w:rPr>
          <w:rFonts w:hint="eastAsia" w:asciiTheme="majorEastAsia" w:hAnsiTheme="majorEastAsia" w:eastAsiaTheme="majorEastAsia" w:cstheme="majorEastAsia"/>
          <w:b/>
          <w:color w:val="auto"/>
          <w:sz w:val="44"/>
          <w:szCs w:val="44"/>
        </w:rPr>
        <w:t>征集文件</w:t>
      </w:r>
    </w:p>
    <w:p>
      <w:pPr>
        <w:snapToGrid w:val="0"/>
        <w:spacing w:beforeLines="50" w:line="360" w:lineRule="auto"/>
        <w:rPr>
          <w:rFonts w:asciiTheme="majorEastAsia" w:hAnsiTheme="majorEastAsia" w:eastAsiaTheme="majorEastAsia" w:cstheme="majorEastAsia"/>
          <w:color w:val="auto"/>
          <w:sz w:val="30"/>
          <w:szCs w:val="72"/>
        </w:rPr>
      </w:pPr>
    </w:p>
    <w:p>
      <w:pPr>
        <w:pStyle w:val="14"/>
        <w:snapToGrid w:val="0"/>
        <w:spacing w:before="120" w:after="120" w:line="360" w:lineRule="auto"/>
        <w:jc w:val="left"/>
        <w:rPr>
          <w:rFonts w:asciiTheme="majorEastAsia" w:hAnsiTheme="majorEastAsia" w:eastAsiaTheme="majorEastAsia" w:cstheme="majorEastAsia"/>
          <w:b/>
          <w:bCs/>
          <w:color w:val="auto"/>
          <w:w w:val="95"/>
          <w:sz w:val="30"/>
          <w:szCs w:val="30"/>
        </w:rPr>
      </w:pPr>
    </w:p>
    <w:p>
      <w:pPr>
        <w:rPr>
          <w:rFonts w:asciiTheme="majorEastAsia" w:hAnsiTheme="majorEastAsia" w:eastAsiaTheme="majorEastAsia" w:cstheme="majorEastAsia"/>
          <w:color w:val="auto"/>
        </w:rPr>
      </w:pPr>
    </w:p>
    <w:p>
      <w:pPr>
        <w:pStyle w:val="4"/>
        <w:rPr>
          <w:rFonts w:asciiTheme="majorEastAsia" w:hAnsiTheme="majorEastAsia" w:eastAsiaTheme="majorEastAsia" w:cstheme="majorEastAsia"/>
          <w:color w:val="auto"/>
        </w:rPr>
      </w:pPr>
    </w:p>
    <w:p>
      <w:pPr>
        <w:spacing w:line="360" w:lineRule="auto"/>
        <w:jc w:val="left"/>
        <w:rPr>
          <w:rFonts w:asciiTheme="majorEastAsia" w:hAnsiTheme="majorEastAsia" w:eastAsiaTheme="majorEastAsia" w:cstheme="majorEastAsia"/>
          <w:b/>
          <w:color w:val="auto"/>
          <w:sz w:val="30"/>
          <w:szCs w:val="30"/>
        </w:rPr>
      </w:pPr>
      <w:r>
        <w:rPr>
          <w:rFonts w:hint="eastAsia" w:asciiTheme="majorEastAsia" w:hAnsiTheme="majorEastAsia" w:eastAsiaTheme="majorEastAsia" w:cstheme="majorEastAsia"/>
          <w:b/>
          <w:color w:val="auto"/>
          <w:sz w:val="30"/>
          <w:szCs w:val="30"/>
        </w:rPr>
        <w:t>项目编号：HZKJXY（FB）2022-01</w:t>
      </w:r>
    </w:p>
    <w:p>
      <w:pPr>
        <w:spacing w:line="360" w:lineRule="auto"/>
        <w:jc w:val="left"/>
        <w:rPr>
          <w:rFonts w:asciiTheme="majorEastAsia" w:hAnsiTheme="majorEastAsia" w:eastAsiaTheme="majorEastAsia" w:cstheme="majorEastAsia"/>
          <w:b/>
          <w:color w:val="auto"/>
          <w:sz w:val="30"/>
          <w:szCs w:val="30"/>
        </w:rPr>
      </w:pPr>
      <w:r>
        <w:rPr>
          <w:rFonts w:hint="eastAsia" w:asciiTheme="majorEastAsia" w:hAnsiTheme="majorEastAsia" w:eastAsiaTheme="majorEastAsia" w:cstheme="majorEastAsia"/>
          <w:b/>
          <w:color w:val="auto"/>
          <w:sz w:val="30"/>
          <w:szCs w:val="30"/>
        </w:rPr>
        <w:t>项目名称：湖州市本级（含吴兴、南浔财政审核中心）政府投资项目工程造价咨询服务框架协议采购项目</w:t>
      </w:r>
    </w:p>
    <w:p>
      <w:pPr>
        <w:spacing w:line="360" w:lineRule="auto"/>
        <w:jc w:val="left"/>
        <w:rPr>
          <w:rFonts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0"/>
          <w:szCs w:val="30"/>
        </w:rPr>
        <w:t>征集人：湖州市政府采购中心</w:t>
      </w:r>
    </w:p>
    <w:p>
      <w:pPr>
        <w:pStyle w:val="14"/>
        <w:snapToGrid w:val="0"/>
        <w:spacing w:before="120" w:after="120" w:line="240" w:lineRule="auto"/>
        <w:ind w:firstLine="613"/>
        <w:jc w:val="left"/>
        <w:rPr>
          <w:rFonts w:asciiTheme="majorEastAsia" w:hAnsiTheme="majorEastAsia" w:eastAsiaTheme="majorEastAsia" w:cstheme="majorEastAsia"/>
          <w:b/>
          <w:bCs/>
          <w:color w:val="auto"/>
          <w:w w:val="95"/>
          <w:sz w:val="32"/>
          <w:szCs w:val="32"/>
        </w:rPr>
      </w:pPr>
    </w:p>
    <w:p>
      <w:pPr>
        <w:pStyle w:val="14"/>
        <w:snapToGrid w:val="0"/>
        <w:spacing w:before="120" w:after="120" w:line="240" w:lineRule="auto"/>
        <w:ind w:firstLine="613"/>
        <w:jc w:val="left"/>
        <w:rPr>
          <w:rFonts w:asciiTheme="majorEastAsia" w:hAnsiTheme="majorEastAsia" w:eastAsiaTheme="majorEastAsia" w:cstheme="majorEastAsia"/>
          <w:b/>
          <w:bCs/>
          <w:color w:val="auto"/>
          <w:w w:val="95"/>
          <w:sz w:val="32"/>
          <w:szCs w:val="32"/>
        </w:rPr>
      </w:pPr>
    </w:p>
    <w:p>
      <w:pPr>
        <w:pStyle w:val="14"/>
        <w:spacing w:before="120" w:after="120" w:line="600" w:lineRule="exact"/>
        <w:jc w:val="center"/>
        <w:rPr>
          <w:rFonts w:asciiTheme="majorEastAsia" w:hAnsiTheme="majorEastAsia" w:eastAsiaTheme="majorEastAsia" w:cstheme="majorEastAsia"/>
          <w:b/>
          <w:bCs/>
          <w:color w:val="auto"/>
          <w:w w:val="95"/>
          <w:sz w:val="32"/>
          <w:szCs w:val="32"/>
        </w:rPr>
      </w:pPr>
      <w:r>
        <w:rPr>
          <w:rFonts w:hint="eastAsia" w:asciiTheme="majorEastAsia" w:hAnsiTheme="majorEastAsia" w:eastAsiaTheme="majorEastAsia" w:cstheme="majorEastAsia"/>
          <w:b/>
          <w:bCs/>
          <w:color w:val="auto"/>
          <w:w w:val="95"/>
          <w:sz w:val="32"/>
          <w:szCs w:val="32"/>
        </w:rPr>
        <w:t xml:space="preserve"> 　　　　　　　　　2022年月日</w:t>
      </w:r>
    </w:p>
    <w:p>
      <w:pPr>
        <w:pStyle w:val="14"/>
        <w:spacing w:before="120" w:after="120" w:line="600" w:lineRule="exact"/>
        <w:jc w:val="center"/>
        <w:rPr>
          <w:rFonts w:asciiTheme="majorEastAsia" w:hAnsiTheme="majorEastAsia" w:eastAsiaTheme="majorEastAsia" w:cstheme="majorEastAsia"/>
          <w:b/>
          <w:color w:val="auto"/>
          <w:sz w:val="52"/>
          <w:szCs w:val="52"/>
        </w:rPr>
      </w:pPr>
    </w:p>
    <w:p>
      <w:pPr>
        <w:rPr>
          <w:color w:val="auto"/>
          <w:sz w:val="28"/>
          <w:szCs w:val="28"/>
        </w:rPr>
      </w:pPr>
      <w:r>
        <w:rPr>
          <w:color w:val="auto"/>
          <w:sz w:val="28"/>
          <w:szCs w:val="28"/>
        </w:rPr>
        <w:br w:type="page"/>
      </w:r>
    </w:p>
    <w:p>
      <w:pPr>
        <w:pStyle w:val="2"/>
        <w:rPr>
          <w:color w:val="auto"/>
        </w:rPr>
      </w:pPr>
    </w:p>
    <w:p>
      <w:pPr>
        <w:bidi w:val="0"/>
        <w:jc w:val="center"/>
        <w:rPr>
          <w:color w:val="auto"/>
          <w:sz w:val="28"/>
          <w:szCs w:val="28"/>
        </w:rPr>
      </w:pPr>
      <w:r>
        <w:rPr>
          <w:rFonts w:hint="eastAsia"/>
          <w:color w:val="auto"/>
          <w:sz w:val="28"/>
          <w:szCs w:val="28"/>
        </w:rPr>
        <w:t>目    录</w:t>
      </w:r>
    </w:p>
    <w:p>
      <w:pPr>
        <w:pStyle w:val="20"/>
        <w:tabs>
          <w:tab w:val="right" w:leader="dot" w:pos="8255"/>
        </w:tabs>
        <w:rPr>
          <w:color w:val="auto"/>
        </w:rPr>
      </w:pPr>
      <w:r>
        <w:rPr>
          <w:rFonts w:asciiTheme="majorEastAsia" w:hAnsiTheme="majorEastAsia" w:eastAsiaTheme="majorEastAsia" w:cstheme="majorEastAsia"/>
          <w:b/>
          <w:color w:val="auto"/>
          <w:sz w:val="52"/>
          <w:szCs w:val="52"/>
        </w:rPr>
        <w:fldChar w:fldCharType="begin"/>
      </w:r>
      <w:r>
        <w:rPr>
          <w:rFonts w:asciiTheme="majorEastAsia" w:hAnsiTheme="majorEastAsia" w:eastAsiaTheme="majorEastAsia" w:cstheme="majorEastAsia"/>
          <w:b/>
          <w:color w:val="auto"/>
          <w:sz w:val="52"/>
          <w:szCs w:val="52"/>
        </w:rPr>
        <w:instrText xml:space="preserve">TOC \o "1-1" \h \u </w:instrText>
      </w:r>
      <w:r>
        <w:rPr>
          <w:rFonts w:asciiTheme="majorEastAsia" w:hAnsiTheme="majorEastAsia" w:eastAsiaTheme="majorEastAsia" w:cstheme="majorEastAsia"/>
          <w:b/>
          <w:color w:val="auto"/>
          <w:sz w:val="52"/>
          <w:szCs w:val="52"/>
        </w:rPr>
        <w:fldChar w:fldCharType="separate"/>
      </w:r>
      <w:r>
        <w:rPr>
          <w:rFonts w:asciiTheme="majorEastAsia" w:hAnsiTheme="majorEastAsia" w:eastAsiaTheme="majorEastAsia" w:cstheme="majorEastAsia"/>
          <w:color w:val="auto"/>
          <w:szCs w:val="52"/>
        </w:rPr>
        <w:fldChar w:fldCharType="begin"/>
      </w:r>
      <w:r>
        <w:rPr>
          <w:rFonts w:asciiTheme="majorEastAsia" w:hAnsiTheme="majorEastAsia" w:eastAsiaTheme="majorEastAsia" w:cstheme="majorEastAsia"/>
          <w:color w:val="auto"/>
          <w:szCs w:val="52"/>
        </w:rPr>
        <w:instrText xml:space="preserve"> HYPERLINK \l _Toc1128344318 </w:instrText>
      </w:r>
      <w:r>
        <w:rPr>
          <w:rFonts w:asciiTheme="majorEastAsia" w:hAnsiTheme="majorEastAsia" w:eastAsiaTheme="majorEastAsia" w:cstheme="majorEastAsia"/>
          <w:color w:val="auto"/>
          <w:szCs w:val="52"/>
        </w:rPr>
        <w:fldChar w:fldCharType="separate"/>
      </w:r>
      <w:r>
        <w:rPr>
          <w:rFonts w:hint="eastAsia" w:asciiTheme="majorEastAsia" w:hAnsiTheme="majorEastAsia" w:eastAsiaTheme="majorEastAsia" w:cstheme="majorEastAsia"/>
          <w:color w:val="auto"/>
          <w:szCs w:val="28"/>
          <w:lang w:eastAsia="zh-CN"/>
        </w:rPr>
        <w:t>第一章  框架协议采购公告</w:t>
      </w:r>
      <w:r>
        <w:rPr>
          <w:color w:val="auto"/>
        </w:rPr>
        <w:tab/>
      </w:r>
      <w:r>
        <w:rPr>
          <w:color w:val="auto"/>
        </w:rPr>
        <w:fldChar w:fldCharType="begin"/>
      </w:r>
      <w:r>
        <w:rPr>
          <w:color w:val="auto"/>
        </w:rPr>
        <w:instrText xml:space="preserve"> PAGEREF _Toc1128344318 </w:instrText>
      </w:r>
      <w:r>
        <w:rPr>
          <w:color w:val="auto"/>
        </w:rPr>
        <w:fldChar w:fldCharType="separate"/>
      </w:r>
      <w:r>
        <w:rPr>
          <w:color w:val="auto"/>
        </w:rPr>
        <w:t>3</w:t>
      </w:r>
      <w:r>
        <w:rPr>
          <w:color w:val="auto"/>
        </w:rPr>
        <w:fldChar w:fldCharType="end"/>
      </w:r>
      <w:r>
        <w:rPr>
          <w:rFonts w:asciiTheme="majorEastAsia" w:hAnsiTheme="majorEastAsia" w:eastAsiaTheme="majorEastAsia" w:cstheme="majorEastAsia"/>
          <w:color w:val="auto"/>
          <w:szCs w:val="52"/>
        </w:rPr>
        <w:fldChar w:fldCharType="end"/>
      </w:r>
    </w:p>
    <w:p>
      <w:pPr>
        <w:pStyle w:val="20"/>
        <w:tabs>
          <w:tab w:val="right" w:leader="dot" w:pos="8255"/>
        </w:tabs>
        <w:rPr>
          <w:color w:val="auto"/>
        </w:rPr>
      </w:pPr>
      <w:r>
        <w:rPr>
          <w:rFonts w:asciiTheme="majorEastAsia" w:hAnsiTheme="majorEastAsia" w:eastAsiaTheme="majorEastAsia" w:cstheme="majorEastAsia"/>
          <w:color w:val="auto"/>
          <w:szCs w:val="52"/>
        </w:rPr>
        <w:fldChar w:fldCharType="begin"/>
      </w:r>
      <w:r>
        <w:rPr>
          <w:rFonts w:asciiTheme="majorEastAsia" w:hAnsiTheme="majorEastAsia" w:eastAsiaTheme="majorEastAsia" w:cstheme="majorEastAsia"/>
          <w:color w:val="auto"/>
          <w:szCs w:val="52"/>
        </w:rPr>
        <w:instrText xml:space="preserve"> HYPERLINK \l _Toc879588799 </w:instrText>
      </w:r>
      <w:r>
        <w:rPr>
          <w:rFonts w:asciiTheme="majorEastAsia" w:hAnsiTheme="majorEastAsia" w:eastAsiaTheme="majorEastAsia" w:cstheme="majorEastAsia"/>
          <w:color w:val="auto"/>
          <w:szCs w:val="52"/>
        </w:rPr>
        <w:fldChar w:fldCharType="separate"/>
      </w:r>
      <w:r>
        <w:rPr>
          <w:rFonts w:hint="eastAsia" w:asciiTheme="majorEastAsia" w:hAnsiTheme="majorEastAsia" w:eastAsiaTheme="majorEastAsia" w:cstheme="majorEastAsia"/>
          <w:color w:val="auto"/>
          <w:szCs w:val="28"/>
          <w:lang w:eastAsia="zh-CN"/>
        </w:rPr>
        <w:t>第二章</w:t>
      </w:r>
      <w:r>
        <w:rPr>
          <w:rFonts w:hint="eastAsia" w:asciiTheme="majorEastAsia" w:hAnsiTheme="majorEastAsia" w:eastAsiaTheme="majorEastAsia" w:cstheme="majorEastAsia"/>
          <w:color w:val="auto"/>
          <w:szCs w:val="28"/>
        </w:rPr>
        <w:t>框架协议采购需求</w:t>
      </w:r>
      <w:r>
        <w:rPr>
          <w:color w:val="auto"/>
        </w:rPr>
        <w:tab/>
      </w:r>
      <w:r>
        <w:rPr>
          <w:color w:val="auto"/>
        </w:rPr>
        <w:fldChar w:fldCharType="begin"/>
      </w:r>
      <w:r>
        <w:rPr>
          <w:color w:val="auto"/>
        </w:rPr>
        <w:instrText xml:space="preserve"> PAGEREF _Toc879588799 </w:instrText>
      </w:r>
      <w:r>
        <w:rPr>
          <w:color w:val="auto"/>
        </w:rPr>
        <w:fldChar w:fldCharType="separate"/>
      </w:r>
      <w:r>
        <w:rPr>
          <w:color w:val="auto"/>
        </w:rPr>
        <w:t>8</w:t>
      </w:r>
      <w:r>
        <w:rPr>
          <w:color w:val="auto"/>
        </w:rPr>
        <w:fldChar w:fldCharType="end"/>
      </w:r>
      <w:r>
        <w:rPr>
          <w:rFonts w:asciiTheme="majorEastAsia" w:hAnsiTheme="majorEastAsia" w:eastAsiaTheme="majorEastAsia" w:cstheme="majorEastAsia"/>
          <w:color w:val="auto"/>
          <w:szCs w:val="52"/>
        </w:rPr>
        <w:fldChar w:fldCharType="end"/>
      </w:r>
    </w:p>
    <w:p>
      <w:pPr>
        <w:pStyle w:val="20"/>
        <w:tabs>
          <w:tab w:val="right" w:leader="dot" w:pos="8255"/>
        </w:tabs>
        <w:rPr>
          <w:color w:val="auto"/>
        </w:rPr>
      </w:pPr>
      <w:r>
        <w:rPr>
          <w:rFonts w:asciiTheme="majorEastAsia" w:hAnsiTheme="majorEastAsia" w:eastAsiaTheme="majorEastAsia" w:cstheme="majorEastAsia"/>
          <w:color w:val="auto"/>
          <w:szCs w:val="52"/>
        </w:rPr>
        <w:fldChar w:fldCharType="begin"/>
      </w:r>
      <w:r>
        <w:rPr>
          <w:rFonts w:asciiTheme="majorEastAsia" w:hAnsiTheme="majorEastAsia" w:eastAsiaTheme="majorEastAsia" w:cstheme="majorEastAsia"/>
          <w:color w:val="auto"/>
          <w:szCs w:val="52"/>
        </w:rPr>
        <w:instrText xml:space="preserve"> HYPERLINK \l _Toc1488663174 </w:instrText>
      </w:r>
      <w:r>
        <w:rPr>
          <w:rFonts w:asciiTheme="majorEastAsia" w:hAnsiTheme="majorEastAsia" w:eastAsiaTheme="majorEastAsia" w:cstheme="majorEastAsia"/>
          <w:color w:val="auto"/>
          <w:szCs w:val="52"/>
        </w:rPr>
        <w:fldChar w:fldCharType="separate"/>
      </w:r>
      <w:r>
        <w:rPr>
          <w:rFonts w:hint="eastAsia" w:asciiTheme="majorEastAsia" w:hAnsiTheme="majorEastAsia" w:eastAsiaTheme="majorEastAsia" w:cstheme="majorEastAsia"/>
          <w:color w:val="auto"/>
          <w:szCs w:val="28"/>
        </w:rPr>
        <w:t>第三章　供应商须知</w:t>
      </w:r>
      <w:r>
        <w:rPr>
          <w:color w:val="auto"/>
        </w:rPr>
        <w:tab/>
      </w:r>
      <w:r>
        <w:rPr>
          <w:color w:val="auto"/>
        </w:rPr>
        <w:fldChar w:fldCharType="begin"/>
      </w:r>
      <w:r>
        <w:rPr>
          <w:color w:val="auto"/>
        </w:rPr>
        <w:instrText xml:space="preserve"> PAGEREF _Toc1488663174 </w:instrText>
      </w:r>
      <w:r>
        <w:rPr>
          <w:color w:val="auto"/>
        </w:rPr>
        <w:fldChar w:fldCharType="separate"/>
      </w:r>
      <w:r>
        <w:rPr>
          <w:color w:val="auto"/>
        </w:rPr>
        <w:t>15</w:t>
      </w:r>
      <w:r>
        <w:rPr>
          <w:color w:val="auto"/>
        </w:rPr>
        <w:fldChar w:fldCharType="end"/>
      </w:r>
      <w:r>
        <w:rPr>
          <w:rFonts w:asciiTheme="majorEastAsia" w:hAnsiTheme="majorEastAsia" w:eastAsiaTheme="majorEastAsia" w:cstheme="majorEastAsia"/>
          <w:color w:val="auto"/>
          <w:szCs w:val="52"/>
        </w:rPr>
        <w:fldChar w:fldCharType="end"/>
      </w:r>
    </w:p>
    <w:p>
      <w:pPr>
        <w:pStyle w:val="20"/>
        <w:tabs>
          <w:tab w:val="right" w:leader="dot" w:pos="8255"/>
        </w:tabs>
        <w:rPr>
          <w:color w:val="auto"/>
        </w:rPr>
      </w:pPr>
      <w:r>
        <w:rPr>
          <w:rFonts w:asciiTheme="majorEastAsia" w:hAnsiTheme="majorEastAsia" w:eastAsiaTheme="majorEastAsia" w:cstheme="majorEastAsia"/>
          <w:color w:val="auto"/>
          <w:szCs w:val="52"/>
        </w:rPr>
        <w:fldChar w:fldCharType="begin"/>
      </w:r>
      <w:r>
        <w:rPr>
          <w:rFonts w:asciiTheme="majorEastAsia" w:hAnsiTheme="majorEastAsia" w:eastAsiaTheme="majorEastAsia" w:cstheme="majorEastAsia"/>
          <w:color w:val="auto"/>
          <w:szCs w:val="52"/>
        </w:rPr>
        <w:instrText xml:space="preserve"> HYPERLINK \l _Toc787367862 </w:instrText>
      </w:r>
      <w:r>
        <w:rPr>
          <w:rFonts w:asciiTheme="majorEastAsia" w:hAnsiTheme="majorEastAsia" w:eastAsiaTheme="majorEastAsia" w:cstheme="majorEastAsia"/>
          <w:color w:val="auto"/>
          <w:szCs w:val="52"/>
        </w:rPr>
        <w:fldChar w:fldCharType="separate"/>
      </w:r>
      <w:r>
        <w:rPr>
          <w:rFonts w:hint="eastAsia" w:asciiTheme="majorEastAsia" w:hAnsiTheme="majorEastAsia" w:eastAsiaTheme="majorEastAsia" w:cstheme="majorEastAsia"/>
          <w:color w:val="auto"/>
          <w:szCs w:val="28"/>
        </w:rPr>
        <w:t>第四章 评标办法及标准</w:t>
      </w:r>
      <w:r>
        <w:rPr>
          <w:color w:val="auto"/>
        </w:rPr>
        <w:tab/>
      </w:r>
      <w:r>
        <w:rPr>
          <w:color w:val="auto"/>
        </w:rPr>
        <w:fldChar w:fldCharType="begin"/>
      </w:r>
      <w:r>
        <w:rPr>
          <w:color w:val="auto"/>
        </w:rPr>
        <w:instrText xml:space="preserve"> PAGEREF _Toc787367862 </w:instrText>
      </w:r>
      <w:r>
        <w:rPr>
          <w:color w:val="auto"/>
        </w:rPr>
        <w:fldChar w:fldCharType="separate"/>
      </w:r>
      <w:r>
        <w:rPr>
          <w:color w:val="auto"/>
        </w:rPr>
        <w:t>- 30 -</w:t>
      </w:r>
      <w:r>
        <w:rPr>
          <w:color w:val="auto"/>
        </w:rPr>
        <w:fldChar w:fldCharType="end"/>
      </w:r>
      <w:r>
        <w:rPr>
          <w:rFonts w:asciiTheme="majorEastAsia" w:hAnsiTheme="majorEastAsia" w:eastAsiaTheme="majorEastAsia" w:cstheme="majorEastAsia"/>
          <w:color w:val="auto"/>
          <w:szCs w:val="52"/>
        </w:rPr>
        <w:fldChar w:fldCharType="end"/>
      </w:r>
    </w:p>
    <w:p>
      <w:pPr>
        <w:pStyle w:val="20"/>
        <w:tabs>
          <w:tab w:val="right" w:leader="dot" w:pos="8255"/>
        </w:tabs>
        <w:rPr>
          <w:color w:val="auto"/>
        </w:rPr>
      </w:pPr>
      <w:r>
        <w:rPr>
          <w:rFonts w:asciiTheme="majorEastAsia" w:hAnsiTheme="majorEastAsia" w:eastAsiaTheme="majorEastAsia" w:cstheme="majorEastAsia"/>
          <w:color w:val="auto"/>
          <w:szCs w:val="52"/>
        </w:rPr>
        <w:fldChar w:fldCharType="begin"/>
      </w:r>
      <w:r>
        <w:rPr>
          <w:rFonts w:asciiTheme="majorEastAsia" w:hAnsiTheme="majorEastAsia" w:eastAsiaTheme="majorEastAsia" w:cstheme="majorEastAsia"/>
          <w:color w:val="auto"/>
          <w:szCs w:val="52"/>
        </w:rPr>
        <w:instrText xml:space="preserve"> HYPERLINK \l _Toc1057582860 </w:instrText>
      </w:r>
      <w:r>
        <w:rPr>
          <w:rFonts w:asciiTheme="majorEastAsia" w:hAnsiTheme="majorEastAsia" w:eastAsiaTheme="majorEastAsia" w:cstheme="majorEastAsia"/>
          <w:color w:val="auto"/>
          <w:szCs w:val="52"/>
        </w:rPr>
        <w:fldChar w:fldCharType="separate"/>
      </w:r>
      <w:r>
        <w:rPr>
          <w:rFonts w:hint="eastAsia" w:asciiTheme="majorEastAsia" w:hAnsiTheme="majorEastAsia" w:eastAsiaTheme="majorEastAsia" w:cstheme="majorEastAsia"/>
          <w:color w:val="auto"/>
          <w:szCs w:val="28"/>
        </w:rPr>
        <w:t>第五章框架协议主要条款</w:t>
      </w:r>
      <w:r>
        <w:rPr>
          <w:color w:val="auto"/>
        </w:rPr>
        <w:tab/>
      </w:r>
      <w:r>
        <w:rPr>
          <w:color w:val="auto"/>
        </w:rPr>
        <w:fldChar w:fldCharType="begin"/>
      </w:r>
      <w:r>
        <w:rPr>
          <w:color w:val="auto"/>
        </w:rPr>
        <w:instrText xml:space="preserve"> PAGEREF _Toc1057582860 </w:instrText>
      </w:r>
      <w:r>
        <w:rPr>
          <w:color w:val="auto"/>
        </w:rPr>
        <w:fldChar w:fldCharType="separate"/>
      </w:r>
      <w:r>
        <w:rPr>
          <w:color w:val="auto"/>
        </w:rPr>
        <w:t>- 34 -</w:t>
      </w:r>
      <w:r>
        <w:rPr>
          <w:color w:val="auto"/>
        </w:rPr>
        <w:fldChar w:fldCharType="end"/>
      </w:r>
      <w:r>
        <w:rPr>
          <w:rFonts w:asciiTheme="majorEastAsia" w:hAnsiTheme="majorEastAsia" w:eastAsiaTheme="majorEastAsia" w:cstheme="majorEastAsia"/>
          <w:color w:val="auto"/>
          <w:szCs w:val="52"/>
        </w:rPr>
        <w:fldChar w:fldCharType="end"/>
      </w:r>
    </w:p>
    <w:p>
      <w:pPr>
        <w:pStyle w:val="20"/>
        <w:tabs>
          <w:tab w:val="right" w:leader="dot" w:pos="8255"/>
        </w:tabs>
        <w:rPr>
          <w:color w:val="auto"/>
        </w:rPr>
      </w:pPr>
      <w:r>
        <w:rPr>
          <w:rFonts w:asciiTheme="majorEastAsia" w:hAnsiTheme="majorEastAsia" w:eastAsiaTheme="majorEastAsia" w:cstheme="majorEastAsia"/>
          <w:color w:val="auto"/>
          <w:szCs w:val="52"/>
        </w:rPr>
        <w:fldChar w:fldCharType="begin"/>
      </w:r>
      <w:r>
        <w:rPr>
          <w:rFonts w:asciiTheme="majorEastAsia" w:hAnsiTheme="majorEastAsia" w:eastAsiaTheme="majorEastAsia" w:cstheme="majorEastAsia"/>
          <w:color w:val="auto"/>
          <w:szCs w:val="52"/>
        </w:rPr>
        <w:instrText xml:space="preserve"> HYPERLINK \l _Toc1959908668 </w:instrText>
      </w:r>
      <w:r>
        <w:rPr>
          <w:rFonts w:asciiTheme="majorEastAsia" w:hAnsiTheme="majorEastAsia" w:eastAsiaTheme="majorEastAsia" w:cstheme="majorEastAsia"/>
          <w:color w:val="auto"/>
          <w:szCs w:val="52"/>
        </w:rPr>
        <w:fldChar w:fldCharType="separate"/>
      </w:r>
      <w:r>
        <w:rPr>
          <w:rFonts w:hint="eastAsia" w:asciiTheme="majorEastAsia" w:hAnsiTheme="majorEastAsia" w:eastAsiaTheme="majorEastAsia" w:cstheme="majorEastAsia"/>
          <w:color w:val="auto"/>
          <w:szCs w:val="28"/>
        </w:rPr>
        <w:t>第</w:t>
      </w:r>
      <w:r>
        <w:rPr>
          <w:rFonts w:hint="eastAsia" w:asciiTheme="majorEastAsia" w:hAnsiTheme="majorEastAsia" w:eastAsiaTheme="majorEastAsia" w:cstheme="majorEastAsia"/>
          <w:color w:val="auto"/>
          <w:szCs w:val="28"/>
          <w:lang w:eastAsia="zh-CN"/>
        </w:rPr>
        <w:t>六</w:t>
      </w:r>
      <w:r>
        <w:rPr>
          <w:rFonts w:hint="eastAsia" w:asciiTheme="majorEastAsia" w:hAnsiTheme="majorEastAsia" w:eastAsiaTheme="majorEastAsia" w:cstheme="majorEastAsia"/>
          <w:color w:val="auto"/>
          <w:szCs w:val="28"/>
        </w:rPr>
        <w:t>章</w:t>
      </w:r>
      <w:r>
        <w:rPr>
          <w:rFonts w:hint="eastAsia" w:asciiTheme="majorEastAsia" w:hAnsiTheme="majorEastAsia" w:eastAsiaTheme="majorEastAsia" w:cstheme="majorEastAsia"/>
          <w:color w:val="auto"/>
          <w:szCs w:val="28"/>
          <w:lang w:eastAsia="zh-CN"/>
        </w:rPr>
        <w:t>合同</w:t>
      </w:r>
      <w:r>
        <w:rPr>
          <w:rFonts w:hint="eastAsia" w:asciiTheme="majorEastAsia" w:hAnsiTheme="majorEastAsia" w:eastAsiaTheme="majorEastAsia" w:cstheme="majorEastAsia"/>
          <w:color w:val="auto"/>
          <w:szCs w:val="28"/>
        </w:rPr>
        <w:t>主要条款</w:t>
      </w:r>
      <w:r>
        <w:rPr>
          <w:color w:val="auto"/>
        </w:rPr>
        <w:tab/>
      </w:r>
      <w:r>
        <w:rPr>
          <w:color w:val="auto"/>
        </w:rPr>
        <w:fldChar w:fldCharType="begin"/>
      </w:r>
      <w:r>
        <w:rPr>
          <w:color w:val="auto"/>
        </w:rPr>
        <w:instrText xml:space="preserve"> PAGEREF _Toc1959908668 </w:instrText>
      </w:r>
      <w:r>
        <w:rPr>
          <w:color w:val="auto"/>
        </w:rPr>
        <w:fldChar w:fldCharType="separate"/>
      </w:r>
      <w:r>
        <w:rPr>
          <w:color w:val="auto"/>
        </w:rPr>
        <w:t>- 38 -</w:t>
      </w:r>
      <w:r>
        <w:rPr>
          <w:color w:val="auto"/>
        </w:rPr>
        <w:fldChar w:fldCharType="end"/>
      </w:r>
      <w:r>
        <w:rPr>
          <w:rFonts w:asciiTheme="majorEastAsia" w:hAnsiTheme="majorEastAsia" w:eastAsiaTheme="majorEastAsia" w:cstheme="majorEastAsia"/>
          <w:color w:val="auto"/>
          <w:szCs w:val="52"/>
        </w:rPr>
        <w:fldChar w:fldCharType="end"/>
      </w:r>
    </w:p>
    <w:p>
      <w:pPr>
        <w:pStyle w:val="20"/>
        <w:tabs>
          <w:tab w:val="right" w:leader="dot" w:pos="8255"/>
        </w:tabs>
        <w:rPr>
          <w:color w:val="auto"/>
        </w:rPr>
      </w:pPr>
      <w:r>
        <w:rPr>
          <w:rFonts w:asciiTheme="majorEastAsia" w:hAnsiTheme="majorEastAsia" w:eastAsiaTheme="majorEastAsia" w:cstheme="majorEastAsia"/>
          <w:color w:val="auto"/>
          <w:szCs w:val="52"/>
        </w:rPr>
        <w:fldChar w:fldCharType="begin"/>
      </w:r>
      <w:r>
        <w:rPr>
          <w:rFonts w:asciiTheme="majorEastAsia" w:hAnsiTheme="majorEastAsia" w:eastAsiaTheme="majorEastAsia" w:cstheme="majorEastAsia"/>
          <w:color w:val="auto"/>
          <w:szCs w:val="52"/>
        </w:rPr>
        <w:instrText xml:space="preserve"> HYPERLINK \l _Toc221845977 </w:instrText>
      </w:r>
      <w:r>
        <w:rPr>
          <w:rFonts w:asciiTheme="majorEastAsia" w:hAnsiTheme="majorEastAsia" w:eastAsiaTheme="majorEastAsia" w:cstheme="majorEastAsia"/>
          <w:color w:val="auto"/>
          <w:szCs w:val="52"/>
        </w:rPr>
        <w:fldChar w:fldCharType="separate"/>
      </w:r>
      <w:r>
        <w:rPr>
          <w:rFonts w:hint="eastAsia" w:asciiTheme="majorEastAsia" w:hAnsiTheme="majorEastAsia" w:eastAsiaTheme="majorEastAsia" w:cstheme="majorEastAsia"/>
          <w:color w:val="auto"/>
          <w:szCs w:val="28"/>
        </w:rPr>
        <w:t>第</w:t>
      </w:r>
      <w:r>
        <w:rPr>
          <w:rFonts w:hint="eastAsia" w:asciiTheme="majorEastAsia" w:hAnsiTheme="majorEastAsia" w:eastAsiaTheme="majorEastAsia" w:cstheme="majorEastAsia"/>
          <w:color w:val="auto"/>
          <w:szCs w:val="28"/>
          <w:lang w:eastAsia="zh-CN"/>
        </w:rPr>
        <w:t>七</w:t>
      </w:r>
      <w:r>
        <w:rPr>
          <w:rFonts w:hint="eastAsia" w:asciiTheme="majorEastAsia" w:hAnsiTheme="majorEastAsia" w:eastAsiaTheme="majorEastAsia" w:cstheme="majorEastAsia"/>
          <w:color w:val="auto"/>
          <w:szCs w:val="28"/>
        </w:rPr>
        <w:t>章 响应文件格式</w:t>
      </w:r>
      <w:r>
        <w:rPr>
          <w:color w:val="auto"/>
        </w:rPr>
        <w:tab/>
      </w:r>
      <w:r>
        <w:rPr>
          <w:color w:val="auto"/>
        </w:rPr>
        <w:fldChar w:fldCharType="begin"/>
      </w:r>
      <w:r>
        <w:rPr>
          <w:color w:val="auto"/>
        </w:rPr>
        <w:instrText xml:space="preserve"> PAGEREF _Toc221845977 </w:instrText>
      </w:r>
      <w:r>
        <w:rPr>
          <w:color w:val="auto"/>
        </w:rPr>
        <w:fldChar w:fldCharType="separate"/>
      </w:r>
      <w:r>
        <w:rPr>
          <w:color w:val="auto"/>
        </w:rPr>
        <w:t>- 46 -</w:t>
      </w:r>
      <w:r>
        <w:rPr>
          <w:color w:val="auto"/>
        </w:rPr>
        <w:fldChar w:fldCharType="end"/>
      </w:r>
      <w:r>
        <w:rPr>
          <w:rFonts w:asciiTheme="majorEastAsia" w:hAnsiTheme="majorEastAsia" w:eastAsiaTheme="majorEastAsia" w:cstheme="majorEastAsia"/>
          <w:color w:val="auto"/>
          <w:szCs w:val="52"/>
        </w:rPr>
        <w:fldChar w:fldCharType="end"/>
      </w:r>
    </w:p>
    <w:p>
      <w:pPr>
        <w:pStyle w:val="14"/>
        <w:spacing w:beforeLines="100" w:afterLines="100" w:line="600" w:lineRule="exact"/>
        <w:jc w:val="center"/>
        <w:rPr>
          <w:rFonts w:asciiTheme="majorEastAsia" w:hAnsiTheme="majorEastAsia" w:eastAsiaTheme="majorEastAsia" w:cstheme="majorEastAsia"/>
          <w:b/>
          <w:color w:val="auto"/>
          <w:sz w:val="52"/>
          <w:szCs w:val="52"/>
        </w:rPr>
      </w:pPr>
      <w:r>
        <w:rPr>
          <w:rFonts w:asciiTheme="majorEastAsia" w:hAnsiTheme="majorEastAsia" w:eastAsiaTheme="majorEastAsia" w:cstheme="majorEastAsia"/>
          <w:color w:val="auto"/>
          <w:szCs w:val="52"/>
        </w:rPr>
        <w:fldChar w:fldCharType="end"/>
      </w:r>
    </w:p>
    <w:p>
      <w:pPr>
        <w:rPr>
          <w:rFonts w:asciiTheme="majorEastAsia" w:hAnsiTheme="majorEastAsia" w:eastAsiaTheme="majorEastAsia" w:cstheme="majorEastAsia"/>
          <w:color w:val="auto"/>
          <w:szCs w:val="32"/>
        </w:rPr>
      </w:pPr>
    </w:p>
    <w:p>
      <w:pPr>
        <w:pStyle w:val="2"/>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3"/>
        <w:rPr>
          <w:rFonts w:asciiTheme="majorEastAsia" w:hAnsiTheme="majorEastAsia" w:eastAsiaTheme="majorEastAsia" w:cstheme="majorEastAsia"/>
          <w:color w:val="auto"/>
          <w:szCs w:val="32"/>
        </w:rPr>
      </w:pPr>
    </w:p>
    <w:p>
      <w:pPr>
        <w:pStyle w:val="4"/>
        <w:rPr>
          <w:rFonts w:asciiTheme="majorEastAsia" w:hAnsiTheme="majorEastAsia" w:eastAsiaTheme="majorEastAsia" w:cstheme="majorEastAsia"/>
          <w:color w:val="auto"/>
          <w:szCs w:val="32"/>
        </w:rPr>
      </w:pPr>
    </w:p>
    <w:p>
      <w:pPr>
        <w:rPr>
          <w:rFonts w:asciiTheme="majorEastAsia" w:hAnsiTheme="majorEastAsia" w:eastAsiaTheme="majorEastAsia" w:cstheme="majorEastAsia"/>
          <w:color w:val="auto"/>
        </w:rPr>
      </w:pPr>
    </w:p>
    <w:p>
      <w:pPr>
        <w:rPr>
          <w:rFonts w:asciiTheme="majorEastAsia" w:hAnsiTheme="majorEastAsia" w:eastAsiaTheme="majorEastAsia" w:cstheme="majorEastAsia"/>
          <w:color w:val="auto"/>
        </w:rPr>
      </w:pPr>
    </w:p>
    <w:p>
      <w:pPr>
        <w:rPr>
          <w:rFonts w:asciiTheme="majorEastAsia" w:hAnsiTheme="majorEastAsia" w:eastAsiaTheme="majorEastAsia" w:cstheme="majorEastAsia"/>
          <w:color w:val="auto"/>
        </w:rPr>
      </w:pPr>
    </w:p>
    <w:p>
      <w:pPr>
        <w:pStyle w:val="2"/>
        <w:rPr>
          <w:rFonts w:asciiTheme="majorEastAsia" w:hAnsiTheme="majorEastAsia" w:eastAsiaTheme="majorEastAsia" w:cstheme="majorEastAsia"/>
          <w:color w:val="auto"/>
        </w:rPr>
      </w:pPr>
    </w:p>
    <w:p>
      <w:pPr>
        <w:pStyle w:val="3"/>
        <w:ind w:left="480" w:firstLine="404"/>
        <w:rPr>
          <w:rFonts w:asciiTheme="majorEastAsia" w:hAnsiTheme="majorEastAsia" w:eastAsiaTheme="majorEastAsia" w:cstheme="majorEastAsia"/>
          <w:color w:val="auto"/>
        </w:rPr>
      </w:pPr>
    </w:p>
    <w:p>
      <w:pPr>
        <w:pStyle w:val="3"/>
        <w:ind w:left="480" w:firstLine="404"/>
        <w:rPr>
          <w:rFonts w:asciiTheme="majorEastAsia" w:hAnsiTheme="majorEastAsia" w:eastAsiaTheme="majorEastAsia" w:cstheme="majorEastAsia"/>
          <w:color w:val="auto"/>
        </w:rPr>
      </w:pPr>
    </w:p>
    <w:p>
      <w:pPr>
        <w:pStyle w:val="3"/>
        <w:ind w:left="480" w:firstLine="404"/>
        <w:rPr>
          <w:rFonts w:asciiTheme="majorEastAsia" w:hAnsiTheme="majorEastAsia" w:eastAsiaTheme="majorEastAsia" w:cstheme="majorEastAsia"/>
          <w:color w:val="auto"/>
        </w:rPr>
      </w:pPr>
    </w:p>
    <w:p>
      <w:pPr>
        <w:pStyle w:val="3"/>
        <w:ind w:left="480" w:firstLine="404"/>
        <w:rPr>
          <w:rFonts w:asciiTheme="majorEastAsia" w:hAnsiTheme="majorEastAsia" w:eastAsiaTheme="majorEastAsia" w:cstheme="majorEastAsia"/>
          <w:color w:val="auto"/>
        </w:rPr>
      </w:pPr>
    </w:p>
    <w:p>
      <w:pPr>
        <w:pStyle w:val="4"/>
        <w:numPr>
          <w:ilvl w:val="0"/>
          <w:numId w:val="0"/>
        </w:numPr>
        <w:jc w:val="center"/>
        <w:rPr>
          <w:rFonts w:hint="eastAsia" w:asciiTheme="majorEastAsia" w:hAnsiTheme="majorEastAsia" w:eastAsiaTheme="majorEastAsia" w:cstheme="majorEastAsia"/>
          <w:color w:val="auto"/>
          <w:sz w:val="28"/>
          <w:szCs w:val="28"/>
          <w:lang w:eastAsia="zh-CN"/>
        </w:rPr>
      </w:pPr>
      <w:bookmarkStart w:id="2" w:name="_Toc1308133736"/>
      <w:bookmarkStart w:id="3" w:name="_Toc1128344318"/>
      <w:r>
        <w:rPr>
          <w:rFonts w:hint="eastAsia" w:asciiTheme="majorEastAsia" w:hAnsiTheme="majorEastAsia" w:eastAsiaTheme="majorEastAsia" w:cstheme="majorEastAsia"/>
          <w:color w:val="auto"/>
          <w:sz w:val="28"/>
          <w:szCs w:val="28"/>
          <w:lang w:eastAsia="zh-CN"/>
        </w:rPr>
        <w:t>第一章  框架协议采购公告</w:t>
      </w:r>
      <w:bookmarkEnd w:id="2"/>
      <w:bookmarkEnd w:id="3"/>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color w:val="auto"/>
        </w:rPr>
      </w:pPr>
      <w:bookmarkStart w:id="4" w:name="_Toc439666950"/>
      <w:r>
        <w:rPr>
          <w:rFonts w:hint="eastAsia" w:asciiTheme="majorEastAsia" w:hAnsiTheme="majorEastAsia" w:eastAsiaTheme="majorEastAsia" w:cstheme="majorEastAsia"/>
          <w:color w:val="auto"/>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u w:val="single"/>
        </w:rPr>
        <w:t>湖州市本级（含吴兴、南浔财政审核中心）政府投资项目工程造价咨询服务框架协议采购项目</w:t>
      </w:r>
      <w:r>
        <w:rPr>
          <w:rFonts w:hint="eastAsia" w:asciiTheme="majorEastAsia" w:hAnsiTheme="majorEastAsia" w:eastAsiaTheme="majorEastAsia" w:cstheme="majorEastAsia"/>
          <w:color w:val="auto"/>
        </w:rPr>
        <w:t>的潜在供应商应在</w:t>
      </w:r>
      <w:r>
        <w:rPr>
          <w:rFonts w:hint="eastAsia" w:asciiTheme="majorEastAsia" w:hAnsiTheme="majorEastAsia" w:eastAsiaTheme="majorEastAsia" w:cstheme="majorEastAsia"/>
          <w:color w:val="auto"/>
          <w:u w:val="single"/>
        </w:rPr>
        <w:t>浙江政府采购网</w:t>
      </w:r>
      <w:r>
        <w:rPr>
          <w:rFonts w:hint="eastAsia" w:asciiTheme="majorEastAsia" w:hAnsiTheme="majorEastAsia" w:eastAsiaTheme="majorEastAsia" w:cstheme="majorEastAsia"/>
          <w:color w:val="auto"/>
        </w:rPr>
        <w:t>（</w:t>
      </w:r>
      <w:r>
        <w:rPr>
          <w:color w:val="auto"/>
        </w:rPr>
        <w:fldChar w:fldCharType="begin"/>
      </w:r>
      <w:r>
        <w:rPr>
          <w:color w:val="auto"/>
        </w:rPr>
        <w:instrText xml:space="preserve"> HYPERLINK "http://zfcg.czt.zj.gov.cn" </w:instrText>
      </w:r>
      <w:r>
        <w:rPr>
          <w:color w:val="auto"/>
        </w:rPr>
        <w:fldChar w:fldCharType="separate"/>
      </w:r>
      <w:r>
        <w:rPr>
          <w:rStyle w:val="28"/>
          <w:rFonts w:hint="eastAsia" w:asciiTheme="majorEastAsia" w:hAnsiTheme="majorEastAsia" w:eastAsiaTheme="majorEastAsia" w:cstheme="majorEastAsia"/>
          <w:color w:val="auto"/>
        </w:rPr>
        <w:t>http://zfcg.czt.zj.gov.cn</w:t>
      </w:r>
      <w:r>
        <w:rPr>
          <w:rStyle w:val="28"/>
          <w:rFonts w:hint="eastAsia" w:asciiTheme="majorEastAsia" w:hAnsiTheme="majorEastAsia" w:eastAsiaTheme="majorEastAsia" w:cstheme="majorEastAsia"/>
          <w:color w:val="auto"/>
        </w:rPr>
        <w:fldChar w:fldCharType="end"/>
      </w:r>
      <w:r>
        <w:rPr>
          <w:rFonts w:hint="eastAsia" w:asciiTheme="majorEastAsia" w:hAnsiTheme="majorEastAsia" w:eastAsiaTheme="majorEastAsia" w:cstheme="majorEastAsia"/>
          <w:color w:val="auto"/>
        </w:rPr>
        <w:t>）获取征集文件，并于</w:t>
      </w:r>
      <w:r>
        <w:rPr>
          <w:rFonts w:hint="eastAsia" w:asciiTheme="majorEastAsia" w:hAnsiTheme="majorEastAsia" w:eastAsiaTheme="majorEastAsia" w:cstheme="majorEastAsia"/>
          <w:color w:val="auto"/>
          <w:u w:val="single"/>
        </w:rPr>
        <w:t>2022年月日09：00</w:t>
      </w:r>
      <w:r>
        <w:rPr>
          <w:rFonts w:hint="eastAsia" w:asciiTheme="majorEastAsia" w:hAnsiTheme="majorEastAsia" w:eastAsiaTheme="majorEastAsia" w:cstheme="majorEastAsia"/>
          <w:bCs/>
          <w:color w:val="auto"/>
          <w:u w:val="single"/>
        </w:rPr>
        <w:t>（</w:t>
      </w:r>
      <w:r>
        <w:rPr>
          <w:rFonts w:hint="eastAsia" w:asciiTheme="majorEastAsia" w:hAnsiTheme="majorEastAsia" w:eastAsiaTheme="majorEastAsia" w:cstheme="majorEastAsia"/>
          <w:bCs/>
          <w:color w:val="auto"/>
        </w:rPr>
        <w:t>北京时间）前递交响应文件</w:t>
      </w:r>
      <w:r>
        <w:rPr>
          <w:rFonts w:hint="eastAsia" w:asciiTheme="majorEastAsia" w:hAnsiTheme="majorEastAsia" w:eastAsiaTheme="majorEastAsia" w:cstheme="majorEastAsia"/>
          <w:color w:val="auto"/>
        </w:rPr>
        <w:t>。</w:t>
      </w:r>
    </w:p>
    <w:p>
      <w:pPr>
        <w:spacing w:line="360" w:lineRule="auto"/>
        <w:rPr>
          <w:rFonts w:asciiTheme="majorEastAsia" w:hAnsiTheme="majorEastAsia" w:eastAsiaTheme="majorEastAsia" w:cstheme="majorEastAsia"/>
          <w:b/>
          <w:color w:val="auto"/>
        </w:rPr>
      </w:pPr>
    </w:p>
    <w:p>
      <w:pPr>
        <w:pStyle w:val="5"/>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一、项目基本情况</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政府采购计划编号：</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项目编号：HZKJXY（FB）2022-01</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项目名称：湖州市本级（含吴兴、南浔财政审核中心）政府投资项目工程造价咨询服务框架协议采购</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预算金额：</w:t>
      </w:r>
      <w:r>
        <w:rPr>
          <w:rFonts w:hint="eastAsia" w:asciiTheme="majorEastAsia" w:hAnsiTheme="majorEastAsia" w:eastAsiaTheme="majorEastAsia" w:cstheme="majorEastAsia"/>
          <w:color w:val="auto"/>
          <w:lang w:val="en-US" w:eastAsia="zh-CN"/>
        </w:rPr>
        <w:t>1500万</w:t>
      </w:r>
      <w:r>
        <w:rPr>
          <w:rFonts w:hint="eastAsia" w:asciiTheme="majorEastAsia" w:hAnsiTheme="majorEastAsia" w:eastAsiaTheme="majorEastAsia" w:cstheme="majorEastAsia"/>
          <w:color w:val="auto"/>
        </w:rPr>
        <w:t>元</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采购需求：湖州市本级（含吴兴、南浔财政审核中心）政府投资项目工程造价咨询服务框架协议采购服务费在分散采购招标限额以下的</w:t>
      </w:r>
      <w:r>
        <w:rPr>
          <w:rFonts w:hint="eastAsia" w:ascii="宋体" w:hAnsi="宋体" w:eastAsia="宋体" w:cs="宋体"/>
          <w:color w:val="auto"/>
          <w:kern w:val="2"/>
          <w:sz w:val="24"/>
          <w:szCs w:val="24"/>
          <w:lang w:val="en-US" w:eastAsia="zh-CN" w:bidi="ar"/>
        </w:rPr>
        <w:t>概算、招标控制价（含工程量清单）、竣工结算和其他专项评审</w:t>
      </w:r>
      <w:r>
        <w:rPr>
          <w:rFonts w:hint="eastAsia" w:asciiTheme="majorEastAsia" w:hAnsiTheme="majorEastAsia" w:eastAsiaTheme="majorEastAsia" w:cstheme="majorEastAsia"/>
          <w:color w:val="auto"/>
        </w:rPr>
        <w:t>服务。</w:t>
      </w:r>
    </w:p>
    <w:p>
      <w:pPr>
        <w:spacing w:line="300" w:lineRule="auto"/>
        <w:ind w:firstLine="480" w:firstLineChars="200"/>
        <w:rPr>
          <w:rFonts w:ascii="仿宋" w:hAnsi="仿宋" w:eastAsia="仿宋" w:cs="仿宋"/>
          <w:b/>
          <w:bCs/>
          <w:color w:val="auto"/>
          <w:sz w:val="28"/>
          <w:szCs w:val="28"/>
        </w:rPr>
      </w:pPr>
      <w:r>
        <w:rPr>
          <w:rFonts w:hint="eastAsia" w:asciiTheme="majorEastAsia" w:hAnsiTheme="majorEastAsia" w:eastAsiaTheme="majorEastAsia" w:cstheme="majorEastAsia"/>
          <w:color w:val="auto"/>
        </w:rPr>
        <w:t>服务期限：服务期自协议签订之日起</w:t>
      </w:r>
      <w:r>
        <w:rPr>
          <w:rFonts w:hint="eastAsia" w:asciiTheme="majorEastAsia" w:hAnsiTheme="majorEastAsia" w:eastAsiaTheme="majorEastAsia" w:cstheme="majorEastAsia"/>
          <w:color w:val="auto"/>
          <w:lang w:eastAsia="zh-CN"/>
        </w:rPr>
        <w:t>一</w:t>
      </w:r>
      <w:r>
        <w:rPr>
          <w:rFonts w:hint="eastAsia" w:asciiTheme="majorEastAsia" w:hAnsiTheme="majorEastAsia" w:eastAsiaTheme="majorEastAsia" w:cstheme="majorEastAsia"/>
          <w:color w:val="auto"/>
        </w:rPr>
        <w:t>年</w:t>
      </w:r>
      <w:r>
        <w:rPr>
          <w:rFonts w:hint="default" w:asciiTheme="majorEastAsia" w:hAnsiTheme="majorEastAsia" w:eastAsiaTheme="majorEastAsia" w:cstheme="majorEastAsia"/>
          <w:color w:val="auto"/>
        </w:rPr>
        <w:t>，后续视上级政策法规调整情况酌情延长</w:t>
      </w:r>
      <w:r>
        <w:rPr>
          <w:rFonts w:hint="eastAsia" w:asciiTheme="majorEastAsia" w:hAnsiTheme="majorEastAsia" w:eastAsiaTheme="majorEastAsia" w:cstheme="majorEastAsia"/>
          <w:color w:val="auto"/>
        </w:rPr>
        <w:t>。单个合同为签订之日至分配的各项目造价审核完成。</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本项目接受联合体</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rPr>
        <w:sym w:font="Wingdings" w:char="00A8"/>
      </w:r>
      <w:r>
        <w:rPr>
          <w:rFonts w:hint="eastAsia" w:asciiTheme="majorEastAsia" w:hAnsiTheme="majorEastAsia" w:eastAsiaTheme="majorEastAsia" w:cstheme="majorEastAsia"/>
          <w:color w:val="auto"/>
        </w:rPr>
        <w:t xml:space="preserve"> 是，</w:t>
      </w:r>
      <w:r>
        <w:rPr>
          <w:rFonts w:hint="eastAsia" w:asciiTheme="majorEastAsia" w:hAnsiTheme="majorEastAsia" w:eastAsiaTheme="majorEastAsia" w:cstheme="majorEastAsia"/>
          <w:color w:val="auto"/>
        </w:rPr>
        <w:sym w:font="Wingdings" w:char="00FE"/>
      </w:r>
      <w:r>
        <w:rPr>
          <w:rFonts w:hint="eastAsia" w:asciiTheme="majorEastAsia" w:hAnsiTheme="majorEastAsia" w:eastAsiaTheme="majorEastAsia" w:cstheme="majorEastAsia"/>
          <w:color w:val="auto"/>
        </w:rPr>
        <w:t>否。</w:t>
      </w:r>
    </w:p>
    <w:p>
      <w:pPr>
        <w:pStyle w:val="5"/>
        <w:rPr>
          <w:rFonts w:asciiTheme="majorEastAsia" w:hAnsiTheme="majorEastAsia" w:eastAsiaTheme="majorEastAsia" w:cstheme="majorEastAsia"/>
          <w:color w:val="auto"/>
        </w:rPr>
      </w:pPr>
      <w:bookmarkStart w:id="5" w:name="_Toc28359080"/>
      <w:bookmarkStart w:id="6" w:name="_Toc28359003"/>
      <w:bookmarkStart w:id="7" w:name="_Toc35393791"/>
      <w:bookmarkStart w:id="8" w:name="_Toc35393622"/>
      <w:r>
        <w:rPr>
          <w:rFonts w:hint="eastAsia" w:asciiTheme="majorEastAsia" w:hAnsiTheme="majorEastAsia" w:eastAsiaTheme="majorEastAsia" w:cstheme="majorEastAsia"/>
          <w:color w:val="auto"/>
        </w:rPr>
        <w:t>二、申请人的资格要求</w:t>
      </w:r>
      <w:bookmarkEnd w:id="5"/>
      <w:bookmarkEnd w:id="6"/>
      <w:bookmarkEnd w:id="7"/>
      <w:bookmarkEnd w:id="8"/>
    </w:p>
    <w:p>
      <w:pPr>
        <w:spacing w:line="360" w:lineRule="auto"/>
        <w:ind w:firstLine="480" w:firstLineChars="200"/>
        <w:rPr>
          <w:rFonts w:asciiTheme="majorEastAsia" w:hAnsiTheme="majorEastAsia" w:eastAsiaTheme="majorEastAsia" w:cstheme="majorEastAsia"/>
          <w:color w:val="auto"/>
        </w:rPr>
      </w:pPr>
      <w:bookmarkStart w:id="9" w:name="_Toc28359081"/>
      <w:bookmarkStart w:id="10" w:name="_Toc28359004"/>
      <w:r>
        <w:rPr>
          <w:rFonts w:hint="eastAsia" w:asciiTheme="majorEastAsia" w:hAnsiTheme="majorEastAsia" w:eastAsiaTheme="majorEastAsia" w:cstheme="majorEastAsia"/>
          <w:color w:val="auto"/>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2.本项目的特定资格要求：</w:t>
      </w:r>
      <w:r>
        <w:rPr>
          <w:rFonts w:hint="eastAsia" w:asciiTheme="majorEastAsia" w:hAnsiTheme="majorEastAsia" w:eastAsiaTheme="majorEastAsia" w:cstheme="majorEastAsia"/>
          <w:color w:val="auto"/>
          <w:u w:val="single"/>
        </w:rPr>
        <w:t xml:space="preserve">无 </w:t>
      </w:r>
      <w:r>
        <w:rPr>
          <w:rFonts w:hint="eastAsia" w:asciiTheme="majorEastAsia" w:hAnsiTheme="majorEastAsia" w:eastAsiaTheme="majorEastAsia" w:cstheme="majorEastAsia"/>
          <w:color w:val="auto"/>
        </w:rPr>
        <w:t>；</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3"/>
        <w:ind w:left="0" w:leftChars="0" w:firstLine="464"/>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2"/>
          <w:sz w:val="24"/>
        </w:rPr>
        <w:t>5.本项目不接受分公司（分支机构）直接申请。</w:t>
      </w:r>
      <w:bookmarkStart w:id="11" w:name="_Toc35393792"/>
      <w:bookmarkStart w:id="12" w:name="_Toc35393623"/>
    </w:p>
    <w:p>
      <w:pPr>
        <w:pStyle w:val="5"/>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三、获取</w:t>
      </w:r>
      <w:bookmarkEnd w:id="9"/>
      <w:bookmarkEnd w:id="10"/>
      <w:bookmarkEnd w:id="11"/>
      <w:bookmarkEnd w:id="12"/>
      <w:r>
        <w:rPr>
          <w:rFonts w:hint="eastAsia" w:asciiTheme="majorEastAsia" w:hAnsiTheme="majorEastAsia" w:eastAsiaTheme="majorEastAsia" w:cstheme="majorEastAsia"/>
          <w:color w:val="auto"/>
        </w:rPr>
        <w:t>征集文件</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时间：2022年月日至2022年月日09：00</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地点（网址）：政采云平台（https://www.zcygov.cn/） </w:t>
      </w:r>
    </w:p>
    <w:p>
      <w:pPr>
        <w:spacing w:line="540" w:lineRule="exact"/>
        <w:ind w:firstLine="480" w:firstLineChars="200"/>
        <w:rPr>
          <w:rFonts w:asciiTheme="majorEastAsia" w:hAnsiTheme="majorEastAsia" w:eastAsiaTheme="majorEastAsia" w:cstheme="majorEastAsia"/>
          <w:strike/>
          <w:color w:val="auto"/>
        </w:rPr>
      </w:pPr>
      <w:r>
        <w:rPr>
          <w:rFonts w:hint="eastAsia" w:asciiTheme="majorEastAsia" w:hAnsiTheme="majorEastAsia" w:eastAsiaTheme="majorEastAsia" w:cstheme="majorEastAsia"/>
          <w:color w:val="auto"/>
        </w:rPr>
        <w:t>方式：供应商登录政采云平台https://www.zcygov.cn/在线申请获取采购文件（进入“项目采购”应用，在获取采购文件菜单中选择项目，申请获取采购文件）。</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售价：免费。</w:t>
      </w:r>
    </w:p>
    <w:p>
      <w:pPr>
        <w:pStyle w:val="5"/>
        <w:rPr>
          <w:rFonts w:asciiTheme="majorEastAsia" w:hAnsiTheme="majorEastAsia" w:eastAsiaTheme="majorEastAsia" w:cstheme="majorEastAsia"/>
          <w:color w:val="auto"/>
        </w:rPr>
      </w:pPr>
      <w:bookmarkStart w:id="13" w:name="_Toc28359082"/>
      <w:bookmarkStart w:id="14" w:name="_Toc28359005"/>
      <w:bookmarkStart w:id="15" w:name="_Toc35393624"/>
      <w:bookmarkStart w:id="16" w:name="_Toc35393793"/>
      <w:r>
        <w:rPr>
          <w:rFonts w:hint="eastAsia" w:asciiTheme="majorEastAsia" w:hAnsiTheme="majorEastAsia" w:eastAsiaTheme="majorEastAsia" w:cstheme="majorEastAsia"/>
          <w:color w:val="auto"/>
        </w:rPr>
        <w:t>四、提交</w:t>
      </w:r>
      <w:bookmarkEnd w:id="13"/>
      <w:bookmarkEnd w:id="14"/>
      <w:r>
        <w:rPr>
          <w:rFonts w:hint="eastAsia" w:asciiTheme="majorEastAsia" w:hAnsiTheme="majorEastAsia" w:eastAsiaTheme="majorEastAsia" w:cstheme="majorEastAsia"/>
          <w:color w:val="auto"/>
        </w:rPr>
        <w:t>响应文件截止时间、开标时间和地点</w:t>
      </w:r>
      <w:bookmarkEnd w:id="15"/>
      <w:bookmarkEnd w:id="16"/>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2022年月日9：00（北京时间）</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地点（网址）：政采云平台（https://www.zcygov.cn/）</w:t>
      </w:r>
    </w:p>
    <w:p>
      <w:pPr>
        <w:pStyle w:val="5"/>
        <w:rPr>
          <w:rFonts w:asciiTheme="majorEastAsia" w:hAnsiTheme="majorEastAsia" w:eastAsiaTheme="majorEastAsia" w:cstheme="majorEastAsia"/>
          <w:color w:val="auto"/>
        </w:rPr>
      </w:pPr>
      <w:bookmarkStart w:id="17" w:name="_Toc28359007"/>
      <w:bookmarkStart w:id="18" w:name="_Toc35393794"/>
      <w:bookmarkStart w:id="19" w:name="_Toc35393625"/>
      <w:bookmarkStart w:id="20" w:name="_Toc28359084"/>
      <w:r>
        <w:rPr>
          <w:rFonts w:hint="eastAsia" w:asciiTheme="majorEastAsia" w:hAnsiTheme="majorEastAsia" w:eastAsiaTheme="majorEastAsia" w:cstheme="majorEastAsia"/>
          <w:color w:val="auto"/>
        </w:rPr>
        <w:t>五、公告期限</w:t>
      </w:r>
      <w:bookmarkEnd w:id="17"/>
      <w:bookmarkEnd w:id="18"/>
      <w:bookmarkEnd w:id="19"/>
      <w:bookmarkEnd w:id="20"/>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自本公告发布之日起5个工作日。</w:t>
      </w:r>
    </w:p>
    <w:p>
      <w:pPr>
        <w:pStyle w:val="5"/>
        <w:rPr>
          <w:rFonts w:asciiTheme="majorEastAsia" w:hAnsiTheme="majorEastAsia" w:eastAsiaTheme="majorEastAsia" w:cstheme="majorEastAsia"/>
          <w:color w:val="auto"/>
        </w:rPr>
      </w:pPr>
      <w:bookmarkStart w:id="21" w:name="_Toc35393795"/>
      <w:bookmarkStart w:id="22" w:name="_Toc35393626"/>
      <w:r>
        <w:rPr>
          <w:rFonts w:hint="eastAsia" w:asciiTheme="majorEastAsia" w:hAnsiTheme="majorEastAsia" w:eastAsiaTheme="majorEastAsia" w:cstheme="majorEastAsia"/>
          <w:color w:val="auto"/>
        </w:rPr>
        <w:t>六、其他补充事宜</w:t>
      </w:r>
      <w:bookmarkEnd w:id="21"/>
      <w:bookmarkEnd w:id="22"/>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供应商认为征集文件使自己的权益受到损害的，可以自获取征集文件之日或者征集文件公告期限届满之日（公告期限届满后获取征集文件的，以公告期限届满之日为准）起7个工作日内，以书面形式在政采云平台向征集人提出质疑。质疑供应商对征集人的答复不满意或者征集人未在规定的时间内作出答复的，可以在答复期满后十五个工作日内向同级政府采购监督管理部门投诉。质疑函范本、投诉书范本请到浙江政府采购网下载专区下载。</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2.其他事项：</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（1）需要落实的政府采购政策：包括节约资源、保护环境、支持创新、促进中小企业发展等。</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（2）电子招</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的说明：</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①电子招</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：本项目以数据电文形式，依托“政府采购云平台（www.zcygov.cn）”进行征集活动，不接受纸质响应文件；</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②</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CA驱动和申领流程</w:t>
      </w:r>
    </w:p>
    <w:p>
      <w:pPr>
        <w:spacing w:beforeLines="50" w:afterLines="50" w:line="276" w:lineRule="auto"/>
        <w:ind w:firstLine="420" w:firstLineChars="200"/>
        <w:rPr>
          <w:rStyle w:val="28"/>
          <w:rFonts w:asciiTheme="majorEastAsia" w:hAnsiTheme="majorEastAsia" w:eastAsiaTheme="majorEastAsia" w:cstheme="majorEastAsia"/>
          <w:color w:val="auto"/>
          <w:sz w:val="21"/>
          <w:szCs w:val="22"/>
        </w:rPr>
      </w:pPr>
      <w:r>
        <w:rPr>
          <w:rStyle w:val="28"/>
          <w:rFonts w:hint="eastAsia" w:asciiTheme="majorEastAsia" w:hAnsiTheme="majorEastAsia" w:eastAsiaTheme="majorEastAsia" w:cstheme="majorEastAsia"/>
          <w:color w:val="auto"/>
          <w:sz w:val="21"/>
          <w:szCs w:val="22"/>
        </w:rPr>
        <w:t xml:space="preserve">https://zfcg.czt.zj.gov.cn/bidClientTemplate/2019-05-27/12945.html    </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注：ＣＡ证书遗失补办、延期、解锁、质保等业务可以在联连客户端上进行操作；使用政采云</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客户端时，建议使用windows7以上且64位的操作系统。</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CA证书办理操作视频</w:t>
      </w:r>
    </w:p>
    <w:p>
      <w:pPr>
        <w:spacing w:beforeLines="50" w:afterLines="50" w:line="276" w:lineRule="auto"/>
        <w:ind w:firstLine="420" w:firstLineChars="200"/>
        <w:rPr>
          <w:rStyle w:val="28"/>
          <w:rFonts w:asciiTheme="majorEastAsia" w:hAnsiTheme="majorEastAsia" w:eastAsiaTheme="majorEastAsia" w:cstheme="majorEastAsia"/>
          <w:color w:val="auto"/>
          <w:sz w:val="21"/>
          <w:szCs w:val="22"/>
        </w:rPr>
      </w:pPr>
      <w:r>
        <w:rPr>
          <w:rStyle w:val="28"/>
          <w:rFonts w:hint="eastAsia" w:asciiTheme="majorEastAsia" w:hAnsiTheme="majorEastAsia" w:eastAsiaTheme="majorEastAsia" w:cstheme="majorEastAsia"/>
          <w:color w:val="auto"/>
          <w:sz w:val="21"/>
          <w:szCs w:val="22"/>
        </w:rPr>
        <w:t>https://service.zcygov.cn/#/knowledges/UgcbC3EBiyELHE-opz1b/EWqqyXEByNnJ3A2CPyDI</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CA绑定登录操作视频</w:t>
      </w:r>
    </w:p>
    <w:p>
      <w:pPr>
        <w:spacing w:beforeLines="50" w:afterLines="50" w:line="276" w:lineRule="auto"/>
        <w:ind w:firstLine="420" w:firstLineChars="200"/>
        <w:rPr>
          <w:rFonts w:asciiTheme="majorEastAsia" w:hAnsiTheme="majorEastAsia" w:eastAsiaTheme="majorEastAsia" w:cstheme="majorEastAsia"/>
          <w:color w:val="auto"/>
        </w:rPr>
      </w:pPr>
      <w:r>
        <w:rPr>
          <w:rStyle w:val="28"/>
          <w:rFonts w:hint="eastAsia" w:asciiTheme="majorEastAsia" w:hAnsiTheme="majorEastAsia" w:eastAsiaTheme="majorEastAsia" w:cstheme="majorEastAsia"/>
          <w:color w:val="auto"/>
          <w:sz w:val="21"/>
          <w:szCs w:val="22"/>
        </w:rPr>
        <w:t>https://service.zcygov.cn/#/knowledges/UgcbC3EBiyELHE-opz1b/nAkmyXEBiyELHE-o-983</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③征集文件的获取：使用账号登录或者使用CA登录政采云平台；进入“项目采购”应用，在获取采购文件菜单中选择项目，获取征集文件；</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④响应文件的制作：在“政采云电子交易客户端”中完成“填写基本信息”、“导入响应文件”、“标书关联”、“标书检查”、“电子签名”、“生成电子标书”等操作；</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⑤征集人将依托政采云平台完成本项目的电子交易活动，平台不接受未按上述方式获取征集文件的供应商进行响应活动； </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⑥对未按上述方式获取征集文件的供应商对该文件提出的质疑，征集人将不予处理；</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⑦不提供征集文件纸质版；</w:t>
      </w:r>
    </w:p>
    <w:p>
      <w:pPr>
        <w:spacing w:line="400" w:lineRule="exact"/>
        <w:ind w:firstLine="720" w:firstLineChars="3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⑧</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的传输递交：供应商在</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截止时间前将加密的</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上传至政府采购云平台，还可以在</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截止时间前直接提交或者以</w:t>
      </w:r>
      <w:r>
        <w:rPr>
          <w:rFonts w:hint="eastAsia" w:asciiTheme="majorEastAsia" w:hAnsiTheme="majorEastAsia" w:eastAsiaTheme="majorEastAsia" w:cstheme="majorEastAsia"/>
          <w:b/>
          <w:bCs/>
          <w:color w:val="auto"/>
          <w:u w:val="single"/>
        </w:rPr>
        <w:t>EMS</w:t>
      </w:r>
      <w:r>
        <w:rPr>
          <w:rFonts w:hint="eastAsia" w:asciiTheme="majorEastAsia" w:hAnsiTheme="majorEastAsia" w:eastAsiaTheme="majorEastAsia" w:cstheme="majorEastAsia"/>
          <w:color w:val="auto"/>
        </w:rPr>
        <w:t>方式递交备份</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1份(地址：湖州市金盖山路66号市民服务中心2号楼2楼；收件人：范女士；电话：0572-2220019)</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备份</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递交须满足：外包装封面上应注明供应商名称、</w:t>
      </w:r>
      <w:r>
        <w:rPr>
          <w:rFonts w:hint="eastAsia" w:asciiTheme="majorEastAsia" w:hAnsiTheme="majorEastAsia" w:eastAsiaTheme="majorEastAsia" w:cstheme="majorEastAsia"/>
          <w:color w:val="auto"/>
          <w:lang w:eastAsia="zh-CN"/>
        </w:rPr>
        <w:t>供应商</w:t>
      </w:r>
      <w:r>
        <w:rPr>
          <w:rFonts w:hint="eastAsia" w:asciiTheme="majorEastAsia" w:hAnsiTheme="majorEastAsia" w:eastAsiaTheme="majorEastAsia" w:cstheme="majorEastAsia"/>
          <w:color w:val="auto"/>
        </w:rPr>
        <w:t>联系方式（授权代表手机）、</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名称（备份</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项目名称、项目编号、标项及“开标时启封”字样，并加盖</w:t>
      </w:r>
      <w:r>
        <w:rPr>
          <w:rFonts w:hint="eastAsia" w:asciiTheme="majorEastAsia" w:hAnsiTheme="majorEastAsia" w:eastAsiaTheme="majorEastAsia" w:cstheme="majorEastAsia"/>
          <w:color w:val="auto"/>
          <w:lang w:eastAsia="zh-CN"/>
        </w:rPr>
        <w:t>供应商</w:t>
      </w:r>
      <w:r>
        <w:rPr>
          <w:rFonts w:hint="eastAsia" w:asciiTheme="majorEastAsia" w:hAnsiTheme="majorEastAsia" w:eastAsiaTheme="majorEastAsia" w:cstheme="majorEastAsia"/>
          <w:color w:val="auto"/>
        </w:rPr>
        <w:t>公章。</w:t>
      </w:r>
    </w:p>
    <w:p>
      <w:pPr>
        <w:spacing w:line="540" w:lineRule="exact"/>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lang w:eastAsia="zh-CN"/>
        </w:rPr>
        <w:t>供应商</w:t>
      </w:r>
      <w:r>
        <w:rPr>
          <w:rFonts w:hint="eastAsia" w:asciiTheme="majorEastAsia" w:hAnsiTheme="majorEastAsia" w:eastAsiaTheme="majorEastAsia" w:cstheme="majorEastAsia"/>
          <w:b/>
          <w:bCs/>
          <w:color w:val="auto"/>
        </w:rPr>
        <w:t>递交的备份</w:t>
      </w:r>
      <w:r>
        <w:rPr>
          <w:rFonts w:hint="eastAsia" w:asciiTheme="majorEastAsia" w:hAnsiTheme="majorEastAsia" w:eastAsiaTheme="majorEastAsia" w:cstheme="majorEastAsia"/>
          <w:b/>
          <w:bCs/>
          <w:color w:val="auto"/>
          <w:lang w:eastAsia="zh-CN"/>
        </w:rPr>
        <w:t>响应文件</w:t>
      </w:r>
      <w:r>
        <w:rPr>
          <w:rFonts w:hint="eastAsia" w:asciiTheme="majorEastAsia" w:hAnsiTheme="majorEastAsia" w:eastAsiaTheme="majorEastAsia" w:cstheme="majorEastAsia"/>
          <w:b/>
          <w:bCs/>
          <w:color w:val="auto"/>
        </w:rPr>
        <w:t>，出现下列情况之一的，将被拒收：</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·未按规定密封或标记的；</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·由于包装不妥，在送交途中严重破损或失散的；</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·超过</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截止时间送达的；</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·快递方式：快递费到付，或以EMS以外的快递方式提交的。</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⑨响应文件的解密：供应商按照平台提示和征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⑩具体操作指南：详见政采云平台“服务中心-帮助文档-项目采购-操作流程-电子招</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-政府采购项目电子交易管理操作指南-供应商”（浙江省“项目采购电子交易系统/不见面开评标”学习专题：</w:t>
      </w:r>
      <w:r>
        <w:rPr>
          <w:color w:val="auto"/>
        </w:rPr>
        <w:fldChar w:fldCharType="begin"/>
      </w:r>
      <w:r>
        <w:rPr>
          <w:color w:val="auto"/>
        </w:rPr>
        <w:instrText xml:space="preserve"> HYPERLINK "https://edu.zcygov.cn/luban/e-biding" </w:instrText>
      </w:r>
      <w:r>
        <w:rPr>
          <w:color w:val="auto"/>
        </w:rPr>
        <w:fldChar w:fldCharType="separate"/>
      </w:r>
      <w:r>
        <w:rPr>
          <w:rFonts w:hint="eastAsia" w:asciiTheme="majorEastAsia" w:hAnsiTheme="majorEastAsia" w:eastAsiaTheme="majorEastAsia" w:cstheme="majorEastAsia"/>
          <w:color w:val="auto"/>
        </w:rPr>
        <w:t>https://edu.zcygov.cn/luban/e-biding</w:t>
      </w:r>
      <w:r>
        <w:rPr>
          <w:rFonts w:hint="eastAsia" w:asciiTheme="majorEastAsia" w:hAnsiTheme="majorEastAsia" w:eastAsiaTheme="majorEastAsia" w:cstheme="majorEastAsia"/>
          <w:color w:val="auto"/>
        </w:rPr>
        <w:fldChar w:fldCharType="end"/>
      </w:r>
      <w:r>
        <w:rPr>
          <w:rFonts w:hint="eastAsia" w:asciiTheme="majorEastAsia" w:hAnsiTheme="majorEastAsia" w:eastAsiaTheme="majorEastAsia" w:cstheme="majorEastAsia"/>
          <w:color w:val="auto"/>
        </w:rPr>
        <w:t>）。</w:t>
      </w:r>
    </w:p>
    <w:p>
      <w:pPr>
        <w:spacing w:line="540" w:lineRule="exact"/>
        <w:ind w:firstLine="480" w:firstLineChars="200"/>
        <w:rPr>
          <w:rFonts w:asciiTheme="majorEastAsia" w:hAnsiTheme="majorEastAsia" w:eastAsiaTheme="majorEastAsia" w:cstheme="majorEastAsia"/>
          <w:color w:val="auto"/>
        </w:rPr>
      </w:pPr>
      <w:bookmarkStart w:id="23" w:name="_Toc35393796"/>
      <w:bookmarkStart w:id="24" w:name="_Toc28359085"/>
      <w:bookmarkStart w:id="25" w:name="_Toc28359008"/>
      <w:bookmarkStart w:id="26" w:name="_Toc35393627"/>
      <w:r>
        <w:rPr>
          <w:rFonts w:hint="eastAsia" w:asciiTheme="majorEastAsia" w:hAnsiTheme="majorEastAsia" w:eastAsiaTheme="majorEastAsia" w:cstheme="majorEastAsia"/>
          <w:color w:val="auto"/>
        </w:rPr>
        <w:t>3.惠企政策</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3.1本采购项目，入围供应商与征集人签订的政府采购合同适用于湖州市本级（含吴兴、南浔财政审核中心）政府采购贷款政策（简称“政采贷”），具体内容可参阅政府采购贷款流程：</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http://jxszwsjb.jiaxing.gov.cn/zxfw/005001/005001004/20190315/76d484f7-8fac-497f-9359-4df81cc086da.html</w:t>
      </w:r>
    </w:p>
    <w:p>
      <w:pPr>
        <w:spacing w:line="540" w:lineRule="exact"/>
        <w:ind w:firstLine="480" w:firstLineChars="200"/>
        <w:rPr>
          <w:rFonts w:asciiTheme="majorEastAsia" w:hAnsiTheme="majorEastAsia" w:eastAsiaTheme="majorEastAsia" w:cstheme="majorEastAsia"/>
          <w:color w:val="auto"/>
          <w:highlight w:val="yellow"/>
        </w:rPr>
      </w:pPr>
      <w:r>
        <w:rPr>
          <w:rFonts w:hint="eastAsia" w:asciiTheme="majorEastAsia" w:hAnsiTheme="majorEastAsia" w:eastAsiaTheme="majorEastAsia" w:cstheme="majorEastAsia"/>
          <w:color w:val="auto"/>
        </w:rPr>
        <w:t>3.2本采购项目，入围供应商与征集人签订的政府采购合同适用于浙江省政府采购履约保函政策，具体内容可登录政采云平台（https://www.zcygov.cn/），点击右侧咨询小采。</w:t>
      </w:r>
    </w:p>
    <w:p>
      <w:pPr>
        <w:spacing w:line="540" w:lineRule="exact"/>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七、对本次招标提出询问，请按以下方式联系</w:t>
      </w:r>
      <w:bookmarkEnd w:id="23"/>
      <w:bookmarkEnd w:id="24"/>
      <w:bookmarkEnd w:id="25"/>
      <w:bookmarkEnd w:id="26"/>
    </w:p>
    <w:p>
      <w:pPr>
        <w:spacing w:line="540" w:lineRule="exact"/>
        <w:ind w:firstLine="481" w:firstLineChars="2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1.征集人信息</w:t>
      </w:r>
    </w:p>
    <w:p>
      <w:pPr>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名 称：湖州市政府采购中心</w:t>
      </w:r>
    </w:p>
    <w:p>
      <w:pPr>
        <w:spacing w:line="400" w:lineRule="exact"/>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地 址：湖州市金盖山路66号市民服务中心2号楼2楼</w:t>
      </w:r>
    </w:p>
    <w:p>
      <w:pPr>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传真：</w:t>
      </w:r>
      <w:bookmarkStart w:id="27" w:name="_Toc28359010"/>
      <w:bookmarkStart w:id="28" w:name="_Toc28359087"/>
      <w:r>
        <w:rPr>
          <w:rFonts w:hint="eastAsia" w:asciiTheme="majorEastAsia" w:hAnsiTheme="majorEastAsia" w:eastAsiaTheme="majorEastAsia" w:cstheme="majorEastAsia"/>
          <w:color w:val="auto"/>
        </w:rPr>
        <w:t>0572-2220061</w:t>
      </w:r>
    </w:p>
    <w:bookmarkEnd w:id="27"/>
    <w:bookmarkEnd w:id="28"/>
    <w:p>
      <w:pPr>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项目联系人：顾女士</w:t>
      </w:r>
    </w:p>
    <w:p>
      <w:pPr>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电话：0572-2220019</w:t>
      </w:r>
    </w:p>
    <w:p>
      <w:pPr>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质疑函接收人：范女士</w:t>
      </w:r>
    </w:p>
    <w:p>
      <w:pPr>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联系方式：0572-2220019   传真：0572-2220061</w:t>
      </w:r>
    </w:p>
    <w:p>
      <w:pPr>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邮箱：zfcgfzx@huzhou.gov.cn</w:t>
      </w:r>
    </w:p>
    <w:p>
      <w:pPr>
        <w:spacing w:line="540" w:lineRule="exact"/>
        <w:ind w:firstLine="481" w:firstLineChars="2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lang w:val="en-US" w:eastAsia="zh-CN"/>
        </w:rPr>
        <w:t>2</w:t>
      </w:r>
      <w:r>
        <w:rPr>
          <w:rFonts w:hint="eastAsia" w:asciiTheme="majorEastAsia" w:hAnsiTheme="majorEastAsia" w:eastAsiaTheme="majorEastAsia" w:cstheme="majorEastAsia"/>
          <w:b/>
          <w:color w:val="auto"/>
        </w:rPr>
        <w:t>.同级政府采购监督管理部门</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政府采购行政监管及投诉受理部门：湖州市财政局政府采购监管处</w:t>
      </w:r>
    </w:p>
    <w:p>
      <w:pPr>
        <w:pStyle w:val="13"/>
        <w:spacing w:line="480" w:lineRule="exact"/>
        <w:ind w:left="0" w:right="204"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联系人：李女士</w:t>
      </w:r>
    </w:p>
    <w:p>
      <w:pPr>
        <w:pStyle w:val="13"/>
        <w:spacing w:line="480" w:lineRule="exact"/>
        <w:ind w:left="0" w:right="204"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联系方式：0572-2150086</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若对项目采购电子交易系统操作有疑问，可登录政采云（https://www.zcygov.cn/），点击右侧咨询小采，获取采小蜜智能服务管家帮助，或拨打政采云服务热线400-881-7190获取热线服务帮助。</w:t>
      </w:r>
    </w:p>
    <w:p>
      <w:pPr>
        <w:spacing w:line="54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CA问题联系电话（人工）：汇信CA 400-888-4636；天谷CA 400-087-8198。</w:t>
      </w:r>
    </w:p>
    <w:p>
      <w:pPr>
        <w:pStyle w:val="3"/>
        <w:ind w:left="0" w:leftChars="0" w:firstLine="0" w:firstLineChars="0"/>
        <w:rPr>
          <w:color w:val="auto"/>
        </w:rPr>
      </w:pPr>
    </w:p>
    <w:p>
      <w:pPr>
        <w:spacing w:line="540" w:lineRule="exact"/>
        <w:ind w:right="48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征   集  人：</w:t>
      </w:r>
      <w:bookmarkStart w:id="29" w:name="_Toc532218222"/>
      <w:r>
        <w:rPr>
          <w:rFonts w:hint="eastAsia" w:asciiTheme="majorEastAsia" w:hAnsiTheme="majorEastAsia" w:eastAsiaTheme="majorEastAsia" w:cstheme="majorEastAsia"/>
          <w:color w:val="auto"/>
        </w:rPr>
        <w:t>湖州市政府采购中心　　　　　　　　　　　2022年月日</w:t>
      </w:r>
    </w:p>
    <w:p>
      <w:pPr>
        <w:pStyle w:val="4"/>
        <w:numPr>
          <w:ilvl w:val="0"/>
          <w:numId w:val="0"/>
        </w:numPr>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br w:type="page"/>
      </w:r>
      <w:bookmarkEnd w:id="29"/>
      <w:bookmarkStart w:id="30" w:name="_Toc879588799"/>
      <w:bookmarkStart w:id="31" w:name="_Toc1256940247"/>
      <w:r>
        <w:rPr>
          <w:rFonts w:hint="eastAsia" w:asciiTheme="majorEastAsia" w:hAnsiTheme="majorEastAsia" w:eastAsiaTheme="majorEastAsia" w:cstheme="majorEastAsia"/>
          <w:color w:val="auto"/>
          <w:sz w:val="28"/>
          <w:szCs w:val="28"/>
          <w:lang w:eastAsia="zh-CN"/>
        </w:rPr>
        <w:t>第二章</w:t>
      </w:r>
      <w:r>
        <w:rPr>
          <w:rFonts w:hint="eastAsia" w:asciiTheme="majorEastAsia" w:hAnsiTheme="majorEastAsia" w:eastAsiaTheme="majorEastAsia" w:cstheme="majorEastAsia"/>
          <w:color w:val="auto"/>
          <w:sz w:val="28"/>
          <w:szCs w:val="28"/>
        </w:rPr>
        <w:t>框架协议采购需求</w:t>
      </w:r>
      <w:bookmarkEnd w:id="30"/>
      <w:bookmarkEnd w:id="31"/>
    </w:p>
    <w:p>
      <w:pPr>
        <w:pStyle w:val="5"/>
        <w:tabs>
          <w:tab w:val="left" w:pos="2985"/>
        </w:tabs>
        <w:spacing w:line="300" w:lineRule="auto"/>
        <w:rPr>
          <w:rFonts w:asciiTheme="majorEastAsia" w:hAnsiTheme="majorEastAsia" w:eastAsiaTheme="majorEastAsia" w:cstheme="majorEastAsia"/>
          <w:bCs w:val="0"/>
          <w:color w:val="auto"/>
          <w:szCs w:val="24"/>
        </w:rPr>
      </w:pPr>
      <w:bookmarkStart w:id="32" w:name="_Toc3601"/>
      <w:bookmarkStart w:id="33" w:name="_Toc82873328"/>
      <w:bookmarkStart w:id="34" w:name="_Toc82338245"/>
      <w:bookmarkStart w:id="35" w:name="_Toc211745569"/>
      <w:bookmarkStart w:id="36" w:name="_Toc485648402"/>
      <w:r>
        <w:rPr>
          <w:rFonts w:hint="eastAsia" w:asciiTheme="majorEastAsia" w:hAnsiTheme="majorEastAsia" w:eastAsiaTheme="majorEastAsia" w:cstheme="majorEastAsia"/>
          <w:bCs w:val="0"/>
          <w:color w:val="auto"/>
          <w:szCs w:val="24"/>
        </w:rPr>
        <w:t>一、</w:t>
      </w:r>
      <w:r>
        <w:rPr>
          <w:rFonts w:hint="eastAsia" w:asciiTheme="majorEastAsia" w:hAnsiTheme="majorEastAsia" w:eastAsiaTheme="majorEastAsia" w:cstheme="majorEastAsia"/>
          <w:color w:val="auto"/>
          <w:szCs w:val="24"/>
        </w:rPr>
        <w:t>基本情况</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工程造价框架协议采购咨询服务项目，适用于湖州市本级（含吴兴、南浔财政审核中心）政府投资项目财政审核协审（以下简称协审），年度预算约1500万元。</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二、采购内容</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2023-2024年度政府投资项目工程造价咨询服务费在分散采购招标限额以下（50万元）的概算、招标控制价（含工程量清单）、竣工结算和其他专项评审。 </w:t>
      </w:r>
    </w:p>
    <w:p>
      <w:pPr>
        <w:spacing w:line="300" w:lineRule="auto"/>
        <w:ind w:firstLine="480" w:firstLineChars="200"/>
        <w:rPr>
          <w:rFonts w:hint="eastAsia" w:asciiTheme="majorEastAsia" w:hAnsiTheme="majorEastAsia" w:eastAsiaTheme="majorEastAsia" w:cstheme="majorEastAsia"/>
          <w:b/>
          <w:color w:val="auto"/>
          <w:lang w:eastAsia="zh-CN"/>
        </w:rPr>
      </w:pPr>
      <w:r>
        <w:rPr>
          <w:rFonts w:hint="eastAsia" w:asciiTheme="majorEastAsia" w:hAnsiTheme="majorEastAsia" w:eastAsiaTheme="majorEastAsia" w:cstheme="majorEastAsia"/>
          <w:color w:val="auto"/>
        </w:rPr>
        <w:t>入围数量：提交响应文件且符合资格条件、实质性要求的供应商按照质量优先法从高到低排序，淘汰比例40%</w:t>
      </w:r>
      <w:r>
        <w:rPr>
          <w:rFonts w:hint="eastAsia" w:asciiTheme="majorEastAsia" w:hAnsiTheme="majorEastAsia" w:eastAsiaTheme="majorEastAsia" w:cstheme="majorEastAsia"/>
          <w:color w:val="auto"/>
          <w:lang w:eastAsia="zh-CN"/>
        </w:rPr>
        <w:t>（四舍五入）（适用于供应商≤</w:t>
      </w:r>
      <w:r>
        <w:rPr>
          <w:rFonts w:hint="eastAsia" w:asciiTheme="majorEastAsia" w:hAnsiTheme="majorEastAsia" w:eastAsiaTheme="majorEastAsia" w:cstheme="majorEastAsia"/>
          <w:color w:val="auto"/>
          <w:lang w:val="en-US" w:eastAsia="zh-CN"/>
        </w:rPr>
        <w:t>2</w:t>
      </w:r>
      <w:r>
        <w:rPr>
          <w:rFonts w:hint="default" w:asciiTheme="majorEastAsia" w:hAnsiTheme="majorEastAsia" w:eastAsiaTheme="majorEastAsia" w:cstheme="majorEastAsia"/>
          <w:color w:val="auto"/>
          <w:lang w:eastAsia="zh-CN"/>
        </w:rPr>
        <w:t>7</w:t>
      </w:r>
      <w:r>
        <w:rPr>
          <w:rFonts w:hint="eastAsia" w:asciiTheme="majorEastAsia" w:hAnsiTheme="majorEastAsia" w:eastAsiaTheme="majorEastAsia" w:cstheme="majorEastAsia"/>
          <w:color w:val="auto"/>
          <w:lang w:val="en-US" w:eastAsia="zh-CN"/>
        </w:rPr>
        <w:t>家</w:t>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rPr>
        <w:t>，推荐前 16 名为入围供应商</w:t>
      </w:r>
      <w:r>
        <w:rPr>
          <w:rFonts w:hint="eastAsia" w:asciiTheme="majorEastAsia" w:hAnsiTheme="majorEastAsia" w:eastAsiaTheme="majorEastAsia" w:cstheme="majorEastAsia"/>
          <w:color w:val="auto"/>
          <w:lang w:eastAsia="zh-CN"/>
        </w:rPr>
        <w:t>（适用于供应商＞</w:t>
      </w:r>
      <w:r>
        <w:rPr>
          <w:rFonts w:hint="eastAsia" w:asciiTheme="majorEastAsia" w:hAnsiTheme="majorEastAsia" w:eastAsiaTheme="majorEastAsia" w:cstheme="majorEastAsia"/>
          <w:color w:val="auto"/>
          <w:lang w:val="en-US" w:eastAsia="zh-CN"/>
        </w:rPr>
        <w:t>27家</w:t>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b/>
          <w:color w:val="auto"/>
        </w:rPr>
        <w:t>供应商应具有独立承担民事责任的能力，本项目不接受分公司（分支机构）直接申请。报名的人员社保</w:t>
      </w:r>
      <w:r>
        <w:rPr>
          <w:rFonts w:hint="eastAsia" w:asciiTheme="majorEastAsia" w:hAnsiTheme="majorEastAsia" w:eastAsiaTheme="majorEastAsia" w:cstheme="majorEastAsia"/>
          <w:b/>
          <w:color w:val="auto"/>
          <w:lang w:eastAsia="zh-CN"/>
        </w:rPr>
        <w:t>需在总公司缴纳。</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三、项目需求</w:t>
      </w:r>
    </w:p>
    <w:p>
      <w:pPr>
        <w:spacing w:line="300" w:lineRule="auto"/>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（一）政府投资项目协审的目标</w:t>
      </w:r>
    </w:p>
    <w:p>
      <w:pPr>
        <w:adjustRightInd w:val="0"/>
        <w:snapToGrid w:val="0"/>
        <w:spacing w:line="360" w:lineRule="auto"/>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1、规范政府投资项目工程造价管理，防止“三超”现象，即概算超估算，招标控制价超概算，结算超概算；</w:t>
      </w:r>
    </w:p>
    <w:p>
      <w:pPr>
        <w:adjustRightInd w:val="0"/>
        <w:snapToGrid w:val="0"/>
        <w:spacing w:line="360" w:lineRule="auto"/>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2、推进限额设计，查找设计方案和图纸中存在的问题，优化设计方案，提高设计质量，减少项目建设期间的设计变更；</w:t>
      </w:r>
    </w:p>
    <w:p>
      <w:pPr>
        <w:adjustRightInd w:val="0"/>
        <w:snapToGrid w:val="0"/>
        <w:spacing w:line="360" w:lineRule="auto"/>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3、优化政府投资项目管理，加强政府投资事前、事中、事后评审，进一步规范项目决策和实施程序；</w:t>
      </w:r>
    </w:p>
    <w:p>
      <w:pPr>
        <w:adjustRightInd w:val="0"/>
        <w:snapToGrid w:val="0"/>
        <w:spacing w:line="360" w:lineRule="auto"/>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4、积累和分析技术经济指标，不断提高政府投资管理水平；</w:t>
      </w:r>
    </w:p>
    <w:p>
      <w:pPr>
        <w:adjustRightInd w:val="0"/>
        <w:snapToGrid w:val="0"/>
        <w:spacing w:line="360" w:lineRule="auto"/>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5、加强基本建设财务管理，提高财政资金使用效益，保证财政资金安全。</w:t>
      </w:r>
    </w:p>
    <w:p>
      <w:pPr>
        <w:adjustRightInd w:val="0"/>
        <w:snapToGrid w:val="0"/>
        <w:spacing w:line="360" w:lineRule="auto"/>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（二）协审的主要内容</w:t>
      </w:r>
    </w:p>
    <w:p>
      <w:pPr>
        <w:pStyle w:val="2"/>
        <w:spacing w:line="360" w:lineRule="auto"/>
        <w:rPr>
          <w:rFonts w:hint="eastAsia" w:asciiTheme="majorEastAsia" w:hAnsiTheme="majorEastAsia" w:eastAsiaTheme="majorEastAsia" w:cstheme="majorEastAsia"/>
          <w:color w:val="auto"/>
          <w:spacing w:val="0"/>
          <w:kern w:val="2"/>
          <w:sz w:val="24"/>
          <w:szCs w:val="24"/>
          <w:lang w:val="en-US" w:eastAsia="zh-CN" w:bidi="ar-SA"/>
        </w:rPr>
      </w:pPr>
      <w:r>
        <w:rPr>
          <w:rFonts w:hint="eastAsia" w:asciiTheme="majorEastAsia" w:hAnsiTheme="majorEastAsia" w:eastAsiaTheme="majorEastAsia" w:cstheme="majorEastAsia"/>
          <w:color w:val="auto"/>
          <w:spacing w:val="0"/>
          <w:kern w:val="2"/>
          <w:sz w:val="24"/>
          <w:szCs w:val="24"/>
          <w:lang w:val="en-US" w:eastAsia="zh-CN" w:bidi="ar-SA"/>
        </w:rPr>
        <w:t>１.工程概算审核：审查项目的立项和审批情况；审查概算的编制范围及具体内容是否与批准的项目范围及具体工程内容相一致，有无擅自改变建设内容、扩大建设规模、提高建设标准；审查概算编制依据的正确性，概算所采用的定额体系是否正确；审查概算编制的准确性、完整性，对定额套用、工程量、取费、材料价格及有无漏项等进行审核，审查工程建设其他费是否符合国家和省市地方的有关规定。</w:t>
      </w:r>
    </w:p>
    <w:p>
      <w:pPr>
        <w:pStyle w:val="2"/>
        <w:spacing w:line="360" w:lineRule="auto"/>
        <w:rPr>
          <w:rFonts w:hint="eastAsia" w:asciiTheme="majorEastAsia" w:hAnsiTheme="majorEastAsia" w:eastAsiaTheme="majorEastAsia" w:cstheme="majorEastAsia"/>
          <w:color w:val="auto"/>
          <w:spacing w:val="0"/>
          <w:kern w:val="2"/>
          <w:sz w:val="24"/>
          <w:szCs w:val="24"/>
          <w:lang w:val="en-US" w:eastAsia="zh-CN" w:bidi="ar-SA"/>
        </w:rPr>
      </w:pPr>
      <w:r>
        <w:rPr>
          <w:rFonts w:hint="eastAsia" w:asciiTheme="majorEastAsia" w:hAnsiTheme="majorEastAsia" w:eastAsiaTheme="majorEastAsia" w:cstheme="majorEastAsia"/>
          <w:color w:val="auto"/>
          <w:spacing w:val="0"/>
          <w:kern w:val="2"/>
          <w:sz w:val="24"/>
          <w:szCs w:val="24"/>
          <w:lang w:val="en-US" w:eastAsia="zh-CN" w:bidi="ar-SA"/>
        </w:rPr>
        <w:t xml:space="preserve"> 2.控制价审核：审查项目招标的内容、规模、建设标准是否与符合初步设计批复；审查工程量清单是否与招标文件规定的招标范围及其内容一致；审查工程量清单的组成是否完整，工程量清单项目是否有漏项现象；审查工程量清单编制说明内容是否完整；审查工程量清单的项目编码、项目特征描述、计量单位是否符合现行计价规范要求、工程量是否根据工程量计算规则计算，数据是否准确、计量单位是否按规定的计量单位确定；审查各项费用的计取标准是否符合国家、地方颁布的规范、标准、定额的规定；审查费用项目是否有重项、漏项和计算错误现象；审查人工、材料、机械和设备等价格的时效性和合理性；审查招标控制价取定幅度是否符合规定标准。</w:t>
      </w:r>
    </w:p>
    <w:p>
      <w:pPr>
        <w:pStyle w:val="2"/>
        <w:spacing w:line="360" w:lineRule="auto"/>
        <w:rPr>
          <w:rFonts w:hint="eastAsia" w:asciiTheme="majorEastAsia" w:hAnsiTheme="majorEastAsia" w:eastAsiaTheme="majorEastAsia" w:cstheme="majorEastAsia"/>
          <w:color w:val="auto"/>
          <w:spacing w:val="0"/>
          <w:kern w:val="2"/>
          <w:sz w:val="24"/>
          <w:szCs w:val="24"/>
          <w:lang w:val="en-US" w:eastAsia="zh-CN" w:bidi="ar-SA"/>
        </w:rPr>
      </w:pPr>
      <w:r>
        <w:rPr>
          <w:rFonts w:hint="eastAsia" w:asciiTheme="majorEastAsia" w:hAnsiTheme="majorEastAsia" w:eastAsiaTheme="majorEastAsia" w:cstheme="majorEastAsia"/>
          <w:color w:val="auto"/>
          <w:spacing w:val="0"/>
          <w:kern w:val="2"/>
          <w:sz w:val="24"/>
          <w:szCs w:val="24"/>
          <w:lang w:val="en-US" w:eastAsia="zh-CN" w:bidi="ar-SA"/>
        </w:rPr>
        <w:t>3.工程结算审核：审查工程概算的执行情况，项目建设内容是否与概算批复一致，项目投资是否控制在概算投资额内；审查工程招评选程序、合同签订是否合法、合规，审查施工合同的执行情况；完工实际与竣工图纸、隐蔽工程验收单的一致性；联系单、重大设计变更的真实性和有效性、合法性；工程结算计价方式是否符合施工合同约定；工程量和单价的计算是否准确。</w:t>
      </w:r>
    </w:p>
    <w:p>
      <w:pPr>
        <w:pStyle w:val="2"/>
        <w:spacing w:line="360" w:lineRule="auto"/>
        <w:rPr>
          <w:rFonts w:hint="eastAsia" w:asciiTheme="majorEastAsia" w:hAnsiTheme="majorEastAsia" w:eastAsiaTheme="majorEastAsia" w:cstheme="majorEastAsia"/>
          <w:color w:val="auto"/>
          <w:spacing w:val="0"/>
          <w:kern w:val="2"/>
          <w:sz w:val="24"/>
          <w:szCs w:val="24"/>
          <w:lang w:val="en-US" w:eastAsia="zh-CN" w:bidi="ar-SA"/>
        </w:rPr>
      </w:pPr>
      <w:r>
        <w:rPr>
          <w:rFonts w:hint="eastAsia" w:asciiTheme="majorEastAsia" w:hAnsiTheme="majorEastAsia" w:eastAsiaTheme="majorEastAsia" w:cstheme="majorEastAsia"/>
          <w:color w:val="auto"/>
          <w:spacing w:val="0"/>
          <w:kern w:val="2"/>
          <w:sz w:val="24"/>
          <w:szCs w:val="24"/>
          <w:lang w:val="en-US" w:eastAsia="zh-CN" w:bidi="ar-SA"/>
        </w:rPr>
        <w:t>具体审核内容、范围按照《</w:t>
      </w:r>
      <w:bookmarkStart w:id="37" w:name="OLE_LINK7"/>
      <w:r>
        <w:rPr>
          <w:rFonts w:hint="eastAsia" w:asciiTheme="majorEastAsia" w:hAnsiTheme="majorEastAsia" w:eastAsiaTheme="majorEastAsia" w:cstheme="majorEastAsia"/>
          <w:color w:val="auto"/>
          <w:spacing w:val="0"/>
          <w:kern w:val="2"/>
          <w:sz w:val="24"/>
          <w:szCs w:val="24"/>
          <w:lang w:val="en-US" w:eastAsia="zh-CN" w:bidi="ar-SA"/>
        </w:rPr>
        <w:t>浙江省财政支出项目预（决）算审核操作规程</w:t>
      </w:r>
      <w:bookmarkEnd w:id="37"/>
      <w:r>
        <w:rPr>
          <w:rFonts w:hint="eastAsia" w:asciiTheme="majorEastAsia" w:hAnsiTheme="majorEastAsia" w:eastAsiaTheme="majorEastAsia" w:cstheme="majorEastAsia"/>
          <w:color w:val="auto"/>
          <w:spacing w:val="0"/>
          <w:kern w:val="2"/>
          <w:sz w:val="24"/>
          <w:szCs w:val="24"/>
          <w:lang w:val="en-US" w:eastAsia="zh-CN" w:bidi="ar-SA"/>
        </w:rPr>
        <w:t>》执行，依据审查结果，协审单位出具《工程造价审核意见书》并且完成指标统计和资料的归档工作。</w:t>
      </w:r>
    </w:p>
    <w:p>
      <w:pPr>
        <w:pStyle w:val="2"/>
        <w:rPr>
          <w:rFonts w:asciiTheme="majorEastAsia" w:hAnsiTheme="majorEastAsia" w:eastAsiaTheme="majorEastAsia" w:cstheme="majorEastAsia"/>
          <w:color w:val="auto"/>
          <w:sz w:val="24"/>
          <w:szCs w:val="24"/>
        </w:rPr>
      </w:pP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四、服务期限及要求</w:t>
      </w:r>
    </w:p>
    <w:p>
      <w:pPr>
        <w:spacing w:line="300" w:lineRule="auto"/>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（一）服务期限</w:t>
      </w:r>
    </w:p>
    <w:p>
      <w:pPr>
        <w:spacing w:line="300" w:lineRule="auto"/>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服务期一年，后续视上级政策法规要求，酌情延长。</w:t>
      </w:r>
    </w:p>
    <w:p>
      <w:pPr>
        <w:spacing w:line="300" w:lineRule="auto"/>
        <w:ind w:firstLine="481"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b/>
          <w:bCs/>
          <w:color w:val="auto"/>
        </w:rPr>
        <w:t>（二）服务要求</w:t>
      </w:r>
    </w:p>
    <w:p>
      <w:pPr>
        <w:pStyle w:val="11"/>
        <w:ind w:firstLine="24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★1、控制价审核以</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自主编制的模式进行审核（包含工程量清单和预算），需和项目建设单位委托的编制单位进行对帐、调整、审核定稿并出具审核报告。概算和结算审核在编制单位送审稿的基础上进行评审。</w:t>
      </w:r>
    </w:p>
    <w:p>
      <w:pPr>
        <w:spacing w:line="300" w:lineRule="auto"/>
        <w:ind w:firstLine="480" w:firstLineChars="2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应在人员安排上给予及时保障，在确</w:t>
      </w:r>
      <w:bookmarkStart w:id="117" w:name="_GoBack"/>
      <w:bookmarkEnd w:id="117"/>
      <w:r>
        <w:rPr>
          <w:rFonts w:hint="eastAsia" w:asciiTheme="majorEastAsia" w:hAnsiTheme="majorEastAsia" w:eastAsiaTheme="majorEastAsia" w:cstheme="majorEastAsia"/>
          <w:color w:val="auto"/>
        </w:rPr>
        <w:t>定审核项目12小时内，应保证审核人员到位。</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派出的审核人员应符合</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书上的人员安排；项目审核过程中，财政审核中心对上述人员的出勤率将进行考核。</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审核人员审核造价时，应当客观公正、实事求是、廉洁奉公，并保持严谨、稳健、负责的职业态度，应真实反映审核结果，客观评价审核事项；</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必须按公开招标文件规定的审核时间、审核质量要求完成审核任务。</w:t>
      </w:r>
    </w:p>
    <w:p>
      <w:pPr>
        <w:spacing w:line="300" w:lineRule="auto"/>
        <w:ind w:firstLine="480" w:firstLineChars="200"/>
        <w:rPr>
          <w:rFonts w:asciiTheme="majorEastAsia" w:hAnsiTheme="majorEastAsia" w:eastAsiaTheme="majorEastAsia" w:cstheme="majorEastAsia"/>
          <w:color w:val="auto"/>
          <w:vertAlign w:val="subscript"/>
        </w:rPr>
      </w:pPr>
      <w:r>
        <w:rPr>
          <w:rFonts w:hint="eastAsia" w:asciiTheme="majorEastAsia" w:hAnsiTheme="majorEastAsia" w:eastAsiaTheme="majorEastAsia" w:cstheme="majorEastAsia"/>
          <w:color w:val="auto"/>
        </w:rPr>
        <w:t>5、</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负责审核资料的立卷和归档；</w:t>
      </w:r>
    </w:p>
    <w:p>
      <w:pPr>
        <w:pStyle w:val="11"/>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6、控制价若出现项目图纸修改或延迟招标等情形，</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需及时修整工程量清单，增派人员，且不增加额外费用。</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br w:type="page"/>
      </w:r>
      <w:r>
        <w:rPr>
          <w:rFonts w:hint="eastAsia" w:asciiTheme="majorEastAsia" w:hAnsiTheme="majorEastAsia" w:eastAsiaTheme="majorEastAsia" w:cstheme="majorEastAsia"/>
          <w:bCs w:val="0"/>
          <w:color w:val="auto"/>
          <w:szCs w:val="24"/>
        </w:rPr>
        <w:t>五、审核时间及质量要求</w:t>
      </w:r>
    </w:p>
    <w:p>
      <w:pPr>
        <w:spacing w:line="300" w:lineRule="auto"/>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（一）服务响应时间</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人在中标后应在人员安排上给予及时保障，在接到采购人审核任务12小时内，审核人员应到位，人员从“拟派项目组人员表”中选配。</w:t>
      </w:r>
    </w:p>
    <w:p>
      <w:pPr>
        <w:numPr>
          <w:ilvl w:val="0"/>
          <w:numId w:val="2"/>
        </w:numPr>
        <w:spacing w:line="300" w:lineRule="auto"/>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招标控制价审核时限</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在审核基础资料齐备后，应在以下规定时限内向采购人提交符合要求的、完整的初审意见：</w:t>
      </w:r>
    </w:p>
    <w:tbl>
      <w:tblPr>
        <w:tblStyle w:val="25"/>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2845"/>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66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b/>
                <w:bCs/>
                <w:color w:val="auto"/>
              </w:rPr>
            </w:pPr>
          </w:p>
        </w:tc>
        <w:tc>
          <w:tcPr>
            <w:tcW w:w="284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送审金额V（万元）</w:t>
            </w:r>
          </w:p>
        </w:tc>
        <w:tc>
          <w:tcPr>
            <w:tcW w:w="4510"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初稿形成时限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6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概算</w:t>
            </w:r>
          </w:p>
        </w:tc>
        <w:tc>
          <w:tcPr>
            <w:tcW w:w="284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概算3000万元以上为大中型项目</w:t>
            </w:r>
          </w:p>
        </w:tc>
        <w:tc>
          <w:tcPr>
            <w:tcW w:w="4510" w:type="dxa"/>
            <w:vAlign w:val="center"/>
          </w:tcPr>
          <w:p>
            <w:pPr>
              <w:keepNext w:val="0"/>
              <w:keepLines w:val="0"/>
              <w:suppressLineNumbers w:val="0"/>
              <w:spacing w:before="0" w:beforeAutospacing="0" w:after="0" w:afterAutospacing="0" w:line="300" w:lineRule="auto"/>
              <w:ind w:left="0" w:right="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小型项目7个工作日内</w:t>
            </w:r>
          </w:p>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rPr>
              <w:t>大中型项目14个工作日内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6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bCs/>
                <w:color w:val="auto"/>
              </w:rPr>
              <w:t>控制价</w:t>
            </w:r>
          </w:p>
        </w:tc>
        <w:tc>
          <w:tcPr>
            <w:tcW w:w="284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概算3000万元以上为大中型项目</w:t>
            </w:r>
          </w:p>
        </w:tc>
        <w:tc>
          <w:tcPr>
            <w:tcW w:w="4510" w:type="dxa"/>
            <w:vAlign w:val="center"/>
          </w:tcPr>
          <w:p>
            <w:pPr>
              <w:keepNext w:val="0"/>
              <w:keepLines w:val="0"/>
              <w:suppressLineNumbers w:val="0"/>
              <w:spacing w:before="0" w:beforeAutospacing="0" w:after="0" w:afterAutospacing="0" w:line="300" w:lineRule="auto"/>
              <w:ind w:left="0" w:right="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小型项目10个工作日内</w:t>
            </w:r>
          </w:p>
          <w:p>
            <w:pPr>
              <w:keepNext w:val="0"/>
              <w:keepLines w:val="0"/>
              <w:suppressLineNumbers w:val="0"/>
              <w:spacing w:before="0" w:beforeAutospacing="0" w:after="0" w:afterAutospacing="0" w:line="300" w:lineRule="auto"/>
              <w:ind w:left="0" w:right="0"/>
              <w:jc w:val="center"/>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大中型项目30个工作日内</w:t>
            </w:r>
          </w:p>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rPr>
              <w:t>特殊项目审核时间按难易程度另行确定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6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竣工结算</w:t>
            </w:r>
          </w:p>
        </w:tc>
        <w:tc>
          <w:tcPr>
            <w:tcW w:w="2845"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rPr>
            </w:pPr>
          </w:p>
        </w:tc>
        <w:tc>
          <w:tcPr>
            <w:tcW w:w="4510" w:type="dxa"/>
            <w:vAlign w:val="center"/>
          </w:tcPr>
          <w:p>
            <w:pPr>
              <w:keepNext w:val="0"/>
              <w:keepLines w:val="0"/>
              <w:suppressLineNumbers w:val="0"/>
              <w:spacing w:before="0" w:beforeAutospacing="0" w:after="0" w:afterAutospacing="0" w:line="30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按财建〔2004〕369号文件</w:t>
            </w:r>
          </w:p>
        </w:tc>
      </w:tr>
    </w:tbl>
    <w:p>
      <w:pPr>
        <w:spacing w:line="300" w:lineRule="auto"/>
        <w:rPr>
          <w:rFonts w:asciiTheme="majorEastAsia" w:hAnsiTheme="majorEastAsia" w:eastAsiaTheme="majorEastAsia" w:cstheme="majorEastAsia"/>
          <w:color w:val="auto"/>
        </w:rPr>
      </w:pPr>
    </w:p>
    <w:p>
      <w:pPr>
        <w:numPr>
          <w:ilvl w:val="0"/>
          <w:numId w:val="3"/>
        </w:num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审核时间因</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原因发生推迟的，按5000元/天进行扣款。因特殊情况在收到资料后不能在规定的时限内完成的需向采购人提供书面情况说明，并由采购人签字确认。</w:t>
      </w:r>
    </w:p>
    <w:p>
      <w:pPr>
        <w:spacing w:line="300" w:lineRule="auto"/>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（三）审核质量</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1、审核过程中发现的问题由</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负责修改。</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★2、符合国家现行有关规定，审核结果误差率不得超过承诺值，除客观原因外，误差率超过承诺值（如±3%），扣10%的审核费；误差率超过±5%的，扣30%的审核费；误差率超过±10%的，扣100%的审核费</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【误差率是指编制单位出具控制价审核初稿后，由采购人或其它审核单位复审，误差率=（中标单位审核初稿控制价-复审单位审核控制价）/中标单位审核初稿控制价×100%】。</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color w:val="auto"/>
          <w:szCs w:val="24"/>
        </w:rPr>
        <w:t>★</w:t>
      </w:r>
      <w:r>
        <w:rPr>
          <w:rFonts w:hint="eastAsia" w:asciiTheme="majorEastAsia" w:hAnsiTheme="majorEastAsia" w:eastAsiaTheme="majorEastAsia" w:cstheme="majorEastAsia"/>
          <w:bCs w:val="0"/>
          <w:color w:val="auto"/>
          <w:szCs w:val="24"/>
        </w:rPr>
        <w:t>六、人员要求</w:t>
      </w:r>
    </w:p>
    <w:p>
      <w:pPr>
        <w:ind w:firstLine="240" w:firstLineChars="1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1.最低人员要求： </w:t>
      </w:r>
    </w:p>
    <w:bookmarkEnd w:id="32"/>
    <w:tbl>
      <w:tblPr>
        <w:tblStyle w:val="25"/>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52"/>
        <w:gridCol w:w="1189"/>
        <w:gridCol w:w="437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44"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bookmarkStart w:id="38" w:name="_Toc23605"/>
            <w:bookmarkStart w:id="39" w:name="_Hlk495395870"/>
            <w:r>
              <w:rPr>
                <w:rFonts w:hint="eastAsia" w:asciiTheme="majorEastAsia" w:hAnsiTheme="majorEastAsia" w:eastAsiaTheme="majorEastAsia" w:cstheme="majorEastAsia"/>
                <w:b/>
                <w:bCs/>
                <w:color w:val="auto"/>
              </w:rPr>
              <w:t>序号</w:t>
            </w:r>
          </w:p>
        </w:tc>
        <w:tc>
          <w:tcPr>
            <w:tcW w:w="2341" w:type="dxa"/>
            <w:gridSpan w:val="2"/>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岗位</w:t>
            </w:r>
          </w:p>
        </w:tc>
        <w:tc>
          <w:tcPr>
            <w:tcW w:w="4379"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资格资历要求</w:t>
            </w:r>
          </w:p>
        </w:tc>
        <w:tc>
          <w:tcPr>
            <w:tcW w:w="94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4"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p>
        </w:tc>
        <w:tc>
          <w:tcPr>
            <w:tcW w:w="2341" w:type="dxa"/>
            <w:gridSpan w:val="2"/>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项目负责人</w:t>
            </w:r>
          </w:p>
        </w:tc>
        <w:tc>
          <w:tcPr>
            <w:tcW w:w="4379" w:type="dxa"/>
            <w:vAlign w:val="center"/>
          </w:tcPr>
          <w:p>
            <w:pPr>
              <w:keepNext w:val="0"/>
              <w:keepLines w:val="0"/>
              <w:suppressLineNumbers w:val="0"/>
              <w:spacing w:before="0" w:beforeAutospacing="0" w:after="0" w:afterAutospacing="0" w:line="340" w:lineRule="exact"/>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spacing w:val="-6"/>
              </w:rPr>
              <w:t>须具有住建部颁发的一级注册造价工程师证书且注册在</w:t>
            </w:r>
            <w:r>
              <w:rPr>
                <w:rFonts w:hint="eastAsia" w:asciiTheme="majorEastAsia" w:hAnsiTheme="majorEastAsia" w:eastAsiaTheme="majorEastAsia" w:cstheme="majorEastAsia"/>
                <w:color w:val="auto"/>
                <w:spacing w:val="-6"/>
                <w:lang w:eastAsia="zh-CN"/>
              </w:rPr>
              <w:t>响应</w:t>
            </w:r>
            <w:r>
              <w:rPr>
                <w:rFonts w:hint="eastAsia" w:asciiTheme="majorEastAsia" w:hAnsiTheme="majorEastAsia" w:eastAsiaTheme="majorEastAsia" w:cstheme="majorEastAsia"/>
                <w:color w:val="auto"/>
                <w:spacing w:val="-6"/>
              </w:rPr>
              <w:t>人单位</w:t>
            </w:r>
          </w:p>
        </w:tc>
        <w:tc>
          <w:tcPr>
            <w:tcW w:w="94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4" w:type="dxa"/>
            <w:vMerge w:val="restart"/>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p>
        </w:tc>
        <w:tc>
          <w:tcPr>
            <w:tcW w:w="1152" w:type="dxa"/>
            <w:vMerge w:val="restart"/>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项目其他组成人员</w:t>
            </w:r>
          </w:p>
        </w:tc>
        <w:tc>
          <w:tcPr>
            <w:tcW w:w="1189"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建筑</w:t>
            </w:r>
          </w:p>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工程</w:t>
            </w:r>
          </w:p>
        </w:tc>
        <w:tc>
          <w:tcPr>
            <w:tcW w:w="4379" w:type="dxa"/>
            <w:vAlign w:val="center"/>
          </w:tcPr>
          <w:p>
            <w:pPr>
              <w:keepNext w:val="0"/>
              <w:keepLines w:val="0"/>
              <w:suppressLineNumbers w:val="0"/>
              <w:spacing w:before="0" w:beforeAutospacing="0" w:after="0" w:afterAutospacing="0" w:line="340" w:lineRule="exact"/>
              <w:ind w:left="0" w:right="0"/>
              <w:rPr>
                <w:rFonts w:asciiTheme="majorEastAsia" w:hAnsiTheme="majorEastAsia" w:eastAsiaTheme="majorEastAsia" w:cstheme="majorEastAsia"/>
                <w:color w:val="auto"/>
                <w:spacing w:val="-6"/>
              </w:rPr>
            </w:pPr>
            <w:r>
              <w:rPr>
                <w:rFonts w:hint="eastAsia" w:asciiTheme="majorEastAsia" w:hAnsiTheme="majorEastAsia" w:eastAsiaTheme="majorEastAsia" w:cstheme="majorEastAsia"/>
                <w:color w:val="auto"/>
                <w:spacing w:val="-6"/>
              </w:rPr>
              <w:t>须具有住建部颁发的土建类一级注册造价工程师且注册在</w:t>
            </w:r>
            <w:r>
              <w:rPr>
                <w:rFonts w:hint="eastAsia" w:asciiTheme="majorEastAsia" w:hAnsiTheme="majorEastAsia" w:eastAsiaTheme="majorEastAsia" w:cstheme="majorEastAsia"/>
                <w:color w:val="auto"/>
                <w:spacing w:val="-6"/>
                <w:lang w:eastAsia="zh-CN"/>
              </w:rPr>
              <w:t>响应</w:t>
            </w:r>
            <w:r>
              <w:rPr>
                <w:rFonts w:hint="eastAsia" w:asciiTheme="majorEastAsia" w:hAnsiTheme="majorEastAsia" w:eastAsiaTheme="majorEastAsia" w:cstheme="majorEastAsia"/>
                <w:color w:val="auto"/>
                <w:spacing w:val="-6"/>
              </w:rPr>
              <w:t>人单位</w:t>
            </w:r>
          </w:p>
        </w:tc>
        <w:tc>
          <w:tcPr>
            <w:tcW w:w="94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4" w:type="dxa"/>
            <w:vMerge w:val="continue"/>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c>
          <w:tcPr>
            <w:tcW w:w="1152" w:type="dxa"/>
            <w:vMerge w:val="continue"/>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c>
          <w:tcPr>
            <w:tcW w:w="1189"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安装</w:t>
            </w:r>
          </w:p>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工程</w:t>
            </w:r>
          </w:p>
        </w:tc>
        <w:tc>
          <w:tcPr>
            <w:tcW w:w="4379" w:type="dxa"/>
            <w:vAlign w:val="center"/>
          </w:tcPr>
          <w:p>
            <w:pPr>
              <w:keepNext w:val="0"/>
              <w:keepLines w:val="0"/>
              <w:suppressLineNumbers w:val="0"/>
              <w:spacing w:before="0" w:beforeAutospacing="0" w:after="0" w:afterAutospacing="0" w:line="340" w:lineRule="exact"/>
              <w:ind w:left="0" w:right="0"/>
              <w:rPr>
                <w:rFonts w:asciiTheme="majorEastAsia" w:hAnsiTheme="majorEastAsia" w:eastAsiaTheme="majorEastAsia" w:cstheme="majorEastAsia"/>
                <w:color w:val="auto"/>
                <w:spacing w:val="-6"/>
              </w:rPr>
            </w:pPr>
            <w:r>
              <w:rPr>
                <w:rFonts w:hint="eastAsia" w:asciiTheme="majorEastAsia" w:hAnsiTheme="majorEastAsia" w:eastAsiaTheme="majorEastAsia" w:cstheme="majorEastAsia"/>
                <w:color w:val="auto"/>
                <w:spacing w:val="-6"/>
              </w:rPr>
              <w:t>须具有住建部颁发的安装类一级注册造价工程师且注册在</w:t>
            </w:r>
            <w:r>
              <w:rPr>
                <w:rFonts w:hint="eastAsia" w:asciiTheme="majorEastAsia" w:hAnsiTheme="majorEastAsia" w:eastAsiaTheme="majorEastAsia" w:cstheme="majorEastAsia"/>
                <w:color w:val="auto"/>
                <w:spacing w:val="-6"/>
                <w:lang w:eastAsia="zh-CN"/>
              </w:rPr>
              <w:t>响应</w:t>
            </w:r>
            <w:r>
              <w:rPr>
                <w:rFonts w:hint="eastAsia" w:asciiTheme="majorEastAsia" w:hAnsiTheme="majorEastAsia" w:eastAsiaTheme="majorEastAsia" w:cstheme="majorEastAsia"/>
                <w:color w:val="auto"/>
                <w:spacing w:val="-6"/>
              </w:rPr>
              <w:t>人单位</w:t>
            </w:r>
          </w:p>
        </w:tc>
        <w:tc>
          <w:tcPr>
            <w:tcW w:w="94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44" w:type="dxa"/>
            <w:vMerge w:val="continue"/>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c>
          <w:tcPr>
            <w:tcW w:w="1152" w:type="dxa"/>
            <w:vMerge w:val="continue"/>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c>
          <w:tcPr>
            <w:tcW w:w="1189"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市政</w:t>
            </w:r>
          </w:p>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工程</w:t>
            </w:r>
          </w:p>
        </w:tc>
        <w:tc>
          <w:tcPr>
            <w:tcW w:w="4379" w:type="dxa"/>
            <w:vAlign w:val="center"/>
          </w:tcPr>
          <w:p>
            <w:pPr>
              <w:keepNext w:val="0"/>
              <w:keepLines w:val="0"/>
              <w:suppressLineNumbers w:val="0"/>
              <w:spacing w:before="0" w:beforeAutospacing="0" w:after="0" w:afterAutospacing="0" w:line="340" w:lineRule="exact"/>
              <w:ind w:left="0" w:right="0"/>
              <w:rPr>
                <w:rFonts w:asciiTheme="majorEastAsia" w:hAnsiTheme="majorEastAsia" w:eastAsiaTheme="majorEastAsia" w:cstheme="majorEastAsia"/>
                <w:color w:val="auto"/>
                <w:spacing w:val="-6"/>
              </w:rPr>
            </w:pPr>
            <w:r>
              <w:rPr>
                <w:rFonts w:hint="eastAsia" w:asciiTheme="majorEastAsia" w:hAnsiTheme="majorEastAsia" w:eastAsiaTheme="majorEastAsia" w:cstheme="majorEastAsia"/>
                <w:color w:val="auto"/>
                <w:spacing w:val="-6"/>
              </w:rPr>
              <w:t>须具有住建部颁发的一级注册造价工程师且注册在</w:t>
            </w:r>
            <w:r>
              <w:rPr>
                <w:rFonts w:hint="eastAsia" w:asciiTheme="majorEastAsia" w:hAnsiTheme="majorEastAsia" w:eastAsiaTheme="majorEastAsia" w:cstheme="majorEastAsia"/>
                <w:color w:val="auto"/>
                <w:spacing w:val="-6"/>
                <w:lang w:eastAsia="zh-CN"/>
              </w:rPr>
              <w:t>响应</w:t>
            </w:r>
            <w:r>
              <w:rPr>
                <w:rFonts w:hint="eastAsia" w:asciiTheme="majorEastAsia" w:hAnsiTheme="majorEastAsia" w:eastAsiaTheme="majorEastAsia" w:cstheme="majorEastAsia"/>
                <w:color w:val="auto"/>
                <w:spacing w:val="-6"/>
              </w:rPr>
              <w:t>人单位</w:t>
            </w:r>
          </w:p>
        </w:tc>
        <w:tc>
          <w:tcPr>
            <w:tcW w:w="94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p>
        </w:tc>
      </w:tr>
    </w:tbl>
    <w:p>
      <w:pPr>
        <w:numPr>
          <w:ilvl w:val="0"/>
          <w:numId w:val="0"/>
        </w:numPr>
        <w:ind w:firstLine="240" w:firstLineChars="1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参与审核的人员</w:t>
      </w:r>
      <w:r>
        <w:rPr>
          <w:rFonts w:hint="eastAsia" w:asciiTheme="majorEastAsia" w:hAnsiTheme="majorEastAsia" w:eastAsiaTheme="majorEastAsia" w:cstheme="majorEastAsia"/>
          <w:color w:val="auto"/>
          <w:lang w:eastAsia="zh-CN"/>
        </w:rPr>
        <w:t>均为注册一级或二级造价师；</w:t>
      </w:r>
      <w:r>
        <w:rPr>
          <w:rFonts w:hint="eastAsia" w:asciiTheme="majorEastAsia" w:hAnsiTheme="majorEastAsia" w:eastAsiaTheme="majorEastAsia" w:cstheme="majorEastAsia"/>
          <w:color w:val="auto"/>
        </w:rPr>
        <w:t>数量建议安排1</w:t>
      </w: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 xml:space="preserve"> 人以内</w:t>
      </w:r>
      <w:r>
        <w:rPr>
          <w:rFonts w:hint="eastAsia" w:asciiTheme="majorEastAsia" w:hAnsiTheme="majorEastAsia" w:eastAsiaTheme="majorEastAsia" w:cstheme="majorEastAsia"/>
          <w:color w:val="auto"/>
          <w:lang w:eastAsia="zh-CN"/>
        </w:rPr>
        <w:t>（含</w:t>
      </w:r>
      <w:r>
        <w:rPr>
          <w:rFonts w:hint="eastAsia" w:asciiTheme="majorEastAsia" w:hAnsiTheme="majorEastAsia" w:eastAsiaTheme="majorEastAsia" w:cstheme="majorEastAsia"/>
          <w:color w:val="auto"/>
          <w:lang w:val="en-US" w:eastAsia="zh-CN"/>
        </w:rPr>
        <w:t>12人</w:t>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rPr>
        <w:t>（提供响应截止时间前3个月的社会保险参保证明）。三级复核人员无需填报。</w:t>
      </w:r>
    </w:p>
    <w:p>
      <w:pPr>
        <w:numPr>
          <w:ilvl w:val="0"/>
          <w:numId w:val="0"/>
        </w:numPr>
        <w:ind w:firstLine="240" w:firstLineChars="1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3.市政工程以学历证书、职称证书或造价员证书为准。</w:t>
      </w:r>
    </w:p>
    <w:p>
      <w:pPr>
        <w:ind w:firstLine="240" w:firstLineChars="100"/>
        <w:rPr>
          <w:rFonts w:hint="eastAsia"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人员社保所在区域、执业资格证书注册单位需与公司名称保持一致。无社保的退休人员须为提供与响应供应商签订的</w:t>
      </w:r>
      <w:r>
        <w:rPr>
          <w:rFonts w:hint="eastAsia" w:asciiTheme="majorEastAsia" w:hAnsiTheme="majorEastAsia" w:eastAsiaTheme="majorEastAsia" w:cstheme="majorEastAsia"/>
          <w:color w:val="auto"/>
          <w:lang w:eastAsia="zh-CN"/>
        </w:rPr>
        <w:t>雇佣</w:t>
      </w:r>
      <w:r>
        <w:rPr>
          <w:rFonts w:hint="eastAsia" w:asciiTheme="majorEastAsia" w:hAnsiTheme="majorEastAsia" w:eastAsiaTheme="majorEastAsia" w:cstheme="majorEastAsia"/>
          <w:color w:val="auto"/>
        </w:rPr>
        <w:t>合同。</w:t>
      </w:r>
    </w:p>
    <w:p>
      <w:pPr>
        <w:pStyle w:val="11"/>
        <w:ind w:firstLine="240"/>
        <w:rPr>
          <w:rFonts w:hint="eastAsia"/>
          <w:color w:val="auto"/>
        </w:rPr>
      </w:pPr>
      <w:r>
        <w:rPr>
          <w:rFonts w:hint="eastAsia"/>
          <w:color w:val="auto"/>
        </w:rPr>
        <w:t>5.团队成员</w:t>
      </w:r>
      <w:r>
        <w:rPr>
          <w:rFonts w:hint="eastAsia"/>
          <w:color w:val="auto"/>
          <w:lang w:eastAsia="zh-CN"/>
        </w:rPr>
        <w:t>响应</w:t>
      </w:r>
      <w:r>
        <w:rPr>
          <w:rFonts w:hint="eastAsia"/>
          <w:color w:val="auto"/>
        </w:rPr>
        <w:t>后不得变更，实际项目审核业务的人员必须为响应时拟派人员名单之列。</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七、违约责任</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如擅自毁约，如审核时间未经批准超过公开招标文件规定的审核时间、未按规定派出</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承诺的审核人员等情形（即：人员到位率应达90%（含）；若人员到位率达90%（不含）-80%（含），扣10%审核费；人员到位率达80%（不含）-70%（含），扣20%审核费；人员到位率达70%（不含）以下的，扣50%审核费），采购人将视情况采取违约措施、或取消其承接审核业务资格并追究其经济责任且按有关规定进行处罚。</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审核人员滥用职权、循私舞弊、玩忽职守，尚不构成犯罪但造成损失的，采购人将依法追究</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审核人员的赔偿责任；如构成犯罪的，依法移交司法机关追究刑事责任；</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未按采购人的要求开展工作的，取消其承接审核业务资格；</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八、</w:t>
      </w:r>
      <w:bookmarkEnd w:id="38"/>
      <w:r>
        <w:rPr>
          <w:rFonts w:hint="eastAsia" w:asciiTheme="majorEastAsia" w:hAnsiTheme="majorEastAsia" w:eastAsiaTheme="majorEastAsia" w:cstheme="majorEastAsia"/>
          <w:bCs w:val="0"/>
          <w:color w:val="auto"/>
          <w:szCs w:val="24"/>
        </w:rPr>
        <w:t>技术资料</w:t>
      </w:r>
    </w:p>
    <w:bookmarkEnd w:id="39"/>
    <w:p>
      <w:pPr>
        <w:spacing w:line="300" w:lineRule="auto"/>
        <w:ind w:firstLine="480" w:firstLineChars="200"/>
        <w:rPr>
          <w:rFonts w:asciiTheme="majorEastAsia" w:hAnsiTheme="majorEastAsia" w:eastAsiaTheme="majorEastAsia" w:cstheme="majorEastAsia"/>
          <w:color w:val="auto"/>
        </w:rPr>
      </w:pPr>
      <w:bookmarkStart w:id="40" w:name="_Toc27273"/>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应按招标文件规定的时间向采购人提供有关资料。</w:t>
      </w:r>
    </w:p>
    <w:p>
      <w:pPr>
        <w:spacing w:line="300" w:lineRule="auto"/>
        <w:ind w:firstLine="480" w:firstLineChars="200"/>
        <w:rPr>
          <w:rFonts w:asciiTheme="majorEastAsia" w:hAnsiTheme="majorEastAsia" w:eastAsiaTheme="majorEastAsia" w:cstheme="majorEastAsia"/>
          <w:b/>
          <w:bCs/>
          <w:color w:val="auto"/>
          <w:kern w:val="0"/>
        </w:rPr>
      </w:pPr>
      <w:r>
        <w:rPr>
          <w:rFonts w:hint="eastAsia" w:asciiTheme="majorEastAsia" w:hAnsiTheme="majorEastAsia" w:eastAsiaTheme="majorEastAsia" w:cstheme="majorEastAsia"/>
          <w:color w:val="auto"/>
        </w:rPr>
        <w:t>2、没有采购人事先书面同意，</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不得将由采购人提供的有关合同或任何合同条文、规格、计划、图纸、样品或资料等提供给与履行本合同无关的任何其他人。即使向履行本合同有关的人员提供，也应注意保密并限于履行合同的必需范围。</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九、知识产权</w:t>
      </w:r>
    </w:p>
    <w:bookmarkEnd w:id="40"/>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应保证提供服务过程中不会侵犯任何第三方的知识产权。</w:t>
      </w: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十、商务要求</w:t>
      </w:r>
    </w:p>
    <w:p>
      <w:pPr>
        <w:pStyle w:val="6"/>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1、履约保证金交纳</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履约保证金的形式：银行保函或保险公司保函或融资担保公司保函。                     </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履约保证金的金额：年度委托合同总价的1%，暂定</w:t>
      </w:r>
      <w:r>
        <w:rPr>
          <w:rFonts w:hint="eastAsia" w:asciiTheme="majorEastAsia" w:hAnsiTheme="majorEastAsia" w:eastAsiaTheme="majorEastAsia" w:cstheme="majorEastAsia"/>
          <w:color w:val="auto"/>
          <w:lang w:val="en-US" w:eastAsia="zh-CN"/>
        </w:rPr>
        <w:t>5</w:t>
      </w:r>
      <w:r>
        <w:rPr>
          <w:rFonts w:hint="eastAsia" w:asciiTheme="majorEastAsia" w:hAnsiTheme="majorEastAsia" w:eastAsiaTheme="majorEastAsia" w:cstheme="majorEastAsia"/>
          <w:color w:val="auto"/>
        </w:rPr>
        <w:t>万元。</w:t>
      </w:r>
    </w:p>
    <w:p>
      <w:pPr>
        <w:pStyle w:val="6"/>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2、服务费用及付款方式</w:t>
      </w:r>
    </w:p>
    <w:p>
      <w:pPr>
        <w:widowControl/>
        <w:autoSpaceDE w:val="0"/>
        <w:autoSpaceDN w:val="0"/>
        <w:spacing w:line="300" w:lineRule="auto"/>
        <w:ind w:firstLine="481" w:firstLineChars="200"/>
        <w:jc w:val="left"/>
        <w:textAlignment w:val="bottom"/>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2.1 服务费用计算</w:t>
      </w:r>
    </w:p>
    <w:p>
      <w:pPr>
        <w:spacing w:line="320" w:lineRule="exact"/>
        <w:ind w:firstLine="465"/>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（1）费用计算标准</w:t>
      </w: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435"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专业类型</w:t>
            </w:r>
          </w:p>
        </w:tc>
        <w:tc>
          <w:tcPr>
            <w:tcW w:w="5853"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计费依据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435"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default" w:asciiTheme="majorEastAsia" w:hAnsiTheme="majorEastAsia" w:eastAsiaTheme="majorEastAsia" w:cstheme="majorEastAsia"/>
                <w:color w:val="auto"/>
              </w:rPr>
              <w:t>工程造价</w:t>
            </w:r>
            <w:r>
              <w:rPr>
                <w:rFonts w:hint="eastAsia" w:asciiTheme="majorEastAsia" w:hAnsiTheme="majorEastAsia" w:eastAsiaTheme="majorEastAsia" w:cstheme="majorEastAsia"/>
                <w:color w:val="auto"/>
              </w:rPr>
              <w:t>审核服务</w:t>
            </w:r>
          </w:p>
        </w:tc>
        <w:tc>
          <w:tcPr>
            <w:tcW w:w="5853"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default" w:asciiTheme="majorEastAsia" w:hAnsiTheme="majorEastAsia" w:eastAsiaTheme="majorEastAsia" w:cstheme="majorEastAsia"/>
                <w:color w:val="auto"/>
              </w:rPr>
              <w:t>参考</w:t>
            </w:r>
            <w:r>
              <w:rPr>
                <w:rFonts w:hint="eastAsia" w:asciiTheme="majorEastAsia" w:hAnsiTheme="majorEastAsia" w:eastAsiaTheme="majorEastAsia" w:cstheme="majorEastAsia"/>
                <w:color w:val="auto"/>
              </w:rPr>
              <w:t>《浙江省建设工程造价咨询服务基准收费标准[浙价服(2009)84号]》</w:t>
            </w:r>
          </w:p>
        </w:tc>
      </w:tr>
    </w:tbl>
    <w:p>
      <w:pPr>
        <w:spacing w:line="320" w:lineRule="exact"/>
        <w:ind w:firstLine="465"/>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 xml:space="preserve">（2）计算表                                    </w:t>
      </w:r>
      <w:r>
        <w:rPr>
          <w:rFonts w:hint="eastAsia" w:asciiTheme="majorEastAsia" w:hAnsiTheme="majorEastAsia" w:eastAsiaTheme="majorEastAsia" w:cstheme="majorEastAsia"/>
          <w:color w:val="auto"/>
        </w:rPr>
        <w:t xml:space="preserve">  费率：‰</w:t>
      </w:r>
    </w:p>
    <w:tbl>
      <w:tblPr>
        <w:tblStyle w:val="25"/>
        <w:tblW w:w="9322" w:type="dxa"/>
        <w:tblInd w:w="0" w:type="dxa"/>
        <w:tblLayout w:type="fixed"/>
        <w:tblCellMar>
          <w:top w:w="0" w:type="dxa"/>
          <w:left w:w="108" w:type="dxa"/>
          <w:bottom w:w="0" w:type="dxa"/>
          <w:right w:w="108" w:type="dxa"/>
        </w:tblCellMar>
      </w:tblPr>
      <w:tblGrid>
        <w:gridCol w:w="675"/>
        <w:gridCol w:w="1539"/>
        <w:gridCol w:w="821"/>
        <w:gridCol w:w="910"/>
        <w:gridCol w:w="810"/>
        <w:gridCol w:w="1020"/>
        <w:gridCol w:w="900"/>
        <w:gridCol w:w="980"/>
        <w:gridCol w:w="800"/>
        <w:gridCol w:w="867"/>
      </w:tblGrid>
      <w:tr>
        <w:tblPrEx>
          <w:tblCellMar>
            <w:top w:w="0" w:type="dxa"/>
            <w:left w:w="108" w:type="dxa"/>
            <w:bottom w:w="0" w:type="dxa"/>
            <w:right w:w="108" w:type="dxa"/>
          </w:tblCellMar>
        </w:tblPrEx>
        <w:trPr>
          <w:trHeight w:val="745" w:hRule="atLeast"/>
        </w:trPr>
        <w:tc>
          <w:tcPr>
            <w:tcW w:w="675" w:type="dxa"/>
            <w:vMerge w:val="restart"/>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序号</w:t>
            </w:r>
          </w:p>
        </w:tc>
        <w:tc>
          <w:tcPr>
            <w:tcW w:w="1539" w:type="dxa"/>
            <w:vMerge w:val="restart"/>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咨询项目</w:t>
            </w:r>
          </w:p>
        </w:tc>
        <w:tc>
          <w:tcPr>
            <w:tcW w:w="821" w:type="dxa"/>
            <w:vMerge w:val="restart"/>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收费基数</w:t>
            </w:r>
          </w:p>
        </w:tc>
        <w:tc>
          <w:tcPr>
            <w:tcW w:w="6287" w:type="dxa"/>
            <w:gridSpan w:val="7"/>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分档累进计费标准</w:t>
            </w:r>
          </w:p>
        </w:tc>
      </w:tr>
      <w:tr>
        <w:tblPrEx>
          <w:tblCellMar>
            <w:top w:w="0" w:type="dxa"/>
            <w:left w:w="108" w:type="dxa"/>
            <w:bottom w:w="0" w:type="dxa"/>
            <w:right w:w="108" w:type="dxa"/>
          </w:tblCellMar>
        </w:tblPrEx>
        <w:tc>
          <w:tcPr>
            <w:tcW w:w="675" w:type="dxa"/>
            <w:vMerge w:val="continue"/>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rPr>
                <w:rFonts w:asciiTheme="majorEastAsia" w:hAnsiTheme="majorEastAsia" w:eastAsiaTheme="majorEastAsia" w:cstheme="majorEastAsia"/>
                <w:color w:val="auto"/>
              </w:rPr>
            </w:pPr>
          </w:p>
        </w:tc>
        <w:tc>
          <w:tcPr>
            <w:tcW w:w="1539" w:type="dxa"/>
            <w:vMerge w:val="continue"/>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rPr>
                <w:rFonts w:asciiTheme="majorEastAsia" w:hAnsiTheme="majorEastAsia" w:eastAsiaTheme="majorEastAsia" w:cstheme="majorEastAsia"/>
                <w:color w:val="auto"/>
              </w:rPr>
            </w:pPr>
          </w:p>
        </w:tc>
        <w:tc>
          <w:tcPr>
            <w:tcW w:w="821" w:type="dxa"/>
            <w:vMerge w:val="continue"/>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rPr>
                <w:rFonts w:asciiTheme="majorEastAsia" w:hAnsiTheme="majorEastAsia" w:eastAsiaTheme="majorEastAsia" w:cstheme="majorEastAsia"/>
                <w:color w:val="auto"/>
              </w:rPr>
            </w:pP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100万元以内</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101-500万元</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501—1000万元</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1001—2000万元</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2001—5000万元</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5001-10000万元</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10000万元以上</w:t>
            </w:r>
          </w:p>
        </w:tc>
      </w:tr>
      <w:tr>
        <w:tblPrEx>
          <w:tblCellMar>
            <w:top w:w="0" w:type="dxa"/>
            <w:left w:w="108" w:type="dxa"/>
            <w:bottom w:w="0" w:type="dxa"/>
            <w:right w:w="108" w:type="dxa"/>
          </w:tblCellMar>
        </w:tblPrEx>
        <w:tc>
          <w:tcPr>
            <w:tcW w:w="675"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p>
        </w:tc>
        <w:tc>
          <w:tcPr>
            <w:tcW w:w="1539"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概算审核</w:t>
            </w:r>
          </w:p>
        </w:tc>
        <w:tc>
          <w:tcPr>
            <w:tcW w:w="82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送审金额</w:t>
            </w: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1.7</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1.5</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1.1</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0.9</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0.8</w:t>
            </w:r>
          </w:p>
        </w:tc>
      </w:tr>
      <w:tr>
        <w:tblPrEx>
          <w:tblCellMar>
            <w:top w:w="0" w:type="dxa"/>
            <w:left w:w="108" w:type="dxa"/>
            <w:bottom w:w="0" w:type="dxa"/>
            <w:right w:w="108" w:type="dxa"/>
          </w:tblCellMar>
        </w:tblPrEx>
        <w:tc>
          <w:tcPr>
            <w:tcW w:w="675"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w:t>
            </w:r>
          </w:p>
        </w:tc>
        <w:tc>
          <w:tcPr>
            <w:tcW w:w="1539"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工程量清单及预算、招标控制价的编制或审核</w:t>
            </w:r>
          </w:p>
        </w:tc>
        <w:tc>
          <w:tcPr>
            <w:tcW w:w="82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审定金额</w:t>
            </w: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3.6</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3.3</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2.7</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2.4</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2.1</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1.8</w:t>
            </w:r>
          </w:p>
        </w:tc>
      </w:tr>
      <w:tr>
        <w:tblPrEx>
          <w:tblCellMar>
            <w:top w:w="0" w:type="dxa"/>
            <w:left w:w="108" w:type="dxa"/>
            <w:bottom w:w="0" w:type="dxa"/>
            <w:right w:w="108" w:type="dxa"/>
          </w:tblCellMar>
        </w:tblPrEx>
        <w:tc>
          <w:tcPr>
            <w:tcW w:w="675"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w:t>
            </w:r>
          </w:p>
        </w:tc>
        <w:tc>
          <w:tcPr>
            <w:tcW w:w="1539"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结算审核</w:t>
            </w:r>
          </w:p>
        </w:tc>
        <w:tc>
          <w:tcPr>
            <w:tcW w:w="82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lang w:eastAsia="zh-CN"/>
              </w:rPr>
              <w:t>送审金额</w:t>
            </w: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2.5</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2.2</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1.9</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1.6</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1.3</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1.0</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0.7</w:t>
            </w:r>
          </w:p>
        </w:tc>
      </w:tr>
    </w:tbl>
    <w:p>
      <w:pP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（3）服务费用结算</w:t>
      </w:r>
    </w:p>
    <w:p>
      <w:pPr>
        <w:autoSpaceDE w:val="0"/>
        <w:autoSpaceDN w:val="0"/>
        <w:spacing w:line="300" w:lineRule="auto"/>
        <w:ind w:firstLine="480" w:firstLineChars="200"/>
        <w:textAlignment w:val="bottom"/>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在采购人确定</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 xml:space="preserve">按时、按质、按量完成组织审核业务后支付服务费用。 </w:t>
      </w:r>
    </w:p>
    <w:p>
      <w:pPr>
        <w:autoSpaceDE w:val="0"/>
        <w:autoSpaceDN w:val="0"/>
        <w:spacing w:line="300" w:lineRule="auto"/>
        <w:ind w:firstLine="480" w:firstLineChars="200"/>
        <w:textAlignment w:val="bottom"/>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★① 服务费用结算：</w:t>
      </w:r>
    </w:p>
    <w:p>
      <w:pPr>
        <w:pStyle w:val="11"/>
        <w:ind w:firstLine="240"/>
        <w:rPr>
          <w:rFonts w:hint="eastAsia" w:asciiTheme="majorEastAsia" w:hAnsiTheme="majorEastAsia" w:eastAsiaTheme="majorEastAsia" w:cstheme="majorEastAsia"/>
          <w:b w:val="0"/>
          <w:bCs w:val="0"/>
          <w:color w:val="auto"/>
        </w:rPr>
      </w:pPr>
      <w:r>
        <w:rPr>
          <w:rFonts w:hint="eastAsia" w:asciiTheme="majorEastAsia" w:hAnsiTheme="majorEastAsia" w:eastAsiaTheme="majorEastAsia" w:cstheme="majorEastAsia"/>
          <w:color w:val="auto"/>
        </w:rPr>
        <w:t>实际服务费用=</w:t>
      </w:r>
      <w:r>
        <w:rPr>
          <w:rFonts w:hint="eastAsia" w:asciiTheme="majorEastAsia" w:hAnsiTheme="majorEastAsia" w:eastAsiaTheme="majorEastAsia" w:cstheme="majorEastAsia"/>
          <w:b/>
          <w:color w:val="auto"/>
        </w:rPr>
        <w:t>收费基数（参考[浙价服(2009)84号]文件）×</w:t>
      </w:r>
      <w:r>
        <w:rPr>
          <w:rFonts w:hint="eastAsia" w:asciiTheme="majorEastAsia" w:hAnsiTheme="majorEastAsia" w:eastAsiaTheme="majorEastAsia" w:cstheme="majorEastAsia"/>
          <w:b/>
          <w:color w:val="auto"/>
          <w:lang w:eastAsia="zh-CN"/>
        </w:rPr>
        <w:t>响应</w:t>
      </w:r>
      <w:r>
        <w:rPr>
          <w:rFonts w:hint="eastAsia" w:asciiTheme="majorEastAsia" w:hAnsiTheme="majorEastAsia" w:eastAsiaTheme="majorEastAsia" w:cstheme="majorEastAsia"/>
          <w:b/>
          <w:color w:val="auto"/>
        </w:rPr>
        <w:t>报价×各类型标准收费系数；</w:t>
      </w:r>
      <w:r>
        <w:rPr>
          <w:rFonts w:hint="eastAsia" w:asciiTheme="majorEastAsia" w:hAnsiTheme="majorEastAsia" w:eastAsiaTheme="majorEastAsia" w:cstheme="majorEastAsia"/>
          <w:b w:val="0"/>
          <w:bCs w:val="0"/>
          <w:color w:val="auto"/>
        </w:rPr>
        <w:t>每件咨询服务合同按上述计算基本收费不足 2000 元的，按 2000 元计算。</w:t>
      </w:r>
    </w:p>
    <w:p>
      <w:pPr>
        <w:pStyle w:val="12"/>
        <w:ind w:lef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各类型标准收费系数：概算0.35；控制价0.55；结算0.5。</w:t>
      </w:r>
    </w:p>
    <w:p>
      <w:pPr>
        <w:pStyle w:val="12"/>
        <w:ind w:left="0" w:firstLine="480" w:firstLineChars="200"/>
        <w:rPr>
          <w:rFonts w:hint="default"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如</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概算收费为</w:t>
      </w:r>
      <w:r>
        <w:rPr>
          <w:rFonts w:hint="eastAsia" w:asciiTheme="majorEastAsia" w:hAnsiTheme="majorEastAsia" w:eastAsiaTheme="majorEastAsia" w:cstheme="majorEastAsia"/>
          <w:b/>
          <w:bCs/>
          <w:color w:val="auto"/>
          <w:sz w:val="24"/>
          <w:szCs w:val="24"/>
        </w:rPr>
        <w:t>[浙价服(2009)84号]文件的收费基数×1×0.35</w:t>
      </w:r>
      <w:r>
        <w:rPr>
          <w:rFonts w:hint="default" w:asciiTheme="majorEastAsia" w:hAnsiTheme="majorEastAsia" w:eastAsiaTheme="majorEastAsia" w:cstheme="majorEastAsia"/>
          <w:b/>
          <w:bCs/>
          <w:color w:val="auto"/>
          <w:sz w:val="24"/>
          <w:szCs w:val="24"/>
        </w:rPr>
        <w:t>。</w:t>
      </w:r>
    </w:p>
    <w:p>
      <w:pPr>
        <w:ind w:firstLine="480" w:firstLineChars="200"/>
        <w:jc w:val="left"/>
        <w:rPr>
          <w:rFonts w:asciiTheme="majorEastAsia" w:hAnsiTheme="majorEastAsia" w:eastAsiaTheme="majorEastAsia" w:cstheme="majorEastAsia"/>
          <w:color w:val="auto"/>
        </w:rPr>
      </w:pPr>
    </w:p>
    <w:p>
      <w:pPr>
        <w:pStyle w:val="12"/>
        <w:ind w:left="0" w:firstLine="480" w:firstLineChars="20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概算以送审金额扣除土地征收和专用设备设施（含两笔费用相应的预备费）为基数；</w:t>
      </w:r>
    </w:p>
    <w:p>
      <w:pPr>
        <w:pStyle w:val="12"/>
        <w:ind w:left="0" w:firstLine="480" w:firstLineChars="20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竣工结算以送审金额为基数；追加费由送审的施工单位承担。</w:t>
      </w:r>
    </w:p>
    <w:p>
      <w:pPr>
        <w:pStyle w:val="12"/>
        <w:ind w:left="0"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招标控制价以审定</w:t>
      </w:r>
      <w:r>
        <w:rPr>
          <w:rFonts w:hint="eastAsia" w:asciiTheme="majorEastAsia" w:hAnsiTheme="majorEastAsia" w:eastAsiaTheme="majorEastAsia" w:cstheme="majorEastAsia"/>
          <w:color w:val="auto"/>
          <w:sz w:val="24"/>
          <w:szCs w:val="24"/>
          <w:lang w:eastAsia="zh-CN"/>
        </w:rPr>
        <w:t>金额</w:t>
      </w:r>
      <w:r>
        <w:rPr>
          <w:rFonts w:hint="eastAsia" w:asciiTheme="majorEastAsia" w:hAnsiTheme="majorEastAsia" w:eastAsiaTheme="majorEastAsia" w:cstheme="majorEastAsia"/>
          <w:color w:val="auto"/>
          <w:sz w:val="24"/>
          <w:szCs w:val="24"/>
        </w:rPr>
        <w:t>（含暂列金额）为基数；</w:t>
      </w:r>
    </w:p>
    <w:p>
      <w:pPr>
        <w:rPr>
          <w:rFonts w:asciiTheme="majorEastAsia" w:hAnsiTheme="majorEastAsia" w:eastAsiaTheme="majorEastAsia" w:cstheme="majorEastAsia"/>
          <w:color w:val="auto"/>
        </w:rPr>
      </w:pPr>
    </w:p>
    <w:p>
      <w:pPr>
        <w:pStyle w:val="11"/>
        <w:ind w:firstLine="240"/>
        <w:rPr>
          <w:rFonts w:asciiTheme="majorEastAsia" w:hAnsiTheme="majorEastAsia" w:eastAsiaTheme="majorEastAsia" w:cstheme="majorEastAsia"/>
          <w:b/>
          <w:color w:val="auto"/>
        </w:rPr>
      </w:pPr>
      <w:r>
        <w:rPr>
          <w:rFonts w:hint="eastAsia" w:asciiTheme="majorEastAsia" w:hAnsiTheme="majorEastAsia" w:eastAsiaTheme="majorEastAsia" w:cstheme="majorEastAsia"/>
          <w:color w:val="auto"/>
        </w:rPr>
        <w:t>②</w:t>
      </w:r>
      <w:r>
        <w:rPr>
          <w:rFonts w:hint="eastAsia" w:asciiTheme="majorEastAsia" w:hAnsiTheme="majorEastAsia" w:eastAsiaTheme="majorEastAsia" w:cstheme="majorEastAsia"/>
          <w:b/>
          <w:color w:val="auto"/>
          <w:lang w:eastAsia="zh-CN"/>
        </w:rPr>
        <w:t>响应</w:t>
      </w:r>
      <w:r>
        <w:rPr>
          <w:rFonts w:hint="eastAsia" w:asciiTheme="majorEastAsia" w:hAnsiTheme="majorEastAsia" w:eastAsiaTheme="majorEastAsia" w:cstheme="majorEastAsia"/>
          <w:b/>
          <w:color w:val="auto"/>
        </w:rPr>
        <w:t>报价包括项目实施所需的人工费、服务费、企业管理费、利润、税金等一切费用。</w:t>
      </w:r>
    </w:p>
    <w:p>
      <w:pPr>
        <w:pStyle w:val="11"/>
        <w:ind w:firstLine="240"/>
        <w:rPr>
          <w:rFonts w:asciiTheme="majorEastAsia" w:hAnsiTheme="majorEastAsia" w:eastAsiaTheme="majorEastAsia" w:cstheme="majorEastAsia"/>
          <w:color w:val="auto"/>
        </w:rPr>
      </w:pPr>
    </w:p>
    <w:p>
      <w:pPr>
        <w:pStyle w:val="5"/>
        <w:tabs>
          <w:tab w:val="left" w:pos="2985"/>
        </w:tabs>
        <w:spacing w:line="300" w:lineRule="auto"/>
        <w:rPr>
          <w:rFonts w:asciiTheme="majorEastAsia" w:hAnsiTheme="majorEastAsia" w:eastAsiaTheme="majorEastAsia" w:cstheme="majorEastAsia"/>
          <w:bCs w:val="0"/>
          <w:color w:val="auto"/>
          <w:szCs w:val="24"/>
        </w:rPr>
      </w:pPr>
      <w:r>
        <w:rPr>
          <w:rFonts w:hint="eastAsia" w:asciiTheme="majorEastAsia" w:hAnsiTheme="majorEastAsia" w:eastAsiaTheme="majorEastAsia" w:cstheme="majorEastAsia"/>
          <w:bCs w:val="0"/>
          <w:color w:val="auto"/>
          <w:szCs w:val="24"/>
        </w:rPr>
        <w:t>十一、商务条款：</w:t>
      </w:r>
    </w:p>
    <w:p>
      <w:pPr>
        <w:rPr>
          <w:rFonts w:asciiTheme="majorEastAsia" w:hAnsiTheme="majorEastAsia" w:eastAsiaTheme="majorEastAsia" w:cstheme="majorEastAsia"/>
          <w:color w:val="auto"/>
        </w:rPr>
      </w:pPr>
    </w:p>
    <w:tbl>
      <w:tblPr>
        <w:tblStyle w:val="25"/>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服务期</w:t>
            </w:r>
          </w:p>
        </w:tc>
        <w:tc>
          <w:tcPr>
            <w:tcW w:w="777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00" w:lineRule="auto"/>
              <w:ind w:left="0" w:right="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color w:val="auto"/>
              </w:rPr>
              <w:t>服务期一年，后续视上级政策法规要求，酌情延长。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合同履行期限：</w:t>
            </w:r>
            <w:r>
              <w:rPr>
                <w:rFonts w:hint="eastAsia" w:asciiTheme="majorEastAsia" w:hAnsiTheme="majorEastAsia" w:eastAsiaTheme="majorEastAsia" w:cstheme="majorEastAsia"/>
                <w:b/>
                <w:color w:val="auto"/>
              </w:rPr>
              <w:t>服务期一年，后续视上级政策法规</w:t>
            </w:r>
            <w:r>
              <w:rPr>
                <w:rFonts w:hint="default" w:asciiTheme="majorEastAsia" w:hAnsiTheme="majorEastAsia" w:eastAsiaTheme="majorEastAsia" w:cstheme="majorEastAsia"/>
                <w:b/>
                <w:color w:val="auto"/>
              </w:rPr>
              <w:t>调整</w:t>
            </w:r>
            <w:r>
              <w:rPr>
                <w:rFonts w:hint="eastAsia" w:asciiTheme="majorEastAsia" w:hAnsiTheme="majorEastAsia" w:eastAsiaTheme="majorEastAsia" w:cstheme="majorEastAsia"/>
                <w:b/>
                <w:color w:val="auto"/>
              </w:rPr>
              <w:t>，酌情延长。</w:t>
            </w:r>
          </w:p>
          <w:p>
            <w:pPr>
              <w:keepNext w:val="0"/>
              <w:keepLines w:val="0"/>
              <w:suppressLineNumbers w:val="0"/>
              <w:snapToGrid w:val="0"/>
              <w:spacing w:before="0" w:beforeAutospacing="0" w:after="0" w:afterAutospacing="0" w:line="360" w:lineRule="exact"/>
              <w:ind w:left="0" w:right="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付款方式</w:t>
            </w:r>
          </w:p>
        </w:tc>
        <w:tc>
          <w:tcPr>
            <w:tcW w:w="77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line="360" w:lineRule="exact"/>
              <w:ind w:left="0" w:right="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（1）合同签订后，</w:t>
            </w:r>
            <w:r>
              <w:rPr>
                <w:rFonts w:hint="eastAsia" w:asciiTheme="majorEastAsia" w:hAnsiTheme="majorEastAsia" w:eastAsiaTheme="majorEastAsia" w:cstheme="majorEastAsia"/>
                <w:b/>
                <w:bCs/>
                <w:color w:val="auto"/>
                <w:lang w:eastAsia="zh-CN"/>
              </w:rPr>
              <w:t>入围供应商</w:t>
            </w:r>
            <w:r>
              <w:rPr>
                <w:rFonts w:hint="eastAsia" w:asciiTheme="majorEastAsia" w:hAnsiTheme="majorEastAsia" w:eastAsiaTheme="majorEastAsia" w:cstheme="majorEastAsia"/>
                <w:b/>
                <w:bCs/>
                <w:color w:val="auto"/>
              </w:rPr>
              <w:t>提供审核服务方案，</w:t>
            </w:r>
            <w:r>
              <w:rPr>
                <w:rFonts w:hint="eastAsia" w:asciiTheme="majorEastAsia" w:hAnsiTheme="majorEastAsia" w:eastAsiaTheme="majorEastAsia" w:cstheme="majorEastAsia"/>
                <w:b/>
                <w:bCs/>
                <w:color w:val="auto"/>
                <w:lang w:eastAsia="zh-CN"/>
              </w:rPr>
              <w:t>响应</w:t>
            </w:r>
            <w:r>
              <w:rPr>
                <w:rFonts w:hint="eastAsia" w:asciiTheme="majorEastAsia" w:hAnsiTheme="majorEastAsia" w:eastAsiaTheme="majorEastAsia" w:cstheme="majorEastAsia"/>
                <w:b/>
                <w:bCs/>
                <w:color w:val="auto"/>
              </w:rPr>
              <w:t>审核人员到位后支付本项目合同价的20%；</w:t>
            </w:r>
          </w:p>
          <w:p>
            <w:pPr>
              <w:keepNext w:val="0"/>
              <w:keepLines w:val="0"/>
              <w:suppressLineNumbers w:val="0"/>
              <w:snapToGrid w:val="0"/>
              <w:spacing w:before="0" w:beforeAutospacing="0" w:after="0" w:afterAutospacing="0" w:line="360" w:lineRule="exact"/>
              <w:ind w:left="0" w:right="0"/>
              <w:rPr>
                <w:rFonts w:asciiTheme="majorEastAsia" w:hAnsiTheme="majorEastAsia" w:eastAsiaTheme="majorEastAsia" w:cstheme="majorEastAsia"/>
                <w:b/>
                <w:color w:val="auto"/>
              </w:rPr>
            </w:pPr>
            <w:r>
              <w:rPr>
                <w:rFonts w:hint="eastAsia" w:asciiTheme="majorEastAsia" w:hAnsiTheme="majorEastAsia" w:eastAsiaTheme="majorEastAsia" w:cstheme="majorEastAsia"/>
                <w:b/>
                <w:bCs/>
                <w:color w:val="auto"/>
              </w:rPr>
              <w:t>（2）完成全部审核咨询服务、出具完整报告，且移交全部资料后，支付至最终合同价的100%，并按合同退还履约</w:t>
            </w:r>
            <w:r>
              <w:rPr>
                <w:rFonts w:hint="eastAsia" w:asciiTheme="majorEastAsia" w:hAnsiTheme="majorEastAsia" w:eastAsiaTheme="majorEastAsia" w:cstheme="majorEastAsia"/>
                <w:b/>
                <w:bCs/>
                <w:color w:val="auto"/>
                <w:lang w:eastAsia="zh-CN"/>
              </w:rPr>
              <w:t>保函</w:t>
            </w:r>
            <w:r>
              <w:rPr>
                <w:rFonts w:hint="eastAsia" w:asciiTheme="majorEastAsia" w:hAnsiTheme="majorEastAsia" w:eastAsiaTheme="majorEastAsia" w:cstheme="majorEastAsia"/>
                <w:b/>
                <w:bCs/>
                <w:color w:val="auto"/>
              </w:rPr>
              <w:t>（无息）。</w:t>
            </w:r>
          </w:p>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注：若中标供应商明确表示无需预付款或者主动要求降低预付款比例的，采购人可不适用前述规定（最终以财政当年度预算批复金额为准）。</w:t>
            </w:r>
          </w:p>
        </w:tc>
      </w:tr>
    </w:tbl>
    <w:p>
      <w:pPr>
        <w:spacing w:line="420" w:lineRule="exact"/>
        <w:rPr>
          <w:rFonts w:asciiTheme="majorEastAsia" w:hAnsiTheme="majorEastAsia" w:eastAsiaTheme="majorEastAsia" w:cstheme="majorEastAsia"/>
          <w:bCs/>
          <w:color w:val="auto"/>
        </w:rPr>
      </w:pPr>
    </w:p>
    <w:p>
      <w:pP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特别说明：</w:t>
      </w:r>
    </w:p>
    <w:p>
      <w:pP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1、需求中不允许负偏离的实质性要求和条件，以“★”号标明，如</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人未响应的，将被视为</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无效。</w:t>
      </w:r>
    </w:p>
    <w:p>
      <w:pPr>
        <w:widowControl/>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2、本项目所属行业：</w:t>
      </w:r>
      <w:r>
        <w:rPr>
          <w:rFonts w:hint="eastAsia" w:asciiTheme="majorEastAsia" w:hAnsiTheme="majorEastAsia" w:eastAsiaTheme="majorEastAsia" w:cstheme="majorEastAsia"/>
          <w:color w:val="auto"/>
          <w:kern w:val="0"/>
          <w:shd w:val="clear" w:color="auto" w:fill="FFFFFF"/>
        </w:rPr>
        <w:t>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具体详见《关于印发中小企业划型标准规定的通知》[工信部联企业[2011]300号]。</w:t>
      </w:r>
    </w:p>
    <w:p>
      <w:pPr>
        <w:pStyle w:val="4"/>
        <w:ind w:left="240" w:leftChars="100"/>
        <w:rPr>
          <w:rFonts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4"/>
          <w:szCs w:val="24"/>
        </w:rPr>
        <w:br w:type="page"/>
      </w:r>
      <w:bookmarkStart w:id="41" w:name="_Toc548118524"/>
      <w:bookmarkStart w:id="42" w:name="_Toc1488663174"/>
      <w:r>
        <w:rPr>
          <w:rFonts w:hint="eastAsia" w:asciiTheme="majorEastAsia" w:hAnsiTheme="majorEastAsia" w:eastAsiaTheme="majorEastAsia" w:cstheme="majorEastAsia"/>
          <w:color w:val="auto"/>
          <w:sz w:val="28"/>
          <w:szCs w:val="28"/>
        </w:rPr>
        <w:t>第三章　供应商须知</w:t>
      </w:r>
      <w:bookmarkEnd w:id="41"/>
      <w:bookmarkEnd w:id="42"/>
    </w:p>
    <w:p>
      <w:pPr>
        <w:spacing w:line="360" w:lineRule="auto"/>
        <w:ind w:firstLine="240" w:firstLineChars="100"/>
        <w:jc w:val="center"/>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color w:val="auto"/>
          <w:shd w:val="clear" w:color="auto" w:fill="FFFFFF"/>
        </w:rPr>
        <w:t>　</w:t>
      </w:r>
      <w:r>
        <w:rPr>
          <w:rFonts w:hint="eastAsia" w:asciiTheme="majorEastAsia" w:hAnsiTheme="majorEastAsia" w:eastAsiaTheme="majorEastAsia" w:cstheme="majorEastAsia"/>
          <w:b/>
          <w:bCs/>
          <w:color w:val="auto"/>
          <w:sz w:val="28"/>
          <w:szCs w:val="28"/>
        </w:rPr>
        <w:t>电子交易注意事项</w:t>
      </w:r>
    </w:p>
    <w:p>
      <w:pPr>
        <w:spacing w:line="360" w:lineRule="auto"/>
        <w:ind w:firstLine="240" w:firstLineChars="100"/>
        <w:jc w:val="left"/>
        <w:rPr>
          <w:rFonts w:asciiTheme="majorEastAsia" w:hAnsiTheme="majorEastAsia" w:eastAsiaTheme="majorEastAsia" w:cstheme="majorEastAsia"/>
          <w:color w:val="auto"/>
          <w:shd w:val="clear" w:color="auto" w:fill="FFFFFF"/>
        </w:rPr>
      </w:pPr>
      <w:r>
        <w:rPr>
          <w:rFonts w:hint="eastAsia" w:asciiTheme="majorEastAsia" w:hAnsiTheme="majorEastAsia" w:eastAsiaTheme="majorEastAsia" w:cstheme="majorEastAsia"/>
          <w:color w:val="auto"/>
          <w:shd w:val="clear" w:color="auto" w:fill="FFFFFF"/>
        </w:rPr>
        <w:t>　政府采购项目电子交易活动适用《浙江省政府采购项目电子交易管理暂行办法》，现将相关注意事项告知如下：</w:t>
      </w:r>
    </w:p>
    <w:p>
      <w:pPr>
        <w:spacing w:line="360" w:lineRule="auto"/>
        <w:ind w:firstLine="240" w:firstLineChars="1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1.</w:t>
      </w:r>
      <w:r>
        <w:rPr>
          <w:rFonts w:hint="eastAsia" w:asciiTheme="majorEastAsia" w:hAnsiTheme="majorEastAsia" w:eastAsiaTheme="majorEastAsia" w:cstheme="majorEastAsia"/>
          <w:color w:val="auto"/>
          <w:lang w:eastAsia="zh-CN"/>
        </w:rPr>
        <w:t>征集人</w:t>
      </w:r>
      <w:r>
        <w:rPr>
          <w:rFonts w:hint="eastAsia" w:asciiTheme="majorEastAsia" w:hAnsiTheme="majorEastAsia" w:eastAsiaTheme="majorEastAsia" w:cstheme="majorEastAsia"/>
          <w:color w:val="auto"/>
        </w:rPr>
        <w:t>按照征集文件规定的时间通过电子交易平台组织开标、开启响应文件，所有供应商均应当准时在线参加，直至评审结束。</w:t>
      </w:r>
    </w:p>
    <w:p>
      <w:pPr>
        <w:pStyle w:val="24"/>
        <w:spacing w:beforeAutospacing="0" w:afterAutospacing="0" w:line="360" w:lineRule="auto"/>
        <w:ind w:firstLine="240" w:firstLineChars="100"/>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　2. 响应文件未按时解密，供应商如提供备份响应文件的，以符合要求的备份响应文件作为依据，否则视为响应文件撤回。响应文件已按时解密的，备份响应文件自动失效。</w:t>
      </w:r>
    </w:p>
    <w:p>
      <w:pPr>
        <w:pStyle w:val="24"/>
        <w:spacing w:beforeAutospacing="0" w:afterAutospacing="0" w:line="360" w:lineRule="auto"/>
        <w:ind w:firstLine="240" w:firstLineChars="100"/>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　3. 采购过程中出现以下情形，导致电子交易平台无法正常运行，或者无法保证电子交易的公平、公正和安全时，</w:t>
      </w:r>
      <w:r>
        <w:rPr>
          <w:rFonts w:hint="eastAsia" w:asciiTheme="majorEastAsia" w:hAnsiTheme="majorEastAsia" w:eastAsiaTheme="majorEastAsia" w:cstheme="majorEastAsia"/>
          <w:color w:val="auto"/>
          <w:kern w:val="2"/>
          <w:lang w:eastAsia="zh-CN"/>
        </w:rPr>
        <w:t>征集人</w:t>
      </w:r>
      <w:r>
        <w:rPr>
          <w:rFonts w:hint="eastAsia" w:asciiTheme="majorEastAsia" w:hAnsiTheme="majorEastAsia" w:eastAsiaTheme="majorEastAsia" w:cstheme="majorEastAsia"/>
          <w:color w:val="auto"/>
          <w:kern w:val="2"/>
        </w:rPr>
        <w:t>可中止电子交易活动：</w:t>
      </w:r>
    </w:p>
    <w:p>
      <w:pPr>
        <w:pStyle w:val="24"/>
        <w:spacing w:beforeAutospacing="0" w:afterAutospacing="0" w:line="360" w:lineRule="auto"/>
        <w:ind w:firstLine="645"/>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（一）电子交易平台发生故障而无法登录访问的。</w:t>
      </w:r>
    </w:p>
    <w:p>
      <w:pPr>
        <w:pStyle w:val="24"/>
        <w:spacing w:beforeAutospacing="0" w:afterAutospacing="0" w:line="360" w:lineRule="auto"/>
        <w:ind w:firstLine="645"/>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（二）电子交易平台应用或数据库出现错误，不能进行正常操作的。</w:t>
      </w:r>
    </w:p>
    <w:p>
      <w:pPr>
        <w:pStyle w:val="24"/>
        <w:spacing w:beforeAutospacing="0" w:afterAutospacing="0" w:line="360" w:lineRule="auto"/>
        <w:ind w:firstLine="645"/>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（三）电子交易平台发现严重安全漏洞，有潜在泄密危险的。</w:t>
      </w:r>
    </w:p>
    <w:p>
      <w:pPr>
        <w:pStyle w:val="24"/>
        <w:spacing w:beforeAutospacing="0" w:afterAutospacing="0" w:line="360" w:lineRule="auto"/>
        <w:ind w:firstLine="645"/>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（四）病毒发作导致不能进行正常操作的。 </w:t>
      </w:r>
    </w:p>
    <w:p>
      <w:pPr>
        <w:pStyle w:val="24"/>
        <w:spacing w:beforeAutospacing="0" w:afterAutospacing="0" w:line="360" w:lineRule="auto"/>
        <w:ind w:firstLine="645"/>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（五）其他无法保证电子交易的公平、公正和安全的情况。</w:t>
      </w:r>
    </w:p>
    <w:p>
      <w:pPr>
        <w:pStyle w:val="24"/>
        <w:spacing w:beforeAutospacing="0" w:afterAutospacing="0" w:line="360" w:lineRule="auto"/>
        <w:ind w:firstLine="480"/>
        <w:rPr>
          <w:rFonts w:asciiTheme="majorEastAsia" w:hAnsiTheme="majorEastAsia" w:eastAsiaTheme="majorEastAsia" w:cstheme="majorEastAsia"/>
          <w:color w:val="auto"/>
          <w:kern w:val="2"/>
        </w:rPr>
      </w:pPr>
      <w:r>
        <w:rPr>
          <w:rFonts w:hint="eastAsia" w:asciiTheme="majorEastAsia" w:hAnsiTheme="majorEastAsia" w:eastAsiaTheme="majorEastAsia" w:cstheme="majorEastAsia"/>
          <w:color w:val="auto"/>
          <w:kern w:val="2"/>
        </w:rPr>
        <w:t>出现前款规定情形，不影响采购公平、公正性的，</w:t>
      </w:r>
      <w:r>
        <w:rPr>
          <w:rFonts w:hint="eastAsia" w:asciiTheme="majorEastAsia" w:hAnsiTheme="majorEastAsia" w:eastAsiaTheme="majorEastAsia" w:cstheme="majorEastAsia"/>
          <w:color w:val="auto"/>
          <w:kern w:val="2"/>
          <w:lang w:eastAsia="zh-CN"/>
        </w:rPr>
        <w:t>征集人</w:t>
      </w:r>
      <w:r>
        <w:rPr>
          <w:rFonts w:hint="eastAsia" w:asciiTheme="majorEastAsia" w:hAnsiTheme="majorEastAsia" w:eastAsiaTheme="majorEastAsia" w:cstheme="majorEastAsia"/>
          <w:color w:val="auto"/>
          <w:kern w:val="2"/>
        </w:rPr>
        <w:t>可以待上述情形消除后继续组织电子交易活动，也可以决定某些环节以纸质形式进行；影响或可能影响采购公平、公正性的，应当重新采购。</w:t>
      </w:r>
    </w:p>
    <w:p>
      <w:pPr>
        <w:pStyle w:val="24"/>
        <w:numPr>
          <w:ilvl w:val="0"/>
          <w:numId w:val="4"/>
        </w:numPr>
        <w:spacing w:beforeAutospacing="0" w:afterAutospacing="0" w:line="360" w:lineRule="auto"/>
        <w:ind w:firstLine="480"/>
        <w:rPr>
          <w:rFonts w:asciiTheme="majorEastAsia" w:hAnsiTheme="majorEastAsia" w:eastAsiaTheme="majorEastAsia" w:cstheme="majorEastAsia"/>
          <w:color w:val="auto"/>
          <w:shd w:val="clear" w:color="auto" w:fill="FFFFFF"/>
        </w:rPr>
      </w:pPr>
      <w:r>
        <w:rPr>
          <w:rFonts w:hint="eastAsia" w:asciiTheme="majorEastAsia" w:hAnsiTheme="majorEastAsia" w:eastAsiaTheme="majorEastAsia" w:cstheme="majorEastAsia"/>
          <w:color w:val="auto"/>
          <w:shd w:val="clear" w:color="auto" w:fill="FFFFFF"/>
        </w:rPr>
        <w:t>评审中需要供应商对响应文件作出澄清、说明或者补正的，评审小组和供应商应当通过电子交易平台交换数据电文。供应商需在半小时内提交澄清说明或补正，供应商已经明确表示澄清说明或补正完毕的除外。</w:t>
      </w:r>
    </w:p>
    <w:p>
      <w:pPr>
        <w:pStyle w:val="24"/>
        <w:spacing w:beforeAutospacing="0" w:afterAutospacing="0" w:line="360" w:lineRule="auto"/>
        <w:ind w:firstLine="480"/>
        <w:jc w:val="center"/>
        <w:rPr>
          <w:rFonts w:asciiTheme="majorEastAsia" w:hAnsiTheme="majorEastAsia" w:eastAsiaTheme="majorEastAsia" w:cstheme="majorEastAsia"/>
          <w:b/>
          <w:color w:val="auto"/>
          <w:sz w:val="32"/>
          <w:szCs w:val="32"/>
          <w:shd w:val="clear" w:color="auto" w:fill="FFFFFF"/>
        </w:rPr>
      </w:pPr>
      <w:r>
        <w:rPr>
          <w:rFonts w:hint="eastAsia" w:asciiTheme="majorEastAsia" w:hAnsiTheme="majorEastAsia" w:eastAsiaTheme="majorEastAsia" w:cstheme="majorEastAsia"/>
          <w:color w:val="auto"/>
          <w:shd w:val="clear" w:color="auto" w:fill="FFFFFF"/>
        </w:rPr>
        <w:br w:type="page"/>
      </w:r>
      <w:r>
        <w:rPr>
          <w:rFonts w:hint="eastAsia" w:asciiTheme="majorEastAsia" w:hAnsiTheme="majorEastAsia" w:eastAsiaTheme="majorEastAsia" w:cstheme="majorEastAsia"/>
          <w:b/>
          <w:color w:val="auto"/>
          <w:sz w:val="32"/>
          <w:szCs w:val="32"/>
          <w:shd w:val="clear" w:color="auto" w:fill="FFFFFF"/>
        </w:rPr>
        <w:t>前　附　表</w:t>
      </w:r>
    </w:p>
    <w:tbl>
      <w:tblPr>
        <w:tblStyle w:val="2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distribute"/>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项目名称</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湖州市本级（含吴兴、南浔财政审核中心）政府投资项目工程造价咨询服务框架协议采购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firstLine="210" w:firstLineChars="100"/>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color w:val="auto"/>
                <w:sz w:val="21"/>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采购内容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通过框架协议方式，产生湖州市本级（含吴兴、南浔财政审核中心）政府投资项目工程造价咨询服务入围供应商，承担服务期内湖州市本级（含吴兴、南浔财政审核中心）政府投资项目工程造价咨询服务工作。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firstLine="210" w:firstLineChars="1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numPr>
                <w:ilvl w:val="0"/>
                <w:numId w:val="5"/>
              </w:numPr>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本项目报价采用固定费率，响应时提供《报价承诺函》；</w:t>
            </w:r>
          </w:p>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2.不论响应结果如何，供应商均应自行承担所有与响应有关的全部费用。提醒：验收（考核）时检测费、专家费等验收所产生的合理费用由征集人承担，不包含在</w:t>
            </w:r>
            <w:r>
              <w:rPr>
                <w:rFonts w:hint="eastAsia" w:asciiTheme="majorEastAsia" w:hAnsiTheme="majorEastAsia" w:eastAsiaTheme="majorEastAsia" w:cstheme="majorEastAsia"/>
                <w:snapToGrid w:val="0"/>
                <w:color w:val="auto"/>
                <w:spacing w:val="0"/>
                <w:sz w:val="21"/>
                <w:szCs w:val="21"/>
                <w:lang w:eastAsia="zh-CN"/>
              </w:rPr>
              <w:t>响应</w:t>
            </w:r>
            <w:r>
              <w:rPr>
                <w:rFonts w:hint="eastAsia" w:asciiTheme="majorEastAsia" w:hAnsiTheme="majorEastAsia" w:eastAsiaTheme="majorEastAsia" w:cstheme="majorEastAsia"/>
                <w:snapToGrid w:val="0"/>
                <w:color w:val="auto"/>
                <w:spacing w:val="0"/>
                <w:sz w:val="21"/>
                <w:szCs w:val="21"/>
              </w:rPr>
              <w:t>总价中，若由供应商原因造成的验收（考核）不合格所产生的费用，由供应商承担。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firstLine="421" w:firstLineChars="200"/>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sym w:font="Wingdings" w:char="00A8"/>
            </w:r>
            <w:r>
              <w:rPr>
                <w:rFonts w:hint="eastAsia" w:asciiTheme="majorEastAsia" w:hAnsiTheme="majorEastAsia" w:eastAsiaTheme="majorEastAsia" w:cstheme="majorEastAsia"/>
                <w:snapToGrid w:val="0"/>
                <w:color w:val="auto"/>
                <w:spacing w:val="0"/>
                <w:sz w:val="21"/>
                <w:szCs w:val="21"/>
              </w:rPr>
              <w:t>A同意将非主体、非关键性的工作分包。</w:t>
            </w:r>
          </w:p>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sym w:font="Wingdings" w:char="00FE"/>
            </w:r>
            <w:r>
              <w:rPr>
                <w:rFonts w:hint="eastAsia" w:asciiTheme="majorEastAsia" w:hAnsiTheme="majorEastAsia" w:eastAsiaTheme="majorEastAsia" w:cstheme="majorEastAsia"/>
                <w:snapToGrid w:val="0"/>
                <w:color w:val="auto"/>
                <w:spacing w:val="0"/>
                <w:sz w:val="21"/>
                <w:szCs w:val="21"/>
              </w:rPr>
              <w:t>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开标前答疑会或现场踏勘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sym w:font="Wingdings" w:char="00FE"/>
            </w:r>
            <w:r>
              <w:rPr>
                <w:rFonts w:hint="eastAsia" w:asciiTheme="majorEastAsia" w:hAnsiTheme="majorEastAsia" w:eastAsiaTheme="majorEastAsia" w:cstheme="majorEastAsia"/>
                <w:snapToGrid w:val="0"/>
                <w:color w:val="auto"/>
                <w:spacing w:val="0"/>
                <w:sz w:val="21"/>
                <w:szCs w:val="21"/>
              </w:rPr>
              <w:t>A不组织。</w:t>
            </w:r>
          </w:p>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sym w:font="Wingdings" w:char="00A8"/>
            </w:r>
            <w:r>
              <w:rPr>
                <w:rFonts w:hint="eastAsia" w:asciiTheme="majorEastAsia" w:hAnsiTheme="majorEastAsia" w:eastAsiaTheme="majorEastAsia" w:cstheme="majorEastAsia"/>
                <w:snapToGrid w:val="0"/>
                <w:color w:val="auto"/>
                <w:spacing w:val="0"/>
                <w:sz w:val="21"/>
                <w:szCs w:val="21"/>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响应文件</w:t>
            </w:r>
            <w:r>
              <w:rPr>
                <w:rFonts w:hint="eastAsia" w:asciiTheme="majorEastAsia" w:hAnsiTheme="majorEastAsia" w:eastAsiaTheme="majorEastAsia" w:cstheme="majorEastAsia"/>
                <w:b/>
                <w:color w:val="auto"/>
                <w:sz w:val="21"/>
                <w:szCs w:val="21"/>
                <w:lang w:val="zh-CN"/>
              </w:rPr>
              <w:t>组成</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电子响应文件和备份响应文件均由资格文件、商务技术文件及报价文件三部分组成。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p>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val="zh-CN"/>
              </w:rPr>
              <w:t>开标时间及地点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时间：2022年月日9时00分</w:t>
            </w:r>
          </w:p>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地点：政采云平台</w:t>
            </w:r>
          </w:p>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firstLine="210" w:firstLineChars="1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Cs/>
                <w:color w:val="auto"/>
                <w:sz w:val="21"/>
                <w:szCs w:val="21"/>
              </w:rPr>
            </w:pPr>
            <w:r>
              <w:rPr>
                <w:rFonts w:hint="eastAsia" w:asciiTheme="majorEastAsia" w:hAnsiTheme="majorEastAsia" w:eastAsiaTheme="majorEastAsia" w:cstheme="majorEastAsia"/>
                <w:b/>
                <w:color w:val="auto"/>
                <w:sz w:val="21"/>
                <w:szCs w:val="21"/>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sym w:font="Wingdings" w:char="00FE"/>
            </w:r>
            <w:r>
              <w:rPr>
                <w:rFonts w:hint="eastAsia" w:asciiTheme="majorEastAsia" w:hAnsiTheme="majorEastAsia" w:eastAsiaTheme="majorEastAsia" w:cstheme="majorEastAsia"/>
                <w:snapToGrid w:val="0"/>
                <w:color w:val="auto"/>
                <w:spacing w:val="0"/>
                <w:sz w:val="21"/>
                <w:szCs w:val="21"/>
              </w:rPr>
              <w:t>A不组织。</w:t>
            </w:r>
          </w:p>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sym w:font="Wingdings" w:char="00A8"/>
            </w:r>
            <w:r>
              <w:rPr>
                <w:rFonts w:hint="eastAsia" w:asciiTheme="majorEastAsia" w:hAnsiTheme="majorEastAsia" w:eastAsiaTheme="majorEastAsia" w:cstheme="majorEastAsia"/>
                <w:snapToGrid w:val="0"/>
                <w:color w:val="auto"/>
                <w:spacing w:val="0"/>
                <w:sz w:val="21"/>
                <w:szCs w:val="21"/>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snapToGrid w:val="0"/>
                <w:color w:val="auto"/>
                <w:spacing w:val="0"/>
                <w:sz w:val="21"/>
                <w:szCs w:val="21"/>
              </w:rPr>
            </w:pPr>
            <w:r>
              <w:rPr>
                <w:rFonts w:hint="eastAsia" w:asciiTheme="majorEastAsia" w:hAnsiTheme="majorEastAsia" w:eastAsiaTheme="majorEastAsia" w:cstheme="majorEastAsia"/>
                <w:snapToGrid w:val="0"/>
                <w:color w:val="auto"/>
                <w:spacing w:val="0"/>
                <w:sz w:val="21"/>
                <w:szCs w:val="21"/>
              </w:rPr>
              <w:sym w:font="Wingdings" w:char="F0FE"/>
            </w:r>
            <w:r>
              <w:rPr>
                <w:rFonts w:hint="eastAsia" w:asciiTheme="majorEastAsia" w:hAnsiTheme="majorEastAsia" w:eastAsiaTheme="majorEastAsia" w:cstheme="majorEastAsia"/>
                <w:snapToGrid w:val="0"/>
                <w:color w:val="auto"/>
                <w:spacing w:val="0"/>
                <w:sz w:val="21"/>
                <w:szCs w:val="21"/>
              </w:rPr>
              <w:t>本项目不允许采购进口产品。</w:t>
            </w:r>
          </w:p>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snapToGrid w:val="0"/>
                <w:color w:val="auto"/>
                <w:spacing w:val="0"/>
                <w:sz w:val="21"/>
                <w:szCs w:val="21"/>
              </w:rPr>
              <w:t>☐可以采购进口产品，优先采购向我国企业转让技术、与我国企业签订消化吸收再创新方案的供应商的进口产品；但如果因信息不对称等原因，仍有满足需求的国内产品要求参与采购竞争的，征集人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sym w:font="Wingdings" w:char="00A8"/>
            </w:r>
            <w:r>
              <w:rPr>
                <w:rFonts w:hint="eastAsia" w:asciiTheme="majorEastAsia" w:hAnsiTheme="majorEastAsia" w:eastAsiaTheme="majorEastAsia" w:cstheme="majorEastAsia"/>
                <w:color w:val="auto"/>
                <w:sz w:val="21"/>
                <w:szCs w:val="21"/>
                <w:lang w:val="zh-CN"/>
              </w:rPr>
              <w:t>A货物类</w:t>
            </w:r>
          </w:p>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sym w:font="Wingdings" w:char="00FE"/>
            </w:r>
            <w:r>
              <w:rPr>
                <w:rFonts w:hint="eastAsia" w:asciiTheme="majorEastAsia" w:hAnsiTheme="majorEastAsia" w:eastAsiaTheme="majorEastAsia" w:cstheme="majorEastAsia"/>
                <w:color w:val="auto"/>
                <w:sz w:val="21"/>
                <w:szCs w:val="21"/>
                <w:lang w:val="zh-CN"/>
              </w:rPr>
              <w:t>B服务类。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firstLine="210" w:firstLineChars="10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采购标的所属行业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rPr>
                <w:rFonts w:asciiTheme="majorEastAsia" w:hAnsiTheme="majorEastAsia" w:eastAsiaTheme="majorEastAsia" w:cstheme="majorEastAsia"/>
                <w:color w:val="auto"/>
                <w:kern w:val="0"/>
                <w:sz w:val="21"/>
                <w:szCs w:val="21"/>
                <w:highlight w:val="lightGray"/>
              </w:rPr>
            </w:pPr>
            <w:r>
              <w:rPr>
                <w:rFonts w:hint="eastAsia" w:asciiTheme="majorEastAsia" w:hAnsiTheme="majorEastAsia" w:eastAsiaTheme="majorEastAsia" w:cstheme="majorEastAsia"/>
                <w:color w:val="auto"/>
                <w:kern w:val="0"/>
                <w:sz w:val="21"/>
                <w:szCs w:val="21"/>
              </w:rPr>
              <w:t>标的：</w:t>
            </w:r>
            <w:r>
              <w:rPr>
                <w:rFonts w:hint="eastAsia" w:asciiTheme="majorEastAsia" w:hAnsiTheme="majorEastAsia" w:eastAsiaTheme="majorEastAsia" w:cstheme="majorEastAsia"/>
                <w:color w:val="auto"/>
                <w:kern w:val="0"/>
                <w:sz w:val="21"/>
                <w:szCs w:val="21"/>
                <w:u w:val="single"/>
              </w:rPr>
              <w:t>工程造价咨询</w:t>
            </w:r>
            <w:r>
              <w:rPr>
                <w:rFonts w:hint="eastAsia" w:asciiTheme="majorEastAsia" w:hAnsiTheme="majorEastAsia" w:eastAsiaTheme="majorEastAsia" w:cstheme="majorEastAsia"/>
                <w:color w:val="auto"/>
                <w:kern w:val="0"/>
                <w:sz w:val="21"/>
                <w:szCs w:val="21"/>
              </w:rPr>
              <w:t>，属于</w:t>
            </w:r>
            <w:r>
              <w:rPr>
                <w:rFonts w:hint="eastAsia" w:asciiTheme="majorEastAsia" w:hAnsiTheme="majorEastAsia" w:eastAsiaTheme="majorEastAsia" w:cstheme="majorEastAsia"/>
                <w:color w:val="auto"/>
                <w:kern w:val="0"/>
                <w:sz w:val="21"/>
                <w:szCs w:val="21"/>
                <w:u w:val="single"/>
              </w:rPr>
              <w:t>租赁和商务服务业</w:t>
            </w:r>
            <w:r>
              <w:rPr>
                <w:rFonts w:hint="eastAsia" w:asciiTheme="majorEastAsia" w:hAnsiTheme="majorEastAsia" w:eastAsiaTheme="majorEastAsia" w:cstheme="majorEastAsia"/>
                <w:color w:val="auto"/>
                <w:kern w:val="0"/>
                <w:sz w:val="21"/>
                <w:szCs w:val="21"/>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keepNext w:val="0"/>
              <w:keepLines w:val="0"/>
              <w:suppressLineNumbers w:val="0"/>
              <w:spacing w:before="0" w:beforeLines="50" w:beforeAutospacing="0" w:after="0" w:afterLines="50" w:afterAutospacing="0" w:line="240" w:lineRule="auto"/>
              <w:ind w:left="0" w:right="0" w:firstLine="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snapToGrid w:val="0"/>
                <w:color w:val="auto"/>
                <w:spacing w:val="0"/>
                <w:sz w:val="21"/>
                <w:szCs w:val="21"/>
              </w:rPr>
              <w:t>按《节能产品政府采购品目清单》财库〔2019〕19号执行；政府采购节能产品、环境标志产品实施品目清单管理：</w:t>
            </w:r>
            <w:r>
              <w:rPr>
                <w:rFonts w:hint="eastAsia" w:asciiTheme="majorEastAsia" w:hAnsiTheme="majorEastAsia" w:eastAsiaTheme="majorEastAsia" w:cstheme="majorEastAsia"/>
                <w:snapToGrid w:val="0"/>
                <w:color w:val="auto"/>
                <w:spacing w:val="0"/>
                <w:sz w:val="21"/>
                <w:szCs w:val="21"/>
                <w:lang w:eastAsia="zh-CN"/>
              </w:rPr>
              <w:t>响应</w:t>
            </w:r>
            <w:r>
              <w:rPr>
                <w:rFonts w:hint="eastAsia" w:asciiTheme="majorEastAsia" w:hAnsiTheme="majorEastAsia" w:eastAsiaTheme="majorEastAsia" w:cstheme="majorEastAsia"/>
                <w:snapToGrid w:val="0"/>
                <w:color w:val="auto"/>
                <w:spacing w:val="0"/>
                <w:sz w:val="21"/>
                <w:szCs w:val="21"/>
              </w:rPr>
              <w:t>产品符合财库〔2019〕9号《关于调整优化节能产品、环境标志产品政府采购执行机制的通知》条件。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left w:val="single" w:color="000000" w:sz="8"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w:t>
            </w:r>
          </w:p>
        </w:tc>
        <w:tc>
          <w:tcPr>
            <w:tcW w:w="1843" w:type="dxa"/>
            <w:tcBorders>
              <w:left w:val="single" w:color="000000" w:sz="2"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highlight w:val="lightGray"/>
              </w:rPr>
            </w:pPr>
            <w:r>
              <w:rPr>
                <w:rFonts w:hint="eastAsia" w:asciiTheme="majorEastAsia" w:hAnsiTheme="majorEastAsia" w:eastAsiaTheme="majorEastAsia" w:cstheme="majorEastAsia"/>
                <w:b/>
                <w:color w:val="auto"/>
                <w:sz w:val="21"/>
                <w:szCs w:val="21"/>
              </w:rPr>
              <w:t>评标结果公告及入围通知书</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asciiTheme="majorEastAsia" w:hAnsiTheme="majorEastAsia" w:eastAsiaTheme="majorEastAsia" w:cstheme="majorEastAsia"/>
                <w:snapToGrid w:val="0"/>
                <w:color w:val="auto"/>
                <w:kern w:val="28"/>
                <w:sz w:val="21"/>
                <w:szCs w:val="21"/>
                <w:highlight w:val="lightGray"/>
              </w:rPr>
            </w:pPr>
            <w:r>
              <w:rPr>
                <w:rFonts w:hint="eastAsia" w:asciiTheme="majorEastAsia" w:hAnsiTheme="majorEastAsia" w:eastAsiaTheme="majorEastAsia" w:cstheme="majorEastAsia"/>
                <w:color w:val="auto"/>
                <w:sz w:val="21"/>
                <w:szCs w:val="21"/>
              </w:rPr>
              <w:t>评标结束后2个工作日内，评标结果公告于浙江政府采购网(http://www.zjzfcg.gov.cn/new/)。</w:t>
            </w:r>
            <w:r>
              <w:rPr>
                <w:rFonts w:hint="eastAsia" w:asciiTheme="majorEastAsia" w:hAnsiTheme="majorEastAsia" w:eastAsiaTheme="majorEastAsia" w:cstheme="majorEastAsia"/>
                <w:color w:val="auto"/>
                <w:kern w:val="0"/>
                <w:sz w:val="21"/>
                <w:szCs w:val="21"/>
              </w:rPr>
              <w:t>入围公告期限为1个工作日。在公告入围结果的同时，</w:t>
            </w:r>
            <w:r>
              <w:rPr>
                <w:rFonts w:hint="eastAsia" w:asciiTheme="majorEastAsia" w:hAnsiTheme="majorEastAsia" w:eastAsiaTheme="majorEastAsia" w:cstheme="majorEastAsia"/>
                <w:color w:val="auto"/>
                <w:kern w:val="0"/>
                <w:sz w:val="21"/>
                <w:szCs w:val="21"/>
                <w:lang w:eastAsia="zh-CN"/>
              </w:rPr>
              <w:t>征集人</w:t>
            </w:r>
            <w:r>
              <w:rPr>
                <w:rFonts w:hint="eastAsia" w:asciiTheme="majorEastAsia" w:hAnsiTheme="majorEastAsia" w:eastAsiaTheme="majorEastAsia" w:cstheme="majorEastAsia"/>
                <w:color w:val="auto"/>
                <w:kern w:val="0"/>
                <w:sz w:val="21"/>
                <w:szCs w:val="21"/>
              </w:rPr>
              <w:t>在政采云系统向入围供应商发出入围通知书。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utoSpaceDE w:val="0"/>
              <w:autoSpaceDN w:val="0"/>
              <w:snapToGrid w:val="0"/>
              <w:spacing w:before="0" w:beforeAutospacing="0" w:after="0" w:afterAutospacing="0"/>
              <w:ind w:left="0" w:right="0"/>
              <w:jc w:val="center"/>
              <w:textAlignment w:val="bottom"/>
              <w:rPr>
                <w:rFonts w:asciiTheme="majorEastAsia" w:hAnsiTheme="majorEastAsia" w:eastAsiaTheme="majorEastAsia" w:cstheme="majorEastAsia"/>
                <w:color w:val="auto"/>
                <w:kern w:val="0"/>
                <w:sz w:val="21"/>
                <w:szCs w:val="21"/>
              </w:rPr>
            </w:pPr>
            <w:r>
              <w:rPr>
                <w:rFonts w:hint="eastAsia" w:asciiTheme="majorEastAsia" w:hAnsiTheme="majorEastAsia" w:eastAsiaTheme="majorEastAsia" w:cstheme="majorEastAsia"/>
                <w:b/>
                <w:color w:val="auto"/>
                <w:sz w:val="21"/>
                <w:szCs w:val="21"/>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kern w:val="0"/>
                <w:sz w:val="21"/>
                <w:szCs w:val="21"/>
              </w:rPr>
              <w:sym w:font="Wingdings" w:char="00A8"/>
            </w:r>
            <w:r>
              <w:rPr>
                <w:rFonts w:hint="eastAsia" w:asciiTheme="majorEastAsia" w:hAnsiTheme="majorEastAsia" w:eastAsiaTheme="majorEastAsia" w:cstheme="majorEastAsia"/>
                <w:color w:val="auto"/>
                <w:sz w:val="21"/>
                <w:szCs w:val="21"/>
                <w:lang w:val="zh-CN"/>
              </w:rPr>
              <w:t>A无</w:t>
            </w:r>
            <w:r>
              <w:rPr>
                <w:rFonts w:hint="eastAsia" w:asciiTheme="majorEastAsia" w:hAnsiTheme="majorEastAsia" w:eastAsiaTheme="majorEastAsia" w:cstheme="majorEastAsia"/>
                <w:color w:val="auto"/>
                <w:sz w:val="21"/>
                <w:szCs w:val="21"/>
              </w:rPr>
              <w:t>。</w:t>
            </w:r>
          </w:p>
          <w:p>
            <w:pPr>
              <w:pStyle w:val="38"/>
              <w:keepNext w:val="0"/>
              <w:keepLines w:val="0"/>
              <w:suppressLineNumbers w:val="0"/>
              <w:snapToGrid w:val="0"/>
              <w:spacing w:before="0" w:beforeLines="50" w:beforeAutospacing="0" w:after="0" w:afterLines="50" w:afterAutospacing="0" w:line="360" w:lineRule="auto"/>
              <w:ind w:left="0" w:right="0"/>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Cs w:val="21"/>
              </w:rPr>
              <w:sym w:font="Wingdings" w:char="00FE"/>
            </w:r>
            <w:r>
              <w:rPr>
                <w:rFonts w:hint="eastAsia" w:asciiTheme="majorEastAsia" w:hAnsiTheme="majorEastAsia" w:eastAsiaTheme="majorEastAsia" w:cstheme="majorEastAsia"/>
                <w:color w:val="auto"/>
                <w:szCs w:val="21"/>
                <w:lang w:val="zh-CN"/>
              </w:rPr>
              <w:t>B</w:t>
            </w:r>
            <w:r>
              <w:rPr>
                <w:rFonts w:hint="eastAsia" w:asciiTheme="majorEastAsia" w:hAnsiTheme="majorEastAsia" w:eastAsiaTheme="majorEastAsia" w:cstheme="majorEastAsia"/>
                <w:color w:val="auto"/>
                <w:szCs w:val="21"/>
              </w:rPr>
              <w:t>银行保函或保险公司保函或融资担保公司保函。</w:t>
            </w:r>
          </w:p>
          <w:p>
            <w:pPr>
              <w:pStyle w:val="38"/>
              <w:keepNext w:val="0"/>
              <w:keepLines w:val="0"/>
              <w:suppressLineNumbers w:val="0"/>
              <w:snapToGrid w:val="0"/>
              <w:spacing w:before="0" w:beforeAutospacing="0" w:after="0" w:afterAutospacing="0" w:line="360" w:lineRule="auto"/>
              <w:ind w:left="0" w:right="0"/>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color w:val="auto"/>
                <w:szCs w:val="21"/>
              </w:rPr>
              <w:t>履约保证金的金额：合同总价的1%</w:t>
            </w:r>
            <w:r>
              <w:rPr>
                <w:rFonts w:hint="default" w:asciiTheme="majorEastAsia" w:hAnsiTheme="majorEastAsia" w:eastAsiaTheme="majorEastAsia" w:cstheme="majorEastAsia"/>
                <w:color w:val="auto"/>
                <w:szCs w:val="21"/>
              </w:rPr>
              <w:t>，暂定</w:t>
            </w:r>
            <w:r>
              <w:rPr>
                <w:rFonts w:hint="eastAsia" w:asciiTheme="majorEastAsia" w:hAnsiTheme="majorEastAsia" w:eastAsiaTheme="majorEastAsia" w:cstheme="majorEastAsia"/>
                <w:color w:val="auto"/>
                <w:szCs w:val="21"/>
                <w:lang w:val="en-US" w:eastAsia="zh-CN"/>
              </w:rPr>
              <w:t>5</w:t>
            </w:r>
            <w:r>
              <w:rPr>
                <w:rFonts w:hint="default" w:asciiTheme="majorEastAsia" w:hAnsiTheme="majorEastAsia" w:eastAsiaTheme="majorEastAsia" w:cstheme="majorEastAsia"/>
                <w:color w:val="auto"/>
                <w:szCs w:val="21"/>
              </w:rPr>
              <w:t>万元</w:t>
            </w:r>
            <w:r>
              <w:rPr>
                <w:rFonts w:hint="eastAsia" w:asciiTheme="majorEastAsia" w:hAnsiTheme="majorEastAsia" w:eastAsiaTheme="majorEastAsia" w:cstheme="major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strike/>
                <w:color w:val="auto"/>
                <w:sz w:val="21"/>
                <w:szCs w:val="21"/>
              </w:rPr>
            </w:pPr>
            <w:r>
              <w:rPr>
                <w:rFonts w:hint="eastAsia" w:asciiTheme="majorEastAsia" w:hAnsiTheme="majorEastAsia" w:eastAsiaTheme="majorEastAsia" w:cstheme="majorEastAsia"/>
                <w:b/>
                <w:color w:val="auto"/>
                <w:sz w:val="21"/>
                <w:szCs w:val="21"/>
              </w:rPr>
              <w:t>签订合同时间</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asciiTheme="majorEastAsia" w:hAnsiTheme="majorEastAsia" w:eastAsiaTheme="majorEastAsia" w:cstheme="majorEastAsia"/>
                <w:strike/>
                <w:color w:val="auto"/>
                <w:kern w:val="28"/>
                <w:sz w:val="21"/>
                <w:szCs w:val="21"/>
              </w:rPr>
            </w:pPr>
            <w:r>
              <w:rPr>
                <w:rFonts w:hint="eastAsia" w:asciiTheme="majorEastAsia" w:hAnsiTheme="majorEastAsia" w:eastAsiaTheme="majorEastAsia" w:cstheme="majorEastAsia"/>
                <w:color w:val="auto"/>
                <w:sz w:val="21"/>
                <w:szCs w:val="21"/>
              </w:rPr>
              <w:t>入围通知书发出后30日内。</w:t>
            </w:r>
            <w:r>
              <w:rPr>
                <w:rFonts w:hint="eastAsia" w:asciiTheme="majorEastAsia" w:hAnsiTheme="majorEastAsia" w:eastAsiaTheme="majorEastAsia" w:cstheme="majorEastAsia"/>
                <w:color w:val="auto"/>
                <w:kern w:val="0"/>
                <w:sz w:val="21"/>
                <w:szCs w:val="21"/>
              </w:rPr>
              <w:t>建议征集人在对采购结果质疑期（自采购结果公告之日起七个工作日）后与入围供应商签订政府采购框架协议。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strike/>
                <w:color w:val="auto"/>
                <w:sz w:val="21"/>
                <w:szCs w:val="21"/>
              </w:rPr>
            </w:pPr>
            <w:r>
              <w:rPr>
                <w:rFonts w:hint="eastAsia" w:asciiTheme="majorEastAsia" w:hAnsiTheme="majorEastAsia" w:eastAsiaTheme="majorEastAsia" w:cstheme="majorEastAsia"/>
                <w:b/>
                <w:color w:val="auto"/>
                <w:sz w:val="21"/>
                <w:szCs w:val="21"/>
              </w:rPr>
              <w:t>合同公告</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asciiTheme="majorEastAsia" w:hAnsiTheme="majorEastAsia" w:eastAsiaTheme="majorEastAsia" w:cstheme="majorEastAsia"/>
                <w:strike/>
                <w:color w:val="auto"/>
                <w:kern w:val="28"/>
                <w:sz w:val="21"/>
                <w:szCs w:val="21"/>
              </w:rPr>
            </w:pPr>
            <w:r>
              <w:rPr>
                <w:rFonts w:hint="eastAsia" w:asciiTheme="majorEastAsia" w:hAnsiTheme="majorEastAsia" w:eastAsiaTheme="majorEastAsia" w:cstheme="majorEastAsia"/>
                <w:color w:val="auto"/>
                <w:sz w:val="21"/>
                <w:szCs w:val="21"/>
              </w:rPr>
              <w:t>本项目政府采购合同将于签订之日起2个工作日内发布于浙江政府采购网，但政府采购合同中涉及国家秘密、商业秘密的内容除外。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17</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rPr>
              <w:t>本项目预算金额</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hint="eastAsia" w:asciiTheme="majorEastAsia" w:hAnsiTheme="majorEastAsia" w:eastAsiaTheme="majorEastAsia" w:cstheme="majorEastAsia"/>
                <w:b/>
                <w:color w:val="auto"/>
                <w:sz w:val="21"/>
                <w:szCs w:val="21"/>
              </w:rPr>
            </w:pPr>
            <w:r>
              <w:rPr>
                <w:rFonts w:hint="eastAsia" w:asciiTheme="majorEastAsia" w:hAnsiTheme="majorEastAsia" w:eastAsiaTheme="majorEastAsia" w:cstheme="majorEastAsia"/>
                <w:b/>
                <w:color w:val="auto"/>
                <w:sz w:val="21"/>
                <w:szCs w:val="21"/>
                <w:lang w:val="en-US" w:eastAsia="zh-CN"/>
              </w:rPr>
              <w:t>1500万元</w:t>
            </w:r>
            <w:r>
              <w:rPr>
                <w:rFonts w:hint="eastAsia" w:asciiTheme="majorEastAsia" w:hAnsiTheme="majorEastAsia" w:eastAsiaTheme="majorEastAsia" w:cstheme="majorEastAsia"/>
                <w:b/>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18</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utoSpaceDE w:val="0"/>
              <w:autoSpaceDN w:val="0"/>
              <w:snapToGrid w:val="0"/>
              <w:spacing w:before="0" w:beforeAutospacing="0" w:after="0" w:afterAutospacing="0"/>
              <w:ind w:left="0" w:right="0"/>
              <w:jc w:val="center"/>
              <w:textAlignment w:val="bottom"/>
              <w:rPr>
                <w:rFonts w:asciiTheme="majorEastAsia" w:hAnsiTheme="majorEastAsia" w:eastAsiaTheme="majorEastAsia" w:cstheme="majorEastAsia"/>
                <w:b/>
                <w:strike/>
                <w:color w:val="auto"/>
                <w:sz w:val="21"/>
                <w:szCs w:val="21"/>
              </w:rPr>
            </w:pPr>
            <w:r>
              <w:rPr>
                <w:rFonts w:hint="eastAsia" w:asciiTheme="majorEastAsia" w:hAnsiTheme="majorEastAsia" w:eastAsiaTheme="majorEastAsia" w:cstheme="majorEastAsia"/>
                <w:b/>
                <w:color w:val="auto"/>
                <w:sz w:val="21"/>
                <w:szCs w:val="21"/>
              </w:rPr>
              <w:t>付款条件</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400" w:lineRule="exact"/>
              <w:ind w:left="0" w:right="0"/>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1）合同签订后，</w:t>
            </w:r>
            <w:r>
              <w:rPr>
                <w:rFonts w:hint="eastAsia" w:asciiTheme="minorEastAsia" w:hAnsiTheme="minorEastAsia" w:eastAsiaTheme="minorEastAsia" w:cstheme="minorEastAsia"/>
                <w:b/>
                <w:bCs/>
                <w:color w:val="auto"/>
                <w:sz w:val="21"/>
                <w:szCs w:val="21"/>
                <w:lang w:eastAsia="zh-CN"/>
              </w:rPr>
              <w:t>入围供应商</w:t>
            </w:r>
            <w:r>
              <w:rPr>
                <w:rFonts w:hint="eastAsia" w:asciiTheme="minorEastAsia" w:hAnsiTheme="minorEastAsia" w:eastAsiaTheme="minorEastAsia" w:cstheme="minorEastAsia"/>
                <w:b/>
                <w:bCs/>
                <w:color w:val="auto"/>
                <w:sz w:val="21"/>
                <w:szCs w:val="21"/>
              </w:rPr>
              <w:t>提供审核服务方案，</w:t>
            </w:r>
            <w:r>
              <w:rPr>
                <w:rFonts w:hint="eastAsia" w:asciiTheme="minorEastAsia" w:hAnsiTheme="minorEastAsia" w:eastAsiaTheme="minorEastAsia" w:cstheme="minorEastAsia"/>
                <w:b/>
                <w:bCs/>
                <w:color w:val="auto"/>
                <w:sz w:val="21"/>
                <w:szCs w:val="21"/>
                <w:lang w:eastAsia="zh-CN"/>
              </w:rPr>
              <w:t>响应</w:t>
            </w:r>
            <w:r>
              <w:rPr>
                <w:rFonts w:hint="eastAsia" w:asciiTheme="minorEastAsia" w:hAnsiTheme="minorEastAsia" w:eastAsiaTheme="minorEastAsia" w:cstheme="minorEastAsia"/>
                <w:b/>
                <w:bCs/>
                <w:color w:val="auto"/>
                <w:sz w:val="21"/>
                <w:szCs w:val="21"/>
              </w:rPr>
              <w:t>审核人员到位后支付本项目合同价的20%；</w:t>
            </w:r>
          </w:p>
          <w:p>
            <w:pPr>
              <w:keepNext w:val="0"/>
              <w:keepLines w:val="0"/>
              <w:suppressLineNumbers w:val="0"/>
              <w:snapToGrid w:val="0"/>
              <w:spacing w:before="0" w:beforeAutospacing="0" w:after="0" w:afterAutospacing="0" w:line="400" w:lineRule="exact"/>
              <w:ind w:left="0" w:right="0"/>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（2）完成全部审核咨询服务、出具完整报告，且移交全部资料后，不迟于下一个自然年度支付至最终合同价的100%，并按合同退还履约</w:t>
            </w:r>
            <w:r>
              <w:rPr>
                <w:rFonts w:hint="eastAsia" w:asciiTheme="minorEastAsia" w:hAnsiTheme="minorEastAsia" w:eastAsiaTheme="minorEastAsia" w:cstheme="minorEastAsia"/>
                <w:b/>
                <w:bCs/>
                <w:color w:val="auto"/>
                <w:sz w:val="21"/>
                <w:szCs w:val="21"/>
                <w:lang w:eastAsia="zh-CN"/>
              </w:rPr>
              <w:t>保函</w:t>
            </w:r>
            <w:r>
              <w:rPr>
                <w:rFonts w:hint="eastAsia" w:asciiTheme="minorEastAsia" w:hAnsiTheme="minorEastAsia" w:eastAsiaTheme="minorEastAsia" w:cstheme="minorEastAsia"/>
                <w:b/>
                <w:bCs/>
                <w:color w:val="auto"/>
                <w:sz w:val="21"/>
                <w:szCs w:val="21"/>
              </w:rPr>
              <w:t>（无息）。</w:t>
            </w:r>
          </w:p>
          <w:p>
            <w:pPr>
              <w:keepNext w:val="0"/>
              <w:keepLines w:val="0"/>
              <w:suppressLineNumbers w:val="0"/>
              <w:autoSpaceDE w:val="0"/>
              <w:autoSpaceDN w:val="0"/>
              <w:snapToGrid w:val="0"/>
              <w:spacing w:before="0" w:beforeAutospacing="0" w:after="0" w:afterAutospacing="0"/>
              <w:ind w:left="0" w:right="0"/>
              <w:textAlignment w:val="bottom"/>
              <w:rPr>
                <w:rFonts w:asciiTheme="majorEastAsia" w:hAnsiTheme="majorEastAsia" w:eastAsiaTheme="majorEastAsia" w:cstheme="majorEastAsia"/>
                <w:strike/>
                <w:color w:val="auto"/>
                <w:kern w:val="28"/>
                <w:sz w:val="21"/>
                <w:szCs w:val="21"/>
              </w:rPr>
            </w:pPr>
            <w:r>
              <w:rPr>
                <w:rFonts w:hint="eastAsia" w:asciiTheme="minorEastAsia" w:hAnsiTheme="minorEastAsia" w:eastAsiaTheme="minorEastAsia" w:cstheme="minorEastAsia"/>
                <w:b/>
                <w:color w:val="auto"/>
                <w:sz w:val="21"/>
                <w:szCs w:val="21"/>
              </w:rPr>
              <w:t>注：若中标供应商明确表示无需预付款或者主动要求降低预付款比例的，采购人可不适用前述规定（最终以财政当年度预算批复金额为准）。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19</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strike/>
                <w:color w:val="auto"/>
                <w:sz w:val="21"/>
                <w:szCs w:val="21"/>
                <w:highlight w:val="lightGray"/>
              </w:rPr>
            </w:pPr>
            <w:r>
              <w:rPr>
                <w:rFonts w:hint="eastAsia" w:asciiTheme="majorEastAsia" w:hAnsiTheme="majorEastAsia" w:eastAsiaTheme="majorEastAsia" w:cstheme="majorEastAsia"/>
                <w:b/>
                <w:color w:val="auto"/>
                <w:sz w:val="21"/>
                <w:szCs w:val="21"/>
              </w:rPr>
              <w:t>响应文件有效期</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asciiTheme="majorEastAsia" w:hAnsiTheme="majorEastAsia" w:eastAsiaTheme="majorEastAsia" w:cstheme="majorEastAsia"/>
                <w:strike/>
                <w:color w:val="auto"/>
                <w:kern w:val="28"/>
                <w:sz w:val="21"/>
                <w:szCs w:val="21"/>
                <w:highlight w:val="lightGray"/>
              </w:rPr>
            </w:pPr>
            <w:r>
              <w:rPr>
                <w:rFonts w:hint="eastAsia" w:asciiTheme="majorEastAsia" w:hAnsiTheme="majorEastAsia" w:eastAsiaTheme="majorEastAsia" w:cstheme="majorEastAsia"/>
                <w:color w:val="auto"/>
                <w:sz w:val="21"/>
                <w:szCs w:val="21"/>
                <w:u w:val="single"/>
              </w:rPr>
              <w:t>90</w:t>
            </w:r>
            <w:r>
              <w:rPr>
                <w:rFonts w:hint="eastAsia" w:asciiTheme="majorEastAsia" w:hAnsiTheme="majorEastAsia" w:eastAsiaTheme="majorEastAsia" w:cstheme="majorEastAsia"/>
                <w:color w:val="auto"/>
                <w:sz w:val="21"/>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w:t>
            </w:r>
          </w:p>
        </w:tc>
        <w:tc>
          <w:tcPr>
            <w:tcW w:w="1843"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360" w:lineRule="auto"/>
              <w:ind w:left="0" w:right="0"/>
              <w:jc w:val="center"/>
              <w:rPr>
                <w:rFonts w:asciiTheme="majorEastAsia" w:hAnsiTheme="majorEastAsia" w:eastAsiaTheme="majorEastAsia" w:cstheme="majorEastAsia"/>
                <w:b/>
                <w:strike/>
                <w:color w:val="auto"/>
                <w:sz w:val="21"/>
                <w:szCs w:val="21"/>
                <w:highlight w:val="lightGray"/>
              </w:rPr>
            </w:pPr>
            <w:r>
              <w:rPr>
                <w:rFonts w:hint="eastAsia" w:asciiTheme="majorEastAsia" w:hAnsiTheme="majorEastAsia" w:eastAsiaTheme="majorEastAsia" w:cstheme="majorEastAsia"/>
                <w:b/>
                <w:color w:val="auto"/>
                <w:sz w:val="21"/>
                <w:szCs w:val="21"/>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suppressLineNumbers w:val="0"/>
              <w:autoSpaceDE w:val="0"/>
              <w:autoSpaceDN w:val="0"/>
              <w:snapToGrid w:val="0"/>
              <w:spacing w:before="0" w:beforeAutospacing="0" w:after="0" w:afterAutospacing="0"/>
              <w:ind w:left="0" w:right="0"/>
              <w:textAlignment w:val="bottom"/>
              <w:rPr>
                <w:rFonts w:asciiTheme="majorEastAsia" w:hAnsiTheme="majorEastAsia" w:eastAsiaTheme="majorEastAsia" w:cstheme="majorEastAsia"/>
                <w:strike/>
                <w:color w:val="auto"/>
                <w:kern w:val="28"/>
                <w:sz w:val="21"/>
                <w:szCs w:val="21"/>
                <w:highlight w:val="lightGray"/>
              </w:rPr>
            </w:pPr>
            <w:r>
              <w:rPr>
                <w:rFonts w:hint="eastAsia" w:asciiTheme="majorEastAsia" w:hAnsiTheme="majorEastAsia" w:eastAsiaTheme="majorEastAsia" w:cstheme="majorEastAsia"/>
                <w:snapToGrid w:val="0"/>
                <w:color w:val="auto"/>
                <w:kern w:val="0"/>
                <w:sz w:val="21"/>
                <w:szCs w:val="21"/>
              </w:rPr>
              <w:t>本征集文件的解释权属于征集人</w:t>
            </w:r>
          </w:p>
        </w:tc>
      </w:tr>
    </w:tbl>
    <w:p>
      <w:pPr>
        <w:pStyle w:val="24"/>
        <w:spacing w:beforeAutospacing="0" w:afterAutospacing="0" w:line="360" w:lineRule="auto"/>
        <w:ind w:firstLine="480"/>
        <w:jc w:val="center"/>
        <w:rPr>
          <w:rFonts w:asciiTheme="majorEastAsia" w:hAnsiTheme="majorEastAsia" w:eastAsiaTheme="majorEastAsia" w:cstheme="majorEastAsia"/>
          <w:b/>
          <w:color w:val="auto"/>
          <w:sz w:val="32"/>
          <w:szCs w:val="32"/>
          <w:shd w:val="clear" w:color="auto" w:fill="FFFFFF"/>
        </w:rPr>
      </w:pPr>
    </w:p>
    <w:p>
      <w:pPr>
        <w:pStyle w:val="5"/>
        <w:jc w:val="center"/>
        <w:rPr>
          <w:rFonts w:asciiTheme="majorEastAsia" w:hAnsiTheme="majorEastAsia" w:eastAsiaTheme="majorEastAsia" w:cstheme="majorEastAsia"/>
          <w:color w:val="auto"/>
          <w:sz w:val="28"/>
          <w:szCs w:val="36"/>
        </w:rPr>
      </w:pPr>
      <w:bookmarkStart w:id="43" w:name="_Toc380429945"/>
      <w:bookmarkStart w:id="44" w:name="_Toc384730989"/>
      <w:bookmarkStart w:id="45" w:name="_Toc439666965"/>
      <w:r>
        <w:rPr>
          <w:rFonts w:hint="eastAsia" w:asciiTheme="majorEastAsia" w:hAnsiTheme="majorEastAsia" w:eastAsiaTheme="majorEastAsia" w:cstheme="majorEastAsia"/>
          <w:color w:val="auto"/>
          <w:sz w:val="28"/>
          <w:szCs w:val="36"/>
        </w:rPr>
        <w:t>一、总则</w:t>
      </w:r>
    </w:p>
    <w:p>
      <w:pPr>
        <w:snapToGrid w:val="0"/>
        <w:spacing w:line="360" w:lineRule="auto"/>
        <w:ind w:firstLine="472" w:firstLineChars="196"/>
        <w:jc w:val="left"/>
        <w:outlineLvl w:val="2"/>
        <w:rPr>
          <w:rFonts w:asciiTheme="majorEastAsia" w:hAnsiTheme="majorEastAsia" w:eastAsiaTheme="majorEastAsia" w:cstheme="majorEastAsia"/>
          <w:b/>
          <w:color w:val="auto"/>
        </w:rPr>
      </w:pPr>
      <w:bookmarkStart w:id="46" w:name="_Toc397670919"/>
      <w:bookmarkStart w:id="47" w:name="_Toc397670948"/>
      <w:r>
        <w:rPr>
          <w:rFonts w:hint="eastAsia" w:asciiTheme="majorEastAsia" w:hAnsiTheme="majorEastAsia" w:eastAsiaTheme="majorEastAsia" w:cstheme="majorEastAsia"/>
          <w:b/>
          <w:color w:val="auto"/>
        </w:rPr>
        <w:t>（一）适用范围</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本征集文件适用于该项目的征集、响应、评标、定标、考核、合同履约、付款等行为（法律、法规另有规定的，从其规定）。</w:t>
      </w:r>
    </w:p>
    <w:p>
      <w:pPr>
        <w:snapToGrid w:val="0"/>
        <w:spacing w:line="360" w:lineRule="auto"/>
        <w:ind w:firstLine="354" w:firstLineChars="147"/>
        <w:jc w:val="left"/>
        <w:outlineLvl w:val="2"/>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（二）定义</w:t>
      </w:r>
    </w:p>
    <w:p>
      <w:pPr>
        <w:snapToGrid w:val="0"/>
        <w:spacing w:line="360" w:lineRule="auto"/>
        <w:ind w:firstLine="480" w:firstLineChars="200"/>
        <w:jc w:val="lef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1.“征集人”系指征集公告中载明的</w:t>
      </w:r>
      <w:r>
        <w:rPr>
          <w:rFonts w:hint="eastAsia" w:asciiTheme="majorEastAsia" w:hAnsiTheme="majorEastAsia" w:eastAsiaTheme="majorEastAsia" w:cstheme="majorEastAsia"/>
          <w:color w:val="auto"/>
          <w:lang w:eastAsia="zh-CN"/>
        </w:rPr>
        <w:t>集中采购机构及主管预算单位。</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2</w:t>
      </w:r>
      <w:r>
        <w:rPr>
          <w:rFonts w:hint="eastAsia" w:asciiTheme="majorEastAsia" w:hAnsiTheme="majorEastAsia" w:eastAsiaTheme="majorEastAsia" w:cstheme="majorEastAsia"/>
          <w:color w:val="auto"/>
        </w:rPr>
        <w:t>.“供应商”系指向征集人提交响应文件的法人、其他组织或者自然人。</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3.</w:t>
      </w:r>
      <w:r>
        <w:rPr>
          <w:rFonts w:hint="eastAsia" w:asciiTheme="majorEastAsia" w:hAnsiTheme="majorEastAsia" w:eastAsiaTheme="majorEastAsia" w:cstheme="majorEastAsia"/>
          <w:color w:val="auto"/>
        </w:rPr>
        <w:t>“负责人”系指法人企业的法定负责人，或其他组织为法律、行政法规规定代表单位行使职权的主要负责人，或自然人本人。</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4</w:t>
      </w:r>
      <w:r>
        <w:rPr>
          <w:rFonts w:hint="eastAsia" w:asciiTheme="majorEastAsia" w:hAnsiTheme="majorEastAsia" w:eastAsiaTheme="majorEastAsia" w:cstheme="majorEastAsia"/>
          <w:color w:val="auto"/>
        </w:rPr>
        <w:t>.“产品”系指供应商按征集文件规定，须向征集人提供的一切设备、保险、税金、备品备件、工具、手册及其他有关技术资料和材料。</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5</w:t>
      </w:r>
      <w:r>
        <w:rPr>
          <w:rFonts w:hint="eastAsia" w:asciiTheme="majorEastAsia" w:hAnsiTheme="majorEastAsia" w:eastAsiaTheme="majorEastAsia" w:cstheme="majorEastAsia"/>
          <w:color w:val="auto"/>
        </w:rPr>
        <w:t>.“服务”系指征集文件规定供应商须承担的安装、调试、技术协助、校准、培训、技术指导以及其他类似的义务。</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6</w:t>
      </w:r>
      <w:r>
        <w:rPr>
          <w:rFonts w:hint="eastAsia" w:asciiTheme="majorEastAsia" w:hAnsiTheme="majorEastAsia" w:eastAsiaTheme="majorEastAsia" w:cstheme="majorEastAsia"/>
          <w:color w:val="auto"/>
        </w:rPr>
        <w:t>.“项目”系指供应商按征集文件规定向征集人提供的产品和服务。</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7</w:t>
      </w:r>
      <w:r>
        <w:rPr>
          <w:rFonts w:hint="eastAsia" w:asciiTheme="majorEastAsia" w:hAnsiTheme="majorEastAsia" w:eastAsiaTheme="majorEastAsia" w:cstheme="majorEastAsia"/>
          <w:color w:val="auto"/>
        </w:rPr>
        <w:t>.“书面形式”包括信函、传真、电报等。</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8</w:t>
      </w:r>
      <w:r>
        <w:rPr>
          <w:rFonts w:hint="eastAsia" w:asciiTheme="majorEastAsia" w:hAnsiTheme="majorEastAsia" w:eastAsiaTheme="majorEastAsia" w:cstheme="majorEastAsia"/>
          <w:color w:val="auto"/>
        </w:rPr>
        <w:t>.“电子签名”系指数据电文中以电子形式所含、所附用于识别签名人身份并表明签名人认可其中内容的数据；“公章”系指单位法定名称章。</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9</w:t>
      </w:r>
      <w:r>
        <w:rPr>
          <w:rFonts w:hint="eastAsia" w:asciiTheme="majorEastAsia" w:hAnsiTheme="majorEastAsia" w:eastAsiaTheme="majorEastAsia" w:cstheme="majorEastAsia"/>
          <w:color w:val="auto"/>
        </w:rPr>
        <w:t>.“电子交易平台”是指本项目政府采购活动所依托的政府采购云平台（https://www.zcygov.cn/）。</w:t>
      </w:r>
    </w:p>
    <w:p>
      <w:pPr>
        <w:snapToGrid w:val="0"/>
        <w:spacing w:line="360" w:lineRule="auto"/>
        <w:ind w:left="240" w:leftChars="100" w:firstLine="240" w:firstLineChars="1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val="en-US" w:eastAsia="zh-CN"/>
        </w:rPr>
        <w:t>0</w:t>
      </w:r>
      <w:r>
        <w:rPr>
          <w:rFonts w:hint="eastAsia" w:asciiTheme="majorEastAsia" w:hAnsiTheme="majorEastAsia" w:eastAsiaTheme="majorEastAsia" w:cstheme="majorEastAsia"/>
          <w:color w:val="auto"/>
        </w:rPr>
        <w:t>.“★”系指实质性要求条款，不满足实行性要求条款的响应文件无效。“</w:t>
      </w:r>
      <w:r>
        <w:rPr>
          <w:rFonts w:hint="eastAsia" w:asciiTheme="majorEastAsia" w:hAnsiTheme="majorEastAsia" w:eastAsiaTheme="majorEastAsia" w:cstheme="majorEastAsia"/>
          <w:color w:val="auto"/>
          <w:kern w:val="0"/>
        </w:rPr>
        <w:t></w:t>
      </w:r>
      <w:r>
        <w:rPr>
          <w:rFonts w:hint="eastAsia" w:asciiTheme="majorEastAsia" w:hAnsiTheme="majorEastAsia" w:eastAsiaTheme="majorEastAsia" w:cstheme="majorEastAsia"/>
          <w:color w:val="auto"/>
        </w:rPr>
        <w:t>”系指适用本项目的要求，“</w:t>
      </w:r>
      <w:r>
        <w:rPr>
          <w:rFonts w:hint="eastAsia" w:asciiTheme="majorEastAsia" w:hAnsiTheme="majorEastAsia" w:eastAsiaTheme="majorEastAsia" w:cstheme="majorEastAsia"/>
          <w:color w:val="auto"/>
        </w:rPr>
        <w:sym w:font="Wingdings" w:char="00A8"/>
      </w:r>
      <w:r>
        <w:rPr>
          <w:rFonts w:hint="eastAsia" w:asciiTheme="majorEastAsia" w:hAnsiTheme="majorEastAsia" w:eastAsiaTheme="majorEastAsia" w:cstheme="majorEastAsia"/>
          <w:color w:val="auto"/>
        </w:rPr>
        <w:t>” 系指不适用本项目的要求。</w:t>
      </w:r>
    </w:p>
    <w:bookmarkEnd w:id="46"/>
    <w:bookmarkEnd w:id="47"/>
    <w:p>
      <w:pPr>
        <w:snapToGrid w:val="0"/>
        <w:spacing w:line="360" w:lineRule="auto"/>
        <w:ind w:firstLine="472" w:firstLineChars="196"/>
        <w:jc w:val="left"/>
        <w:outlineLvl w:val="2"/>
        <w:rPr>
          <w:rFonts w:asciiTheme="majorEastAsia" w:hAnsiTheme="majorEastAsia" w:eastAsiaTheme="majorEastAsia" w:cstheme="majorEastAsia"/>
          <w:b/>
          <w:color w:val="auto"/>
        </w:rPr>
      </w:pPr>
      <w:bookmarkStart w:id="48" w:name="_Toc397670949"/>
      <w:bookmarkStart w:id="49" w:name="_Toc397670920"/>
      <w:r>
        <w:rPr>
          <w:rFonts w:hint="eastAsia" w:asciiTheme="majorEastAsia" w:hAnsiTheme="majorEastAsia" w:eastAsiaTheme="majorEastAsia" w:cstheme="majorEastAsia"/>
          <w:b/>
          <w:color w:val="auto"/>
        </w:rPr>
        <w:t>（三）采购方式</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采用框架协议方式进行。</w:t>
      </w:r>
    </w:p>
    <w:bookmarkEnd w:id="48"/>
    <w:bookmarkEnd w:id="49"/>
    <w:p>
      <w:pPr>
        <w:snapToGrid w:val="0"/>
        <w:spacing w:beforeLines="50" w:line="360" w:lineRule="auto"/>
        <w:ind w:firstLine="472" w:firstLineChars="196"/>
        <w:jc w:val="left"/>
        <w:outlineLvl w:val="2"/>
        <w:rPr>
          <w:rFonts w:asciiTheme="majorEastAsia" w:hAnsiTheme="majorEastAsia" w:eastAsiaTheme="majorEastAsia" w:cstheme="majorEastAsia"/>
          <w:b/>
          <w:color w:val="auto"/>
        </w:rPr>
      </w:pPr>
      <w:bookmarkStart w:id="50" w:name="_Toc397670950"/>
      <w:bookmarkStart w:id="51" w:name="_Toc397670921"/>
      <w:r>
        <w:rPr>
          <w:rFonts w:hint="eastAsia" w:asciiTheme="majorEastAsia" w:hAnsiTheme="majorEastAsia" w:eastAsiaTheme="majorEastAsia" w:cstheme="majorEastAsia"/>
          <w:b/>
          <w:color w:val="auto"/>
        </w:rPr>
        <w:t>（四）响应费用</w:t>
      </w:r>
      <w:bookmarkEnd w:id="50"/>
      <w:bookmarkEnd w:id="51"/>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不论响应结果如何，供应商均应自行承担所有与响应有关的全部费用（征集文件有相反规定除外）。</w:t>
      </w:r>
    </w:p>
    <w:p>
      <w:pPr>
        <w:snapToGrid w:val="0"/>
        <w:spacing w:beforeLines="50" w:line="360" w:lineRule="auto"/>
        <w:ind w:firstLine="472" w:firstLineChars="196"/>
        <w:jc w:val="left"/>
        <w:outlineLvl w:val="2"/>
        <w:rPr>
          <w:rFonts w:asciiTheme="majorEastAsia" w:hAnsiTheme="majorEastAsia" w:eastAsiaTheme="majorEastAsia" w:cstheme="majorEastAsia"/>
          <w:b/>
          <w:color w:val="auto"/>
          <w:highlight w:val="lightGray"/>
        </w:rPr>
      </w:pPr>
      <w:r>
        <w:rPr>
          <w:rFonts w:hint="eastAsia" w:asciiTheme="majorEastAsia" w:hAnsiTheme="majorEastAsia" w:eastAsiaTheme="majorEastAsia" w:cstheme="majorEastAsia"/>
          <w:b/>
          <w:color w:val="auto"/>
        </w:rPr>
        <w:t>（五）相关政府采购政策</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1.本项目原则上采购本国生产的货物、工程和服务。</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2.支持绿色发展</w:t>
      </w:r>
    </w:p>
    <w:p>
      <w:pPr>
        <w:snapToGrid w:val="0"/>
        <w:spacing w:line="360" w:lineRule="auto"/>
        <w:ind w:firstLine="480" w:firstLineChars="200"/>
        <w:jc w:val="left"/>
        <w:rPr>
          <w:rFonts w:asciiTheme="majorEastAsia" w:hAnsiTheme="majorEastAsia" w:eastAsiaTheme="majorEastAsia" w:cstheme="majorEastAsia"/>
          <w:b/>
          <w:color w:val="auto"/>
        </w:rPr>
      </w:pPr>
      <w:r>
        <w:rPr>
          <w:rFonts w:hint="eastAsia" w:asciiTheme="majorEastAsia" w:hAnsiTheme="majorEastAsia" w:eastAsiaTheme="majorEastAsia" w:cstheme="majorEastAsia"/>
          <w:color w:val="auto"/>
        </w:rPr>
        <w:t>2.1征集人拟采购的产品属于品目清单范围的，征集人将依据国家确定的认证机构出具的、处于有效期之内的节能产品、环境标志产品认证证书，对获得证书的产品实施政府优先采购或强制采购。供应商须按征集文件要求提供相关产品认证证书。▲</w:t>
      </w:r>
      <w:r>
        <w:rPr>
          <w:rFonts w:hint="eastAsia" w:asciiTheme="majorEastAsia" w:hAnsiTheme="majorEastAsia" w:eastAsiaTheme="majorEastAsia" w:cstheme="majorEastAsia"/>
          <w:b/>
          <w:color w:val="auto"/>
        </w:rPr>
        <w:t>征集人拟采购的产品属于政府强制采购的节能产品品目清单范围的，供应商未按征集文件要求提供国家确定的认证机构出具的、处于有效期之内的节能产品认证证书的，响应无效。</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2.2 修缮、装修类项目采购建材的，征集人应将绿色建筑和绿色建材性能、指标等作为实质性条件纳入征集文件和合同。</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napToGrid w:val="0"/>
        <w:spacing w:line="360" w:lineRule="auto"/>
        <w:ind w:firstLine="472" w:firstLineChars="196"/>
        <w:jc w:val="left"/>
        <w:outlineLvl w:val="2"/>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（六）特别说明：</w:t>
      </w:r>
    </w:p>
    <w:p>
      <w:pPr>
        <w:pStyle w:val="14"/>
        <w:snapToGrid w:val="0"/>
        <w:spacing w:before="120" w:after="120" w:line="360" w:lineRule="auto"/>
        <w:ind w:left="2" w:leftChars="1"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1.供应商响应所使用的资格、信誉、荣誉、业绩与企业认证必须为本法人所拥有。供应商响应所使用的采购项目实施人员必须为本法人员工（或必须为本法人或控股供应商正式员工）。</w:t>
      </w:r>
    </w:p>
    <w:p>
      <w:pPr>
        <w:pStyle w:val="14"/>
        <w:snapToGrid w:val="0"/>
        <w:spacing w:before="120" w:after="120" w:line="360" w:lineRule="auto"/>
        <w:ind w:left="2" w:leftChars="1"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2.供应商应仔细阅读征集文件的所有内容，按照征集文件的要求提交响应文件，并对所提供的全部资料的真实性承担法律责任。</w:t>
      </w:r>
    </w:p>
    <w:p>
      <w:pPr>
        <w:pStyle w:val="14"/>
        <w:snapToGrid w:val="0"/>
        <w:spacing w:before="120" w:after="120" w:line="360" w:lineRule="auto"/>
        <w:ind w:left="2" w:leftChars="1"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供应商在征集活动中提供任何虚假材料，其响应无效，并报监管部门查处；入围后发现的，入围供应商须依照《中华人民共和国消费者权益保护法》第49条之规定双倍赔偿征集人，且民事赔偿并不免除违法供应商的行政与刑事责任。</w:t>
      </w:r>
    </w:p>
    <w:p>
      <w:pPr>
        <w:spacing w:line="360" w:lineRule="auto"/>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 xml:space="preserve">   （七）质疑和投诉</w:t>
      </w:r>
    </w:p>
    <w:p>
      <w:pPr>
        <w:spacing w:line="360" w:lineRule="auto"/>
        <w:ind w:firstLine="480" w:firstLineChars="200"/>
        <w:rPr>
          <w:rFonts w:asciiTheme="majorEastAsia" w:hAnsiTheme="majorEastAsia" w:eastAsiaTheme="majorEastAsia" w:cstheme="majorEastAsia"/>
          <w:color w:val="auto"/>
        </w:rPr>
      </w:pPr>
      <w:bookmarkStart w:id="52" w:name="_Toc406402943"/>
      <w:bookmarkStart w:id="53" w:name="_Toc532218224"/>
      <w:bookmarkStart w:id="54" w:name="_Toc406402987"/>
      <w:r>
        <w:rPr>
          <w:rFonts w:hint="eastAsia" w:asciiTheme="majorEastAsia" w:hAnsiTheme="majorEastAsia" w:eastAsiaTheme="majorEastAsia" w:cstheme="majorEastAsia"/>
          <w:color w:val="auto"/>
        </w:rPr>
        <w:t>1.质疑和投诉应当满足《政府采购质疑和投诉办法》（中华人民共和国财政部令第94号）要求。</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2.采购文件质疑：供应商可在获取采购文件之日或者采购文件公告期限届满之日（公告期限届满后获取采购文件的，以公告期限届满之日为准）起7个工作日内发起；采购过程质疑：</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（响应）供应商可在</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（响应）截止时间后，采购结果公告发布时间起7个工作日内发起；采购结果质疑：</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（响应）供应商可在采购结果公告期限届满之日起7个工作日内发起。</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3.供应商须在法定质疑期内一次性提出针对同一采购程序环节的质疑。</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供应商须按上述规定，在政采云系统里提出质疑。询问路径为：政采云-项目采购-询问质疑投诉-询问列表；质疑路径为：政采云-项目采购-询问质疑投诉-质疑列表。质疑供应商对在线质疑答复不满意的，可在线提起投诉，路径为：浙江政府服务网-政府采购投诉处理-在线办理。</w:t>
      </w:r>
    </w:p>
    <w:p>
      <w:pPr>
        <w:pStyle w:val="14"/>
        <w:snapToGrid w:val="0"/>
        <w:spacing w:before="120" w:after="120" w:line="360" w:lineRule="auto"/>
        <w:ind w:firstLine="472" w:firstLineChars="196"/>
        <w:jc w:val="center"/>
        <w:outlineLvl w:val="1"/>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二、</w:t>
      </w:r>
      <w:bookmarkEnd w:id="52"/>
      <w:bookmarkEnd w:id="53"/>
      <w:bookmarkEnd w:id="54"/>
      <w:r>
        <w:rPr>
          <w:rFonts w:hint="eastAsia" w:asciiTheme="majorEastAsia" w:hAnsiTheme="majorEastAsia" w:eastAsiaTheme="majorEastAsia" w:cstheme="majorEastAsia"/>
          <w:b/>
          <w:color w:val="auto"/>
        </w:rPr>
        <w:t>征集文件</w:t>
      </w:r>
    </w:p>
    <w:p>
      <w:pPr>
        <w:snapToGrid w:val="0"/>
        <w:spacing w:line="360" w:lineRule="auto"/>
        <w:ind w:firstLine="472" w:firstLineChars="196"/>
        <w:jc w:val="left"/>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（一）征集文件的构成。</w:t>
      </w:r>
    </w:p>
    <w:p>
      <w:pPr>
        <w:snapToGrid w:val="0"/>
        <w:spacing w:line="360" w:lineRule="auto"/>
        <w:ind w:firstLine="472" w:firstLineChars="196"/>
        <w:jc w:val="left"/>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本征集文件由以下部分组成：</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1.框架协议采购公告</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2.框架协议采购需求</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3.供应商须知</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4.评标办法及标准</w:t>
      </w:r>
    </w:p>
    <w:p>
      <w:pPr>
        <w:snapToGrid w:val="0"/>
        <w:spacing w:line="360" w:lineRule="auto"/>
        <w:ind w:firstLine="480" w:firstLineChars="200"/>
        <w:jc w:val="left"/>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val="en-US" w:eastAsia="zh-CN"/>
        </w:rPr>
        <w:t>5.框架协议主要条款</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en-US" w:eastAsia="zh-CN"/>
        </w:rPr>
        <w:t>6</w:t>
      </w:r>
      <w:r>
        <w:rPr>
          <w:rFonts w:hint="eastAsia" w:asciiTheme="majorEastAsia" w:hAnsiTheme="majorEastAsia" w:eastAsiaTheme="majorEastAsia" w:cstheme="majorEastAsia"/>
          <w:color w:val="auto"/>
        </w:rPr>
        <w:t>.合同主要条款</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6.响应文件格式</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7.本项目征集文件的澄清、答复、修改、补充的内容</w:t>
      </w:r>
    </w:p>
    <w:p>
      <w:pPr>
        <w:snapToGrid w:val="0"/>
        <w:spacing w:line="360" w:lineRule="auto"/>
        <w:ind w:firstLine="472" w:firstLineChars="196"/>
        <w:jc w:val="left"/>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（二）供应商的风险</w:t>
      </w:r>
    </w:p>
    <w:p>
      <w:pPr>
        <w:pStyle w:val="23"/>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供应商没有按照征集文件要求提供全部资料，或者供应商没有对征集文件在各方面做出实质性响应是供应商的风险，并可能导致其响应为无效响应。</w:t>
      </w:r>
    </w:p>
    <w:p>
      <w:pPr>
        <w:pStyle w:val="31"/>
        <w:snapToGrid w:val="0"/>
        <w:spacing w:before="0"/>
        <w:ind w:firstLine="482"/>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（三）征集文件的澄清与修改</w:t>
      </w:r>
    </w:p>
    <w:p>
      <w:pPr>
        <w:pStyle w:val="31"/>
        <w:snapToGrid w:val="0"/>
        <w:spacing w:before="0"/>
        <w:ind w:firstLine="48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供应商应认真阅读本征集文件，发现其中有误或有不合理要求的，可要求征集人澄清。征集人对已发出的征集文件进行必要澄清或者修改的，应当在征集文件要求提交响应文件截止十五日前，在财政部门指定的政府采购信息发布媒体上发布更正公告，并以书面形式通知所有征集文件获取人。</w:t>
      </w:r>
    </w:p>
    <w:p>
      <w:pPr>
        <w:pStyle w:val="14"/>
        <w:snapToGrid w:val="0"/>
        <w:spacing w:before="120" w:after="12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2.征集文件澄清或者修改的内容为征集文件的组成部分。当征集文件与澄清或者修改就同一内容的表述不一致时，以最后发出的书面文件为准。</w:t>
      </w:r>
    </w:p>
    <w:p>
      <w:pPr>
        <w:pStyle w:val="14"/>
        <w:snapToGrid w:val="0"/>
        <w:spacing w:before="120" w:after="12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3.对征集文件的澄清、答复、修改或补充都应该通过</w:t>
      </w:r>
      <w:r>
        <w:rPr>
          <w:rFonts w:hint="eastAsia" w:asciiTheme="majorEastAsia" w:hAnsiTheme="majorEastAsia" w:eastAsiaTheme="majorEastAsia" w:cstheme="majorEastAsia"/>
          <w:color w:val="auto"/>
          <w:lang w:eastAsia="zh-CN"/>
        </w:rPr>
        <w:t>征集人</w:t>
      </w:r>
      <w:r>
        <w:rPr>
          <w:rFonts w:hint="eastAsia" w:asciiTheme="majorEastAsia" w:hAnsiTheme="majorEastAsia" w:eastAsiaTheme="majorEastAsia" w:cstheme="majorEastAsia"/>
          <w:color w:val="auto"/>
        </w:rPr>
        <w:t>以法定形式发布，征集人非通过本机构，不得擅自澄清、答复、修改或补充征集文件。</w:t>
      </w:r>
    </w:p>
    <w:p>
      <w:pPr>
        <w:pStyle w:val="14"/>
        <w:snapToGrid w:val="0"/>
        <w:spacing w:before="120" w:after="120" w:line="360" w:lineRule="auto"/>
        <w:ind w:firstLine="472" w:firstLineChars="196"/>
        <w:jc w:val="center"/>
        <w:outlineLvl w:val="1"/>
        <w:rPr>
          <w:rFonts w:asciiTheme="majorEastAsia" w:hAnsiTheme="majorEastAsia" w:eastAsiaTheme="majorEastAsia" w:cstheme="majorEastAsia"/>
          <w:b/>
          <w:bCs/>
          <w:color w:val="auto"/>
          <w:kern w:val="2"/>
        </w:rPr>
      </w:pPr>
      <w:r>
        <w:rPr>
          <w:rFonts w:hint="eastAsia" w:asciiTheme="majorEastAsia" w:hAnsiTheme="majorEastAsia" w:eastAsiaTheme="majorEastAsia" w:cstheme="majorEastAsia"/>
          <w:b/>
          <w:bCs/>
          <w:color w:val="auto"/>
          <w:kern w:val="2"/>
        </w:rPr>
        <w:t>三、响应文件的编制</w:t>
      </w:r>
    </w:p>
    <w:p>
      <w:pPr>
        <w:pStyle w:val="14"/>
        <w:snapToGrid w:val="0"/>
        <w:spacing w:before="120" w:after="120" w:line="360" w:lineRule="auto"/>
        <w:ind w:firstLine="481" w:firstLineChars="200"/>
        <w:rPr>
          <w:rFonts w:asciiTheme="majorEastAsia" w:hAnsiTheme="majorEastAsia" w:eastAsiaTheme="majorEastAsia" w:cstheme="majorEastAsia"/>
          <w:b/>
          <w:color w:val="auto"/>
        </w:rPr>
      </w:pPr>
      <w:bookmarkStart w:id="55" w:name="_Toc21392"/>
      <w:bookmarkStart w:id="56" w:name="_Toc14074"/>
      <w:bookmarkStart w:id="57" w:name="_Toc532218225"/>
      <w:bookmarkStart w:id="58" w:name="_Toc406402988"/>
      <w:bookmarkStart w:id="59" w:name="_Toc406402944"/>
      <w:r>
        <w:rPr>
          <w:rFonts w:hint="eastAsia" w:asciiTheme="majorEastAsia" w:hAnsiTheme="majorEastAsia" w:eastAsiaTheme="majorEastAsia" w:cstheme="majorEastAsia"/>
          <w:b/>
          <w:color w:val="auto"/>
        </w:rPr>
        <w:t>本项目所涉响应文件格式请详见第六章，未给出的格式请自拟。商务、资信及其他及技术文件中不得出现报价，否则响应文件将被视为无效。</w:t>
      </w:r>
      <w:r>
        <w:rPr>
          <w:rFonts w:hint="eastAsia" w:asciiTheme="majorEastAsia" w:hAnsiTheme="majorEastAsia" w:eastAsiaTheme="majorEastAsia" w:cstheme="majorEastAsia"/>
          <w:b/>
          <w:color w:val="auto"/>
        </w:rPr>
        <w:br w:type="textWrapping"/>
      </w:r>
      <w:r>
        <w:rPr>
          <w:rFonts w:hint="eastAsia" w:asciiTheme="majorEastAsia" w:hAnsiTheme="majorEastAsia" w:eastAsiaTheme="majorEastAsia" w:cstheme="majorEastAsia"/>
          <w:b/>
          <w:color w:val="auto"/>
        </w:rPr>
        <w:t xml:space="preserve">    注：电子响应文件按政采云平台供应商电子招</w:t>
      </w:r>
      <w:r>
        <w:rPr>
          <w:rFonts w:hint="eastAsia" w:asciiTheme="majorEastAsia" w:hAnsiTheme="majorEastAsia" w:eastAsiaTheme="majorEastAsia" w:cstheme="majorEastAsia"/>
          <w:b/>
          <w:color w:val="auto"/>
          <w:lang w:eastAsia="zh-CN"/>
        </w:rPr>
        <w:t>响应</w:t>
      </w:r>
      <w:r>
        <w:rPr>
          <w:rFonts w:hint="eastAsia" w:asciiTheme="majorEastAsia" w:hAnsiTheme="majorEastAsia" w:eastAsiaTheme="majorEastAsia" w:cstheme="majorEastAsia"/>
          <w:b/>
          <w:color w:val="auto"/>
        </w:rPr>
        <w:t>操作指南及本征集文件规定的格式和顺序编制电子响应文件并进行关联定。建议根据征集文件合格供应商的资格要求、响应文件的编制及评分标准等内容一一关联。</w:t>
      </w:r>
    </w:p>
    <w:p>
      <w:pPr>
        <w:pStyle w:val="14"/>
        <w:snapToGrid w:val="0"/>
        <w:spacing w:before="120" w:after="120" w:line="360" w:lineRule="auto"/>
        <w:ind w:firstLine="481" w:firstLineChars="2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路径：浙江省“项目采购电子交易系统/不见面开评标”学习专题-操作指南-供应商</w:t>
      </w:r>
    </w:p>
    <w:p>
      <w:pPr>
        <w:pStyle w:val="14"/>
        <w:snapToGrid w:val="0"/>
        <w:spacing w:before="120" w:after="120" w:line="360" w:lineRule="auto"/>
        <w:ind w:firstLine="481" w:firstLineChars="2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网址：</w:t>
      </w:r>
      <w:r>
        <w:rPr>
          <w:color w:val="auto"/>
        </w:rPr>
        <w:fldChar w:fldCharType="begin"/>
      </w:r>
      <w:r>
        <w:rPr>
          <w:color w:val="auto"/>
        </w:rPr>
        <w:instrText xml:space="preserve"> HYPERLINK "https://help.zcygov.cn/web/site_2/2018/12-28/2573.html%EF%BC%89%E5%8F%8A%E6%9C%AC%E6%8B%9B%E6%A0%87%E6%96%87%E4%BB%B6%E8%A7%84%E5%AE%9A%E7%9A%84%E6%A0%BC%E5%BC%8F%E5%92%8C%E9%A1%BA%E5%BA%8F%E7%BC%96%E5%88%B6%E7%94%B5%E5%AD%90%E6%8A%95%E6%A0%87%E6%96%87%E4%BB%B6%E5%B9%B6%E8%BF%9B%E8%A1%8C%E5%85%B3%E8%81%94%E5%AE%9A" \t "_blank" </w:instrText>
      </w:r>
      <w:r>
        <w:rPr>
          <w:color w:val="auto"/>
        </w:rPr>
        <w:fldChar w:fldCharType="separate"/>
      </w:r>
      <w:r>
        <w:rPr>
          <w:rFonts w:hint="eastAsia" w:asciiTheme="majorEastAsia" w:hAnsiTheme="majorEastAsia" w:eastAsiaTheme="majorEastAsia" w:cstheme="majorEastAsia"/>
          <w:b/>
          <w:color w:val="auto"/>
        </w:rPr>
        <w:t>https://edu.zcygov.cn/luban/e-biding</w:t>
      </w:r>
      <w:r>
        <w:rPr>
          <w:rFonts w:hint="eastAsia" w:asciiTheme="majorEastAsia" w:hAnsiTheme="majorEastAsia" w:eastAsiaTheme="majorEastAsia" w:cstheme="majorEastAsia"/>
          <w:b/>
          <w:color w:val="auto"/>
        </w:rPr>
        <w:fldChar w:fldCharType="end"/>
      </w:r>
    </w:p>
    <w:p>
      <w:pPr>
        <w:pStyle w:val="14"/>
        <w:snapToGrid w:val="0"/>
        <w:spacing w:before="120" w:after="12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总体要求：</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1.供应商应仔细阅读征集文件的所有内容，按本文件的要求提供响应文件，并保证所提供的全部资料的真实性，以使其响应文件对征集文件作出实质性响应，否则，响应文件可能视为无效响应文件。 </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2.响应文件及供应商与采购有关的来往通知，函件和文件均应使用中文。</w:t>
      </w:r>
    </w:p>
    <w:p>
      <w:pPr>
        <w:spacing w:line="360" w:lineRule="auto"/>
        <w:ind w:firstLine="480" w:firstLineChars="200"/>
        <w:rPr>
          <w:rFonts w:asciiTheme="majorEastAsia" w:hAnsiTheme="majorEastAsia" w:eastAsiaTheme="majorEastAsia" w:cstheme="majorEastAsia"/>
          <w:b/>
          <w:color w:val="auto"/>
          <w:u w:val="single"/>
        </w:rPr>
      </w:pPr>
      <w:r>
        <w:rPr>
          <w:rFonts w:hint="eastAsia" w:asciiTheme="majorEastAsia" w:hAnsiTheme="majorEastAsia" w:eastAsiaTheme="majorEastAsia" w:cstheme="majorEastAsia"/>
          <w:color w:val="auto"/>
        </w:rPr>
        <w:t>3.供应商应按本文件中提供的文件格式、内容和要求制作响应文件</w:t>
      </w:r>
      <w:r>
        <w:rPr>
          <w:rFonts w:hint="eastAsia" w:asciiTheme="majorEastAsia" w:hAnsiTheme="majorEastAsia" w:eastAsiaTheme="majorEastAsia" w:cstheme="majorEastAsia"/>
          <w:b/>
          <w:color w:val="auto"/>
        </w:rPr>
        <w:t>。</w:t>
      </w:r>
    </w:p>
    <w:p>
      <w:pPr>
        <w:snapToGrid w:val="0"/>
        <w:spacing w:line="360" w:lineRule="auto"/>
        <w:ind w:firstLine="472" w:firstLineChars="196"/>
        <w:jc w:val="left"/>
        <w:outlineLvl w:val="2"/>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（一）响应文件的组成</w:t>
      </w:r>
      <w:bookmarkEnd w:id="55"/>
      <w:bookmarkEnd w:id="56"/>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电子响应文件和备份响应文件均由资信商务文件、技术文件及响应报价文件三部分组成。响应文件中所须加盖公章部分均采用CA签章。</w:t>
      </w:r>
    </w:p>
    <w:bookmarkEnd w:id="57"/>
    <w:bookmarkEnd w:id="58"/>
    <w:bookmarkEnd w:id="59"/>
    <w:p>
      <w:pPr>
        <w:snapToGrid w:val="0"/>
        <w:spacing w:line="360" w:lineRule="auto"/>
        <w:ind w:firstLine="472" w:firstLineChars="196"/>
        <w:jc w:val="left"/>
        <w:outlineLvl w:val="2"/>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（二）</w:t>
      </w:r>
      <w:r>
        <w:rPr>
          <w:rFonts w:hint="eastAsia" w:asciiTheme="majorEastAsia" w:hAnsiTheme="majorEastAsia" w:eastAsiaTheme="majorEastAsia" w:cstheme="majorEastAsia"/>
          <w:b/>
          <w:bCs/>
          <w:color w:val="auto"/>
        </w:rPr>
        <w:t>响应文件的编制</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val="zh-CN"/>
        </w:rPr>
        <w:t>1响应文件分为资格文件、商务技术文件、报价文件三部分。各供应商在编制响应文件时请按照征集文件规定的格式进行，混乱的编排导致响应文件被误读或评标委员会查找不到有效文件是供应商的风险。</w:t>
      </w:r>
    </w:p>
    <w:p>
      <w:pPr>
        <w:snapToGrid w:val="0"/>
        <w:spacing w:line="360" w:lineRule="auto"/>
        <w:ind w:firstLine="480" w:firstLineChars="200"/>
        <w:rPr>
          <w:rFonts w:asciiTheme="majorEastAsia" w:hAnsiTheme="majorEastAsia" w:eastAsiaTheme="majorEastAsia" w:cstheme="majorEastAsia"/>
          <w:color w:val="auto"/>
          <w:lang w:val="zh-CN"/>
        </w:rPr>
      </w:pPr>
      <w:r>
        <w:rPr>
          <w:rFonts w:hint="eastAsia" w:asciiTheme="majorEastAsia" w:hAnsiTheme="majorEastAsia" w:eastAsiaTheme="majorEastAsia" w:cstheme="majorEastAsia"/>
          <w:color w:val="auto"/>
          <w:lang w:val="zh-CN"/>
        </w:rPr>
        <w:t>2供应商进行电子响应应安装客户端软件—“政采云电子交易客户端”，并按照征集文件和电子交易平台的要求编制并加密响应文件。供应商未按规定加密的响应文件，电子交易平台将拒收并提示。</w:t>
      </w:r>
    </w:p>
    <w:p>
      <w:pPr>
        <w:snapToGrid w:val="0"/>
        <w:spacing w:line="360" w:lineRule="auto"/>
        <w:ind w:firstLine="480" w:firstLineChars="200"/>
        <w:rPr>
          <w:rFonts w:asciiTheme="majorEastAsia" w:hAnsiTheme="majorEastAsia" w:eastAsiaTheme="majorEastAsia" w:cstheme="majorEastAsia"/>
          <w:color w:val="auto"/>
          <w:lang w:val="zh-CN"/>
        </w:rPr>
      </w:pPr>
      <w:r>
        <w:rPr>
          <w:rFonts w:hint="eastAsia" w:asciiTheme="majorEastAsia" w:hAnsiTheme="majorEastAsia" w:eastAsiaTheme="majorEastAsia" w:cstheme="majorEastAsia"/>
          <w:color w:val="auto"/>
          <w:lang w:val="zh-CN"/>
        </w:rPr>
        <w:t>3使用“政采云电子交易客户端”需要提前申领CA数字证书，申领流程请自行前往“浙江政府采购网-下载专区-电子交易客户端-CA驱动和申领流程”进行查阅。</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4响应文件按照征集文件要求进行签署、盖章。</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5为确保网上操作合法、有效和安全，供应商应当在响应截止时间前完成在“政府采购云平台”的身份认证，确保在电子</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过程中能够对相关数据电文进行加密和使用电子签名。</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6征集文件对响应文件签署、盖章的要求适用于电子签名。</w:t>
      </w:r>
    </w:p>
    <w:p>
      <w:pPr>
        <w:snapToGrid w:val="0"/>
        <w:spacing w:line="360" w:lineRule="auto"/>
        <w:ind w:firstLine="472" w:firstLineChars="196"/>
        <w:jc w:val="left"/>
        <w:outlineLvl w:val="2"/>
        <w:rPr>
          <w:rFonts w:asciiTheme="majorEastAsia" w:hAnsiTheme="majorEastAsia" w:eastAsiaTheme="majorEastAsia" w:cstheme="majorEastAsia"/>
          <w:b/>
          <w:color w:val="auto"/>
        </w:rPr>
      </w:pPr>
      <w:bookmarkStart w:id="60" w:name="_Toc402963117"/>
      <w:bookmarkStart w:id="61" w:name="_Toc402963084"/>
      <w:bookmarkStart w:id="62" w:name="_Toc532218227"/>
      <w:bookmarkStart w:id="63" w:name="_Toc406402990"/>
      <w:bookmarkStart w:id="64" w:name="_Toc385854100"/>
      <w:bookmarkStart w:id="65" w:name="_Toc406402946"/>
      <w:bookmarkStart w:id="66" w:name="_Toc385854146"/>
      <w:r>
        <w:rPr>
          <w:rFonts w:hint="eastAsia" w:asciiTheme="majorEastAsia" w:hAnsiTheme="majorEastAsia" w:eastAsiaTheme="majorEastAsia" w:cstheme="majorEastAsia"/>
          <w:b/>
          <w:color w:val="auto"/>
        </w:rPr>
        <w:t>（三）响应文件的语言及计量</w:t>
      </w:r>
      <w:bookmarkEnd w:id="60"/>
      <w:bookmarkEnd w:id="61"/>
      <w:bookmarkEnd w:id="62"/>
      <w:bookmarkEnd w:id="63"/>
      <w:bookmarkEnd w:id="64"/>
      <w:bookmarkEnd w:id="65"/>
      <w:bookmarkEnd w:id="66"/>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1．响应文件以及采购人与征集人就有关征集事宜的所有来往函电，均应以中文汉语书写。除签名、盖章、专用名称等特殊情形外，以中文汉语以外的文字表述的响应文件视同未提供。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2．响应计量单位，征集文件已有明确规定的，使用征集文件规定的计量单位；征集文件没有规定的，应采用中华人民共和国法定计量单位（货币单位：人民币元），否则视同未响应。</w:t>
      </w:r>
    </w:p>
    <w:p>
      <w:pPr>
        <w:pStyle w:val="31"/>
        <w:spacing w:before="0"/>
        <w:ind w:firstLine="482"/>
        <w:rPr>
          <w:rFonts w:asciiTheme="majorEastAsia" w:hAnsiTheme="majorEastAsia" w:eastAsiaTheme="majorEastAsia" w:cstheme="majorEastAsia"/>
          <w:b/>
          <w:color w:val="auto"/>
          <w:szCs w:val="24"/>
        </w:rPr>
      </w:pPr>
      <w:r>
        <w:rPr>
          <w:rFonts w:hint="eastAsia" w:asciiTheme="majorEastAsia" w:hAnsiTheme="majorEastAsia" w:eastAsiaTheme="majorEastAsia" w:cstheme="majorEastAsia"/>
          <w:b/>
          <w:color w:val="auto"/>
        </w:rPr>
        <w:t>（四</w:t>
      </w:r>
      <w:r>
        <w:rPr>
          <w:rFonts w:hint="eastAsia" w:asciiTheme="majorEastAsia" w:hAnsiTheme="majorEastAsia" w:eastAsiaTheme="majorEastAsia" w:cstheme="majorEastAsia"/>
          <w:b/>
          <w:color w:val="auto"/>
          <w:szCs w:val="24"/>
        </w:rPr>
        <w:t>）响应文件的提交、补充、修改、撤回</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2.电子交易平台收到响应文件，将妥善保存并即时向供应商发出确认回执通知。在响应截止时间前，除供应商补充、修改或者撤回响应文件外，任何单位和个人不得解密或提取响应文件。</w:t>
      </w:r>
    </w:p>
    <w:p>
      <w:pPr>
        <w:snapToGrid w:val="0"/>
        <w:spacing w:line="360" w:lineRule="auto"/>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3.征集人、采购机构可以视情况延长响应文件提交的截止时间。在上述情况下，采购机构与供应商以前在响应截止期方面的全部权利、责任和义务，将适用于延长至新的响应截止期。</w:t>
      </w:r>
    </w:p>
    <w:p>
      <w:pPr>
        <w:snapToGrid w:val="0"/>
        <w:spacing w:line="360" w:lineRule="auto"/>
        <w:ind w:firstLine="472" w:firstLineChars="196"/>
        <w:jc w:val="left"/>
        <w:outlineLvl w:val="2"/>
        <w:rPr>
          <w:rFonts w:asciiTheme="majorEastAsia" w:hAnsiTheme="majorEastAsia" w:eastAsiaTheme="majorEastAsia" w:cstheme="majorEastAsia"/>
          <w:b/>
          <w:color w:val="auto"/>
        </w:rPr>
      </w:pPr>
      <w:bookmarkStart w:id="67" w:name="_Toc532218228"/>
      <w:bookmarkStart w:id="68" w:name="_Toc402963118"/>
      <w:bookmarkStart w:id="69" w:name="_Toc385854101"/>
      <w:bookmarkStart w:id="70" w:name="_Toc406402991"/>
      <w:bookmarkStart w:id="71" w:name="_Toc385854147"/>
      <w:bookmarkStart w:id="72" w:name="_Toc406402947"/>
      <w:bookmarkStart w:id="73" w:name="_Toc402963085"/>
      <w:r>
        <w:rPr>
          <w:rFonts w:hint="eastAsia" w:asciiTheme="majorEastAsia" w:hAnsiTheme="majorEastAsia" w:eastAsiaTheme="majorEastAsia" w:cstheme="majorEastAsia"/>
          <w:b/>
          <w:color w:val="auto"/>
        </w:rPr>
        <w:t>（五）</w:t>
      </w:r>
      <w:bookmarkEnd w:id="67"/>
      <w:bookmarkEnd w:id="68"/>
      <w:bookmarkEnd w:id="69"/>
      <w:bookmarkEnd w:id="70"/>
      <w:bookmarkEnd w:id="71"/>
      <w:bookmarkEnd w:id="72"/>
      <w:bookmarkEnd w:id="73"/>
      <w:r>
        <w:rPr>
          <w:rFonts w:hint="eastAsia" w:asciiTheme="majorEastAsia" w:hAnsiTheme="majorEastAsia" w:eastAsiaTheme="majorEastAsia" w:cstheme="majorEastAsia"/>
          <w:b/>
          <w:color w:val="auto"/>
        </w:rPr>
        <w:t>响应报价</w:t>
      </w:r>
    </w:p>
    <w:p>
      <w:pPr>
        <w:pStyle w:val="14"/>
        <w:snapToGrid w:val="0"/>
        <w:spacing w:before="120" w:after="120" w:line="360" w:lineRule="auto"/>
        <w:ind w:firstLine="480" w:firstLineChars="200"/>
        <w:jc w:val="left"/>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响应报价应按征集文件中相关附表格式填写。</w:t>
      </w:r>
      <w:r>
        <w:rPr>
          <w:rFonts w:hint="eastAsia" w:asciiTheme="majorEastAsia" w:hAnsiTheme="majorEastAsia" w:eastAsiaTheme="majorEastAsia" w:cstheme="majorEastAsia"/>
          <w:color w:val="auto"/>
          <w:lang w:eastAsia="zh-CN"/>
        </w:rPr>
        <w:t>（附件</w:t>
      </w:r>
      <w:r>
        <w:rPr>
          <w:rFonts w:hint="eastAsia" w:asciiTheme="majorEastAsia" w:hAnsiTheme="majorEastAsia" w:eastAsiaTheme="majorEastAsia" w:cstheme="majorEastAsia"/>
          <w:color w:val="auto"/>
          <w:lang w:val="en-US" w:eastAsia="zh-CN"/>
        </w:rPr>
        <w:t>12</w:t>
      </w:r>
      <w:r>
        <w:rPr>
          <w:rFonts w:hint="eastAsia" w:asciiTheme="majorEastAsia" w:hAnsiTheme="majorEastAsia" w:eastAsiaTheme="majorEastAsia" w:cstheme="majorEastAsia"/>
          <w:color w:val="auto"/>
          <w:lang w:eastAsia="zh-CN"/>
        </w:rPr>
        <w:t>）</w:t>
      </w:r>
    </w:p>
    <w:p>
      <w:pPr>
        <w:snapToGrid w:val="0"/>
        <w:spacing w:line="360" w:lineRule="auto"/>
        <w:ind w:firstLine="472" w:firstLineChars="196"/>
        <w:jc w:val="left"/>
        <w:outlineLvl w:val="2"/>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（六）响应文件的有效期</w:t>
      </w:r>
    </w:p>
    <w:p>
      <w:pPr>
        <w:pStyle w:val="7"/>
        <w:numPr>
          <w:ilvl w:val="0"/>
          <w:numId w:val="0"/>
        </w:numPr>
        <w:tabs>
          <w:tab w:val="left" w:pos="720"/>
        </w:tabs>
        <w:snapToGrid w:val="0"/>
        <w:spacing w:after="120" w:line="360" w:lineRule="auto"/>
        <w:ind w:left="480" w:left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1.自响应截止日起</w:t>
      </w:r>
      <w:r>
        <w:rPr>
          <w:rFonts w:hint="eastAsia" w:asciiTheme="majorEastAsia" w:hAnsiTheme="majorEastAsia" w:eastAsiaTheme="majorEastAsia" w:cstheme="majorEastAsia"/>
          <w:color w:val="auto"/>
          <w:u w:val="single"/>
        </w:rPr>
        <w:t>90</w:t>
      </w:r>
      <w:r>
        <w:rPr>
          <w:rFonts w:hint="eastAsia" w:asciiTheme="majorEastAsia" w:hAnsiTheme="majorEastAsia" w:eastAsiaTheme="majorEastAsia" w:cstheme="majorEastAsia"/>
          <w:color w:val="auto"/>
        </w:rPr>
        <w:t>天响应文件应保持有效。有效期不足的响应文件将被拒绝。</w:t>
      </w:r>
    </w:p>
    <w:p>
      <w:pPr>
        <w:pStyle w:val="7"/>
        <w:numPr>
          <w:ilvl w:val="0"/>
          <w:numId w:val="0"/>
        </w:numPr>
        <w:tabs>
          <w:tab w:val="left" w:pos="720"/>
        </w:tabs>
        <w:snapToGrid w:val="0"/>
        <w:spacing w:after="12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2.在特殊情况下，征集人可与供应商协商延长响应文件的有效期，这种要求和答复均以书面形式进行。</w:t>
      </w:r>
    </w:p>
    <w:p>
      <w:pPr>
        <w:pStyle w:val="7"/>
        <w:numPr>
          <w:ilvl w:val="0"/>
          <w:numId w:val="0"/>
        </w:numPr>
        <w:tabs>
          <w:tab w:val="left" w:pos="720"/>
        </w:tabs>
        <w:snapToGrid w:val="0"/>
        <w:spacing w:after="120" w:line="360" w:lineRule="auto"/>
        <w:ind w:firstLine="480" w:firstLineChars="200"/>
        <w:rPr>
          <w:rFonts w:asciiTheme="majorEastAsia" w:hAnsiTheme="majorEastAsia" w:eastAsiaTheme="majorEastAsia" w:cstheme="majorEastAsia"/>
          <w:color w:val="auto"/>
        </w:rPr>
      </w:pPr>
      <w:bookmarkStart w:id="74" w:name="_Toc406402993"/>
      <w:bookmarkStart w:id="75" w:name="_Toc402963120"/>
      <w:bookmarkStart w:id="76" w:name="_Toc385854103"/>
      <w:bookmarkStart w:id="77" w:name="_Toc385854149"/>
      <w:bookmarkStart w:id="78" w:name="_Toc406402949"/>
      <w:bookmarkStart w:id="79" w:name="_Toc402963087"/>
      <w:bookmarkStart w:id="80" w:name="_Toc532218229"/>
      <w:r>
        <w:rPr>
          <w:rFonts w:hint="eastAsia" w:asciiTheme="majorEastAsia" w:hAnsiTheme="majorEastAsia" w:eastAsiaTheme="majorEastAsia" w:cstheme="majorEastAsia"/>
          <w:color w:val="auto"/>
        </w:rPr>
        <w:t>3.入围供应商的响应文件自开标之日起至合同履行完毕止均应保持有效。</w:t>
      </w:r>
      <w:bookmarkEnd w:id="74"/>
      <w:bookmarkEnd w:id="75"/>
      <w:bookmarkEnd w:id="76"/>
      <w:bookmarkEnd w:id="77"/>
      <w:bookmarkEnd w:id="78"/>
      <w:bookmarkEnd w:id="79"/>
      <w:bookmarkEnd w:id="80"/>
    </w:p>
    <w:p>
      <w:pPr>
        <w:pStyle w:val="31"/>
        <w:spacing w:before="0"/>
        <w:ind w:firstLine="48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szCs w:val="24"/>
        </w:rPr>
        <w:t>4.在原定响应有效期满之前，如果出现特殊情况，采购机构可以以书面形式通知供应商延长响应有效期。供应商同意延长的，不得要求或被允许修改其响应文件，供应商拒绝延长的，其响应无效。</w:t>
      </w:r>
    </w:p>
    <w:p>
      <w:pPr>
        <w:snapToGrid w:val="0"/>
        <w:spacing w:line="360" w:lineRule="auto"/>
        <w:ind w:firstLine="481" w:firstLineChars="200"/>
        <w:jc w:val="left"/>
        <w:outlineLvl w:val="2"/>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（七）响应无效的情形</w:t>
      </w:r>
    </w:p>
    <w:p>
      <w:pPr>
        <w:snapToGrid w:val="0"/>
        <w:spacing w:line="480" w:lineRule="exact"/>
        <w:ind w:firstLine="481" w:firstLineChars="2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1.电子响应文件解密失败的，且未在规定时间内提交有效备份响应文件的。</w:t>
      </w:r>
    </w:p>
    <w:p>
      <w:pPr>
        <w:snapToGrid w:val="0"/>
        <w:spacing w:line="480" w:lineRule="exact"/>
        <w:ind w:firstLine="481"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2.仅提交备份响应文件，没有在电子交易平台传输递交响应文件的。</w:t>
      </w:r>
    </w:p>
    <w:p>
      <w:pPr>
        <w:snapToGrid w:val="0"/>
        <w:spacing w:line="480" w:lineRule="exact"/>
        <w:ind w:firstLine="472" w:firstLineChars="196"/>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3.没有通过资格审查的，响应文件将被视为无效。</w:t>
      </w:r>
    </w:p>
    <w:p>
      <w:pPr>
        <w:snapToGrid w:val="0"/>
        <w:spacing w:line="480" w:lineRule="exact"/>
        <w:ind w:firstLine="472" w:firstLineChars="196"/>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4.在符合性审查和商务评审时，如发现下列情形之一的，响应文件将被视为无效：</w:t>
      </w:r>
    </w:p>
    <w:p>
      <w:pPr>
        <w:snapToGrid w:val="0"/>
        <w:spacing w:line="480" w:lineRule="exact"/>
        <w:ind w:firstLine="470" w:firstLineChars="196"/>
        <w:rPr>
          <w:rFonts w:asciiTheme="majorEastAsia" w:hAnsiTheme="majorEastAsia" w:eastAsiaTheme="majorEastAsia" w:cstheme="majorEastAsia"/>
          <w:color w:val="auto"/>
        </w:rPr>
      </w:pPr>
      <w:r>
        <w:rPr>
          <w:rFonts w:hint="eastAsia" w:asciiTheme="majorEastAsia" w:hAnsiTheme="majorEastAsia" w:eastAsiaTheme="majorEastAsia" w:cstheme="majorEastAsia"/>
          <w:bCs/>
          <w:color w:val="auto"/>
        </w:rPr>
        <w:t>（1）</w:t>
      </w:r>
      <w:r>
        <w:rPr>
          <w:rFonts w:hint="eastAsia" w:asciiTheme="majorEastAsia" w:hAnsiTheme="majorEastAsia" w:eastAsiaTheme="majorEastAsia" w:cstheme="majorEastAsia"/>
          <w:color w:val="auto"/>
        </w:rPr>
        <w:t>电子响应文件未按规定要求提供电子签章的。</w:t>
      </w:r>
    </w:p>
    <w:p>
      <w:pPr>
        <w:snapToGrid w:val="0"/>
        <w:spacing w:line="480" w:lineRule="exact"/>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（2）未按要求对资格文件进行承诺，或虚假承诺的。</w:t>
      </w:r>
    </w:p>
    <w:p>
      <w:pPr>
        <w:snapToGrid w:val="0"/>
        <w:spacing w:line="480" w:lineRule="exact"/>
        <w:ind w:firstLine="470" w:firstLineChars="196"/>
        <w:rPr>
          <w:rFonts w:asciiTheme="majorEastAsia" w:hAnsiTheme="majorEastAsia" w:eastAsiaTheme="majorEastAsia" w:cstheme="majorEastAsia"/>
          <w:bCs/>
          <w:color w:val="auto"/>
          <w:kern w:val="0"/>
        </w:rPr>
      </w:pPr>
      <w:r>
        <w:rPr>
          <w:rFonts w:hint="eastAsia" w:asciiTheme="majorEastAsia" w:hAnsiTheme="majorEastAsia" w:eastAsiaTheme="majorEastAsia" w:cstheme="majorEastAsia"/>
          <w:color w:val="auto"/>
        </w:rPr>
        <w:t>（3）未</w:t>
      </w:r>
      <w:r>
        <w:rPr>
          <w:rFonts w:hint="eastAsia" w:asciiTheme="majorEastAsia" w:hAnsiTheme="majorEastAsia" w:eastAsiaTheme="majorEastAsia" w:cstheme="majorEastAsia"/>
          <w:bCs/>
          <w:color w:val="auto"/>
          <w:kern w:val="0"/>
        </w:rPr>
        <w:t>提供法定代表人授权委托书、</w:t>
      </w:r>
      <w:r>
        <w:rPr>
          <w:rFonts w:hint="eastAsia" w:asciiTheme="majorEastAsia" w:hAnsiTheme="majorEastAsia" w:eastAsiaTheme="majorEastAsia" w:cstheme="majorEastAsia"/>
          <w:bCs/>
          <w:color w:val="auto"/>
          <w:kern w:val="0"/>
          <w:lang w:eastAsia="zh-CN"/>
        </w:rPr>
        <w:t>响应</w:t>
      </w:r>
      <w:r>
        <w:rPr>
          <w:rFonts w:hint="eastAsia" w:asciiTheme="majorEastAsia" w:hAnsiTheme="majorEastAsia" w:eastAsiaTheme="majorEastAsia" w:cstheme="majorEastAsia"/>
          <w:bCs/>
          <w:color w:val="auto"/>
          <w:kern w:val="0"/>
        </w:rPr>
        <w:t>函或者填写项目不齐全的。</w:t>
      </w:r>
    </w:p>
    <w:p>
      <w:pPr>
        <w:pStyle w:val="2"/>
        <w:snapToGrid w:val="0"/>
        <w:spacing w:line="480" w:lineRule="exact"/>
        <w:ind w:firstLine="454" w:firstLineChars="196"/>
        <w:rPr>
          <w:rFonts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color w:val="auto"/>
          <w:sz w:val="24"/>
          <w:szCs w:val="24"/>
        </w:rPr>
        <w:t>（4）响应文件格式不规范、项目不齐全或者内容虚假的。</w:t>
      </w:r>
    </w:p>
    <w:p>
      <w:pPr>
        <w:pStyle w:val="2"/>
        <w:snapToGrid w:val="0"/>
        <w:spacing w:line="480" w:lineRule="exact"/>
        <w:ind w:firstLine="454" w:firstLineChars="196"/>
        <w:rPr>
          <w:rFonts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snapToGrid w:val="0"/>
          <w:color w:val="auto"/>
          <w:sz w:val="24"/>
          <w:szCs w:val="24"/>
        </w:rPr>
        <w:t>5）</w:t>
      </w:r>
      <w:r>
        <w:rPr>
          <w:rFonts w:hint="eastAsia" w:asciiTheme="majorEastAsia" w:hAnsiTheme="majorEastAsia" w:eastAsiaTheme="majorEastAsia" w:cstheme="majorEastAsia"/>
          <w:color w:val="auto"/>
          <w:sz w:val="24"/>
          <w:szCs w:val="24"/>
        </w:rPr>
        <w:t>响应文件的实质性内容未使用中文表述、意思表述不明确、前后矛盾或者使用计量单位不符合征集文件要求的（经评标委员会认定并允许其当场更正的笔误除外）。</w:t>
      </w:r>
    </w:p>
    <w:p>
      <w:pPr>
        <w:pStyle w:val="2"/>
        <w:snapToGrid w:val="0"/>
        <w:spacing w:line="480" w:lineRule="exact"/>
        <w:ind w:firstLine="454" w:firstLineChars="196"/>
        <w:rPr>
          <w:rFonts w:asciiTheme="majorEastAsia" w:hAnsiTheme="majorEastAsia" w:eastAsiaTheme="majorEastAsia" w:cstheme="majorEastAsia"/>
          <w:snapToGrid w:val="0"/>
          <w:color w:val="auto"/>
          <w:sz w:val="24"/>
          <w:szCs w:val="24"/>
        </w:rPr>
      </w:pPr>
      <w:r>
        <w:rPr>
          <w:rFonts w:hint="eastAsia"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snapToGrid w:val="0"/>
          <w:color w:val="auto"/>
          <w:sz w:val="24"/>
          <w:szCs w:val="24"/>
        </w:rPr>
        <w:t>响应有效期、服务承诺等商务条款不能满足征集文件要求的。</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（7）未实质性响应征集文件要求或者响应文件有征集人不能接受的附加条件的。</w:t>
      </w:r>
    </w:p>
    <w:p>
      <w:pPr>
        <w:pStyle w:val="2"/>
        <w:snapToGrid w:val="0"/>
        <w:spacing w:line="360" w:lineRule="auto"/>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（8）不符合本征集文件中的实质性要求条款。</w:t>
      </w:r>
    </w:p>
    <w:p>
      <w:pPr>
        <w:pStyle w:val="2"/>
        <w:snapToGrid w:val="0"/>
        <w:spacing w:line="360" w:lineRule="auto"/>
        <w:ind w:firstLine="456" w:firstLineChars="196"/>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5.在技术评审时，如发现下列情形之一的，响应文件将被视为无效：</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（1）未提供或未如实提供货物的技术参数，或者响应文件标明的响应或偏离与事实不符或虚假响应的。</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snapToGrid w:val="0"/>
          <w:color w:val="auto"/>
          <w:sz w:val="24"/>
          <w:szCs w:val="24"/>
        </w:rPr>
        <w:t>明显不符合征集文件要求的规格型号、质量标准，或者与</w:t>
      </w:r>
      <w:r>
        <w:rPr>
          <w:rFonts w:hint="eastAsia" w:asciiTheme="majorEastAsia" w:hAnsiTheme="majorEastAsia" w:eastAsiaTheme="majorEastAsia" w:cstheme="majorEastAsia"/>
          <w:color w:val="auto"/>
          <w:sz w:val="24"/>
          <w:szCs w:val="24"/>
        </w:rPr>
        <w:t>征集文件入围“▲”的技术指标、主要功能项目发生实质性偏离的。</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napToGrid w:val="0"/>
          <w:color w:val="auto"/>
          <w:sz w:val="24"/>
          <w:szCs w:val="24"/>
        </w:rPr>
        <w:t>（3）</w:t>
      </w:r>
      <w:r>
        <w:rPr>
          <w:rFonts w:hint="eastAsia" w:asciiTheme="majorEastAsia" w:hAnsiTheme="majorEastAsia" w:eastAsiaTheme="majorEastAsia" w:cstheme="majorEastAsia"/>
          <w:color w:val="auto"/>
          <w:sz w:val="24"/>
          <w:szCs w:val="24"/>
        </w:rPr>
        <w:t>响应技术方案不明确，存在一个或一个以上备选（替代）响应方案的。</w:t>
      </w:r>
    </w:p>
    <w:p>
      <w:pPr>
        <w:pStyle w:val="2"/>
        <w:snapToGrid w:val="0"/>
        <w:spacing w:line="480" w:lineRule="exact"/>
        <w:ind w:firstLine="456" w:firstLineChars="196"/>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6.在报价评审时，如发现下列情形之一的，响应文件将被视为无效：</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没有按照要求提供《报价承诺函》。</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w:t>
      </w:r>
      <w:r>
        <w:rPr>
          <w:rFonts w:hint="eastAsia" w:asciiTheme="majorEastAsia" w:hAnsiTheme="majorEastAsia" w:eastAsiaTheme="majorEastAsia" w:cstheme="majorEastAsia"/>
          <w:b/>
          <w:bCs/>
          <w:color w:val="auto"/>
        </w:rPr>
        <w:t>供应商有恶意串通、妨碍其他供应商的竞争行为、损害征集人或者其他供应商的合法权益情形的，响应文件将被视为无效</w:t>
      </w:r>
      <w:r>
        <w:rPr>
          <w:rFonts w:hint="eastAsia" w:asciiTheme="majorEastAsia" w:hAnsiTheme="majorEastAsia" w:eastAsiaTheme="majorEastAsia" w:cstheme="majorEastAsia"/>
          <w:color w:val="auto"/>
          <w:kern w:val="0"/>
        </w:rPr>
        <w:t>。</w:t>
      </w:r>
    </w:p>
    <w:p>
      <w:pPr>
        <w:pStyle w:val="2"/>
        <w:snapToGrid w:val="0"/>
        <w:spacing w:line="480" w:lineRule="exact"/>
        <w:ind w:firstLine="456"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8.法律、法规、规章（适用本市的）及省级以上规范性文件（适用本市的）规定的其他无效情形。</w:t>
      </w:r>
    </w:p>
    <w:p>
      <w:pPr>
        <w:pStyle w:val="2"/>
        <w:snapToGrid w:val="0"/>
        <w:spacing w:line="480" w:lineRule="exact"/>
        <w:ind w:firstLine="465" w:firstLineChars="200"/>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9.被拒绝的响应文件为无效。</w:t>
      </w:r>
    </w:p>
    <w:p>
      <w:pPr>
        <w:pStyle w:val="2"/>
        <w:snapToGrid w:val="0"/>
        <w:spacing w:line="480" w:lineRule="exact"/>
        <w:ind w:firstLine="465" w:firstLineChars="200"/>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（八）废标的情形</w:t>
      </w:r>
    </w:p>
    <w:p>
      <w:pPr>
        <w:pStyle w:val="2"/>
        <w:snapToGrid w:val="0"/>
        <w:spacing w:line="480" w:lineRule="exact"/>
        <w:ind w:firstLine="464"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根据《中华人民共和国政府采购法》第三十六条之规定，在采购中，出现下列情形之一的，应予废标：</w:t>
      </w:r>
    </w:p>
    <w:p>
      <w:pPr>
        <w:pStyle w:val="2"/>
        <w:snapToGrid w:val="0"/>
        <w:spacing w:line="480" w:lineRule="exact"/>
        <w:ind w:firstLine="464"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1.符合专业条件的供应商或者对征集文件作实质响应的供应商不足3家的；</w:t>
      </w:r>
    </w:p>
    <w:p>
      <w:pPr>
        <w:pStyle w:val="2"/>
        <w:snapToGrid w:val="0"/>
        <w:spacing w:line="480" w:lineRule="exact"/>
        <w:ind w:firstLine="464"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2.出现影响采购公正的违法、违规行为的；</w:t>
      </w:r>
    </w:p>
    <w:p>
      <w:pPr>
        <w:pStyle w:val="2"/>
        <w:snapToGrid w:val="0"/>
        <w:spacing w:line="480" w:lineRule="exact"/>
        <w:ind w:firstLine="464"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3.因重大变故，采购任务取消的。</w:t>
      </w:r>
    </w:p>
    <w:p>
      <w:pPr>
        <w:pStyle w:val="2"/>
        <w:snapToGrid w:val="0"/>
        <w:spacing w:line="480" w:lineRule="exact"/>
        <w:ind w:firstLine="464"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废标后，采购机构应当将废标理由通知所有供应商。</w:t>
      </w:r>
    </w:p>
    <w:p>
      <w:pPr>
        <w:rPr>
          <w:rFonts w:asciiTheme="majorEastAsia" w:hAnsiTheme="majorEastAsia" w:eastAsiaTheme="majorEastAsia" w:cstheme="majorEastAsia"/>
          <w:color w:val="auto"/>
        </w:rPr>
      </w:pPr>
    </w:p>
    <w:p>
      <w:pPr>
        <w:pStyle w:val="14"/>
        <w:snapToGrid w:val="0"/>
        <w:spacing w:before="120" w:after="120" w:line="360" w:lineRule="auto"/>
        <w:ind w:firstLine="472" w:firstLineChars="196"/>
        <w:jc w:val="center"/>
        <w:outlineLvl w:val="1"/>
        <w:rPr>
          <w:rFonts w:asciiTheme="majorEastAsia" w:hAnsiTheme="majorEastAsia" w:eastAsiaTheme="majorEastAsia" w:cstheme="majorEastAsia"/>
          <w:b/>
          <w:strike/>
          <w:color w:val="auto"/>
        </w:rPr>
      </w:pPr>
      <w:r>
        <w:rPr>
          <w:rFonts w:hint="eastAsia" w:asciiTheme="majorEastAsia" w:hAnsiTheme="majorEastAsia" w:eastAsiaTheme="majorEastAsia" w:cstheme="majorEastAsia"/>
          <w:b/>
          <w:color w:val="auto"/>
        </w:rPr>
        <w:t>四、开标</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1.本项目实行电子开评标，供应商无需到开标现场，但须准时在线参加，直至评审结束。供应商不足3家的，不得开标。</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2.响应截止时间后的半小时内，由各供应商自行对电子响应文件进行解密请各供应商务必在规定时间内完成电子响应文件的解密工作；开启报价环节，供应商须在15分钟内在系统里CA签字确认。</w:t>
      </w:r>
    </w:p>
    <w:p>
      <w:pPr>
        <w:pStyle w:val="2"/>
        <w:snapToGrid w:val="0"/>
        <w:spacing w:line="480" w:lineRule="exact"/>
        <w:ind w:firstLine="454"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3.响应文件未按时解密，供应商提供了备份响应文件的，以备份响应文件作为依据，否则视为响应文件撤回。响应文件已按时解密的，备份响应文件自动失效。</w:t>
      </w:r>
    </w:p>
    <w:p>
      <w:pPr>
        <w:pStyle w:val="31"/>
        <w:spacing w:before="0"/>
        <w:ind w:firstLine="482"/>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　</w:t>
      </w:r>
    </w:p>
    <w:p>
      <w:pPr>
        <w:pStyle w:val="14"/>
        <w:snapToGrid w:val="0"/>
        <w:spacing w:before="120" w:after="120" w:line="360" w:lineRule="auto"/>
        <w:ind w:firstLine="472" w:firstLineChars="196"/>
        <w:jc w:val="center"/>
        <w:outlineLvl w:val="1"/>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五、评标</w:t>
      </w:r>
    </w:p>
    <w:p>
      <w:pPr>
        <w:pStyle w:val="14"/>
        <w:snapToGrid w:val="0"/>
        <w:spacing w:before="120" w:after="120" w:line="360" w:lineRule="auto"/>
        <w:ind w:left="787" w:leftChars="228" w:hanging="240" w:hangingChars="1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（一）组建评标委员会</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评标委员会由征集人代表和评审专家组成，政府采购评审专家</w:t>
      </w:r>
      <w:r>
        <w:rPr>
          <w:rFonts w:hint="eastAsia" w:asciiTheme="majorEastAsia" w:hAnsiTheme="majorEastAsia" w:eastAsiaTheme="majorEastAsia" w:cstheme="majorEastAsia"/>
          <w:color w:val="auto"/>
          <w:kern w:val="0"/>
          <w:u w:val="single"/>
        </w:rPr>
        <w:t xml:space="preserve"> 5人</w:t>
      </w:r>
      <w:r>
        <w:rPr>
          <w:rFonts w:hint="eastAsia" w:asciiTheme="majorEastAsia" w:hAnsiTheme="majorEastAsia" w:eastAsiaTheme="majorEastAsia" w:cstheme="majorEastAsia"/>
          <w:color w:val="auto"/>
          <w:kern w:val="0"/>
        </w:rPr>
        <w:t>和征集人代表</w:t>
      </w:r>
      <w:r>
        <w:rPr>
          <w:rFonts w:hint="eastAsia" w:asciiTheme="majorEastAsia" w:hAnsiTheme="majorEastAsia" w:eastAsiaTheme="majorEastAsia" w:cstheme="majorEastAsia"/>
          <w:color w:val="auto"/>
          <w:kern w:val="0"/>
          <w:u w:val="single"/>
        </w:rPr>
        <w:t xml:space="preserve"> 2 人</w:t>
      </w:r>
      <w:r>
        <w:rPr>
          <w:rFonts w:hint="eastAsia" w:asciiTheme="majorEastAsia" w:hAnsiTheme="majorEastAsia" w:eastAsiaTheme="majorEastAsia" w:cstheme="majorEastAsia"/>
          <w:color w:val="auto"/>
          <w:kern w:val="0"/>
        </w:rPr>
        <w:t>，共</w:t>
      </w:r>
      <w:r>
        <w:rPr>
          <w:rFonts w:hint="eastAsia" w:asciiTheme="majorEastAsia" w:hAnsiTheme="majorEastAsia" w:eastAsiaTheme="majorEastAsia" w:cstheme="majorEastAsia"/>
          <w:color w:val="auto"/>
          <w:kern w:val="0"/>
          <w:u w:val="single"/>
        </w:rPr>
        <w:t xml:space="preserve"> 7人</w:t>
      </w:r>
      <w:r>
        <w:rPr>
          <w:rFonts w:hint="eastAsia" w:asciiTheme="majorEastAsia" w:hAnsiTheme="majorEastAsia" w:eastAsiaTheme="majorEastAsia" w:cstheme="majorEastAsia"/>
          <w:color w:val="auto"/>
          <w:kern w:val="0"/>
        </w:rPr>
        <w:t>组成。</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评标委员会负责具体评标事务，并独立履行下列职责：</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1.审查、评价响应文件是否符合征集文件的商务、技术等实质性要求。</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2.要求供应商对响应文件有关事项做出澄清或者说明。</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3.对响应文件进行比较和评价。</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4.确定入围供应商名单，以及根据征集人委托直接确定入围供应商。</w:t>
      </w:r>
    </w:p>
    <w:p>
      <w:pPr>
        <w:widowControl/>
        <w:shd w:val="clear" w:color="auto" w:fill="FFFFFF"/>
        <w:spacing w:line="360" w:lineRule="auto"/>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5.向征集人、</w:t>
      </w:r>
      <w:r>
        <w:rPr>
          <w:rFonts w:hint="eastAsia" w:asciiTheme="majorEastAsia" w:hAnsiTheme="majorEastAsia" w:eastAsiaTheme="majorEastAsia" w:cstheme="majorEastAsia"/>
          <w:color w:val="auto"/>
          <w:kern w:val="0"/>
          <w:lang w:eastAsia="zh-CN"/>
        </w:rPr>
        <w:t>征集人</w:t>
      </w:r>
      <w:r>
        <w:rPr>
          <w:rFonts w:hint="eastAsia" w:asciiTheme="majorEastAsia" w:hAnsiTheme="majorEastAsia" w:eastAsiaTheme="majorEastAsia" w:cstheme="majorEastAsia"/>
          <w:color w:val="auto"/>
          <w:kern w:val="0"/>
        </w:rPr>
        <w:t>或者有关部门报告评标中发现的违法行为。</w:t>
      </w:r>
    </w:p>
    <w:p>
      <w:pPr>
        <w:widowControl/>
        <w:shd w:val="clear" w:color="auto" w:fill="FFFFFF"/>
        <w:spacing w:line="360" w:lineRule="auto"/>
        <w:ind w:firstLine="481" w:firstLineChars="200"/>
        <w:jc w:val="left"/>
        <w:rPr>
          <w:rFonts w:asciiTheme="majorEastAsia" w:hAnsiTheme="majorEastAsia" w:eastAsiaTheme="majorEastAsia" w:cstheme="majorEastAsia"/>
          <w:b/>
          <w:color w:val="auto"/>
          <w:kern w:val="0"/>
        </w:rPr>
      </w:pPr>
      <w:r>
        <w:rPr>
          <w:rFonts w:hint="eastAsia" w:asciiTheme="majorEastAsia" w:hAnsiTheme="majorEastAsia" w:eastAsiaTheme="majorEastAsia" w:cstheme="majorEastAsia"/>
          <w:b/>
          <w:color w:val="auto"/>
          <w:kern w:val="0"/>
        </w:rPr>
        <w:t>除征集人代表、评标现场组织人员外，征集人的其他工作人员以及与评标工作无关的人员不得进入评标现场。</w:t>
      </w:r>
    </w:p>
    <w:p>
      <w:pPr>
        <w:pStyle w:val="14"/>
        <w:snapToGrid w:val="0"/>
        <w:spacing w:before="120" w:after="120" w:line="360" w:lineRule="auto"/>
        <w:ind w:left="787" w:leftChars="228" w:hanging="240" w:hangingChars="1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（二）评标的方式</w:t>
      </w:r>
    </w:p>
    <w:p>
      <w:pPr>
        <w:pStyle w:val="14"/>
        <w:snapToGrid w:val="0"/>
        <w:spacing w:before="120" w:after="120" w:line="360" w:lineRule="auto"/>
        <w:ind w:left="787" w:leftChars="228" w:hanging="240" w:hangingChars="1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本项目采用不公开方式评标，评标的依据为征集文件和响应文件。</w:t>
      </w:r>
    </w:p>
    <w:p>
      <w:pPr>
        <w:pStyle w:val="14"/>
        <w:snapToGrid w:val="0"/>
        <w:spacing w:before="120" w:after="120" w:line="360" w:lineRule="auto"/>
        <w:ind w:left="787" w:leftChars="228" w:hanging="240" w:hangingChars="1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color w:val="auto"/>
        </w:rPr>
        <w:t>（三）</w:t>
      </w:r>
      <w:r>
        <w:rPr>
          <w:rFonts w:hint="eastAsia" w:asciiTheme="majorEastAsia" w:hAnsiTheme="majorEastAsia" w:eastAsiaTheme="majorEastAsia" w:cstheme="majorEastAsia"/>
          <w:b/>
          <w:bCs/>
          <w:color w:val="auto"/>
        </w:rPr>
        <w:t>评标程序</w:t>
      </w:r>
    </w:p>
    <w:p>
      <w:pPr>
        <w:pStyle w:val="14"/>
        <w:snapToGrid w:val="0"/>
        <w:spacing w:before="120" w:after="120" w:line="360" w:lineRule="auto"/>
        <w:ind w:firstLine="480" w:firstLineChars="200"/>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征集人可以在评标前说明项目背景和采购需求，说明内容不得含有歧视性、倾向性意见，不得超出征集文件所述范围。说明应当提交书面材料，并随采购文件一并存档。</w:t>
      </w:r>
    </w:p>
    <w:p>
      <w:pPr>
        <w:snapToGrid w:val="0"/>
        <w:spacing w:line="360" w:lineRule="auto"/>
        <w:ind w:firstLine="472" w:firstLineChars="196"/>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1.形式审查</w:t>
      </w:r>
    </w:p>
    <w:p>
      <w:pPr>
        <w:snapToGrid w:val="0"/>
        <w:spacing w:line="360" w:lineRule="auto"/>
        <w:ind w:firstLine="480" w:firstLineChars="200"/>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1.1形式审查包括资格审查（除符合性审查以外的关于供应商资格条件等内容）和符合性审查，即对供应商的资格和响应文件的完整性、合法性等进行审查。响应文件形式审查未通过的供应商，其响应文件将不再评审。合格供应商不足3家的，不再评标。</w:t>
      </w:r>
    </w:p>
    <w:p>
      <w:pPr>
        <w:snapToGrid w:val="0"/>
        <w:spacing w:line="360" w:lineRule="auto"/>
        <w:ind w:firstLine="480" w:firstLineChars="200"/>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1.2信用信息查询</w:t>
      </w:r>
    </w:p>
    <w:p>
      <w:pPr>
        <w:snapToGrid w:val="0"/>
        <w:spacing w:line="360" w:lineRule="auto"/>
        <w:ind w:firstLine="480" w:firstLineChars="200"/>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1.2.1信用信息查询渠道及截止时间：征集人将通过“信用中国”网站(www.creditchina.gov.cn)、中国政府采购网(www.ccgp.gov.cn)渠道查询供应商响应截止时间当天的信用记录。</w:t>
      </w:r>
    </w:p>
    <w:p>
      <w:pPr>
        <w:snapToGrid w:val="0"/>
        <w:spacing w:line="360" w:lineRule="auto"/>
        <w:ind w:firstLine="480" w:firstLineChars="200"/>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1.2.2信用信息查询记录和证据留存的具体方式：现场查询的供应商的信用记录、查询结果经确认后将与采购文件一起存档。</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bCs/>
          <w:color w:val="auto"/>
        </w:rPr>
        <w:t>1.2.3信用信息的使用规则：经查询列入失信被执行人名单、重大税收违法案件当事人名单、政府采购严重违法失信行为记录名单的供应商将被拒绝参与政府采购活动。</w:t>
      </w:r>
    </w:p>
    <w:p>
      <w:pPr>
        <w:snapToGrid w:val="0"/>
        <w:spacing w:line="360" w:lineRule="auto"/>
        <w:ind w:firstLine="472" w:firstLineChars="196"/>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2.实质审查</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2.1评标委员会审查响应文件的实质性内容是否符合征集文件的实质性要求。</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2.2评标委员会将根据供应商的响应文件进行审查、核对，如有疑问，将对供应商进行询标，供应商要向评标委员会澄清有关问题，并最终以书面形式进行答复。</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询标时，供应商代表未到场或者拒绝澄清或者澄清的内容改变了响应文件的实质性内容的，评标委员会有权对该响应文件做出不利于供应商的评判。</w:t>
      </w:r>
    </w:p>
    <w:p>
      <w:pPr>
        <w:snapToGrid w:val="0"/>
        <w:spacing w:line="360" w:lineRule="auto"/>
        <w:ind w:firstLine="480" w:firstLineChars="200"/>
        <w:rPr>
          <w:rFonts w:asciiTheme="majorEastAsia" w:hAnsiTheme="majorEastAsia" w:eastAsiaTheme="majorEastAsia" w:cstheme="majorEastAsia"/>
          <w:strike/>
          <w:color w:val="auto"/>
        </w:rPr>
      </w:pPr>
      <w:r>
        <w:rPr>
          <w:rFonts w:hint="eastAsia" w:asciiTheme="majorEastAsia" w:hAnsiTheme="majorEastAsia" w:eastAsiaTheme="majorEastAsia" w:cstheme="majorEastAsia"/>
          <w:color w:val="auto"/>
          <w:kern w:val="0"/>
        </w:rPr>
        <w:t>2.3</w:t>
      </w:r>
      <w:r>
        <w:rPr>
          <w:rFonts w:hint="eastAsia" w:asciiTheme="majorEastAsia" w:hAnsiTheme="majorEastAsia" w:eastAsiaTheme="majorEastAsia" w:cstheme="majorEastAsia"/>
          <w:color w:val="auto"/>
        </w:rPr>
        <w:t>评标委员会各成员应当独立对每个供应商的商务和技术文件进行评价，并汇总商务技术得分情况。</w:t>
      </w:r>
    </w:p>
    <w:p>
      <w:pPr>
        <w:pStyle w:val="5"/>
        <w:ind w:firstLine="481" w:firstLineChars="200"/>
        <w:rPr>
          <w:rFonts w:asciiTheme="majorEastAsia" w:hAnsiTheme="majorEastAsia" w:eastAsiaTheme="majorEastAsia" w:cstheme="majorEastAsia"/>
          <w:color w:val="auto"/>
          <w:kern w:val="2"/>
          <w:szCs w:val="24"/>
        </w:rPr>
      </w:pPr>
      <w:r>
        <w:rPr>
          <w:rFonts w:hint="eastAsia" w:asciiTheme="majorEastAsia" w:hAnsiTheme="majorEastAsia" w:eastAsiaTheme="majorEastAsia" w:cstheme="majorEastAsia"/>
          <w:color w:val="auto"/>
          <w:kern w:val="2"/>
          <w:szCs w:val="24"/>
        </w:rPr>
        <w:t>3.报价审查</w:t>
      </w:r>
    </w:p>
    <w:p>
      <w:pPr>
        <w:rPr>
          <w:rFonts w:asciiTheme="majorEastAsia" w:hAnsiTheme="majorEastAsia" w:eastAsiaTheme="majorEastAsia" w:cstheme="majorEastAsia"/>
          <w:color w:val="auto"/>
        </w:rPr>
      </w:pP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本项目采用固定费率，评审时须审查《报价承诺函》。</w:t>
      </w:r>
    </w:p>
    <w:p>
      <w:pPr>
        <w:pStyle w:val="5"/>
        <w:ind w:firstLine="481" w:firstLineChars="200"/>
        <w:rPr>
          <w:rFonts w:asciiTheme="majorEastAsia" w:hAnsiTheme="majorEastAsia" w:eastAsiaTheme="majorEastAsia" w:cstheme="majorEastAsia"/>
          <w:color w:val="auto"/>
          <w:kern w:val="2"/>
          <w:szCs w:val="24"/>
        </w:rPr>
      </w:pPr>
      <w:r>
        <w:rPr>
          <w:rFonts w:hint="eastAsia" w:asciiTheme="majorEastAsia" w:hAnsiTheme="majorEastAsia" w:eastAsiaTheme="majorEastAsia" w:cstheme="majorEastAsia"/>
          <w:color w:val="auto"/>
          <w:kern w:val="2"/>
          <w:szCs w:val="24"/>
        </w:rPr>
        <w:t>4.比较和推荐</w:t>
      </w:r>
    </w:p>
    <w:p>
      <w:pPr>
        <w:rPr>
          <w:rFonts w:asciiTheme="majorEastAsia" w:hAnsiTheme="majorEastAsia" w:eastAsiaTheme="majorEastAsia" w:cstheme="majorEastAsia"/>
          <w:color w:val="auto"/>
        </w:rPr>
      </w:pPr>
    </w:p>
    <w:p>
      <w:pPr>
        <w:snapToGrid w:val="0"/>
        <w:spacing w:line="360" w:lineRule="auto"/>
        <w:ind w:firstLine="480" w:firstLineChars="200"/>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rPr>
        <w:t>评标委员会按评标原则推荐入围供应商同时起草评标报告。</w:t>
      </w:r>
    </w:p>
    <w:p>
      <w:pPr>
        <w:snapToGrid w:val="0"/>
        <w:spacing w:line="360" w:lineRule="auto"/>
        <w:ind w:firstLine="481" w:firstLineChars="20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（四）澄清问题的形式</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对响应文件中含义不明确、同类问题表述不一致或者有明显文字和计算错误的内容，评标委员会可要求供应商作出必要的澄清、说明或者纠正。</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评标委员会可以在“政采云”平台在线询标或其他有效形式要求供应商对同一份响应文件含义不明确或同类问题表述不一致的内容（征集文件其他地方有规定处理方法的除外）作必要的澄清或说明。供应商应采用在线回复或其他有效形式在询标规定时间内进行澄清或说明，但不得超出响应文件的范围或改变响应文件的实质性内容。凡属于评标委员会在评标中发现的计算错误并进行核实的修改不在此列。</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2.如果供应商代表拒绝或未按评标委员会要求在“政采云”平台作出在线回复且无其他有效回复方式的，评标委员会可以对其作出无效响应处理。</w:t>
      </w:r>
    </w:p>
    <w:p>
      <w:pPr>
        <w:pStyle w:val="14"/>
        <w:tabs>
          <w:tab w:val="left" w:pos="630"/>
        </w:tabs>
        <w:snapToGrid w:val="0"/>
        <w:spacing w:before="120" w:after="120" w:line="360" w:lineRule="auto"/>
        <w:ind w:firstLine="472" w:firstLineChars="196"/>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（五）评标原则和评标办法</w:t>
      </w:r>
    </w:p>
    <w:p>
      <w:pPr>
        <w:pStyle w:val="14"/>
        <w:snapToGrid w:val="0"/>
        <w:spacing w:before="120" w:after="12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4"/>
        <w:snapToGrid w:val="0"/>
        <w:spacing w:before="120" w:after="12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2.评标办法。本项目评标办法是质量优先法，具体评标内容及评分标准等详见《第四章：评标办法及评分标准》。</w:t>
      </w:r>
    </w:p>
    <w:p>
      <w:pPr>
        <w:pStyle w:val="14"/>
        <w:snapToGrid w:val="0"/>
        <w:spacing w:before="120" w:after="120" w:line="360" w:lineRule="auto"/>
        <w:ind w:firstLine="472" w:firstLineChars="196"/>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（六）评标过程的监控</w:t>
      </w:r>
    </w:p>
    <w:p>
      <w:pPr>
        <w:pStyle w:val="14"/>
        <w:snapToGrid w:val="0"/>
        <w:spacing w:before="120" w:after="12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本项目评标过程实行全程录音、录像监控。供应商在评标过程中所进行的试图影响评标结果的不公正活动，可能导致其响应被拒绝。</w:t>
      </w:r>
    </w:p>
    <w:p>
      <w:pPr>
        <w:rPr>
          <w:rFonts w:asciiTheme="majorEastAsia" w:hAnsiTheme="majorEastAsia" w:eastAsiaTheme="majorEastAsia" w:cstheme="majorEastAsia"/>
          <w:color w:val="auto"/>
        </w:rPr>
      </w:pPr>
    </w:p>
    <w:p>
      <w:pPr>
        <w:pStyle w:val="14"/>
        <w:snapToGrid w:val="0"/>
        <w:spacing w:before="120" w:after="120" w:line="360" w:lineRule="auto"/>
        <w:ind w:firstLine="472" w:firstLineChars="196"/>
        <w:jc w:val="center"/>
        <w:outlineLvl w:val="1"/>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六、定标</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1.评标结束后</w:t>
      </w:r>
      <w:r>
        <w:rPr>
          <w:rFonts w:hint="eastAsia" w:asciiTheme="majorEastAsia" w:hAnsiTheme="majorEastAsia" w:eastAsiaTheme="majorEastAsia" w:cstheme="majorEastAsia"/>
          <w:color w:val="auto"/>
          <w:lang w:eastAsia="zh-CN"/>
        </w:rPr>
        <w:t>，征集人在</w:t>
      </w:r>
      <w:r>
        <w:rPr>
          <w:rFonts w:hint="eastAsia" w:asciiTheme="majorEastAsia" w:hAnsiTheme="majorEastAsia" w:eastAsiaTheme="majorEastAsia" w:cstheme="majorEastAsia"/>
          <w:color w:val="auto"/>
        </w:rPr>
        <w:t>2个工作日内在发布框架协议采购公告的网站上对评标结果进行公告。</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2.供应商对评标结果无异议的，征集人应在收到评标报告后5个工作日内对评标结果进行确认。如有供应商对评标结果提出质疑的，征集人可在质疑处理完毕后确定入围供应商。</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 在公告中标结果的同时，</w:t>
      </w:r>
      <w:r>
        <w:rPr>
          <w:rFonts w:hint="eastAsia" w:asciiTheme="majorEastAsia" w:hAnsiTheme="majorEastAsia" w:eastAsiaTheme="majorEastAsia" w:cstheme="majorEastAsia"/>
          <w:color w:val="auto"/>
          <w:lang w:eastAsia="zh-CN"/>
        </w:rPr>
        <w:t>征集人</w:t>
      </w:r>
      <w:r>
        <w:rPr>
          <w:rFonts w:hint="eastAsia" w:asciiTheme="majorEastAsia" w:hAnsiTheme="majorEastAsia" w:eastAsiaTheme="majorEastAsia" w:cstheme="majorEastAsia"/>
          <w:color w:val="auto"/>
        </w:rPr>
        <w:t>在政采云系统向入围供应商发出入围通知书。</w:t>
      </w:r>
    </w:p>
    <w:p>
      <w:pPr>
        <w:pStyle w:val="14"/>
        <w:snapToGrid w:val="0"/>
        <w:spacing w:before="120" w:after="120" w:line="360" w:lineRule="auto"/>
        <w:jc w:val="center"/>
        <w:outlineLvl w:val="1"/>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七、框架协议授予</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征集人与入围供应商应当在《入围通知书》发出之日起30日内签订政府采购框架协议（框架协议一式五份，征集人与入围供应商各执二份，集中采购代理机构留存一份），征集人对框架协议内容进行审查，如发现与采购结果和响应承诺内容不一致的，予以纠正。</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２.入围供应商拖延、拒签合同的，将被取消入围资格，并报监督管理部门依法处理。</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3.征集人须在本项目政府采购合同签订之日起2个工作日内将合同发布于浙江政府采购网，但政府采购合同中涉及国家秘密、商业秘密的内容除外。</w:t>
      </w:r>
    </w:p>
    <w:bookmarkEnd w:id="43"/>
    <w:bookmarkEnd w:id="44"/>
    <w:bookmarkEnd w:id="45"/>
    <w:p>
      <w:pPr>
        <w:pStyle w:val="14"/>
        <w:snapToGrid w:val="0"/>
        <w:spacing w:before="120" w:after="120" w:line="360" w:lineRule="auto"/>
        <w:ind w:firstLine="472" w:firstLineChars="196"/>
        <w:jc w:val="center"/>
        <w:outlineLvl w:val="1"/>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八、验收（考核）</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征集人组织对供应商履约的验收（考核）。大型或者复杂的政府采购项目，应当邀请国家认可的质量检测机构参加验收（考核）工作。验收（考核）方成员应当在验收书上签字，并承担相应的法律责任。如果发现与合同中要求不符，供应商须承担由此发生的一切损失和费用，并接受相应的处理。</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2.征集人可以邀请参加本项目的其他供应商或者第三方机构参与验收（考核）。参与验收（考核）的供应商或者第三方机构的意见作为验收（考核）书的参考资料一并存档。</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严格按照采购合同开展履约验收（考核）。征集人成立验收（考核）小组，按照采购合同的约定对供应商履约情况进行验收（考核）。验收（考核）时，按照采购合同的约定对每一项技术、服务、安全标准的履约情况进行确认。验收（考核）结束后，应当出具验收书，列明各项标准的验收（考核）情况及项目总体评价，由验收（考核）双方共同签署。验收（考核）结果与采购合同约定的资金支付及履约保证金返还条件挂钩。履约验收（考核）的各项资料应当存档备查。</w:t>
      </w:r>
    </w:p>
    <w:p>
      <w:pPr>
        <w:snapToGrid w:val="0"/>
        <w:spacing w:line="360" w:lineRule="auto"/>
        <w:ind w:firstLine="480" w:firstLineChars="200"/>
        <w:rPr>
          <w:rFonts w:asciiTheme="majorEastAsia" w:hAnsiTheme="majorEastAsia" w:eastAsiaTheme="majorEastAsia" w:cstheme="majorEastAsia"/>
          <w:color w:val="auto"/>
        </w:rPr>
        <w:sectPr>
          <w:footerReference r:id="rId3" w:type="default"/>
          <w:pgSz w:w="11849" w:h="16781"/>
          <w:pgMar w:top="1440" w:right="1797" w:bottom="1440" w:left="1797" w:header="851" w:footer="850" w:gutter="0"/>
          <w:cols w:space="720" w:num="1"/>
          <w:docGrid w:linePitch="312" w:charSpace="0"/>
        </w:sectPr>
      </w:pPr>
      <w:r>
        <w:rPr>
          <w:rFonts w:hint="eastAsia" w:asciiTheme="majorEastAsia" w:hAnsiTheme="majorEastAsia" w:eastAsiaTheme="majorEastAsia" w:cstheme="majorEastAsia"/>
          <w:color w:val="auto"/>
        </w:rPr>
        <w:t>4.验收（考核）合格的项目，</w:t>
      </w:r>
      <w:r>
        <w:rPr>
          <w:rFonts w:hint="eastAsia" w:asciiTheme="majorEastAsia" w:hAnsiTheme="majorEastAsia" w:eastAsiaTheme="majorEastAsia" w:cstheme="majorEastAsia"/>
          <w:color w:val="auto"/>
          <w:lang w:eastAsia="zh-CN"/>
        </w:rPr>
        <w:t>征集人</w:t>
      </w:r>
      <w:r>
        <w:rPr>
          <w:rFonts w:hint="eastAsia" w:asciiTheme="majorEastAsia" w:hAnsiTheme="majorEastAsia" w:eastAsiaTheme="majorEastAsia" w:cstheme="majorEastAsia"/>
          <w:color w:val="auto"/>
        </w:rPr>
        <w:t>将根据采购合同的约定及时向供应商支付采购资金、退还履约保证金。验收（考核）不合格的项目，征集人将依法及时处理。采购合同的履行、违约责任和解决争议的方式等适用《中华人民共和国民法典》。供应商在履约过程中有政府采购法律法规规定的违法违规情形的，征集人应当及时报告本级财政部</w:t>
      </w:r>
      <w:bookmarkStart w:id="81" w:name="_Hlt68403820"/>
      <w:bookmarkEnd w:id="81"/>
      <w:bookmarkStart w:id="82" w:name="_Hlt68072990"/>
      <w:bookmarkEnd w:id="82"/>
      <w:bookmarkStart w:id="83" w:name="_Hlt68073093"/>
      <w:bookmarkEnd w:id="83"/>
      <w:bookmarkStart w:id="84" w:name="_Hlt68072998"/>
      <w:bookmarkEnd w:id="84"/>
      <w:bookmarkStart w:id="85" w:name="_Hlt74729768"/>
      <w:bookmarkEnd w:id="85"/>
      <w:bookmarkStart w:id="86" w:name="_Hlt74730295"/>
      <w:bookmarkEnd w:id="86"/>
      <w:bookmarkStart w:id="87" w:name="_Hlt75236011"/>
      <w:bookmarkEnd w:id="87"/>
      <w:bookmarkStart w:id="88" w:name="_Hlt74714665"/>
      <w:bookmarkEnd w:id="88"/>
      <w:bookmarkStart w:id="89" w:name="_Hlt74707468"/>
      <w:bookmarkEnd w:id="89"/>
      <w:bookmarkStart w:id="90" w:name="_Hlt68057669"/>
      <w:bookmarkEnd w:id="90"/>
      <w:bookmarkStart w:id="91" w:name="_Hlt75236101"/>
      <w:bookmarkEnd w:id="91"/>
      <w:bookmarkStart w:id="92" w:name="_Hlt75236290"/>
      <w:bookmarkEnd w:id="92"/>
      <w:r>
        <w:rPr>
          <w:rFonts w:hint="eastAsia" w:asciiTheme="majorEastAsia" w:hAnsiTheme="majorEastAsia" w:eastAsiaTheme="majorEastAsia" w:cstheme="majorEastAsia"/>
          <w:color w:val="auto"/>
        </w:rPr>
        <w:t>部门。</w:t>
      </w:r>
    </w:p>
    <w:p>
      <w:pPr>
        <w:pStyle w:val="4"/>
        <w:bidi w:val="0"/>
        <w:spacing w:line="240" w:lineRule="auto"/>
        <w:rPr>
          <w:rFonts w:hint="eastAsia" w:asciiTheme="majorEastAsia" w:hAnsiTheme="majorEastAsia" w:eastAsiaTheme="majorEastAsia" w:cstheme="majorEastAsia"/>
          <w:color w:val="auto"/>
          <w:sz w:val="28"/>
          <w:szCs w:val="28"/>
        </w:rPr>
      </w:pPr>
      <w:bookmarkStart w:id="93" w:name="_Toc35352908"/>
      <w:bookmarkStart w:id="94" w:name="_Toc787367862"/>
      <w:r>
        <w:rPr>
          <w:rFonts w:hint="eastAsia" w:asciiTheme="majorEastAsia" w:hAnsiTheme="majorEastAsia" w:eastAsiaTheme="majorEastAsia" w:cstheme="majorEastAsia"/>
          <w:color w:val="auto"/>
          <w:sz w:val="28"/>
          <w:szCs w:val="28"/>
        </w:rPr>
        <w:t>第四章 评标办法及标准</w:t>
      </w:r>
      <w:bookmarkEnd w:id="93"/>
      <w:bookmarkEnd w:id="94"/>
    </w:p>
    <w:p>
      <w:pPr>
        <w:spacing w:beforeLines="50" w:afterLines="50"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为公正、公平地选择入围供应商，根据《中华人民共和国政府采购法》、《中华人民共和国政府采购法实施条例》、《政府采购货物和服务招标</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管理办法》（财政部87号令）、《政府采购框架协议采购方式管理暂行办法》（财政部110号令）等规定等有关法律法规的规定，并结合本项目的实际，制定本办法。</w:t>
      </w:r>
    </w:p>
    <w:p>
      <w:pPr>
        <w:spacing w:beforeLines="50" w:afterLines="50" w:line="360" w:lineRule="auto"/>
        <w:ind w:firstLine="42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本办法适用于本项目的评标。</w:t>
      </w:r>
    </w:p>
    <w:p>
      <w:pPr>
        <w:spacing w:beforeLines="50" w:afterLines="50" w:line="360" w:lineRule="auto"/>
        <w:ind w:firstLine="481" w:firstLineChars="200"/>
        <w:jc w:val="left"/>
        <w:rPr>
          <w:rFonts w:asciiTheme="majorEastAsia" w:hAnsiTheme="majorEastAsia" w:eastAsiaTheme="majorEastAsia" w:cstheme="majorEastAsia"/>
          <w:color w:val="auto"/>
          <w:highlight w:val="yellow"/>
        </w:rPr>
      </w:pPr>
      <w:r>
        <w:rPr>
          <w:rFonts w:hint="eastAsia" w:asciiTheme="majorEastAsia" w:hAnsiTheme="majorEastAsia" w:eastAsiaTheme="majorEastAsia" w:cstheme="majorEastAsia"/>
          <w:b/>
          <w:color w:val="auto"/>
        </w:rPr>
        <w:t>一、总则</w:t>
      </w:r>
    </w:p>
    <w:p>
      <w:pPr>
        <w:spacing w:beforeLines="50" w:afterLines="5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根据中华人民共和国财政部令第 110 号《政府采购框架协议采购方式管理暂行办法》，确定第一阶段入围供应商的评审方法为质量优先法，确定第二阶段成交供应商的方式为直接选定</w:t>
      </w:r>
      <w:r>
        <w:rPr>
          <w:rFonts w:hint="eastAsia" w:asciiTheme="majorEastAsia" w:hAnsiTheme="majorEastAsia" w:eastAsiaTheme="majorEastAsia" w:cstheme="majorEastAsia"/>
          <w:color w:val="auto"/>
          <w:lang w:val="zh-CN"/>
        </w:rPr>
        <w:t>方式</w:t>
      </w:r>
      <w:r>
        <w:rPr>
          <w:rFonts w:hint="eastAsia" w:asciiTheme="majorEastAsia" w:hAnsiTheme="majorEastAsia" w:eastAsiaTheme="majorEastAsia" w:cstheme="majorEastAsia"/>
          <w:color w:val="auto"/>
        </w:rPr>
        <w:t>。</w:t>
      </w:r>
    </w:p>
    <w:p>
      <w:pPr>
        <w:spacing w:beforeLines="50" w:afterLines="50" w:line="360" w:lineRule="auto"/>
        <w:ind w:firstLine="480" w:firstLineChars="200"/>
        <w:rPr>
          <w:rFonts w:asciiTheme="majorEastAsia" w:hAnsiTheme="majorEastAsia" w:eastAsiaTheme="majorEastAsia" w:cstheme="majorEastAsia"/>
          <w:strike/>
          <w:color w:val="auto"/>
          <w:highlight w:val="yellow"/>
        </w:rPr>
      </w:pPr>
      <w:r>
        <w:rPr>
          <w:rFonts w:hint="eastAsia" w:asciiTheme="majorEastAsia" w:hAnsiTheme="majorEastAsia" w:eastAsiaTheme="majorEastAsia" w:cstheme="majorEastAsia"/>
          <w:color w:val="auto"/>
        </w:rPr>
        <w:t>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beforeLines="50" w:afterLines="50"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供应商评标综合得分=技术分+资信及其他分</w:t>
      </w:r>
    </w:p>
    <w:p>
      <w:pPr>
        <w:pStyle w:val="16"/>
        <w:spacing w:line="400" w:lineRule="exact"/>
        <w:ind w:firstLine="481" w:firstLineChars="200"/>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二、评标内容及标准</w:t>
      </w:r>
    </w:p>
    <w:p>
      <w:pPr>
        <w:pStyle w:val="16"/>
        <w:spacing w:line="400" w:lineRule="exact"/>
        <w:ind w:firstLine="480" w:firstLineChars="200"/>
        <w:rPr>
          <w:rFonts w:hint="eastAsia" w:asciiTheme="majorEastAsia" w:hAnsiTheme="majorEastAsia" w:eastAsiaTheme="majorEastAsia" w:cstheme="majorEastAsia"/>
          <w:color w:val="auto"/>
          <w:lang w:eastAsia="zh-CN"/>
        </w:rPr>
      </w:pPr>
      <w:r>
        <w:rPr>
          <w:rFonts w:hint="eastAsia" w:asciiTheme="majorEastAsia" w:hAnsiTheme="majorEastAsia" w:eastAsiaTheme="majorEastAsia" w:cstheme="majorEastAsia"/>
          <w:color w:val="auto"/>
        </w:rPr>
        <w:t>本项目采用质量优先法。评标总分值由资信商务技术分（资信商务得分+技术得分）组成，总分值100分。</w:t>
      </w:r>
      <w:r>
        <w:rPr>
          <w:rFonts w:hint="eastAsia" w:asciiTheme="majorEastAsia" w:hAnsiTheme="majorEastAsia" w:eastAsiaTheme="majorEastAsia" w:cstheme="majorEastAsia"/>
          <w:color w:val="auto"/>
          <w:lang w:val="en-US" w:eastAsia="zh-CN"/>
        </w:rPr>
        <w:t>1、当</w:t>
      </w:r>
      <w:r>
        <w:rPr>
          <w:rFonts w:hint="eastAsia" w:asciiTheme="majorEastAsia" w:hAnsiTheme="majorEastAsia" w:eastAsiaTheme="majorEastAsia" w:cstheme="majorEastAsia"/>
          <w:color w:val="auto"/>
          <w:lang w:eastAsia="zh-CN"/>
        </w:rPr>
        <w:t>供应商≤</w:t>
      </w:r>
      <w:r>
        <w:rPr>
          <w:rFonts w:hint="eastAsia" w:asciiTheme="majorEastAsia" w:hAnsiTheme="majorEastAsia" w:eastAsiaTheme="majorEastAsia" w:cstheme="majorEastAsia"/>
          <w:color w:val="auto"/>
          <w:lang w:val="en-US" w:eastAsia="zh-CN"/>
        </w:rPr>
        <w:t>2</w:t>
      </w:r>
      <w:r>
        <w:rPr>
          <w:rFonts w:hint="default" w:asciiTheme="majorEastAsia" w:hAnsiTheme="majorEastAsia" w:eastAsiaTheme="majorEastAsia" w:cstheme="majorEastAsia"/>
          <w:color w:val="auto"/>
          <w:lang w:eastAsia="zh-CN"/>
        </w:rPr>
        <w:t>7</w:t>
      </w:r>
      <w:r>
        <w:rPr>
          <w:rFonts w:hint="eastAsia" w:asciiTheme="majorEastAsia" w:hAnsiTheme="majorEastAsia" w:eastAsiaTheme="majorEastAsia" w:cstheme="majorEastAsia"/>
          <w:color w:val="auto"/>
          <w:lang w:val="en-US" w:eastAsia="zh-CN"/>
        </w:rPr>
        <w:t>家时，推荐</w:t>
      </w:r>
      <w:r>
        <w:rPr>
          <w:rFonts w:hint="eastAsia" w:asciiTheme="majorEastAsia" w:hAnsiTheme="majorEastAsia" w:eastAsiaTheme="majorEastAsia" w:cstheme="majorEastAsia"/>
          <w:color w:val="auto"/>
        </w:rPr>
        <w:t>评标最终得分</w:t>
      </w:r>
      <w:r>
        <w:rPr>
          <w:rFonts w:hint="eastAsia" w:asciiTheme="majorEastAsia" w:hAnsiTheme="majorEastAsia" w:eastAsiaTheme="majorEastAsia" w:cstheme="majorEastAsia"/>
          <w:color w:val="auto"/>
          <w:lang w:eastAsia="zh-CN"/>
        </w:rPr>
        <w:t>排名前</w:t>
      </w:r>
      <w:r>
        <w:rPr>
          <w:rFonts w:hint="eastAsia" w:asciiTheme="majorEastAsia" w:hAnsiTheme="majorEastAsia" w:eastAsiaTheme="majorEastAsia" w:cstheme="majorEastAsia"/>
          <w:color w:val="auto"/>
          <w:lang w:val="en-US" w:eastAsia="zh-CN"/>
        </w:rPr>
        <w:t>6</w:t>
      </w:r>
      <w:r>
        <w:rPr>
          <w:rFonts w:hint="eastAsia" w:asciiTheme="majorEastAsia" w:hAnsiTheme="majorEastAsia" w:eastAsiaTheme="majorEastAsia" w:cstheme="majorEastAsia"/>
          <w:color w:val="auto"/>
        </w:rPr>
        <w:t>0%</w:t>
      </w:r>
      <w:r>
        <w:rPr>
          <w:rFonts w:hint="eastAsia" w:asciiTheme="majorEastAsia" w:hAnsiTheme="majorEastAsia" w:eastAsiaTheme="majorEastAsia" w:cstheme="majorEastAsia"/>
          <w:color w:val="auto"/>
          <w:lang w:eastAsia="zh-CN"/>
        </w:rPr>
        <w:t>的供应商（四舍五入）</w:t>
      </w:r>
      <w:r>
        <w:rPr>
          <w:rFonts w:hint="eastAsia" w:asciiTheme="majorEastAsia" w:hAnsiTheme="majorEastAsia" w:eastAsiaTheme="majorEastAsia" w:cstheme="majorEastAsia"/>
          <w:color w:val="auto"/>
        </w:rPr>
        <w:t>为</w:t>
      </w:r>
      <w:r>
        <w:rPr>
          <w:rFonts w:hint="eastAsia" w:asciiTheme="majorEastAsia" w:hAnsiTheme="majorEastAsia" w:eastAsiaTheme="majorEastAsia" w:cstheme="majorEastAsia"/>
          <w:color w:val="auto"/>
          <w:lang w:eastAsia="zh-CN"/>
        </w:rPr>
        <w:t>入围</w:t>
      </w:r>
      <w:r>
        <w:rPr>
          <w:rFonts w:hint="eastAsia" w:asciiTheme="majorEastAsia" w:hAnsiTheme="majorEastAsia" w:eastAsiaTheme="majorEastAsia" w:cstheme="majorEastAsia"/>
          <w:color w:val="auto"/>
        </w:rPr>
        <w:t>供应商</w:t>
      </w:r>
      <w:r>
        <w:rPr>
          <w:rFonts w:hint="eastAsia" w:asciiTheme="majorEastAsia" w:hAnsiTheme="majorEastAsia" w:eastAsiaTheme="majorEastAsia" w:cstheme="majorEastAsia"/>
          <w:color w:val="auto"/>
          <w:lang w:eastAsia="zh-CN"/>
        </w:rPr>
        <w:t>；</w:t>
      </w:r>
      <w:r>
        <w:rPr>
          <w:rFonts w:hint="eastAsia" w:asciiTheme="majorEastAsia" w:hAnsiTheme="majorEastAsia" w:eastAsiaTheme="majorEastAsia" w:cstheme="majorEastAsia"/>
          <w:color w:val="auto"/>
          <w:lang w:val="en-US" w:eastAsia="zh-CN"/>
        </w:rPr>
        <w:t>2、当</w:t>
      </w:r>
      <w:r>
        <w:rPr>
          <w:rFonts w:hint="eastAsia" w:asciiTheme="majorEastAsia" w:hAnsiTheme="majorEastAsia" w:eastAsiaTheme="majorEastAsia" w:cstheme="majorEastAsia"/>
          <w:color w:val="auto"/>
          <w:lang w:eastAsia="zh-CN"/>
        </w:rPr>
        <w:t>供应商＞</w:t>
      </w:r>
      <w:r>
        <w:rPr>
          <w:rFonts w:hint="eastAsia" w:asciiTheme="majorEastAsia" w:hAnsiTheme="majorEastAsia" w:eastAsiaTheme="majorEastAsia" w:cstheme="majorEastAsia"/>
          <w:color w:val="auto"/>
          <w:lang w:val="en-US" w:eastAsia="zh-CN"/>
        </w:rPr>
        <w:t>27家时，</w:t>
      </w:r>
      <w:r>
        <w:rPr>
          <w:rFonts w:hint="eastAsia" w:asciiTheme="majorEastAsia" w:hAnsiTheme="majorEastAsia" w:eastAsiaTheme="majorEastAsia" w:cstheme="majorEastAsia"/>
          <w:color w:val="auto"/>
        </w:rPr>
        <w:t>推荐评标最终得分</w:t>
      </w:r>
      <w:r>
        <w:rPr>
          <w:rFonts w:hint="eastAsia" w:asciiTheme="majorEastAsia" w:hAnsiTheme="majorEastAsia" w:eastAsiaTheme="majorEastAsia" w:cstheme="majorEastAsia"/>
          <w:color w:val="auto"/>
          <w:lang w:eastAsia="zh-CN"/>
        </w:rPr>
        <w:t>排名</w:t>
      </w:r>
      <w:r>
        <w:rPr>
          <w:rFonts w:hint="eastAsia" w:asciiTheme="majorEastAsia" w:hAnsiTheme="majorEastAsia" w:eastAsiaTheme="majorEastAsia" w:cstheme="majorEastAsia"/>
          <w:color w:val="auto"/>
        </w:rPr>
        <w:t>前16名为入围供应商</w:t>
      </w:r>
      <w:r>
        <w:rPr>
          <w:rFonts w:hint="eastAsia" w:asciiTheme="majorEastAsia" w:hAnsiTheme="majorEastAsia" w:eastAsiaTheme="majorEastAsia" w:cstheme="majorEastAsia"/>
          <w:color w:val="auto"/>
          <w:lang w:eastAsia="zh-CN"/>
        </w:rPr>
        <w:t>。</w:t>
      </w:r>
    </w:p>
    <w:p>
      <w:pPr>
        <w:ind w:left="480"/>
        <w:rPr>
          <w:rFonts w:hint="eastAsia" w:asciiTheme="majorEastAsia" w:hAnsiTheme="majorEastAsia" w:eastAsiaTheme="majorEastAsia" w:cstheme="majorEastAsia"/>
          <w:b/>
          <w:bCs/>
          <w:color w:val="auto"/>
        </w:rPr>
      </w:pPr>
    </w:p>
    <w:p>
      <w:pPr>
        <w:ind w:left="48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技术、商务资信及其他分</w:t>
      </w:r>
      <w:r>
        <w:rPr>
          <w:rFonts w:hint="eastAsia" w:asciiTheme="majorEastAsia" w:hAnsiTheme="majorEastAsia" w:eastAsiaTheme="majorEastAsia" w:cstheme="majorEastAsia"/>
          <w:b/>
          <w:bCs/>
          <w:color w:val="auto"/>
          <w:lang w:val="en-US" w:eastAsia="zh-CN"/>
        </w:rPr>
        <w:t>10</w:t>
      </w:r>
      <w:r>
        <w:rPr>
          <w:rFonts w:hint="eastAsia" w:asciiTheme="majorEastAsia" w:hAnsiTheme="majorEastAsia" w:eastAsiaTheme="majorEastAsia" w:cstheme="majorEastAsia"/>
          <w:b/>
          <w:bCs/>
          <w:color w:val="auto"/>
        </w:rPr>
        <w:t>0分</w:t>
      </w:r>
    </w:p>
    <w:tbl>
      <w:tblPr>
        <w:tblStyle w:val="25"/>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8"/>
        <w:gridCol w:w="1104"/>
        <w:gridCol w:w="604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6"/>
              <w:keepNext w:val="0"/>
              <w:keepLines w:val="0"/>
              <w:suppressLineNumbers w:val="0"/>
              <w:spacing w:before="0" w:beforeAutospacing="0" w:after="0" w:afterAutospacing="0" w:line="26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998" w:type="dxa"/>
          </w:tcPr>
          <w:p>
            <w:pPr>
              <w:pStyle w:val="16"/>
              <w:keepNext w:val="0"/>
              <w:keepLines w:val="0"/>
              <w:suppressLineNumbers w:val="0"/>
              <w:spacing w:before="0" w:beforeAutospacing="0" w:after="0" w:afterAutospacing="0" w:line="26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评分</w:t>
            </w:r>
          </w:p>
          <w:p>
            <w:pPr>
              <w:pStyle w:val="16"/>
              <w:keepNext w:val="0"/>
              <w:keepLines w:val="0"/>
              <w:suppressLineNumbers w:val="0"/>
              <w:spacing w:before="0" w:beforeAutospacing="0" w:after="0" w:afterAutospacing="0" w:line="26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因素</w:t>
            </w:r>
          </w:p>
        </w:tc>
        <w:tc>
          <w:tcPr>
            <w:tcW w:w="1104" w:type="dxa"/>
            <w:vAlign w:val="center"/>
          </w:tcPr>
          <w:p>
            <w:pPr>
              <w:pStyle w:val="16"/>
              <w:keepNext w:val="0"/>
              <w:keepLines w:val="0"/>
              <w:suppressLineNumbers w:val="0"/>
              <w:spacing w:before="0" w:beforeAutospacing="0" w:after="0" w:afterAutospacing="0" w:line="26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评分项</w:t>
            </w:r>
          </w:p>
        </w:tc>
        <w:tc>
          <w:tcPr>
            <w:tcW w:w="6047" w:type="dxa"/>
            <w:vAlign w:val="center"/>
          </w:tcPr>
          <w:p>
            <w:pPr>
              <w:pStyle w:val="16"/>
              <w:keepNext w:val="0"/>
              <w:keepLines w:val="0"/>
              <w:suppressLineNumbers w:val="0"/>
              <w:spacing w:before="0" w:beforeAutospacing="0" w:after="0" w:afterAutospacing="0" w:line="26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评分细则</w:t>
            </w:r>
          </w:p>
        </w:tc>
        <w:tc>
          <w:tcPr>
            <w:tcW w:w="936" w:type="dxa"/>
            <w:vAlign w:val="center"/>
          </w:tcPr>
          <w:p>
            <w:pPr>
              <w:pStyle w:val="16"/>
              <w:keepNext w:val="0"/>
              <w:keepLines w:val="0"/>
              <w:suppressLineNumbers w:val="0"/>
              <w:spacing w:before="0" w:beforeAutospacing="0" w:after="0" w:afterAutospacing="0" w:line="26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5"/>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998"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w:t>
            </w:r>
          </w:p>
        </w:tc>
        <w:tc>
          <w:tcPr>
            <w:tcW w:w="1104" w:type="dxa"/>
            <w:vAlign w:val="center"/>
          </w:tcPr>
          <w:p>
            <w:pPr>
              <w:keepNext w:val="0"/>
              <w:keepLines w:val="0"/>
              <w:suppressLineNumbers w:val="0"/>
              <w:tabs>
                <w:tab w:val="left" w:pos="1260"/>
              </w:tabs>
              <w:autoSpaceDE w:val="0"/>
              <w:autoSpaceDN w:val="0"/>
              <w:spacing w:before="0" w:beforeAutospacing="0" w:after="0" w:afterLines="50" w:afterAutospacing="0" w:line="240" w:lineRule="auto"/>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w:t>
            </w:r>
          </w:p>
          <w:p>
            <w:pPr>
              <w:keepNext w:val="0"/>
              <w:keepLines w:val="0"/>
              <w:suppressLineNumbers w:val="0"/>
              <w:tabs>
                <w:tab w:val="left" w:pos="1260"/>
              </w:tabs>
              <w:autoSpaceDE w:val="0"/>
              <w:autoSpaceDN w:val="0"/>
              <w:spacing w:before="0" w:beforeAutospacing="0" w:after="0" w:afterLines="50" w:afterAutospacing="0" w:line="240" w:lineRule="auto"/>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业绩</w:t>
            </w:r>
          </w:p>
        </w:tc>
        <w:tc>
          <w:tcPr>
            <w:tcW w:w="6047" w:type="dxa"/>
            <w:vAlign w:val="center"/>
          </w:tcPr>
          <w:p>
            <w:pPr>
              <w:pStyle w:val="8"/>
              <w:keepNext w:val="0"/>
              <w:keepLines w:val="0"/>
              <w:suppressLineNumbers w:val="0"/>
              <w:spacing w:before="0" w:beforeAutospacing="0" w:after="0" w:afterAutospacing="0" w:line="240" w:lineRule="exact"/>
              <w:ind w:left="0" w:right="0" w:firstLine="48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人自2019年11月1日以来（以合同签订时间为准）完成过政府投资工程概算审核业绩的，每个得1分，最高得</w:t>
            </w:r>
            <w:r>
              <w:rPr>
                <w:rFonts w:hint="default"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rPr>
              <w:t>分。</w:t>
            </w:r>
          </w:p>
          <w:p>
            <w:pPr>
              <w:pStyle w:val="8"/>
              <w:keepNext w:val="0"/>
              <w:keepLines w:val="0"/>
              <w:suppressLineNumbers w:val="0"/>
              <w:spacing w:before="0" w:beforeAutospacing="0" w:after="0" w:afterAutospacing="0" w:line="240" w:lineRule="exact"/>
              <w:ind w:left="0" w:right="0" w:firstLine="48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注：业绩证明应附：①合同协议书、②造价成果文件；两者缺一不可。</w:t>
            </w:r>
          </w:p>
        </w:tc>
        <w:tc>
          <w:tcPr>
            <w:tcW w:w="936" w:type="dxa"/>
            <w:vAlign w:val="center"/>
          </w:tcPr>
          <w:p>
            <w:pPr>
              <w:keepNext w:val="0"/>
              <w:keepLines w:val="0"/>
              <w:suppressLineNumbers w:val="0"/>
              <w:tabs>
                <w:tab w:val="left" w:pos="1260"/>
              </w:tabs>
              <w:autoSpaceDE w:val="0"/>
              <w:autoSpaceDN w:val="0"/>
              <w:spacing w:before="0" w:beforeAutospacing="0" w:after="0" w:afterLines="50" w:afterAutospacing="0" w:line="400" w:lineRule="exact"/>
              <w:ind w:left="0" w:right="0"/>
              <w:jc w:val="center"/>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6"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998" w:type="dxa"/>
            <w:vAlign w:val="center"/>
          </w:tcPr>
          <w:p>
            <w:pPr>
              <w:keepNext w:val="0"/>
              <w:keepLines w:val="0"/>
              <w:suppressLineNumbers w:val="0"/>
              <w:spacing w:before="0" w:beforeAutospacing="0" w:after="0" w:afterAutospacing="0" w:line="400" w:lineRule="exact"/>
              <w:ind w:left="0" w:right="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w:t>
            </w:r>
          </w:p>
        </w:tc>
        <w:tc>
          <w:tcPr>
            <w:tcW w:w="1104" w:type="dxa"/>
            <w:vAlign w:val="center"/>
          </w:tcPr>
          <w:p>
            <w:pPr>
              <w:keepNext w:val="0"/>
              <w:keepLines w:val="0"/>
              <w:suppressLineNumbers w:val="0"/>
              <w:tabs>
                <w:tab w:val="left" w:pos="1260"/>
              </w:tabs>
              <w:autoSpaceDE w:val="0"/>
              <w:autoSpaceDN w:val="0"/>
              <w:spacing w:before="0" w:beforeAutospacing="0" w:after="0" w:afterLines="5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荣誉证书</w:t>
            </w:r>
          </w:p>
        </w:tc>
        <w:tc>
          <w:tcPr>
            <w:tcW w:w="6047" w:type="dxa"/>
            <w:vAlign w:val="center"/>
          </w:tcPr>
          <w:p>
            <w:pPr>
              <w:pStyle w:val="8"/>
              <w:keepNext w:val="0"/>
              <w:keepLines w:val="0"/>
              <w:suppressLineNumbers w:val="0"/>
              <w:spacing w:before="0" w:beforeAutospacing="0" w:after="0" w:afterAutospacing="0" w:line="240" w:lineRule="exact"/>
              <w:ind w:left="0" w:right="0" w:firstLine="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人自2019年11月1日以来，获得地级市及以上行政部门（部、委、局）颁发的工程造价咨询类奖项或荣誉，每获得一次表彰计</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分，最高得</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p>
            <w:pPr>
              <w:pStyle w:val="8"/>
              <w:keepNext w:val="0"/>
              <w:keepLines w:val="0"/>
              <w:suppressLineNumbers w:val="0"/>
              <w:spacing w:before="0" w:beforeAutospacing="0" w:after="0" w:afterAutospacing="0" w:line="240" w:lineRule="exact"/>
              <w:ind w:left="0" w:right="0" w:firstLine="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说明：提供证书复印件并加盖公章，未提供不得分。</w:t>
            </w:r>
          </w:p>
        </w:tc>
        <w:tc>
          <w:tcPr>
            <w:tcW w:w="936" w:type="dxa"/>
            <w:vAlign w:val="center"/>
          </w:tcPr>
          <w:p>
            <w:pPr>
              <w:keepNext w:val="0"/>
              <w:keepLines w:val="0"/>
              <w:suppressLineNumbers w:val="0"/>
              <w:tabs>
                <w:tab w:val="left" w:pos="1260"/>
              </w:tabs>
              <w:autoSpaceDE w:val="0"/>
              <w:autoSpaceDN w:val="0"/>
              <w:spacing w:before="0" w:beforeAutospacing="0" w:after="0" w:afterLines="50" w:afterAutospacing="0" w:line="400" w:lineRule="exact"/>
              <w:ind w:left="0" w:right="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998" w:type="dxa"/>
            <w:vAlign w:val="center"/>
          </w:tcPr>
          <w:p>
            <w:pPr>
              <w:keepNext w:val="0"/>
              <w:keepLines w:val="0"/>
              <w:suppressLineNumbers w:val="0"/>
              <w:spacing w:before="0" w:beforeAutospacing="0" w:after="0" w:afterAutospacing="0" w:line="400" w:lineRule="exact"/>
              <w:ind w:left="0" w:right="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w:t>
            </w:r>
          </w:p>
        </w:tc>
        <w:tc>
          <w:tcPr>
            <w:tcW w:w="1104" w:type="dxa"/>
            <w:vAlign w:val="center"/>
          </w:tcPr>
          <w:p>
            <w:pPr>
              <w:keepNext w:val="0"/>
              <w:keepLines w:val="0"/>
              <w:suppressLineNumbers w:val="0"/>
              <w:tabs>
                <w:tab w:val="left" w:pos="1260"/>
              </w:tabs>
              <w:autoSpaceDE w:val="0"/>
              <w:autoSpaceDN w:val="0"/>
              <w:spacing w:before="0" w:beforeAutospacing="0" w:after="0" w:afterLines="5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企业认证证书</w:t>
            </w:r>
          </w:p>
        </w:tc>
        <w:tc>
          <w:tcPr>
            <w:tcW w:w="6047" w:type="dxa"/>
            <w:vAlign w:val="center"/>
          </w:tcPr>
          <w:p>
            <w:pPr>
              <w:pStyle w:val="8"/>
              <w:keepNext w:val="0"/>
              <w:keepLines w:val="0"/>
              <w:suppressLineNumbers w:val="0"/>
              <w:spacing w:before="0" w:beforeAutospacing="0" w:after="0" w:afterAutospacing="0" w:line="240" w:lineRule="exact"/>
              <w:ind w:left="0" w:right="0" w:firstLine="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人具有质量管理体系认证证书、职业健康安全管理体系认证证书、环境管理体系认证证书，每个证书得</w:t>
            </w:r>
            <w:r>
              <w:rPr>
                <w:rFonts w:hint="default"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rPr>
              <w:t>分，最高得</w:t>
            </w:r>
            <w:r>
              <w:rPr>
                <w:rFonts w:hint="default" w:asciiTheme="minorEastAsia" w:hAnsiTheme="minorEastAsia" w:eastAsiaTheme="minorEastAsia" w:cstheme="minorEastAsia"/>
                <w:color w:val="auto"/>
                <w:sz w:val="21"/>
                <w:szCs w:val="21"/>
              </w:rPr>
              <w:t>6</w:t>
            </w:r>
            <w:r>
              <w:rPr>
                <w:rFonts w:hint="eastAsia" w:asciiTheme="minorEastAsia" w:hAnsiTheme="minorEastAsia" w:eastAsiaTheme="minorEastAsia" w:cstheme="minorEastAsia"/>
                <w:color w:val="auto"/>
                <w:sz w:val="21"/>
                <w:szCs w:val="21"/>
              </w:rPr>
              <w:t>分。</w:t>
            </w:r>
          </w:p>
          <w:p>
            <w:pPr>
              <w:pStyle w:val="8"/>
              <w:keepNext w:val="0"/>
              <w:keepLines w:val="0"/>
              <w:suppressLineNumbers w:val="0"/>
              <w:spacing w:before="0" w:beforeAutospacing="0" w:after="0" w:afterAutospacing="0" w:line="240" w:lineRule="exact"/>
              <w:ind w:left="0" w:right="0" w:firstLine="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color w:val="auto"/>
                <w:sz w:val="21"/>
                <w:szCs w:val="21"/>
              </w:rPr>
              <w:t xml:space="preserve">    说明：需提供以上认证证书复印件，并提供国家认证认可业务信息统一查询平台（http：//www.cnca.gov.cn）的证书查询截图和网址并加盖公章，否则不得分。</w:t>
            </w:r>
          </w:p>
        </w:tc>
        <w:tc>
          <w:tcPr>
            <w:tcW w:w="936" w:type="dxa"/>
            <w:vAlign w:val="center"/>
          </w:tcPr>
          <w:p>
            <w:pPr>
              <w:keepNext w:val="0"/>
              <w:keepLines w:val="0"/>
              <w:suppressLineNumbers w:val="0"/>
              <w:tabs>
                <w:tab w:val="left" w:pos="1260"/>
              </w:tabs>
              <w:autoSpaceDE w:val="0"/>
              <w:autoSpaceDN w:val="0"/>
              <w:spacing w:before="0" w:beforeAutospacing="0" w:after="0" w:afterLines="50" w:afterAutospacing="0" w:line="400" w:lineRule="exact"/>
              <w:ind w:left="0" w:right="0"/>
              <w:jc w:val="center"/>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p>
        </w:tc>
        <w:tc>
          <w:tcPr>
            <w:tcW w:w="998"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主观</w:t>
            </w:r>
          </w:p>
        </w:tc>
        <w:tc>
          <w:tcPr>
            <w:tcW w:w="1104"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服务大纲</w:t>
            </w: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服务总体方案：</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综合比较</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人提供的确保高质量履行合同的审核实施方案完整性、可靠性、实用性、专业性等内容，对政府投资项目工程投资控制的措施是否合理、有针对性，服务管理体系和考评体系是否完善。</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人对采购人需求的理解深刻、对政府投资项目工程投资控制的措施优越，服务管理体系和考评体系合理、完善的得5-8分；</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人对采购人需求的理解一般、对政府投资项目工程投资控制的措施合理，服务管理体系和考评体系可行的得2-5分（含5分）；</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人对采购人需求的理解模糊、对政府投资项目工程投资控制的措施一般的，服务管理体系和考评体系有瑕疵的得0-2分（含2分）；</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无相关内容描述的不得分。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6" w:type="dxa"/>
            <w:vMerge w:val="restart"/>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w:t>
            </w:r>
          </w:p>
        </w:tc>
        <w:tc>
          <w:tcPr>
            <w:tcW w:w="998" w:type="dxa"/>
            <w:vMerge w:val="restart"/>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主观</w:t>
            </w:r>
          </w:p>
        </w:tc>
        <w:tc>
          <w:tcPr>
            <w:tcW w:w="1104" w:type="dxa"/>
            <w:vMerge w:val="restart"/>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服务质量承诺、服务质量保证措施</w:t>
            </w: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5.1服务质量</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是否满足采购人要求，质量保证措施是否合理，是否制定完善的三级复核质量控制制度、重大问题会商制度、咨询质量奖惩制度等质量控制制度。三级复核质量控制制度应明确每级复核人员、复核要点、复核记录、成果相关要求等内容。</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服务质量满足采购人要求、质量保证措施合理、质量管理制度先进、完善的得4-6分；</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服务质量满足采购人要求、质量保证措施基本合理、质量管理制度基本完整的得2-4分（含4分）；</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服务质量满足采购人要求、质量保证措施存在瑕疵、质量管理制度不完整的得0-2分（含2分）。</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无相关内容描述的不得分。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998"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1104"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5.2对政府投资项目审核的重难点。</w:t>
            </w:r>
          </w:p>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是否针对政府投资项目审核，详细说明服务工作流程及现场勘察、项目对账、指标分析</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问题披露</w:t>
            </w:r>
            <w:r>
              <w:rPr>
                <w:rFonts w:hint="eastAsia" w:asciiTheme="minorEastAsia" w:hAnsiTheme="minorEastAsia" w:eastAsiaTheme="minorEastAsia" w:cstheme="minorEastAsia"/>
                <w:color w:val="auto"/>
                <w:sz w:val="21"/>
                <w:szCs w:val="21"/>
                <w:lang w:eastAsia="zh-CN"/>
              </w:rPr>
              <w:t>等工作环节的内容；</w:t>
            </w:r>
            <w:r>
              <w:rPr>
                <w:rFonts w:hint="eastAsia" w:asciiTheme="minorEastAsia" w:hAnsiTheme="minorEastAsia" w:eastAsiaTheme="minorEastAsia" w:cstheme="minorEastAsia"/>
                <w:color w:val="auto"/>
                <w:sz w:val="21"/>
                <w:szCs w:val="21"/>
              </w:rPr>
              <w:t>针对审核过程中发现的</w:t>
            </w:r>
            <w:r>
              <w:rPr>
                <w:rFonts w:hint="eastAsia" w:asciiTheme="minorEastAsia" w:hAnsiTheme="minorEastAsia" w:eastAsiaTheme="minorEastAsia" w:cstheme="minorEastAsia"/>
                <w:color w:val="auto"/>
                <w:sz w:val="21"/>
                <w:szCs w:val="21"/>
                <w:lang w:eastAsia="zh-CN"/>
              </w:rPr>
              <w:t>设计</w:t>
            </w:r>
            <w:r>
              <w:rPr>
                <w:rFonts w:hint="eastAsia" w:asciiTheme="minorEastAsia" w:hAnsiTheme="minorEastAsia" w:eastAsiaTheme="minorEastAsia" w:cstheme="minorEastAsia"/>
                <w:color w:val="auto"/>
                <w:sz w:val="21"/>
                <w:szCs w:val="21"/>
              </w:rPr>
              <w:t>图纸、特殊施工方案</w:t>
            </w:r>
            <w:r>
              <w:rPr>
                <w:rFonts w:hint="eastAsia" w:asciiTheme="minorEastAsia" w:hAnsiTheme="minorEastAsia" w:eastAsiaTheme="minorEastAsia" w:cstheme="minorEastAsia"/>
                <w:color w:val="auto"/>
                <w:sz w:val="21"/>
                <w:szCs w:val="21"/>
                <w:lang w:eastAsia="zh-CN"/>
              </w:rPr>
              <w:t>的问题</w:t>
            </w:r>
            <w:r>
              <w:rPr>
                <w:rFonts w:hint="eastAsia" w:asciiTheme="minorEastAsia" w:hAnsiTheme="minorEastAsia" w:eastAsiaTheme="minorEastAsia" w:cstheme="minorEastAsia"/>
                <w:color w:val="auto"/>
                <w:sz w:val="21"/>
                <w:szCs w:val="21"/>
              </w:rPr>
              <w:t>和建议解决方案</w:t>
            </w:r>
            <w:r>
              <w:rPr>
                <w:rFonts w:hint="eastAsia" w:asciiTheme="minorEastAsia" w:hAnsiTheme="minorEastAsia" w:eastAsiaTheme="minorEastAsia" w:cstheme="minorEastAsia"/>
                <w:color w:val="auto"/>
                <w:sz w:val="21"/>
                <w:szCs w:val="21"/>
                <w:lang w:eastAsia="zh-CN"/>
              </w:rPr>
              <w:t>和措施</w:t>
            </w:r>
            <w:r>
              <w:rPr>
                <w:rFonts w:hint="eastAsia" w:asciiTheme="minorEastAsia" w:hAnsiTheme="minorEastAsia" w:eastAsiaTheme="minorEastAsia" w:cstheme="minorEastAsia"/>
                <w:color w:val="auto"/>
                <w:sz w:val="21"/>
                <w:szCs w:val="21"/>
              </w:rPr>
              <w:t>；是否提供本项目实施过程中突发事件处理机制与预案。</w:t>
            </w:r>
          </w:p>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上述工作流程及主要工作内容描述详尽、突发事件处理预案完善可行的得4-6分；</w:t>
            </w:r>
          </w:p>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上述工作流程及主要工作内容完整、进度措施基本合理、具备突发事件处理预案的得2-4分（含4分）；</w:t>
            </w:r>
          </w:p>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上述工作流程、主要工作内容、进度措施及突发事件处理预案存在明显缺陷的得0-2分（含2分）；</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无相关内容描述的不得分。  </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6" w:type="dxa"/>
            <w:vMerge w:val="restart"/>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p>
        </w:tc>
        <w:tc>
          <w:tcPr>
            <w:tcW w:w="998"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主观</w:t>
            </w:r>
          </w:p>
        </w:tc>
        <w:tc>
          <w:tcPr>
            <w:tcW w:w="1104" w:type="dxa"/>
            <w:vMerge w:val="restart"/>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color w:val="auto"/>
                <w:sz w:val="21"/>
                <w:szCs w:val="21"/>
              </w:rPr>
              <w:t>项目人员组成</w:t>
            </w: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6.1根据</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人针对项目的审核组织人员架构 、岗位职责、专业分工、沟通协调等合理性科学性进行打分。参与审核的人员</w:t>
            </w:r>
            <w:r>
              <w:rPr>
                <w:rFonts w:hint="eastAsia" w:asciiTheme="minorEastAsia" w:hAnsiTheme="minorEastAsia" w:eastAsiaTheme="minorEastAsia" w:cstheme="minorEastAsia"/>
                <w:color w:val="auto"/>
                <w:sz w:val="21"/>
                <w:szCs w:val="21"/>
                <w:lang w:eastAsia="zh-CN"/>
              </w:rPr>
              <w:t>均为一级或二级注册造价师。</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针对项目的审核组织人员架构合理 、岗位职责明确、专业分工科学的得4-6分；</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针对项目的审核组织人员架构符合常规 、岗位职责较明确、专业分工合理的得2-4分（含4分）；</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针对项目的审核组织人员架构混乱 、岗位职责不清、专业分工模糊的得0-2分（含2分）。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96"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998"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w:t>
            </w:r>
          </w:p>
        </w:tc>
        <w:tc>
          <w:tcPr>
            <w:tcW w:w="1104"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color w:val="auto"/>
                <w:sz w:val="21"/>
                <w:szCs w:val="21"/>
              </w:rPr>
            </w:pP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6.2拟派团队人员专业</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 xml:space="preserve">   人员专业</w:t>
            </w:r>
            <w:r>
              <w:rPr>
                <w:rFonts w:hint="eastAsia" w:asciiTheme="minorEastAsia" w:hAnsiTheme="minorEastAsia" w:eastAsiaTheme="minorEastAsia" w:cstheme="minorEastAsia"/>
                <w:color w:val="auto"/>
                <w:sz w:val="21"/>
                <w:szCs w:val="21"/>
              </w:rPr>
              <w:t>分土建、交通运输、水利和安装</w:t>
            </w:r>
            <w:r>
              <w:rPr>
                <w:rFonts w:hint="default"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rPr>
              <w:t>团队人员中注册一级造价工程师包含三个（含）以上专业的得</w:t>
            </w:r>
            <w:r>
              <w:rPr>
                <w:rFonts w:hint="default" w:asciiTheme="minorEastAsia" w:hAnsiTheme="minorEastAsia" w:eastAsiaTheme="minorEastAsia" w:cstheme="minorEastAsia"/>
                <w:color w:val="auto"/>
                <w:sz w:val="21"/>
                <w:szCs w:val="21"/>
              </w:rPr>
              <w:t>12</w:t>
            </w:r>
            <w:r>
              <w:rPr>
                <w:rFonts w:hint="eastAsia" w:asciiTheme="minorEastAsia" w:hAnsiTheme="minorEastAsia" w:eastAsiaTheme="minorEastAsia" w:cstheme="minorEastAsia"/>
                <w:color w:val="auto"/>
                <w:sz w:val="21"/>
                <w:szCs w:val="21"/>
              </w:rPr>
              <w:t>分；团队人员中注册一级造价工程师包含两个专业的得</w:t>
            </w:r>
            <w:r>
              <w:rPr>
                <w:rFonts w:hint="default" w:asciiTheme="minorEastAsia" w:hAnsiTheme="minorEastAsia" w:eastAsiaTheme="minorEastAsia" w:cstheme="minorEastAsia"/>
                <w:color w:val="auto"/>
                <w:sz w:val="21"/>
                <w:szCs w:val="21"/>
              </w:rPr>
              <w:t>8</w:t>
            </w:r>
            <w:r>
              <w:rPr>
                <w:rFonts w:hint="eastAsia" w:asciiTheme="minorEastAsia" w:hAnsiTheme="minorEastAsia" w:eastAsiaTheme="minorEastAsia" w:cstheme="minorEastAsia"/>
                <w:color w:val="auto"/>
                <w:sz w:val="21"/>
                <w:szCs w:val="21"/>
              </w:rPr>
              <w:t>分；团队人员中注册一级造价工程师包含一个专业的得4分。拟派团队人员每人只取一个专业计分，本项最高得10分。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asciiTheme="minorEastAsia" w:hAnsiTheme="minorEastAsia" w:eastAsiaTheme="minorEastAsia" w:cstheme="minorEastAsia"/>
                <w:color w:val="auto"/>
                <w:sz w:val="21"/>
                <w:szCs w:val="21"/>
              </w:rPr>
            </w:pPr>
            <w:r>
              <w:rPr>
                <w:rFonts w:asciiTheme="minorEastAsia" w:hAnsiTheme="minorEastAsia" w:eastAsiaTheme="minorEastAsia" w:cstheme="minorEastAsia"/>
                <w:color w:val="auto"/>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696"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998"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w:t>
            </w:r>
          </w:p>
        </w:tc>
        <w:tc>
          <w:tcPr>
            <w:tcW w:w="1104"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6.3项目负责人</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项目负责人具备高级工程师及以上职称的，得</w:t>
            </w:r>
            <w:r>
              <w:rPr>
                <w:rFonts w:hint="default"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rPr>
              <w:t>分；</w:t>
            </w:r>
          </w:p>
          <w:p>
            <w:pPr>
              <w:keepNext w:val="0"/>
              <w:keepLines w:val="0"/>
              <w:suppressLineNumbers w:val="0"/>
              <w:autoSpaceDE w:val="0"/>
              <w:autoSpaceDN w:val="0"/>
              <w:spacing w:before="0" w:beforeAutospacing="0" w:after="0" w:afterAutospacing="0" w:line="240" w:lineRule="exact"/>
              <w:ind w:left="0" w:right="0"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项目负责人具有重大政府投资项目（1亿元以上）概算审核工作经验的得</w:t>
            </w:r>
            <w:r>
              <w:rPr>
                <w:rFonts w:hint="default" w:asciiTheme="minorEastAsia" w:hAnsiTheme="minorEastAsia" w:eastAsiaTheme="minorEastAsia" w:cstheme="minorEastAsia"/>
                <w:color w:val="auto"/>
                <w:sz w:val="21"/>
                <w:szCs w:val="21"/>
              </w:rPr>
              <w:t>3</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w:t>
            </w:r>
          </w:p>
          <w:p>
            <w:pPr>
              <w:keepNext w:val="0"/>
              <w:keepLines w:val="0"/>
              <w:suppressLineNumbers w:val="0"/>
              <w:autoSpaceDE w:val="0"/>
              <w:autoSpaceDN w:val="0"/>
              <w:spacing w:before="0" w:beforeAutospacing="0" w:after="0" w:afterAutospacing="0" w:line="240" w:lineRule="exact"/>
              <w:ind w:left="0" w:right="0" w:firstLine="42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项目负责人初始注册时间满</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年的加1分</w:t>
            </w:r>
            <w:r>
              <w:rPr>
                <w:rFonts w:hint="eastAsia" w:asciiTheme="minorEastAsia" w:hAnsiTheme="minorEastAsia" w:eastAsiaTheme="minorEastAsia" w:cstheme="minorEastAsia"/>
                <w:color w:val="auto"/>
                <w:sz w:val="21"/>
                <w:szCs w:val="21"/>
                <w:lang w:eastAsia="zh-CN"/>
              </w:rPr>
              <w:t>。</w:t>
            </w:r>
          </w:p>
          <w:p>
            <w:pPr>
              <w:keepNext w:val="0"/>
              <w:keepLines w:val="0"/>
              <w:suppressLineNumbers w:val="0"/>
              <w:autoSpaceDE w:val="0"/>
              <w:autoSpaceDN w:val="0"/>
              <w:spacing w:before="0" w:beforeAutospacing="0" w:after="0" w:afterAutospacing="0" w:line="240" w:lineRule="exact"/>
              <w:ind w:left="0" w:right="0"/>
              <w:rPr>
                <w:rFonts w:hint="default"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说明：（</w:t>
            </w:r>
            <w:r>
              <w:rPr>
                <w:rFonts w:hint="default" w:asciiTheme="minorEastAsia" w:hAnsiTheme="minorEastAsia" w:eastAsiaTheme="minorEastAsia" w:cstheme="minorEastAsia"/>
                <w:color w:val="auto"/>
                <w:sz w:val="21"/>
                <w:szCs w:val="21"/>
              </w:rPr>
              <w:t>项目</w:t>
            </w:r>
            <w:r>
              <w:rPr>
                <w:rFonts w:hint="eastAsia" w:asciiTheme="minorEastAsia" w:hAnsiTheme="minorEastAsia" w:eastAsiaTheme="minorEastAsia" w:cstheme="minorEastAsia"/>
                <w:color w:val="auto"/>
                <w:sz w:val="21"/>
                <w:szCs w:val="21"/>
              </w:rPr>
              <w:t>负责人</w:t>
            </w:r>
            <w:r>
              <w:rPr>
                <w:rFonts w:hint="default" w:asciiTheme="minorEastAsia" w:hAnsiTheme="minorEastAsia" w:eastAsiaTheme="minorEastAsia" w:cstheme="minorEastAsia"/>
                <w:color w:val="auto"/>
                <w:sz w:val="21"/>
                <w:szCs w:val="21"/>
              </w:rPr>
              <w:t>应标注注册的专业建议为土建</w:t>
            </w:r>
            <w:r>
              <w:rPr>
                <w:rFonts w:hint="eastAsia" w:asciiTheme="minorEastAsia" w:hAnsiTheme="minorEastAsia" w:eastAsiaTheme="minorEastAsia" w:cstheme="minorEastAsia"/>
                <w:color w:val="auto"/>
                <w:sz w:val="21"/>
                <w:szCs w:val="21"/>
                <w:lang w:eastAsia="zh-CN"/>
              </w:rPr>
              <w:t>，不作为评分项</w:t>
            </w:r>
            <w:r>
              <w:rPr>
                <w:rFonts w:hint="default" w:asciiTheme="minorEastAsia" w:hAnsiTheme="minorEastAsia" w:eastAsiaTheme="minorEastAsia" w:cstheme="minorEastAsia"/>
                <w:color w:val="auto"/>
                <w:sz w:val="21"/>
                <w:szCs w:val="21"/>
              </w:rPr>
              <w:t>。其他的专业可作为该项目负责人的增项。）</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6"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998"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w:t>
            </w:r>
          </w:p>
        </w:tc>
        <w:tc>
          <w:tcPr>
            <w:tcW w:w="1104"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6.4在采购人需求中最低人员要求的基础上，项目组人员增加一名一级注册造价师的，每人得3分，最高得9分；</w:t>
            </w:r>
          </w:p>
        </w:tc>
        <w:tc>
          <w:tcPr>
            <w:tcW w:w="936" w:type="dxa"/>
            <w:vAlign w:val="center"/>
          </w:tcPr>
          <w:p>
            <w:pPr>
              <w:keepNext w:val="0"/>
              <w:keepLines w:val="0"/>
              <w:suppressLineNumbers w:val="0"/>
              <w:autoSpaceDE w:val="0"/>
              <w:autoSpaceDN w:val="0"/>
              <w:spacing w:before="0" w:beforeAutospacing="0" w:after="0" w:afterAutospacing="0"/>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96"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998" w:type="dxa"/>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客观</w:t>
            </w:r>
          </w:p>
        </w:tc>
        <w:tc>
          <w:tcPr>
            <w:tcW w:w="1104" w:type="dxa"/>
            <w:vMerge w:val="continue"/>
            <w:vAlign w:val="center"/>
          </w:tcPr>
          <w:p>
            <w:pPr>
              <w:pStyle w:val="16"/>
              <w:keepNext w:val="0"/>
              <w:keepLines w:val="0"/>
              <w:suppressLineNumbers w:val="0"/>
              <w:spacing w:before="0" w:beforeAutospacing="0" w:after="0" w:afterAutospacing="0" w:line="400" w:lineRule="exact"/>
              <w:ind w:left="0" w:right="0" w:firstLine="0" w:firstLineChars="0"/>
              <w:jc w:val="center"/>
              <w:rPr>
                <w:rFonts w:asciiTheme="minorEastAsia" w:hAnsiTheme="minorEastAsia" w:eastAsiaTheme="minorEastAsia" w:cstheme="minorEastAsia"/>
                <w:bCs/>
                <w:color w:val="auto"/>
                <w:sz w:val="21"/>
                <w:szCs w:val="21"/>
              </w:rPr>
            </w:pP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6.5在本项目组成人员中项目组成员（不含项目负责人）每增加一名高级工程师（需同时具有一级注册造价师执业资格）的，得3分，最高得9分。</w:t>
            </w:r>
          </w:p>
        </w:tc>
        <w:tc>
          <w:tcPr>
            <w:tcW w:w="936" w:type="dxa"/>
            <w:vAlign w:val="center"/>
          </w:tcPr>
          <w:p>
            <w:pPr>
              <w:keepNext w:val="0"/>
              <w:keepLines w:val="0"/>
              <w:suppressLineNumbers w:val="0"/>
              <w:autoSpaceDE w:val="0"/>
              <w:autoSpaceDN w:val="0"/>
              <w:spacing w:before="0" w:beforeAutospacing="0" w:after="0" w:afterAutospacing="0"/>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696"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998"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w:t>
            </w:r>
          </w:p>
        </w:tc>
        <w:tc>
          <w:tcPr>
            <w:tcW w:w="1104"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工作时效性及服务能力</w:t>
            </w: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人是否承诺按照采购人提出的时限完成工作，能否保证采购人要求的响应时间，审核进度控制方案是否科学合理并明确时间节点、关键线路、逻辑关系、控制措施等方面的内容。</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承诺按照采购人提出的工作时限完成，能够保证采购人要求的响应时间，审核进度控制科学，内容明确的得4-6分；</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承诺按照采购人提出的工作时限完成，能够保证采购人要求的响应时间，审核进度控制合理，内容一般的得2-4分（含4分）；</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承诺按照采购人提出的工作时限完成，能够保证采购人要求的响应时间，审核进度控制一般，内容有缺陷的得0-2分（含2分）；</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无相关内容描述的不得分。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696"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998"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w:t>
            </w:r>
          </w:p>
        </w:tc>
        <w:tc>
          <w:tcPr>
            <w:tcW w:w="1104"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审核人员廉洁/廉政措施</w:t>
            </w:r>
          </w:p>
        </w:tc>
        <w:tc>
          <w:tcPr>
            <w:tcW w:w="6047" w:type="dxa"/>
            <w:vAlign w:val="center"/>
          </w:tcPr>
          <w:p>
            <w:pPr>
              <w:keepNext w:val="0"/>
              <w:keepLines w:val="0"/>
              <w:suppressLineNumbers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是否拟定审核人员廉洁/廉政方面必要的控制措施，确保行业廉政风险，具体可参考《浙江省建设工程造价咨询执业操作规程》第二章拟定。</w:t>
            </w:r>
          </w:p>
          <w:p>
            <w:pPr>
              <w:keepNext w:val="0"/>
              <w:keepLines w:val="0"/>
              <w:suppressLineNumbers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提供该方面控制措施或制度内容完整，且具备有效合理的制度及措施实施保障机制的得4-6分；</w:t>
            </w:r>
          </w:p>
          <w:p>
            <w:pPr>
              <w:keepNext w:val="0"/>
              <w:keepLines w:val="0"/>
              <w:suppressLineNumbers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提供了该方面的控制措施或制度，但内容不够完整，或制度及措施实施保障机制存在瑕疵的得2-4分（含4分）；</w:t>
            </w:r>
          </w:p>
          <w:p>
            <w:pPr>
              <w:keepNext w:val="0"/>
              <w:keepLines w:val="0"/>
              <w:suppressLineNumbers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提供了该方面的控制措施或制度，但内容存在缺陷，制度及措施实施保障机制存在问题的得0-2分（含2分）；</w:t>
            </w:r>
          </w:p>
          <w:p>
            <w:pPr>
              <w:keepNext w:val="0"/>
              <w:keepLines w:val="0"/>
              <w:suppressLineNumbers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没有相关内容描述的不得分。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998"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主观</w:t>
            </w:r>
          </w:p>
        </w:tc>
        <w:tc>
          <w:tcPr>
            <w:tcW w:w="1104"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合理化建议</w:t>
            </w: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   审核咨询服务的合理化建议或其他深基坑、高支模承重架、桥涵工程、材料检验等方面投资控制的合理化建议（如针对图纸深度不足的设计优化建议、可能发生的不平衡报价应对措施或建议等）。</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    提出的合理化建议与本项目完全符合，且具有较高的采纳可能性的得4-6分；</w:t>
            </w:r>
          </w:p>
          <w:p>
            <w:pPr>
              <w:keepNext w:val="0"/>
              <w:keepLines w:val="0"/>
              <w:suppressLineNumbers w:val="0"/>
              <w:autoSpaceDE w:val="0"/>
              <w:autoSpaceDN w:val="0"/>
              <w:spacing w:before="0" w:beforeAutospacing="0" w:after="0" w:afterAutospacing="0" w:line="240" w:lineRule="exact"/>
              <w:ind w:left="0" w:right="0" w:firstLine="420" w:firstLineChars="20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提出的合理化建议与本项目基本合理，但采纳可能性不高，且实施过程中可能存在缺陷的得2-4分</w:t>
            </w:r>
            <w:r>
              <w:rPr>
                <w:rFonts w:hint="eastAsia" w:asciiTheme="minorEastAsia" w:hAnsiTheme="minorEastAsia" w:eastAsiaTheme="minorEastAsia" w:cstheme="minorEastAsia"/>
                <w:color w:val="auto"/>
                <w:sz w:val="21"/>
                <w:szCs w:val="21"/>
              </w:rPr>
              <w:t>（含4分）</w:t>
            </w:r>
            <w:r>
              <w:rPr>
                <w:rFonts w:hint="eastAsia" w:asciiTheme="minorEastAsia" w:hAnsiTheme="minorEastAsia" w:eastAsiaTheme="minorEastAsia" w:cstheme="minorEastAsia"/>
                <w:snapToGrid w:val="0"/>
                <w:color w:val="auto"/>
                <w:sz w:val="21"/>
                <w:szCs w:val="21"/>
              </w:rPr>
              <w:t>；</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snapToGrid w:val="0"/>
                <w:color w:val="auto"/>
                <w:sz w:val="21"/>
                <w:szCs w:val="21"/>
              </w:rPr>
            </w:pPr>
            <w:r>
              <w:rPr>
                <w:rFonts w:hint="eastAsia" w:asciiTheme="minorEastAsia" w:hAnsiTheme="minorEastAsia" w:eastAsiaTheme="minorEastAsia" w:cstheme="minorEastAsia"/>
                <w:snapToGrid w:val="0"/>
                <w:color w:val="auto"/>
                <w:sz w:val="21"/>
                <w:szCs w:val="21"/>
              </w:rPr>
              <w:t xml:space="preserve">    提出的合理化建议与本项目完全脱离，无采纳可能性或实施过程中可能存在问题的得0-2分</w:t>
            </w:r>
            <w:r>
              <w:rPr>
                <w:rFonts w:hint="eastAsia" w:asciiTheme="minorEastAsia" w:hAnsiTheme="minorEastAsia" w:eastAsiaTheme="minorEastAsia" w:cstheme="minorEastAsia"/>
                <w:color w:val="auto"/>
                <w:sz w:val="21"/>
                <w:szCs w:val="21"/>
              </w:rPr>
              <w:t>（含2分）</w:t>
            </w:r>
            <w:r>
              <w:rPr>
                <w:rFonts w:hint="eastAsia" w:asciiTheme="minorEastAsia" w:hAnsiTheme="minorEastAsia" w:eastAsiaTheme="minorEastAsia" w:cstheme="minorEastAsia"/>
                <w:snapToGrid w:val="0"/>
                <w:color w:val="auto"/>
                <w:sz w:val="21"/>
                <w:szCs w:val="21"/>
              </w:rPr>
              <w:t>；</w:t>
            </w:r>
          </w:p>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napToGrid w:val="0"/>
                <w:color w:val="auto"/>
                <w:sz w:val="21"/>
                <w:szCs w:val="21"/>
              </w:rPr>
              <w:t xml:space="preserve">   没有相关内容描述的不得分。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96"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998"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客观</w:t>
            </w:r>
          </w:p>
        </w:tc>
        <w:tc>
          <w:tcPr>
            <w:tcW w:w="1104"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承诺误差率</w:t>
            </w: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snapToGrid w:val="0"/>
                <w:color w:val="auto"/>
                <w:sz w:val="21"/>
                <w:szCs w:val="21"/>
              </w:rPr>
            </w:pPr>
            <w:r>
              <w:rPr>
                <w:rFonts w:hint="default"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rPr>
              <w:t>承诺竣工结算（包括全过程跟踪评审项目竣工结算）审核误差率在2%（含）以内的得</w:t>
            </w:r>
            <w:r>
              <w:rPr>
                <w:rFonts w:hint="default"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rPr>
              <w:t>分，承诺审价误差率在2%-3%的得</w:t>
            </w:r>
            <w:r>
              <w:rPr>
                <w:rFonts w:hint="default"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rPr>
              <w:t>分，不承诺的不得分。</w:t>
            </w: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p>
        </w:tc>
        <w:tc>
          <w:tcPr>
            <w:tcW w:w="998"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合计</w:t>
            </w:r>
          </w:p>
        </w:tc>
        <w:tc>
          <w:tcPr>
            <w:tcW w:w="1104" w:type="dxa"/>
            <w:vAlign w:val="center"/>
          </w:tcPr>
          <w:p>
            <w:pPr>
              <w:keepNext w:val="0"/>
              <w:keepLines w:val="0"/>
              <w:suppressLineNumbers w:val="0"/>
              <w:autoSpaceDE w:val="0"/>
              <w:autoSpaceDN w:val="0"/>
              <w:spacing w:before="0" w:beforeAutospacing="0" w:after="0" w:afterAutospacing="0" w:line="400" w:lineRule="exact"/>
              <w:ind w:left="0" w:right="0"/>
              <w:rPr>
                <w:rFonts w:asciiTheme="minorEastAsia" w:hAnsiTheme="minorEastAsia" w:eastAsiaTheme="minorEastAsia" w:cstheme="minorEastAsia"/>
                <w:color w:val="auto"/>
                <w:sz w:val="21"/>
                <w:szCs w:val="21"/>
              </w:rPr>
            </w:pPr>
          </w:p>
        </w:tc>
        <w:tc>
          <w:tcPr>
            <w:tcW w:w="6047" w:type="dxa"/>
            <w:vAlign w:val="center"/>
          </w:tcPr>
          <w:p>
            <w:pPr>
              <w:keepNext w:val="0"/>
              <w:keepLines w:val="0"/>
              <w:suppressLineNumbers w:val="0"/>
              <w:autoSpaceDE w:val="0"/>
              <w:autoSpaceDN w:val="0"/>
              <w:spacing w:before="0" w:beforeAutospacing="0" w:after="0" w:afterAutospacing="0" w:line="240" w:lineRule="exact"/>
              <w:ind w:left="0" w:right="0"/>
              <w:rPr>
                <w:rFonts w:asciiTheme="minorEastAsia" w:hAnsiTheme="minorEastAsia" w:eastAsiaTheme="minorEastAsia" w:cstheme="minorEastAsia"/>
                <w:color w:val="auto"/>
                <w:sz w:val="21"/>
                <w:szCs w:val="21"/>
              </w:rPr>
            </w:pPr>
          </w:p>
        </w:tc>
        <w:tc>
          <w:tcPr>
            <w:tcW w:w="936" w:type="dxa"/>
            <w:vAlign w:val="center"/>
          </w:tcPr>
          <w:p>
            <w:pPr>
              <w:keepNext w:val="0"/>
              <w:keepLines w:val="0"/>
              <w:suppressLineNumbers w:val="0"/>
              <w:autoSpaceDE w:val="0"/>
              <w:autoSpaceDN w:val="0"/>
              <w:spacing w:before="0" w:beforeAutospacing="0" w:after="0" w:afterAutospacing="0" w:line="400" w:lineRule="exact"/>
              <w:ind w:left="0" w:right="0"/>
              <w:jc w:val="center"/>
              <w:rPr>
                <w:rFonts w:hint="default"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rPr>
              <w:fldChar w:fldCharType="begin"/>
            </w:r>
            <w:r>
              <w:rPr>
                <w:rFonts w:hint="default" w:asciiTheme="minorEastAsia" w:hAnsiTheme="minorEastAsia" w:eastAsiaTheme="minorEastAsia" w:cstheme="minorEastAsia"/>
                <w:color w:val="auto"/>
                <w:kern w:val="0"/>
                <w:sz w:val="21"/>
                <w:szCs w:val="21"/>
              </w:rPr>
              <w:instrText xml:space="preserve"> =SUM(ABOVE) \* MERGEFORMAT </w:instrText>
            </w:r>
            <w:r>
              <w:rPr>
                <w:rFonts w:hint="default" w:asciiTheme="minorEastAsia" w:hAnsiTheme="minorEastAsia" w:eastAsiaTheme="minorEastAsia" w:cstheme="minorEastAsia"/>
                <w:color w:val="auto"/>
                <w:kern w:val="0"/>
                <w:sz w:val="21"/>
                <w:szCs w:val="21"/>
              </w:rPr>
              <w:fldChar w:fldCharType="separate"/>
            </w:r>
            <w:r>
              <w:rPr>
                <w:rFonts w:hint="default" w:asciiTheme="minorEastAsia" w:hAnsiTheme="minorEastAsia" w:eastAsiaTheme="minorEastAsia" w:cstheme="minorEastAsia"/>
                <w:color w:val="auto"/>
                <w:kern w:val="0"/>
                <w:sz w:val="21"/>
                <w:szCs w:val="21"/>
              </w:rPr>
              <w:t>100</w:t>
            </w:r>
            <w:r>
              <w:rPr>
                <w:rFonts w:hint="default" w:asciiTheme="minorEastAsia" w:hAnsiTheme="minorEastAsia" w:eastAsiaTheme="minorEastAsia" w:cstheme="minorEastAsia"/>
                <w:color w:val="auto"/>
                <w:kern w:val="0"/>
                <w:sz w:val="21"/>
                <w:szCs w:val="21"/>
              </w:rPr>
              <w:fldChar w:fldCharType="end"/>
            </w:r>
          </w:p>
        </w:tc>
      </w:tr>
      <w:bookmarkEnd w:id="0"/>
      <w:bookmarkEnd w:id="1"/>
      <w:bookmarkEnd w:id="4"/>
      <w:bookmarkEnd w:id="33"/>
      <w:bookmarkEnd w:id="34"/>
      <w:bookmarkEnd w:id="35"/>
      <w:bookmarkEnd w:id="36"/>
    </w:tbl>
    <w:p>
      <w:pPr>
        <w:pStyle w:val="4"/>
        <w:rPr>
          <w:rFonts w:asciiTheme="majorEastAsia" w:hAnsiTheme="majorEastAsia" w:eastAsiaTheme="majorEastAsia" w:cstheme="majorEastAsia"/>
          <w:color w:val="auto"/>
        </w:rPr>
      </w:pPr>
      <w:bookmarkStart w:id="95" w:name="_Toc979480569"/>
      <w:bookmarkStart w:id="96" w:name="_Toc455"/>
      <w:bookmarkStart w:id="97" w:name="_Toc12032"/>
      <w:r>
        <w:rPr>
          <w:rFonts w:asciiTheme="majorEastAsia" w:hAnsiTheme="majorEastAsia" w:eastAsiaTheme="majorEastAsia" w:cstheme="majorEastAsia"/>
          <w:color w:val="auto"/>
        </w:rPr>
        <w:br w:type="page"/>
      </w:r>
    </w:p>
    <w:p>
      <w:pPr>
        <w:pStyle w:val="4"/>
        <w:bidi w:val="0"/>
        <w:spacing w:line="240" w:lineRule="auto"/>
        <w:rPr>
          <w:rFonts w:hint="eastAsia" w:asciiTheme="majorEastAsia" w:hAnsiTheme="majorEastAsia" w:eastAsiaTheme="majorEastAsia" w:cstheme="majorEastAsia"/>
          <w:color w:val="auto"/>
          <w:sz w:val="28"/>
          <w:szCs w:val="28"/>
        </w:rPr>
      </w:pPr>
      <w:bookmarkStart w:id="98" w:name="_Toc1057582860"/>
      <w:r>
        <w:rPr>
          <w:rFonts w:hint="eastAsia" w:asciiTheme="majorEastAsia" w:hAnsiTheme="majorEastAsia" w:eastAsiaTheme="majorEastAsia" w:cstheme="majorEastAsia"/>
          <w:color w:val="auto"/>
          <w:sz w:val="28"/>
          <w:szCs w:val="28"/>
        </w:rPr>
        <w:t>第五章框架协议主要条款</w:t>
      </w:r>
      <w:bookmarkEnd w:id="98"/>
    </w:p>
    <w:p>
      <w:pPr>
        <w:spacing w:line="400" w:lineRule="exact"/>
        <w:ind w:firstLine="480" w:firstLineChars="200"/>
        <w:rPr>
          <w:rFonts w:ascii="宋体" w:hAnsi="宋体" w:eastAsia="宋体" w:cs="宋体"/>
          <w:color w:val="auto"/>
        </w:rPr>
      </w:pPr>
      <w:r>
        <w:rPr>
          <w:rFonts w:hint="eastAsia" w:ascii="宋体" w:hAnsi="宋体" w:eastAsia="宋体" w:cs="宋体"/>
          <w:color w:val="auto"/>
        </w:rPr>
        <w:t>（此稿为框架协议样本，最终定稿待双方协商后商定）</w:t>
      </w:r>
    </w:p>
    <w:p>
      <w:pPr>
        <w:spacing w:line="400" w:lineRule="exact"/>
        <w:ind w:firstLine="480" w:firstLineChars="200"/>
        <w:rPr>
          <w:rFonts w:ascii="宋体" w:hAnsi="宋体" w:eastAsia="宋体" w:cs="宋体"/>
          <w:color w:val="auto"/>
        </w:rPr>
      </w:pP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项目名称：                                 项目编号：</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 xml:space="preserve">甲方：（征集人）                              </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乙方：（供应商）</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根据</w:t>
      </w:r>
      <w:r>
        <w:rPr>
          <w:rFonts w:hint="eastAsia" w:ascii="宋体" w:hAnsi="宋体" w:eastAsia="宋体" w:cs="宋体"/>
          <w:color w:val="auto"/>
          <w:lang w:eastAsia="zh-CN"/>
        </w:rPr>
        <w:t>湖州市本级（含吴兴、南浔财政审核中心）政府投资项目工程造价咨询服务</w:t>
      </w:r>
      <w:r>
        <w:rPr>
          <w:rFonts w:hint="eastAsia" w:ascii="宋体" w:hAnsi="宋体" w:eastAsia="宋体" w:cs="宋体"/>
          <w:color w:val="auto"/>
        </w:rPr>
        <w:t>框架协议采购结果，兹委托乙方参与年度</w:t>
      </w:r>
      <w:r>
        <w:rPr>
          <w:rFonts w:hint="eastAsia" w:ascii="宋体" w:hAnsi="宋体" w:eastAsia="宋体" w:cs="宋体"/>
          <w:color w:val="auto"/>
          <w:lang w:eastAsia="zh-CN"/>
        </w:rPr>
        <w:t>湖州市本级（含吴兴、南浔财政审核中心）政府投资项目</w:t>
      </w:r>
      <w:r>
        <w:rPr>
          <w:rFonts w:hint="eastAsia" w:ascii="宋体" w:hAnsi="宋体" w:eastAsia="宋体" w:cs="宋体"/>
          <w:color w:val="auto"/>
        </w:rPr>
        <w:t>委托评审业务。依照《中华人民共和国民法典》及其它有关法律、法规，遵循平等、自愿、公平和诚实信用的原则，双方就下述竣工结算审核和全过程跟踪评审事项协商一致，订立本协议。</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一、项目情况</w:t>
      </w:r>
    </w:p>
    <w:p>
      <w:pPr>
        <w:spacing w:line="400" w:lineRule="exact"/>
        <w:ind w:firstLine="480" w:firstLineChars="200"/>
        <w:rPr>
          <w:rFonts w:ascii="宋体" w:hAnsi="宋体" w:eastAsia="宋体" w:cs="宋体"/>
          <w:b/>
          <w:bCs/>
          <w:color w:val="auto"/>
        </w:rPr>
      </w:pPr>
      <w:r>
        <w:rPr>
          <w:rFonts w:hint="eastAsia" w:ascii="宋体" w:hAnsi="宋体" w:eastAsia="宋体" w:cs="宋体"/>
          <w:color w:val="auto"/>
        </w:rPr>
        <w:t>1．项目名称：</w:t>
      </w:r>
      <w:r>
        <w:rPr>
          <w:rFonts w:hint="eastAsia" w:ascii="宋体" w:hAnsi="宋体" w:eastAsia="宋体" w:cs="宋体"/>
          <w:color w:val="auto"/>
          <w:u w:val="single"/>
          <w:lang w:eastAsia="zh-CN"/>
        </w:rPr>
        <w:t>湖州市本级（含吴兴、南浔财政审核中心）政府投资项目工程造价咨询服务框架协议</w:t>
      </w:r>
      <w:r>
        <w:rPr>
          <w:rFonts w:hint="eastAsia" w:ascii="宋体" w:hAnsi="宋体" w:eastAsia="宋体" w:cs="宋体"/>
          <w:color w:val="auto"/>
          <w:u w:val="single"/>
        </w:rPr>
        <w:t xml:space="preserve">采购 </w:t>
      </w:r>
    </w:p>
    <w:p>
      <w:pPr>
        <w:spacing w:line="400" w:lineRule="exact"/>
        <w:ind w:firstLine="480" w:firstLineChars="200"/>
        <w:rPr>
          <w:rFonts w:ascii="宋体" w:hAnsi="宋体" w:eastAsia="宋体" w:cs="宋体"/>
          <w:color w:val="auto"/>
          <w:u w:val="single"/>
        </w:rPr>
      </w:pPr>
      <w:r>
        <w:rPr>
          <w:rFonts w:hint="eastAsia" w:ascii="宋体" w:hAnsi="宋体" w:eastAsia="宋体" w:cs="宋体"/>
          <w:color w:val="auto"/>
        </w:rPr>
        <w:t>2．项目</w:t>
      </w:r>
      <w:r>
        <w:rPr>
          <w:rFonts w:hint="eastAsia" w:ascii="宋体" w:hAnsi="宋体" w:eastAsia="宋体" w:cs="宋体"/>
          <w:color w:val="auto"/>
          <w:lang w:eastAsia="zh-CN"/>
        </w:rPr>
        <w:t>服务</w:t>
      </w:r>
      <w:r>
        <w:rPr>
          <w:rFonts w:hint="eastAsia" w:ascii="宋体" w:hAnsi="宋体" w:eastAsia="宋体" w:cs="宋体"/>
          <w:color w:val="auto"/>
        </w:rPr>
        <w:t>时间：</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pPr>
        <w:spacing w:line="400" w:lineRule="exact"/>
        <w:ind w:firstLine="480" w:firstLineChars="200"/>
        <w:rPr>
          <w:rFonts w:ascii="宋体" w:hAnsi="宋体" w:eastAsia="宋体" w:cs="宋体"/>
          <w:color w:val="auto"/>
          <w:u w:val="single"/>
        </w:rPr>
      </w:pPr>
      <w:r>
        <w:rPr>
          <w:rFonts w:hint="eastAsia" w:ascii="宋体" w:hAnsi="宋体" w:eastAsia="宋体" w:cs="宋体"/>
          <w:color w:val="auto"/>
        </w:rPr>
        <w:t>3．项目建设内容及规模：</w:t>
      </w:r>
      <w:r>
        <w:rPr>
          <w:rFonts w:hint="eastAsia" w:ascii="宋体" w:hAnsi="宋体" w:eastAsia="宋体" w:cs="宋体"/>
          <w:color w:val="auto"/>
          <w:u w:val="single"/>
        </w:rPr>
        <w:t xml:space="preserve"> 详见具体项目委托评审合同  </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二、委托评审的内容</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w:t>
      </w:r>
      <w:r>
        <w:rPr>
          <w:rFonts w:hint="default" w:ascii="宋体" w:hAnsi="宋体" w:cs="宋体"/>
          <w:color w:val="auto"/>
        </w:rPr>
        <w:t>初步设计概算</w:t>
      </w:r>
      <w:r>
        <w:rPr>
          <w:rFonts w:hint="eastAsia" w:ascii="宋体" w:hAnsi="宋体" w:eastAsia="宋体" w:cs="宋体"/>
          <w:color w:val="auto"/>
        </w:rPr>
        <w:t>审核服务。</w:t>
      </w:r>
    </w:p>
    <w:p>
      <w:pPr>
        <w:spacing w:line="400" w:lineRule="exact"/>
        <w:ind w:firstLine="480" w:firstLineChars="200"/>
        <w:rPr>
          <w:rFonts w:hint="eastAsia" w:ascii="宋体" w:hAnsi="宋体" w:eastAsia="宋体" w:cs="宋体"/>
          <w:color w:val="auto"/>
        </w:rPr>
      </w:pPr>
      <w:r>
        <w:rPr>
          <w:rFonts w:hint="eastAsia" w:ascii="宋体" w:hAnsi="宋体" w:eastAsia="宋体" w:cs="宋体"/>
          <w:color w:val="auto"/>
        </w:rPr>
        <w:t>2．</w:t>
      </w:r>
      <w:r>
        <w:rPr>
          <w:rFonts w:hint="default" w:ascii="宋体" w:hAnsi="宋体" w:cs="宋体"/>
          <w:color w:val="auto"/>
        </w:rPr>
        <w:t>招标控制价（含工程量清单）</w:t>
      </w:r>
      <w:r>
        <w:rPr>
          <w:rFonts w:hint="eastAsia" w:ascii="宋体" w:hAnsi="宋体" w:eastAsia="宋体" w:cs="宋体"/>
          <w:color w:val="auto"/>
        </w:rPr>
        <w:t>评审服务。</w:t>
      </w:r>
    </w:p>
    <w:p>
      <w:pPr>
        <w:pStyle w:val="2"/>
        <w:rPr>
          <w:rFonts w:hint="default"/>
          <w:color w:val="auto"/>
          <w:sz w:val="24"/>
          <w:szCs w:val="24"/>
        </w:rPr>
      </w:pPr>
      <w:r>
        <w:rPr>
          <w:rFonts w:hint="default" w:hAnsi="宋体" w:cs="宋体"/>
          <w:color w:val="auto"/>
        </w:rPr>
        <w:t xml:space="preserve"> </w:t>
      </w:r>
      <w:r>
        <w:rPr>
          <w:rFonts w:hint="default" w:hAnsi="宋体" w:cs="宋体"/>
          <w:color w:val="auto"/>
          <w:sz w:val="24"/>
          <w:szCs w:val="24"/>
        </w:rPr>
        <w:t xml:space="preserve"> 3. 竣工结算评审服务。</w:t>
      </w:r>
    </w:p>
    <w:p>
      <w:pPr>
        <w:spacing w:line="400" w:lineRule="exact"/>
        <w:ind w:firstLine="480" w:firstLineChars="200"/>
        <w:rPr>
          <w:rFonts w:ascii="宋体" w:hAnsi="宋体" w:eastAsia="宋体" w:cs="宋体"/>
          <w:color w:val="auto"/>
        </w:rPr>
      </w:pPr>
      <w:r>
        <w:rPr>
          <w:rFonts w:hint="default" w:ascii="宋体" w:hAnsi="宋体" w:cs="宋体"/>
          <w:color w:val="auto"/>
        </w:rPr>
        <w:t>4</w:t>
      </w:r>
      <w:r>
        <w:rPr>
          <w:rFonts w:hint="eastAsia" w:ascii="宋体" w:hAnsi="宋体" w:eastAsia="宋体" w:cs="宋体"/>
          <w:color w:val="auto"/>
        </w:rPr>
        <w:t>．其他甲方要求评审的内容。</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三、评审质量要求</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kern w:val="2"/>
          <w:sz w:val="24"/>
          <w:szCs w:val="24"/>
          <w:lang w:val="en-US" w:eastAsia="zh-CN" w:bidi="ar"/>
        </w:rPr>
        <w:t>概算、招标控制价（含工程量清单）、竣工结算和其他专项评审</w:t>
      </w:r>
      <w:r>
        <w:rPr>
          <w:rFonts w:hint="eastAsia" w:ascii="宋体" w:hAnsi="宋体" w:eastAsia="宋体" w:cs="宋体"/>
          <w:color w:val="auto"/>
        </w:rPr>
        <w:t>成果文件应符合相关质量标准，评审误差率不超过投标承诺____。</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2．项目竣工结算审核。</w:t>
      </w:r>
    </w:p>
    <w:p>
      <w:pPr>
        <w:spacing w:line="400" w:lineRule="exact"/>
        <w:ind w:firstLine="481" w:firstLineChars="200"/>
        <w:rPr>
          <w:rFonts w:ascii="宋体" w:hAnsi="宋体" w:eastAsia="宋体" w:cs="宋体"/>
          <w:b/>
          <w:color w:val="auto"/>
        </w:rPr>
      </w:pPr>
      <w:r>
        <w:rPr>
          <w:rFonts w:hint="eastAsia" w:ascii="宋体" w:hAnsi="宋体" w:eastAsia="宋体" w:cs="宋体"/>
          <w:b/>
          <w:color w:val="auto"/>
        </w:rPr>
        <w:t>四、甲方权利和义务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1．甲方对乙方在服务期的评审工作进行全面管理、监督。</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2．竣工结算审核、全过程跟踪评审项目评审由征集人采用顺序轮候方法分配任务。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3．甲方有权要求乙方更换不称职或应回避的评审人员。</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4．甲方有权对评审人员的工作质量随时检查、监督。对考核不合格者，甲方有权停止对乙方的委托评审业务。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5．甲方有权要求乙方按甲方指定的操作规定和办法执行。</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6．甲方有权要求乙方按甲方要求出具统一评审结果文书。</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7．甲方负责乙方评审档案立卷、归档的指导和验收工作。</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8．甲方应及时协调，帮助乙方按规定时间接受被评审单位提交的项目评审所需的资料。</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9．对乙方提出的有争议且不能解决的工程问题和财务问题，甲方应协调有关部门解决。</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五、乙方权利和义务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1．在评审过程中，乙方有权拒绝不符合国家法律、法规等行为的人为干涉。</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2．乙方有权向甲方提出回避依法应回避的甲方代表。</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3．在业务分配前有权提出暂停接受任务的权利，经甲方同意后可不接受预结算编审工作。</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4．评审人员</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（1）评审工作人员应与按投标文件的拟派人员一致，不得调整。</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（2）每个具体项目乙方的负责人都必须到现场踏勘，全过程跟踪评审驻场人员应接受建设单位考勤。</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（3）乙方的项目负责人应按时参加甲方所组织的会议，负责汇总本单位的在审核编制过程的问题，并与甲方相关工作人员联系。</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（4）竣工结算审核资料由乙方团队负责人或具体项目负责人在规定期限内亲自领取，当场复核，不得委托第三人前来领取。</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（5）乙方工作人员请假人数不得超过拟派人员的1/3，一年内所有请假人员累计请假时间不得超过12个月。</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2．业务承接与完成</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（1）乙方须按照框架协议采购条款约定承接业务，除事前请假并得到同意外，不得拒绝承接分配的业务，不得违规承接业务。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（2）乙方不得将甲方委托的评审业务转包或分包给其他单位或个人。</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（3）乙方必须在约定的工作时间内完成评审业务。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（4）乙方评审人员在办理评审事项时，应当客观公正、实事求是、廉洁奉公，并保持严谨、稳健、负责的职业态度，在执行评审任务时，应真实反映评审结果，客观评价评审事项。</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（5）乙方保证在开展评审业务时，严格遵守法律法规和相关规章制度，按照评审合同约定的内容进行评审，负责评审事项的取证，出具评审报告。</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（6）乙方所有须加盖公章的协议、表格、评审成果等资料必须加盖与乙方投标时相同的单位公章，其他（如办事处、分公司、项目章、业务专用章等）均不予认可。</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（7）乙方负责评审档案的归档和立卷。</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（8）乙方在评审过程中，除工作底稿以外的所有文件均应用</w:t>
      </w:r>
      <w:r>
        <w:rPr>
          <w:rFonts w:hint="default" w:ascii="宋体" w:hAnsi="宋体" w:cs="宋体"/>
          <w:color w:val="auto"/>
        </w:rPr>
        <w:t>电子</w:t>
      </w:r>
      <w:r>
        <w:rPr>
          <w:rFonts w:hint="eastAsia" w:ascii="宋体" w:hAnsi="宋体" w:eastAsia="宋体" w:cs="宋体"/>
          <w:color w:val="auto"/>
        </w:rPr>
        <w:t>生成，并交给甲方</w:t>
      </w:r>
      <w:r>
        <w:rPr>
          <w:rFonts w:hint="default" w:ascii="宋体" w:hAnsi="宋体" w:cs="宋体"/>
          <w:color w:val="auto"/>
        </w:rPr>
        <w:t>电子文件</w:t>
      </w:r>
      <w:r>
        <w:rPr>
          <w:rFonts w:hint="eastAsia" w:ascii="宋体" w:hAnsi="宋体" w:eastAsia="宋体" w:cs="宋体"/>
          <w:color w:val="auto"/>
        </w:rPr>
        <w:t>，这些文件包括但不限于评审方案、评审事项分类记录、 评审结果文书。</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（9）乙方如被终止委托评审业务，仍应协助甲方完成已委托评审项目的后续工作。</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4．评审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项目实施期间，乙方须遵守甲方制定的各项管理制度</w:t>
      </w:r>
      <w:r>
        <w:rPr>
          <w:rFonts w:hint="eastAsia" w:ascii="宋体" w:hAnsi="宋体" w:eastAsia="宋体" w:cs="宋体"/>
          <w:color w:val="auto"/>
          <w:lang w:eastAsia="zh-CN"/>
        </w:rPr>
        <w:t>，</w:t>
      </w:r>
      <w:r>
        <w:rPr>
          <w:rFonts w:hint="eastAsia" w:ascii="宋体" w:hAnsi="宋体" w:eastAsia="宋体" w:cs="宋体"/>
          <w:color w:val="auto"/>
        </w:rPr>
        <w:t>参加日常和年度综合考核。</w:t>
      </w:r>
    </w:p>
    <w:p>
      <w:pPr>
        <w:spacing w:line="400" w:lineRule="exact"/>
        <w:ind w:firstLine="481" w:firstLineChars="200"/>
        <w:jc w:val="left"/>
        <w:rPr>
          <w:rFonts w:ascii="宋体" w:hAnsi="宋体" w:eastAsia="宋体" w:cs="宋体"/>
          <w:b/>
          <w:bCs/>
          <w:color w:val="auto"/>
        </w:rPr>
      </w:pPr>
      <w:r>
        <w:rPr>
          <w:rFonts w:hint="eastAsia" w:ascii="宋体" w:hAnsi="宋体" w:eastAsia="宋体" w:cs="宋体"/>
          <w:b/>
          <w:bCs/>
          <w:color w:val="auto"/>
        </w:rPr>
        <w:t>六、违约责任</w:t>
      </w:r>
    </w:p>
    <w:p>
      <w:pPr>
        <w:spacing w:line="400" w:lineRule="exact"/>
        <w:ind w:firstLine="480" w:firstLineChars="200"/>
        <w:jc w:val="left"/>
        <w:rPr>
          <w:rFonts w:ascii="宋体" w:hAnsi="宋体" w:eastAsia="宋体" w:cs="宋体"/>
          <w:color w:val="auto"/>
        </w:rPr>
      </w:pPr>
      <w:r>
        <w:rPr>
          <w:rFonts w:hint="eastAsia" w:ascii="宋体" w:hAnsi="宋体" w:eastAsia="宋体" w:cs="宋体"/>
          <w:color w:val="auto"/>
        </w:rPr>
        <w:t>1．乙方如违约，甲方有权取消乙方的委托评审资格，将乙方从入围供应商中清退及向乙方追究其它经济责任等。甲方如违约，乙方有权追究其经济责任。</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2．乙方的评审人员如滥用职权、徇私舞弊、玩忽职守，尚不够成犯罪但造成损失的，甲方将依法追究乙方的经济责任；如构成犯罪的，依法追究乙方的刑事责任。</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3．因乙方原因导致评审结果有严重错误，并造成甲方或委托评审的业主单位损失的，乙方应承担相应的责任。</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4．乙方应按投标文件所承诺的服务措施完成评审工作，如与承诺不一致，视为违约，甲方视情节处理。乙方在项目评审过程中，</w:t>
      </w:r>
      <w:r>
        <w:rPr>
          <w:rFonts w:hint="eastAsia" w:ascii="宋体" w:hAnsi="宋体" w:eastAsia="宋体" w:cs="宋体"/>
          <w:bCs/>
          <w:color w:val="auto"/>
          <w:lang w:val="zh-CN"/>
        </w:rPr>
        <w:t>超过承诺的误差率，除具体的委托评审合同规定处理外，相应扣减委托评审服务费用直至不予支付委托评审服务费用。</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5．乙方如有下列情形之一，甲方有权责令乙方按期整改，乙方须按期进行整改，二次整改后仍不符合要求的，甲方将与乙方单方解除本协议并将乙方从入围供应商中清退，并且甲方有权根据相关文件规定上报监管部门将乙方列入政府采购不良行为记录名单：</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（1）不履行评审人员义务。</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（2）乙方拒绝接收甲方业务分配。</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（3）所有须加盖公章的协议、表格、评审成果等资料必须加盖与投标时单位公章不同。</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6．乙方考核不合格</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（1）乙方在考核年度内评审项目考核不合格达一个的，甲方暂停向乙方分配业务三个月。</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（2）乙方年度综合考核合格但排在末位的，甲方暂停向乙方分配业务一个月。</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（3）乙方在考核年度内评审项目考核不合格达二个以上的，或年度综合考核不合格的，甲方将与乙方单方解除本协议并将乙方从入围供应商中清退。</w:t>
      </w:r>
    </w:p>
    <w:p>
      <w:pPr>
        <w:spacing w:line="520" w:lineRule="exact"/>
        <w:ind w:firstLine="481" w:firstLineChars="200"/>
        <w:rPr>
          <w:rFonts w:ascii="宋体" w:hAnsi="宋体" w:eastAsia="宋体" w:cs="宋体"/>
          <w:b/>
          <w:bCs/>
          <w:color w:val="auto"/>
        </w:rPr>
      </w:pPr>
      <w:r>
        <w:rPr>
          <w:rFonts w:hint="eastAsia" w:ascii="宋体" w:hAnsi="宋体" w:eastAsia="宋体" w:cs="宋体"/>
          <w:b/>
          <w:bCs/>
          <w:color w:val="auto"/>
        </w:rPr>
        <w:t>七、服务费用</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1.接收业务后，乙方应与项目委托单位签订委托评审合同。乙方按合同完成评审业务后，可向项目委托评审单位收取服务费，服务费标准按投标承诺。</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kern w:val="0"/>
        </w:rPr>
        <w:t>竣工结算审核服务追加费按投标承诺标准收取；</w:t>
      </w:r>
      <w:r>
        <w:rPr>
          <w:rFonts w:hint="eastAsia" w:ascii="宋体" w:hAnsi="宋体" w:eastAsia="宋体" w:cs="宋体"/>
          <w:color w:val="auto"/>
        </w:rPr>
        <w:t>全过程跟踪评审项目</w:t>
      </w:r>
      <w:r>
        <w:rPr>
          <w:rFonts w:hint="eastAsia" w:ascii="宋体" w:hAnsi="宋体" w:eastAsia="宋体" w:cs="宋体"/>
          <w:color w:val="auto"/>
          <w:kern w:val="0"/>
        </w:rPr>
        <w:t>中竣工结算审核业务不另计取审核服务追加费</w:t>
      </w:r>
      <w:r>
        <w:rPr>
          <w:rFonts w:hint="eastAsia" w:ascii="宋体" w:hAnsi="宋体" w:eastAsia="宋体" w:cs="宋体"/>
          <w:color w:val="auto"/>
        </w:rPr>
        <w:t>。若有乱收费，一经查实，该项目咨询费不予支付，乙方也不得收取追加费。</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八、协议的生效、变更、终止</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（1）本协议自甲乙双方法定代表人或委托代理人签字并加盖单位公章之日起生效。</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（2）本协议履行期间，如需变更协议，由甲乙双方另行协商并签订书面的补充协议。</w:t>
      </w:r>
    </w:p>
    <w:p>
      <w:pPr>
        <w:spacing w:line="400" w:lineRule="exact"/>
        <w:ind w:firstLine="480" w:firstLineChars="200"/>
        <w:rPr>
          <w:rFonts w:ascii="宋体" w:hAnsi="宋体" w:eastAsia="宋体" w:cs="宋体"/>
          <w:color w:val="auto"/>
        </w:rPr>
      </w:pPr>
      <w:r>
        <w:rPr>
          <w:rFonts w:hint="eastAsia" w:ascii="宋体" w:hAnsi="宋体" w:eastAsia="宋体" w:cs="宋体"/>
          <w:color w:val="auto"/>
        </w:rPr>
        <w:t>（3）本协议的终止适用《中华人民共和国民法典》第五百五十七条等相关规定。</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九、本项目的征集文件、供应商投标文件为本协议的组成部分，与本协议具有同等法律效力。</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十、争议的解决</w:t>
      </w:r>
    </w:p>
    <w:p>
      <w:pPr>
        <w:tabs>
          <w:tab w:val="left" w:pos="4500"/>
        </w:tabs>
        <w:spacing w:line="400" w:lineRule="exact"/>
        <w:ind w:firstLine="480" w:firstLineChars="200"/>
        <w:rPr>
          <w:rFonts w:ascii="宋体" w:hAnsi="宋体" w:eastAsia="宋体" w:cs="宋体"/>
          <w:color w:val="auto"/>
        </w:rPr>
      </w:pPr>
      <w:r>
        <w:rPr>
          <w:rFonts w:hint="eastAsia" w:ascii="宋体" w:hAnsi="宋体" w:eastAsia="宋体" w:cs="宋体"/>
          <w:color w:val="auto"/>
        </w:rPr>
        <w:t>因履行本协议产生的或与本协议有关的任何争议，应由甲乙双方友好协商解决，协商不成的，任何一方有权将争议提交至甲方所在地区人民法院解决。</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十一、本协议一式五份，甲乙双方各执二份，一份留</w:t>
      </w:r>
      <w:r>
        <w:rPr>
          <w:rFonts w:hint="eastAsia" w:ascii="宋体" w:hAnsi="宋体" w:eastAsia="宋体" w:cs="宋体"/>
          <w:b/>
          <w:bCs/>
          <w:color w:val="auto"/>
          <w:lang w:eastAsia="zh-CN"/>
        </w:rPr>
        <w:t>湖州市政府采购中心</w:t>
      </w:r>
      <w:r>
        <w:rPr>
          <w:rFonts w:hint="eastAsia" w:ascii="宋体" w:hAnsi="宋体" w:eastAsia="宋体" w:cs="宋体"/>
          <w:b/>
          <w:bCs/>
          <w:color w:val="auto"/>
        </w:rPr>
        <w:t>备查。</w:t>
      </w:r>
    </w:p>
    <w:p>
      <w:pPr>
        <w:spacing w:line="400" w:lineRule="exact"/>
        <w:ind w:firstLine="481" w:firstLineChars="200"/>
        <w:rPr>
          <w:rFonts w:ascii="宋体" w:hAnsi="宋体" w:eastAsia="宋体" w:cs="宋体"/>
          <w:b/>
          <w:bCs/>
          <w:color w:val="auto"/>
        </w:rPr>
      </w:pPr>
      <w:r>
        <w:rPr>
          <w:rFonts w:hint="eastAsia" w:ascii="宋体" w:hAnsi="宋体" w:eastAsia="宋体" w:cs="宋体"/>
          <w:b/>
          <w:bCs/>
          <w:color w:val="auto"/>
        </w:rPr>
        <w:t>十二、本协议未尽事宜均遵照国家有关法律、法规、规章等，或双方另行议定补充协议。</w:t>
      </w:r>
    </w:p>
    <w:p>
      <w:pPr>
        <w:tabs>
          <w:tab w:val="left" w:pos="4500"/>
        </w:tabs>
        <w:spacing w:line="400" w:lineRule="exact"/>
        <w:ind w:firstLine="480" w:firstLineChars="200"/>
        <w:rPr>
          <w:rFonts w:ascii="宋体" w:hAnsi="宋体" w:eastAsia="宋体" w:cs="宋体"/>
          <w:color w:val="auto"/>
        </w:rPr>
      </w:pPr>
    </w:p>
    <w:p>
      <w:pPr>
        <w:tabs>
          <w:tab w:val="left" w:pos="4500"/>
        </w:tabs>
        <w:spacing w:line="400" w:lineRule="exact"/>
        <w:rPr>
          <w:rFonts w:ascii="宋体" w:hAnsi="宋体" w:eastAsia="宋体" w:cs="宋体"/>
          <w:color w:val="auto"/>
        </w:rPr>
      </w:pPr>
      <w:r>
        <w:rPr>
          <w:rFonts w:hint="eastAsia" w:ascii="宋体" w:hAnsi="宋体" w:eastAsia="宋体" w:cs="宋体"/>
          <w:color w:val="auto"/>
        </w:rPr>
        <w:t xml:space="preserve">甲    方： </w:t>
      </w:r>
      <w:r>
        <w:rPr>
          <w:rFonts w:hint="eastAsia" w:ascii="宋体" w:hAnsi="宋体" w:eastAsia="宋体" w:cs="宋体"/>
          <w:color w:val="auto"/>
        </w:rPr>
        <w:tab/>
      </w:r>
      <w:r>
        <w:rPr>
          <w:rFonts w:hint="eastAsia" w:ascii="宋体" w:hAnsi="宋体" w:eastAsia="宋体" w:cs="宋体"/>
          <w:color w:val="auto"/>
        </w:rPr>
        <w:t xml:space="preserve">乙   方：  </w:t>
      </w:r>
    </w:p>
    <w:p>
      <w:pPr>
        <w:tabs>
          <w:tab w:val="left" w:pos="4500"/>
        </w:tabs>
        <w:spacing w:line="400" w:lineRule="exact"/>
        <w:rPr>
          <w:rFonts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rPr>
        <w:tab/>
      </w:r>
      <w:r>
        <w:rPr>
          <w:rFonts w:hint="eastAsia" w:ascii="宋体" w:hAnsi="宋体" w:eastAsia="宋体" w:cs="宋体"/>
          <w:color w:val="auto"/>
        </w:rPr>
        <w:t>法定代表人：</w:t>
      </w:r>
    </w:p>
    <w:p>
      <w:pPr>
        <w:tabs>
          <w:tab w:val="left" w:pos="4500"/>
        </w:tabs>
        <w:spacing w:line="400" w:lineRule="exact"/>
        <w:rPr>
          <w:rFonts w:ascii="宋体" w:hAnsi="宋体" w:eastAsia="宋体" w:cs="宋体"/>
          <w:color w:val="auto"/>
        </w:rPr>
      </w:pPr>
      <w:r>
        <w:rPr>
          <w:rFonts w:hint="eastAsia" w:ascii="宋体" w:hAnsi="宋体" w:eastAsia="宋体" w:cs="宋体"/>
          <w:color w:val="auto"/>
        </w:rPr>
        <w:t>委托代理人：</w:t>
      </w:r>
      <w:r>
        <w:rPr>
          <w:rFonts w:hint="eastAsia" w:ascii="宋体" w:hAnsi="宋体" w:eastAsia="宋体" w:cs="宋体"/>
          <w:color w:val="auto"/>
        </w:rPr>
        <w:tab/>
      </w:r>
      <w:r>
        <w:rPr>
          <w:rFonts w:hint="eastAsia" w:ascii="宋体" w:hAnsi="宋体" w:eastAsia="宋体" w:cs="宋体"/>
          <w:color w:val="auto"/>
        </w:rPr>
        <w:t>委托代理人：</w:t>
      </w:r>
    </w:p>
    <w:p>
      <w:pPr>
        <w:tabs>
          <w:tab w:val="left" w:pos="4500"/>
        </w:tabs>
        <w:spacing w:line="400" w:lineRule="exact"/>
        <w:rPr>
          <w:rFonts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rPr>
        <w:tab/>
      </w:r>
      <w:r>
        <w:rPr>
          <w:rFonts w:hint="eastAsia" w:ascii="宋体" w:hAnsi="宋体" w:eastAsia="宋体" w:cs="宋体"/>
          <w:color w:val="auto"/>
        </w:rPr>
        <w:t>电     话：</w:t>
      </w:r>
    </w:p>
    <w:p>
      <w:pPr>
        <w:tabs>
          <w:tab w:val="left" w:pos="4500"/>
        </w:tabs>
        <w:spacing w:line="400" w:lineRule="exact"/>
        <w:rPr>
          <w:rFonts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 xml:space="preserve">开户银行： </w:t>
      </w:r>
    </w:p>
    <w:p>
      <w:pPr>
        <w:tabs>
          <w:tab w:val="left" w:pos="4500"/>
        </w:tabs>
        <w:spacing w:line="400" w:lineRule="exact"/>
        <w:rPr>
          <w:rFonts w:ascii="宋体" w:hAnsi="宋体" w:eastAsia="宋体" w:cs="宋体"/>
          <w:color w:val="auto"/>
          <w:u w:val="single"/>
        </w:rPr>
      </w:pPr>
      <w:r>
        <w:rPr>
          <w:rFonts w:hint="eastAsia" w:ascii="宋体" w:hAnsi="宋体" w:eastAsia="宋体" w:cs="宋体"/>
          <w:color w:val="auto"/>
        </w:rPr>
        <w:tab/>
      </w:r>
      <w:r>
        <w:rPr>
          <w:rFonts w:hint="eastAsia" w:ascii="宋体" w:hAnsi="宋体" w:eastAsia="宋体" w:cs="宋体"/>
          <w:color w:val="auto"/>
        </w:rPr>
        <w:t xml:space="preserve">帐    号： </w:t>
      </w:r>
    </w:p>
    <w:p>
      <w:pPr>
        <w:spacing w:line="500" w:lineRule="exact"/>
        <w:jc w:val="right"/>
        <w:rPr>
          <w:rFonts w:ascii="宋体" w:hAnsi="宋体" w:eastAsia="宋体" w:cs="宋体"/>
          <w:b/>
          <w:bCs/>
          <w:color w:val="auto"/>
          <w:kern w:val="44"/>
          <w:sz w:val="32"/>
          <w:szCs w:val="30"/>
        </w:rPr>
      </w:pPr>
      <w:r>
        <w:rPr>
          <w:rFonts w:hint="eastAsia" w:ascii="宋体" w:hAnsi="宋体" w:eastAsia="宋体" w:cs="宋体"/>
          <w:color w:val="auto"/>
        </w:rPr>
        <w:t>签约时间：</w:t>
      </w:r>
      <w:r>
        <w:rPr>
          <w:rFonts w:hint="eastAsia" w:ascii="宋体" w:hAnsi="宋体" w:eastAsia="宋体" w:cs="宋体"/>
          <w:color w:val="auto"/>
          <w:u w:val="single"/>
        </w:rPr>
        <w:t>2022年 月 日</w:t>
      </w:r>
    </w:p>
    <w:p>
      <w:pPr>
        <w:pStyle w:val="4"/>
        <w:rPr>
          <w:rFonts w:hint="eastAsia" w:asciiTheme="majorEastAsia" w:hAnsiTheme="majorEastAsia" w:eastAsiaTheme="majorEastAsia" w:cstheme="majorEastAsia"/>
          <w:color w:val="auto"/>
        </w:rPr>
      </w:pPr>
    </w:p>
    <w:p>
      <w:pPr>
        <w:rPr>
          <w:rFonts w:hint="eastAsia" w:asciiTheme="majorEastAsia" w:hAnsiTheme="majorEastAsia" w:eastAsiaTheme="majorEastAsia" w:cstheme="majorEastAsia"/>
          <w:color w:val="auto"/>
        </w:rPr>
      </w:pPr>
    </w:p>
    <w:p>
      <w:pPr>
        <w:pStyle w:val="2"/>
        <w:rPr>
          <w:rFonts w:hint="eastAsia" w:asciiTheme="majorEastAsia" w:hAnsiTheme="majorEastAsia" w:eastAsiaTheme="majorEastAsia" w:cstheme="majorEastAsia"/>
          <w:color w:val="auto"/>
        </w:rPr>
      </w:pPr>
    </w:p>
    <w:p>
      <w:pPr>
        <w:pStyle w:val="3"/>
        <w:rPr>
          <w:rFonts w:hint="eastAsia" w:asciiTheme="majorEastAsia" w:hAnsiTheme="majorEastAsia" w:eastAsiaTheme="majorEastAsia" w:cstheme="majorEastAsia"/>
          <w:color w:val="auto"/>
        </w:rPr>
      </w:pPr>
    </w:p>
    <w:p>
      <w:pPr>
        <w:pStyle w:val="3"/>
        <w:rPr>
          <w:rFonts w:hint="eastAsia" w:asciiTheme="majorEastAsia" w:hAnsiTheme="majorEastAsia" w:eastAsiaTheme="majorEastAsia" w:cstheme="majorEastAsia"/>
          <w:color w:val="auto"/>
        </w:rPr>
      </w:pPr>
    </w:p>
    <w:p>
      <w:pPr>
        <w:pStyle w:val="3"/>
        <w:rPr>
          <w:rFonts w:hint="eastAsia" w:asciiTheme="majorEastAsia" w:hAnsiTheme="majorEastAsia" w:eastAsiaTheme="majorEastAsia" w:cstheme="majorEastAsia"/>
          <w:color w:val="auto"/>
        </w:rPr>
      </w:pPr>
    </w:p>
    <w:p>
      <w:pPr>
        <w:pStyle w:val="3"/>
        <w:rPr>
          <w:rFonts w:hint="eastAsia" w:asciiTheme="majorEastAsia" w:hAnsiTheme="majorEastAsia" w:eastAsiaTheme="majorEastAsia" w:cstheme="majorEastAsia"/>
          <w:color w:val="auto"/>
        </w:rPr>
      </w:pPr>
    </w:p>
    <w:p>
      <w:pPr>
        <w:pStyle w:val="3"/>
        <w:rPr>
          <w:rFonts w:hint="eastAsia" w:asciiTheme="majorEastAsia" w:hAnsiTheme="majorEastAsia" w:eastAsiaTheme="majorEastAsia" w:cstheme="majorEastAsia"/>
          <w:color w:val="auto"/>
        </w:rPr>
      </w:pPr>
    </w:p>
    <w:p>
      <w:pPr>
        <w:rPr>
          <w:rFonts w:hint="eastAsia" w:asciiTheme="majorEastAsia" w:hAnsiTheme="majorEastAsia" w:eastAsiaTheme="majorEastAsia" w:cstheme="majorEastAsia"/>
          <w:color w:val="auto"/>
          <w:sz w:val="28"/>
          <w:szCs w:val="28"/>
        </w:rPr>
      </w:pPr>
      <w:bookmarkStart w:id="99" w:name="_Toc1959908668"/>
      <w:r>
        <w:rPr>
          <w:rFonts w:hint="eastAsia" w:asciiTheme="majorEastAsia" w:hAnsiTheme="majorEastAsia" w:eastAsiaTheme="majorEastAsia" w:cstheme="majorEastAsia"/>
          <w:color w:val="auto"/>
          <w:sz w:val="28"/>
          <w:szCs w:val="28"/>
        </w:rPr>
        <w:br w:type="page"/>
      </w:r>
    </w:p>
    <w:p>
      <w:pPr>
        <w:pStyle w:val="4"/>
        <w:bidi w:val="0"/>
        <w:spacing w:line="240" w:lineRule="auto"/>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第</w:t>
      </w:r>
      <w:r>
        <w:rPr>
          <w:rFonts w:hint="eastAsia" w:asciiTheme="majorEastAsia" w:hAnsiTheme="majorEastAsia" w:eastAsiaTheme="majorEastAsia" w:cstheme="majorEastAsia"/>
          <w:color w:val="auto"/>
          <w:sz w:val="28"/>
          <w:szCs w:val="28"/>
          <w:lang w:eastAsia="zh-CN"/>
        </w:rPr>
        <w:t>六</w:t>
      </w:r>
      <w:r>
        <w:rPr>
          <w:rFonts w:hint="eastAsia" w:asciiTheme="majorEastAsia" w:hAnsiTheme="majorEastAsia" w:eastAsiaTheme="majorEastAsia" w:cstheme="majorEastAsia"/>
          <w:color w:val="auto"/>
          <w:sz w:val="28"/>
          <w:szCs w:val="28"/>
        </w:rPr>
        <w:t>章</w:t>
      </w:r>
      <w:r>
        <w:rPr>
          <w:rFonts w:hint="eastAsia" w:asciiTheme="majorEastAsia" w:hAnsiTheme="majorEastAsia" w:eastAsiaTheme="majorEastAsia" w:cstheme="majorEastAsia"/>
          <w:color w:val="auto"/>
          <w:sz w:val="28"/>
          <w:szCs w:val="28"/>
          <w:lang w:eastAsia="zh-CN"/>
        </w:rPr>
        <w:t>合同</w:t>
      </w:r>
      <w:r>
        <w:rPr>
          <w:rFonts w:hint="eastAsia" w:asciiTheme="majorEastAsia" w:hAnsiTheme="majorEastAsia" w:eastAsiaTheme="majorEastAsia" w:cstheme="majorEastAsia"/>
          <w:color w:val="auto"/>
          <w:sz w:val="28"/>
          <w:szCs w:val="28"/>
        </w:rPr>
        <w:t>主要条款</w:t>
      </w:r>
      <w:bookmarkEnd w:id="95"/>
      <w:bookmarkEnd w:id="96"/>
      <w:bookmarkEnd w:id="97"/>
      <w:bookmarkEnd w:id="99"/>
    </w:p>
    <w:p>
      <w:pPr>
        <w:pStyle w:val="16"/>
        <w:snapToGrid w:val="0"/>
        <w:spacing w:line="300" w:lineRule="auto"/>
        <w:ind w:firstLine="602"/>
        <w:jc w:val="center"/>
        <w:rPr>
          <w:rFonts w:asciiTheme="majorEastAsia" w:hAnsiTheme="majorEastAsia" w:eastAsiaTheme="majorEastAsia" w:cstheme="majorEastAsia"/>
          <w:b/>
          <w:color w:val="auto"/>
        </w:rPr>
      </w:pPr>
      <w:bookmarkStart w:id="100" w:name="_Toc7432608"/>
      <w:bookmarkStart w:id="101" w:name="_Toc1409419452"/>
      <w:r>
        <w:rPr>
          <w:rFonts w:hint="eastAsia" w:asciiTheme="majorEastAsia" w:hAnsiTheme="majorEastAsia" w:eastAsiaTheme="majorEastAsia" w:cstheme="majorEastAsia"/>
          <w:b/>
          <w:color w:val="auto"/>
        </w:rPr>
        <w:t>（本合同为合同样稿，最终稿由双方协商后确定）</w:t>
      </w:r>
    </w:p>
    <w:p>
      <w:pPr>
        <w:pStyle w:val="39"/>
        <w:spacing w:line="360" w:lineRule="auto"/>
        <w:jc w:val="center"/>
        <w:rPr>
          <w:rFonts w:asciiTheme="majorEastAsia" w:hAnsiTheme="majorEastAsia" w:eastAsiaTheme="majorEastAsia" w:cstheme="majorEastAsia"/>
          <w:b/>
          <w:color w:val="auto"/>
          <w:sz w:val="24"/>
          <w:szCs w:val="24"/>
        </w:rPr>
      </w:pPr>
      <w:bookmarkStart w:id="102" w:name="_Toc9087"/>
      <w:bookmarkStart w:id="103" w:name="_Toc402304335"/>
      <w:bookmarkStart w:id="104" w:name="_Toc18402"/>
      <w:bookmarkStart w:id="105" w:name="_Toc16595"/>
      <w:bookmarkStart w:id="106" w:name="_Toc507076944"/>
      <w:r>
        <w:rPr>
          <w:rFonts w:hint="eastAsia" w:asciiTheme="majorEastAsia" w:hAnsiTheme="majorEastAsia" w:eastAsiaTheme="majorEastAsia" w:cstheme="majorEastAsia"/>
          <w:b/>
          <w:color w:val="auto"/>
          <w:sz w:val="24"/>
          <w:szCs w:val="24"/>
        </w:rPr>
        <w:t>第一部分  建设工程造价咨询合同</w:t>
      </w:r>
      <w:bookmarkEnd w:id="102"/>
      <w:bookmarkEnd w:id="103"/>
      <w:bookmarkEnd w:id="104"/>
      <w:bookmarkEnd w:id="105"/>
      <w:bookmarkEnd w:id="106"/>
    </w:p>
    <w:p>
      <w:pPr>
        <w:pStyle w:val="38"/>
        <w:snapToGrid w:val="0"/>
        <w:spacing w:line="360" w:lineRule="auto"/>
        <w:jc w:val="center"/>
        <w:rPr>
          <w:rFonts w:asciiTheme="majorEastAsia" w:hAnsiTheme="majorEastAsia" w:eastAsiaTheme="majorEastAsia" w:cstheme="majorEastAsia"/>
          <w:b/>
          <w:bCs/>
          <w:color w:val="auto"/>
          <w:sz w:val="24"/>
          <w:szCs w:val="24"/>
        </w:rPr>
      </w:pPr>
      <w:bookmarkStart w:id="107" w:name="_Toc245546584"/>
      <w:bookmarkStart w:id="108" w:name="_Toc252645396"/>
      <w:bookmarkStart w:id="109" w:name="_Toc245706278"/>
      <w:bookmarkStart w:id="110" w:name="_Toc245715728"/>
      <w:r>
        <w:rPr>
          <w:rFonts w:hint="eastAsia" w:asciiTheme="majorEastAsia" w:hAnsiTheme="majorEastAsia" w:eastAsiaTheme="majorEastAsia" w:cstheme="majorEastAsia"/>
          <w:b/>
          <w:bCs/>
          <w:color w:val="auto"/>
          <w:sz w:val="24"/>
          <w:szCs w:val="24"/>
        </w:rPr>
        <w:t>合同书（格式）</w:t>
      </w:r>
    </w:p>
    <w:p>
      <w:pPr>
        <w:pStyle w:val="38"/>
        <w:snapToGrid w:val="0"/>
        <w:spacing w:line="360" w:lineRule="auto"/>
        <w:ind w:firstLine="481" w:firstLineChars="200"/>
        <w:jc w:val="center"/>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（合同编号：</w:t>
      </w:r>
      <w:r>
        <w:rPr>
          <w:rFonts w:hint="eastAsia" w:asciiTheme="majorEastAsia" w:hAnsiTheme="majorEastAsia" w:eastAsiaTheme="majorEastAsia" w:cstheme="majorEastAsia"/>
          <w:b/>
          <w:bCs/>
          <w:color w:val="auto"/>
          <w:sz w:val="24"/>
          <w:szCs w:val="24"/>
          <w:u w:val="single"/>
        </w:rPr>
        <w:t xml:space="preserve">            </w:t>
      </w:r>
      <w:r>
        <w:rPr>
          <w:rFonts w:hint="eastAsia" w:asciiTheme="majorEastAsia" w:hAnsiTheme="majorEastAsia" w:eastAsiaTheme="majorEastAsia" w:cstheme="majorEastAsia"/>
          <w:b/>
          <w:bCs/>
          <w:color w:val="auto"/>
          <w:sz w:val="24"/>
          <w:szCs w:val="24"/>
        </w:rPr>
        <w:t>）</w:t>
      </w:r>
    </w:p>
    <w:p>
      <w:pPr>
        <w:pStyle w:val="38"/>
        <w:snapToGrid w:val="0"/>
        <w:spacing w:line="360" w:lineRule="auto"/>
        <w:ind w:firstLine="480" w:firstLineChars="200"/>
        <w:rPr>
          <w:rFonts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委托方（以下简称甲方）：</w:t>
      </w:r>
      <w:r>
        <w:rPr>
          <w:rFonts w:hint="eastAsia" w:asciiTheme="majorEastAsia" w:hAnsiTheme="majorEastAsia" w:eastAsiaTheme="majorEastAsia" w:cstheme="majorEastAsia"/>
          <w:color w:val="auto"/>
          <w:sz w:val="24"/>
          <w:szCs w:val="24"/>
          <w:u w:val="single"/>
        </w:rPr>
        <w:t xml:space="preserve"> </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受托方（以下简称乙方）：</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项目业主：</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甲方委托乙方承担（</w:t>
      </w:r>
      <w:r>
        <w:rPr>
          <w:rFonts w:hint="eastAsia" w:asciiTheme="majorEastAsia" w:hAnsiTheme="majorEastAsia" w:eastAsiaTheme="majorEastAsia" w:cstheme="majorEastAsia"/>
          <w:b/>
          <w:color w:val="auto"/>
          <w:kern w:val="0"/>
          <w:sz w:val="24"/>
          <w:szCs w:val="24"/>
          <w:u w:val="single"/>
        </w:rPr>
        <w:t xml:space="preserve">          ）</w:t>
      </w:r>
      <w:r>
        <w:rPr>
          <w:rFonts w:hint="eastAsia" w:asciiTheme="majorEastAsia" w:hAnsiTheme="majorEastAsia" w:eastAsiaTheme="majorEastAsia" w:cstheme="majorEastAsia"/>
          <w:color w:val="auto"/>
          <w:kern w:val="0"/>
          <w:sz w:val="24"/>
          <w:szCs w:val="24"/>
        </w:rPr>
        <w:t>，经双方协商一致，签订本合同，共同执行。</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一、甲方委托乙方为以下项目提供建设工程咨询服务：</w:t>
      </w:r>
    </w:p>
    <w:p>
      <w:pPr>
        <w:pStyle w:val="38"/>
        <w:snapToGrid w:val="0"/>
        <w:spacing w:line="360" w:lineRule="auto"/>
        <w:ind w:firstLine="900" w:firstLineChars="375"/>
        <w:rPr>
          <w:rFonts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 xml:space="preserve">1、委托范围：                       </w:t>
      </w:r>
    </w:p>
    <w:p>
      <w:pPr>
        <w:pStyle w:val="38"/>
        <w:snapToGrid w:val="0"/>
        <w:spacing w:line="360" w:lineRule="auto"/>
        <w:ind w:firstLine="900" w:firstLineChars="37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2、服务类别：</w:t>
      </w:r>
      <w:r>
        <w:rPr>
          <w:rFonts w:hint="eastAsia" w:asciiTheme="majorEastAsia" w:hAnsiTheme="majorEastAsia" w:eastAsiaTheme="majorEastAsia" w:cstheme="majorEastAsia"/>
          <w:color w:val="auto"/>
          <w:sz w:val="24"/>
          <w:szCs w:val="24"/>
          <w:lang w:eastAsia="zh-CN"/>
        </w:rPr>
        <w:t>工程造价审核</w:t>
      </w:r>
      <w:r>
        <w:rPr>
          <w:rFonts w:hint="eastAsia" w:asciiTheme="majorEastAsia" w:hAnsiTheme="majorEastAsia" w:eastAsiaTheme="majorEastAsia" w:cstheme="majorEastAsia"/>
          <w:color w:val="auto"/>
          <w:sz w:val="24"/>
          <w:szCs w:val="24"/>
        </w:rPr>
        <w:t>咨询服务</w:t>
      </w:r>
    </w:p>
    <w:p>
      <w:pPr>
        <w:pStyle w:val="38"/>
        <w:snapToGrid w:val="0"/>
        <w:spacing w:line="360" w:lineRule="auto"/>
        <w:ind w:firstLine="900" w:firstLineChars="37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3、工程地址：湖州</w:t>
      </w:r>
      <w:r>
        <w:rPr>
          <w:rFonts w:hint="eastAsia" w:asciiTheme="majorEastAsia" w:hAnsiTheme="majorEastAsia" w:eastAsiaTheme="majorEastAsia" w:cstheme="majorEastAsia"/>
          <w:color w:val="auto"/>
          <w:kern w:val="0"/>
          <w:sz w:val="24"/>
          <w:szCs w:val="24"/>
        </w:rPr>
        <w:t>市</w:t>
      </w:r>
    </w:p>
    <w:p>
      <w:pPr>
        <w:pStyle w:val="38"/>
        <w:snapToGrid w:val="0"/>
        <w:spacing w:line="360" w:lineRule="auto"/>
        <w:ind w:firstLine="900" w:firstLineChars="375"/>
        <w:rPr>
          <w:rFonts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4、项目投资估算：</w:t>
      </w:r>
      <w:r>
        <w:rPr>
          <w:rFonts w:hint="eastAsia" w:asciiTheme="majorEastAsia" w:hAnsiTheme="majorEastAsia" w:eastAsiaTheme="majorEastAsia" w:cstheme="majorEastAsia"/>
          <w:color w:val="auto"/>
          <w:sz w:val="24"/>
          <w:szCs w:val="24"/>
          <w:u w:val="single"/>
        </w:rPr>
        <w:t xml:space="preserve">              </w:t>
      </w:r>
    </w:p>
    <w:p>
      <w:pPr>
        <w:spacing w:line="600" w:lineRule="exact"/>
        <w:ind w:firstLine="720" w:firstLineChars="3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二、下列文件均为本合同的组成部分；</w:t>
      </w:r>
    </w:p>
    <w:p>
      <w:pPr>
        <w:pStyle w:val="38"/>
        <w:snapToGrid w:val="0"/>
        <w:spacing w:line="360" w:lineRule="auto"/>
        <w:ind w:firstLine="900" w:firstLineChars="37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1、合同协议书</w:t>
      </w:r>
    </w:p>
    <w:p>
      <w:pPr>
        <w:pStyle w:val="38"/>
        <w:snapToGrid w:val="0"/>
        <w:spacing w:line="360" w:lineRule="auto"/>
        <w:ind w:firstLine="900" w:firstLineChars="37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2、中标通知书</w:t>
      </w:r>
    </w:p>
    <w:p>
      <w:pPr>
        <w:pStyle w:val="38"/>
        <w:snapToGrid w:val="0"/>
        <w:spacing w:line="360" w:lineRule="auto"/>
        <w:ind w:firstLine="900" w:firstLineChars="37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3、咨询服务委托合同基本条款</w:t>
      </w:r>
    </w:p>
    <w:p>
      <w:pPr>
        <w:pStyle w:val="38"/>
        <w:snapToGrid w:val="0"/>
        <w:spacing w:line="360" w:lineRule="auto"/>
        <w:ind w:firstLine="900" w:firstLineChars="37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4、咨询服务委托合同附加协议</w:t>
      </w:r>
    </w:p>
    <w:p>
      <w:pPr>
        <w:pStyle w:val="38"/>
        <w:snapToGrid w:val="0"/>
        <w:spacing w:line="360" w:lineRule="auto"/>
        <w:ind w:firstLine="900" w:firstLineChars="37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5、咨询服务委托合同执行过程中共同签署的补充与修正文件。</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三、乙方同意按照本合同的规定，承担本合同基本条款中议定范围内的审核咨询服务业务。</w:t>
      </w:r>
    </w:p>
    <w:p>
      <w:pPr>
        <w:pStyle w:val="38"/>
        <w:snapToGrid w:val="0"/>
        <w:spacing w:line="360" w:lineRule="auto"/>
        <w:ind w:firstLine="540" w:firstLineChars="225"/>
        <w:rPr>
          <w:rFonts w:asciiTheme="majorEastAsia" w:hAnsiTheme="majorEastAsia" w:eastAsiaTheme="majorEastAsia" w:cstheme="majorEastAsia"/>
          <w:b/>
          <w:color w:val="auto"/>
          <w:kern w:val="0"/>
          <w:sz w:val="24"/>
          <w:szCs w:val="24"/>
        </w:rPr>
      </w:pPr>
      <w:r>
        <w:rPr>
          <w:rFonts w:hint="eastAsia" w:asciiTheme="majorEastAsia" w:hAnsiTheme="majorEastAsia" w:eastAsiaTheme="majorEastAsia" w:cstheme="majorEastAsia"/>
          <w:color w:val="auto"/>
          <w:sz w:val="24"/>
          <w:szCs w:val="24"/>
        </w:rPr>
        <w:t>四、甲方同意按照本合同规定的期限、方式、额度向乙方支付酬金。</w:t>
      </w:r>
      <w:r>
        <w:rPr>
          <w:rFonts w:hint="eastAsia" w:asciiTheme="majorEastAsia" w:hAnsiTheme="majorEastAsia" w:eastAsiaTheme="majorEastAsia" w:cstheme="majorEastAsia"/>
          <w:color w:val="auto"/>
          <w:kern w:val="0"/>
          <w:sz w:val="24"/>
          <w:szCs w:val="24"/>
        </w:rPr>
        <w:t>本工程咨询服务费总价(含税）暂定为</w:t>
      </w:r>
      <w:r>
        <w:rPr>
          <w:rFonts w:hint="eastAsia" w:asciiTheme="majorEastAsia" w:hAnsiTheme="majorEastAsia" w:eastAsiaTheme="majorEastAsia" w:cstheme="majorEastAsia"/>
          <w:bCs/>
          <w:color w:val="auto"/>
          <w:kern w:val="0"/>
          <w:sz w:val="24"/>
          <w:szCs w:val="24"/>
        </w:rPr>
        <w:t>：</w:t>
      </w:r>
      <w:r>
        <w:rPr>
          <w:rFonts w:hint="eastAsia" w:asciiTheme="majorEastAsia" w:hAnsiTheme="majorEastAsia" w:eastAsiaTheme="majorEastAsia" w:cstheme="majorEastAsia"/>
          <w:bCs/>
          <w:color w:val="auto"/>
          <w:kern w:val="0"/>
          <w:sz w:val="24"/>
          <w:szCs w:val="24"/>
          <w:u w:val="single"/>
        </w:rPr>
        <w:t xml:space="preserve">             </w:t>
      </w:r>
      <w:r>
        <w:rPr>
          <w:rFonts w:hint="eastAsia" w:asciiTheme="majorEastAsia" w:hAnsiTheme="majorEastAsia" w:eastAsiaTheme="majorEastAsia" w:cstheme="majorEastAsia"/>
          <w:bCs/>
          <w:color w:val="auto"/>
          <w:kern w:val="0"/>
          <w:sz w:val="24"/>
          <w:szCs w:val="24"/>
        </w:rPr>
        <w:t>万元（大写：</w:t>
      </w:r>
      <w:r>
        <w:rPr>
          <w:rFonts w:hint="eastAsia" w:asciiTheme="majorEastAsia" w:hAnsiTheme="majorEastAsia" w:eastAsiaTheme="majorEastAsia" w:cstheme="majorEastAsia"/>
          <w:bCs/>
          <w:color w:val="auto"/>
          <w:kern w:val="0"/>
          <w:sz w:val="24"/>
          <w:szCs w:val="24"/>
          <w:u w:val="single"/>
        </w:rPr>
        <w:t xml:space="preserve">           </w:t>
      </w:r>
      <w:r>
        <w:rPr>
          <w:rFonts w:hint="eastAsia" w:asciiTheme="majorEastAsia" w:hAnsiTheme="majorEastAsia" w:eastAsiaTheme="majorEastAsia" w:cstheme="majorEastAsia"/>
          <w:bCs/>
          <w:color w:val="auto"/>
          <w:kern w:val="0"/>
          <w:sz w:val="24"/>
          <w:szCs w:val="24"/>
        </w:rPr>
        <w:t>万元），税率</w:t>
      </w:r>
      <w:r>
        <w:rPr>
          <w:rFonts w:hint="eastAsia" w:asciiTheme="majorEastAsia" w:hAnsiTheme="majorEastAsia" w:eastAsiaTheme="majorEastAsia" w:cstheme="majorEastAsia"/>
          <w:bCs/>
          <w:color w:val="auto"/>
          <w:kern w:val="0"/>
          <w:sz w:val="24"/>
          <w:szCs w:val="24"/>
          <w:u w:val="single"/>
        </w:rPr>
        <w:t xml:space="preserve">    </w:t>
      </w:r>
      <w:r>
        <w:rPr>
          <w:rFonts w:hint="eastAsia" w:asciiTheme="majorEastAsia" w:hAnsiTheme="majorEastAsia" w:eastAsiaTheme="majorEastAsia" w:cstheme="majorEastAsia"/>
          <w:bCs/>
          <w:color w:val="auto"/>
          <w:kern w:val="0"/>
          <w:sz w:val="24"/>
          <w:szCs w:val="24"/>
        </w:rPr>
        <w:t>%。</w:t>
      </w:r>
    </w:p>
    <w:p>
      <w:pPr>
        <w:pStyle w:val="38"/>
        <w:snapToGrid w:val="0"/>
        <w:spacing w:line="360" w:lineRule="auto"/>
        <w:ind w:firstLine="540" w:firstLineChars="22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五、本合同的咨询服务</w:t>
      </w:r>
      <w:r>
        <w:rPr>
          <w:rFonts w:hint="eastAsia" w:asciiTheme="majorEastAsia" w:hAnsiTheme="majorEastAsia" w:eastAsiaTheme="majorEastAsia" w:cstheme="majorEastAsia"/>
          <w:color w:val="auto"/>
          <w:kern w:val="0"/>
          <w:sz w:val="24"/>
          <w:szCs w:val="24"/>
        </w:rPr>
        <w:t>自合同签订之日至本项目审核服务完成。</w:t>
      </w:r>
    </w:p>
    <w:p>
      <w:pPr>
        <w:pStyle w:val="38"/>
        <w:snapToGrid w:val="0"/>
        <w:spacing w:line="360" w:lineRule="auto"/>
        <w:ind w:firstLine="540" w:firstLineChars="22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六、本合同经各方法定代表人或其委托代理人签名并分别加盖单位公章，乙方向甲方提供履约担保后生效。全部审核工作完成后且付清价款，双方履行职责完成后自动失效。</w:t>
      </w:r>
    </w:p>
    <w:p>
      <w:pPr>
        <w:pStyle w:val="38"/>
        <w:snapToGrid w:val="0"/>
        <w:spacing w:beforeLines="50" w:afterLines="50" w:line="360" w:lineRule="auto"/>
        <w:ind w:firstLine="540" w:firstLineChars="225"/>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履约保证金的形式：</w:t>
      </w:r>
      <w:r>
        <w:rPr>
          <w:rFonts w:hint="eastAsia" w:asciiTheme="majorEastAsia" w:hAnsiTheme="majorEastAsia" w:eastAsiaTheme="majorEastAsia" w:cstheme="majorEastAsia"/>
          <w:color w:val="auto"/>
          <w:sz w:val="24"/>
          <w:szCs w:val="24"/>
          <w:u w:val="single"/>
        </w:rPr>
        <w:t>银行保函或保险公司保函或融资担保公司保函</w:t>
      </w:r>
      <w:r>
        <w:rPr>
          <w:rFonts w:hint="eastAsia" w:asciiTheme="majorEastAsia" w:hAnsiTheme="majorEastAsia" w:eastAsiaTheme="majorEastAsia" w:cstheme="majorEastAsia"/>
          <w:color w:val="auto"/>
          <w:sz w:val="24"/>
          <w:szCs w:val="24"/>
        </w:rPr>
        <w:t>。</w:t>
      </w:r>
    </w:p>
    <w:p>
      <w:pPr>
        <w:pStyle w:val="38"/>
        <w:snapToGrid w:val="0"/>
        <w:spacing w:line="360" w:lineRule="auto"/>
        <w:ind w:firstLine="540" w:firstLineChars="225"/>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rPr>
        <w:t>履约保证金的金额：合同总价的</w:t>
      </w:r>
      <w:r>
        <w:rPr>
          <w:rFonts w:hint="eastAsia" w:asciiTheme="majorEastAsia" w:hAnsiTheme="majorEastAsia" w:eastAsiaTheme="majorEastAsia" w:cstheme="majorEastAsia"/>
          <w:color w:val="auto"/>
          <w:sz w:val="24"/>
          <w:szCs w:val="24"/>
          <w:u w:val="single"/>
        </w:rPr>
        <w:t>1%。</w:t>
      </w:r>
      <w:r>
        <w:rPr>
          <w:rFonts w:hint="eastAsia" w:asciiTheme="majorEastAsia" w:hAnsiTheme="majorEastAsia" w:eastAsiaTheme="majorEastAsia" w:cstheme="majorEastAsia"/>
          <w:color w:val="auto"/>
          <w:sz w:val="24"/>
          <w:szCs w:val="24"/>
          <w:u w:val="single"/>
          <w:lang w:eastAsia="zh-CN"/>
        </w:rPr>
        <w:t>，暂定</w:t>
      </w:r>
      <w:r>
        <w:rPr>
          <w:rFonts w:hint="eastAsia" w:asciiTheme="majorEastAsia" w:hAnsiTheme="majorEastAsia" w:eastAsiaTheme="majorEastAsia" w:cstheme="majorEastAsia"/>
          <w:color w:val="auto"/>
          <w:sz w:val="24"/>
          <w:szCs w:val="24"/>
          <w:u w:val="single"/>
          <w:lang w:val="en-US" w:eastAsia="zh-CN"/>
        </w:rPr>
        <w:t>5万元</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七、本合同正本3份，甲方2份，乙方1份。</w:t>
      </w:r>
    </w:p>
    <w:p>
      <w:pPr>
        <w:pStyle w:val="38"/>
        <w:snapToGrid w:val="0"/>
        <w:spacing w:line="360" w:lineRule="auto"/>
        <w:ind w:firstLine="1200" w:firstLineChars="5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甲方：湖州市财政项目预算审核中心</w:t>
      </w:r>
    </w:p>
    <w:p>
      <w:pPr>
        <w:pStyle w:val="38"/>
        <w:snapToGrid w:val="0"/>
        <w:spacing w:line="360" w:lineRule="auto"/>
        <w:ind w:firstLine="1200" w:firstLineChars="5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法定代表人（或委托代理人）： </w:t>
      </w:r>
    </w:p>
    <w:p>
      <w:pPr>
        <w:pStyle w:val="38"/>
        <w:snapToGrid w:val="0"/>
        <w:spacing w:line="360" w:lineRule="auto"/>
        <w:ind w:firstLine="1200" w:firstLineChars="5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乙方： </w:t>
      </w:r>
    </w:p>
    <w:p>
      <w:pPr>
        <w:pStyle w:val="38"/>
        <w:snapToGrid w:val="0"/>
        <w:spacing w:line="360" w:lineRule="auto"/>
        <w:ind w:firstLine="1200" w:firstLineChars="5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法定代表人（或委托代理人）：          </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pPr>
        <w:pStyle w:val="38"/>
        <w:snapToGrid w:val="0"/>
        <w:spacing w:line="360" w:lineRule="auto"/>
        <w:ind w:firstLine="4560" w:firstLineChars="19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年    月    日 </w:t>
      </w:r>
    </w:p>
    <w:p>
      <w:pPr>
        <w:ind w:firstLine="1200" w:firstLineChars="500"/>
        <w:rPr>
          <w:rFonts w:asciiTheme="majorEastAsia" w:hAnsiTheme="majorEastAsia" w:eastAsiaTheme="majorEastAsia" w:cstheme="majorEastAsia"/>
          <w:color w:val="auto"/>
        </w:rPr>
      </w:pPr>
    </w:p>
    <w:bookmarkEnd w:id="107"/>
    <w:bookmarkEnd w:id="108"/>
    <w:bookmarkEnd w:id="109"/>
    <w:bookmarkEnd w:id="110"/>
    <w:p>
      <w:pPr>
        <w:pStyle w:val="39"/>
        <w:spacing w:line="360" w:lineRule="auto"/>
        <w:jc w:val="center"/>
        <w:rPr>
          <w:rFonts w:asciiTheme="majorEastAsia" w:hAnsiTheme="majorEastAsia" w:eastAsiaTheme="majorEastAsia" w:cstheme="majorEastAsia"/>
          <w:b/>
          <w:color w:val="auto"/>
          <w:sz w:val="24"/>
          <w:szCs w:val="24"/>
        </w:rPr>
      </w:pPr>
      <w:bookmarkStart w:id="111" w:name="_Toc402304336"/>
      <w:bookmarkStart w:id="112" w:name="_Toc160"/>
      <w:bookmarkStart w:id="113" w:name="_Toc1093"/>
      <w:bookmarkStart w:id="114" w:name="_Toc507076945"/>
      <w:bookmarkStart w:id="115" w:name="_Toc1907"/>
      <w:r>
        <w:rPr>
          <w:rFonts w:hint="eastAsia" w:asciiTheme="majorEastAsia" w:hAnsiTheme="majorEastAsia" w:eastAsiaTheme="majorEastAsia" w:cstheme="majorEastAsia"/>
          <w:b/>
          <w:color w:val="auto"/>
          <w:sz w:val="24"/>
          <w:szCs w:val="24"/>
        </w:rPr>
        <w:br w:type="page"/>
      </w:r>
      <w:r>
        <w:rPr>
          <w:rFonts w:hint="eastAsia" w:asciiTheme="majorEastAsia" w:hAnsiTheme="majorEastAsia" w:eastAsiaTheme="majorEastAsia" w:cstheme="majorEastAsia"/>
          <w:b/>
          <w:color w:val="auto"/>
          <w:sz w:val="24"/>
          <w:szCs w:val="24"/>
        </w:rPr>
        <w:t xml:space="preserve">第二部分  </w:t>
      </w:r>
      <w:bookmarkEnd w:id="111"/>
      <w:r>
        <w:rPr>
          <w:rFonts w:hint="eastAsia" w:asciiTheme="majorEastAsia" w:hAnsiTheme="majorEastAsia" w:eastAsiaTheme="majorEastAsia" w:cstheme="majorEastAsia"/>
          <w:b/>
          <w:color w:val="auto"/>
          <w:sz w:val="24"/>
          <w:szCs w:val="24"/>
        </w:rPr>
        <w:t>委托合同基本条款</w:t>
      </w:r>
      <w:bookmarkEnd w:id="112"/>
      <w:bookmarkEnd w:id="113"/>
      <w:bookmarkEnd w:id="114"/>
      <w:bookmarkEnd w:id="115"/>
    </w:p>
    <w:p>
      <w:pPr>
        <w:pStyle w:val="38"/>
        <w:snapToGrid w:val="0"/>
        <w:spacing w:line="360" w:lineRule="auto"/>
        <w:ind w:firstLine="472"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第一条</w:t>
      </w:r>
      <w:r>
        <w:rPr>
          <w:rFonts w:hint="eastAsia" w:asciiTheme="majorEastAsia" w:hAnsiTheme="majorEastAsia" w:eastAsiaTheme="majorEastAsia" w:cstheme="majorEastAsia"/>
          <w:color w:val="auto"/>
          <w:sz w:val="24"/>
          <w:szCs w:val="24"/>
        </w:rPr>
        <w:t xml:space="preserve">  本合同适用的法律、法规及工程造价计价办法和规定：《中华人民共和国民法典》。经过双方协商一致，签订本合同。</w:t>
      </w:r>
    </w:p>
    <w:p>
      <w:pPr>
        <w:pStyle w:val="38"/>
        <w:snapToGrid w:val="0"/>
        <w:spacing w:line="360" w:lineRule="auto"/>
        <w:ind w:firstLine="472"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 xml:space="preserve">第二条  </w:t>
      </w:r>
      <w:r>
        <w:rPr>
          <w:rFonts w:hint="eastAsia" w:asciiTheme="majorEastAsia" w:hAnsiTheme="majorEastAsia" w:eastAsiaTheme="majorEastAsia" w:cstheme="majorEastAsia"/>
          <w:color w:val="auto"/>
          <w:sz w:val="24"/>
          <w:szCs w:val="24"/>
        </w:rPr>
        <w:t>咨询服务范围</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一、咨询服务的宗旨和内容概述：</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咨询服务宗旨为在甲方授权范围内，在项目相应审核阶段对相关工作的真实性、合法性、合规性进行审核，更好地控制建设成本，加强和规范招标控制价编制过程的审查和评价，促进项目的质量、进度、效益相统一。</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二、咨询服务工作的具体内容如下：</w:t>
      </w:r>
    </w:p>
    <w:p>
      <w:pPr>
        <w:shd w:val="solid" w:color="FFFFFF" w:fill="auto"/>
        <w:autoSpaceDN w:val="0"/>
        <w:spacing w:line="500" w:lineRule="atLeast"/>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１.工程概算审核：审查项目的立项和审批情况；审查概算的编制范围及具体内容是否与批准的项目范围及具体工程内容相一致，有无擅自改变建设内容、扩大建设规模、提高建设标准；审查概算编制依据的正确性，概算所采用的定额体系是否正确；审查概算编制的准确性、完整性，对定额套用、工程量、取费、材料价格及有无漏项等进行审核，审查工程建设其他费是否符合国家和省市地方的有关规定。</w:t>
      </w:r>
    </w:p>
    <w:p>
      <w:pPr>
        <w:shd w:val="solid" w:color="FFFFFF" w:fill="auto"/>
        <w:autoSpaceDN w:val="0"/>
        <w:spacing w:line="500" w:lineRule="atLeast"/>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2.控制价审核：审查项目招标的内容、规模、建设标准是否与符合初步设计批复；审查工程量清单是否与招标文件规定的招标范围及其内容一致；审查工程量清单的组成是否完整，工程量清单项目是否有漏项现象；审查工程量清单编制说明内容是否完整；审查工程量清单的项目编码、项目特征描述、计量单位是否符合现行计价规范要求、工程量是否根据工程量计算规则计算，数据是否准确、计量单位是否按规定的计量单位确定；审查各项费用的计取标准是否符合国家、地方颁布的规范、标准、定额的规定；审查费用项目是否有重项、漏项和计算错误现象；审查人工、材料、机械和设备等价格的时效性和合理性；审查招标控制价取定幅度是否符合规定标准。</w:t>
      </w:r>
    </w:p>
    <w:p>
      <w:pPr>
        <w:shd w:val="solid" w:color="FFFFFF" w:fill="auto"/>
        <w:autoSpaceDN w:val="0"/>
        <w:spacing w:line="500" w:lineRule="atLeast"/>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工程结算审核：审查工程概算的执行情况，项目建设内容是否与概算批复一致，项目投资是否控制在概算投资额内；审查工程招评选程序、合同签订是否合法、合规，审查施工合同的执行情况；完工实际与竣工图纸、隐蔽工程验收单的一致性；联系单、重大设计变更的真实性和有效性、合法性；工程结算计价方式是否符合施工合同约定；工程量和单价的计算是否准确。</w:t>
      </w:r>
    </w:p>
    <w:p>
      <w:pPr>
        <w:shd w:val="solid" w:color="FFFFFF" w:fill="auto"/>
        <w:autoSpaceDN w:val="0"/>
        <w:spacing w:line="500" w:lineRule="atLeast"/>
        <w:ind w:firstLine="480" w:firstLineChars="200"/>
        <w:jc w:val="lef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具体审核内容、范围按照《浙江省财政支出项目预（决）算审核操作规程》执行。</w:t>
      </w:r>
    </w:p>
    <w:p>
      <w:pPr>
        <w:pStyle w:val="38"/>
        <w:snapToGrid w:val="0"/>
        <w:spacing w:line="360" w:lineRule="auto"/>
        <w:ind w:firstLine="481"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 xml:space="preserve">第三条  </w:t>
      </w:r>
      <w:r>
        <w:rPr>
          <w:rFonts w:hint="eastAsia" w:asciiTheme="majorEastAsia" w:hAnsiTheme="majorEastAsia" w:eastAsiaTheme="majorEastAsia" w:cstheme="majorEastAsia"/>
          <w:color w:val="auto"/>
          <w:sz w:val="24"/>
          <w:szCs w:val="24"/>
        </w:rPr>
        <w:t>咨询服务期限</w:t>
      </w:r>
    </w:p>
    <w:p>
      <w:pPr>
        <w:pStyle w:val="38"/>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自合同签订之日至本项目</w:t>
      </w:r>
      <w:r>
        <w:rPr>
          <w:rFonts w:hint="eastAsia" w:asciiTheme="majorEastAsia" w:hAnsiTheme="majorEastAsia" w:eastAsiaTheme="majorEastAsia" w:cstheme="majorEastAsia"/>
          <w:color w:val="auto"/>
          <w:sz w:val="24"/>
          <w:szCs w:val="24"/>
        </w:rPr>
        <w:t>审核</w:t>
      </w:r>
      <w:r>
        <w:rPr>
          <w:rFonts w:hint="eastAsia" w:asciiTheme="majorEastAsia" w:hAnsiTheme="majorEastAsia" w:eastAsiaTheme="majorEastAsia" w:cstheme="majorEastAsia"/>
          <w:color w:val="auto"/>
          <w:kern w:val="0"/>
          <w:sz w:val="24"/>
          <w:szCs w:val="24"/>
        </w:rPr>
        <w:t>完成</w:t>
      </w:r>
      <w:r>
        <w:rPr>
          <w:rFonts w:hint="eastAsia" w:asciiTheme="majorEastAsia" w:hAnsiTheme="majorEastAsia" w:eastAsiaTheme="majorEastAsia" w:cstheme="majorEastAsia"/>
          <w:color w:val="auto"/>
          <w:sz w:val="24"/>
          <w:szCs w:val="24"/>
        </w:rPr>
        <w:t>。年度考核最后一名的，次年暂停业务分配。</w:t>
      </w:r>
    </w:p>
    <w:p>
      <w:pPr>
        <w:pStyle w:val="38"/>
        <w:snapToGrid w:val="0"/>
        <w:spacing w:line="360" w:lineRule="auto"/>
        <w:ind w:left="-2" w:leftChars="-1" w:firstLine="472" w:firstLineChars="19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 xml:space="preserve">第四条  </w:t>
      </w:r>
      <w:r>
        <w:rPr>
          <w:rFonts w:hint="eastAsia" w:asciiTheme="majorEastAsia" w:hAnsiTheme="majorEastAsia" w:eastAsiaTheme="majorEastAsia" w:cstheme="majorEastAsia"/>
          <w:color w:val="auto"/>
          <w:sz w:val="24"/>
          <w:szCs w:val="24"/>
        </w:rPr>
        <w:t>乙方的义务</w:t>
      </w:r>
      <w:r>
        <w:rPr>
          <w:rFonts w:hint="eastAsia" w:asciiTheme="majorEastAsia" w:hAnsiTheme="majorEastAsia" w:eastAsiaTheme="majorEastAsia" w:cstheme="majorEastAsia"/>
          <w:b/>
          <w:bCs/>
          <w:color w:val="auto"/>
          <w:sz w:val="24"/>
          <w:szCs w:val="24"/>
        </w:rPr>
        <w:t xml:space="preserve"> </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1、向甲方提供与工程审核业务有关的资料，包括相关的资质证书及承担本项目业务的专业人员名单、工作计划等。</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2、乙方应按照甲乙双方协商确定的工作范围按时保质保量完成其所承担的各项审核工作。</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3、乙方有义务对设计图纸中有错误或者不合理的地方，及时提出专业意见或者建议，便于实现本工程项目的高效益。</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4、在甲方要求的时间内提交各阶段工作成果。</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5、乙方未经甲方或其授权代表书面同意，不得将本合同各阶段形成的工作成果、文件资料及甲方和设计公司提供的图纸、资料泄露或交与任何第三者或其他项目使用。</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6、乙方必须亲自完成本工程项目的所有审核业务，未经甲方同意和本合同规定，乙方不得委托、转包和分包给任何第三方。否则甲方有权单方面解除本合同而不承担违约责任。</w:t>
      </w:r>
    </w:p>
    <w:p>
      <w:pPr>
        <w:pStyle w:val="38"/>
        <w:snapToGrid w:val="0"/>
        <w:spacing w:line="360" w:lineRule="auto"/>
        <w:ind w:left="2" w:leftChars="1"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7、乙方不得泄露或使用与本合同规定业务活动有关的保密资料。乙方对标价和标底（如有）负保密责任，未经甲方书面同意不得向包括甲方部门下属人员在内的任何第三者泄密。</w:t>
      </w:r>
    </w:p>
    <w:p>
      <w:pPr>
        <w:pStyle w:val="10"/>
        <w:spacing w:line="420" w:lineRule="exact"/>
        <w:ind w:right="63"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8、乙方选派的项目负责人</w:t>
      </w:r>
    </w:p>
    <w:p>
      <w:pPr>
        <w:pStyle w:val="10"/>
        <w:spacing w:line="420" w:lineRule="exact"/>
        <w:ind w:right="63" w:firstLine="24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姓    名：</w:t>
      </w:r>
      <w:r>
        <w:rPr>
          <w:rFonts w:hint="eastAsia" w:asciiTheme="majorEastAsia" w:hAnsiTheme="majorEastAsia" w:eastAsiaTheme="majorEastAsia" w:cstheme="majorEastAsia"/>
          <w:color w:val="auto"/>
          <w:u w:val="single"/>
        </w:rPr>
        <w:t>                       </w:t>
      </w:r>
      <w:r>
        <w:rPr>
          <w:rFonts w:hint="eastAsia" w:asciiTheme="majorEastAsia" w:hAnsiTheme="majorEastAsia" w:eastAsiaTheme="majorEastAsia" w:cstheme="majorEastAsia"/>
          <w:color w:val="auto"/>
        </w:rPr>
        <w:t>；</w:t>
      </w:r>
    </w:p>
    <w:p>
      <w:pPr>
        <w:pStyle w:val="10"/>
        <w:spacing w:line="420" w:lineRule="exact"/>
        <w:ind w:right="63" w:firstLine="24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身份证号：</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w:t>
      </w:r>
    </w:p>
    <w:p>
      <w:pPr>
        <w:pStyle w:val="10"/>
        <w:spacing w:line="420" w:lineRule="exact"/>
        <w:ind w:right="63" w:firstLine="24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联系电话：</w:t>
      </w:r>
      <w:r>
        <w:rPr>
          <w:rFonts w:hint="eastAsia" w:asciiTheme="majorEastAsia" w:hAnsiTheme="majorEastAsia" w:eastAsiaTheme="majorEastAsia" w:cstheme="majorEastAsia"/>
          <w:color w:val="auto"/>
          <w:u w:val="single"/>
        </w:rPr>
        <w:t>                       </w:t>
      </w:r>
      <w:r>
        <w:rPr>
          <w:rFonts w:hint="eastAsia" w:asciiTheme="majorEastAsia" w:hAnsiTheme="majorEastAsia" w:eastAsiaTheme="majorEastAsia" w:cstheme="majorEastAsia"/>
          <w:color w:val="auto"/>
        </w:rPr>
        <w:t>；</w:t>
      </w:r>
    </w:p>
    <w:p>
      <w:pPr>
        <w:pStyle w:val="10"/>
        <w:spacing w:line="420" w:lineRule="exact"/>
        <w:ind w:right="63" w:firstLine="24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电子信箱：</w:t>
      </w:r>
      <w:r>
        <w:rPr>
          <w:rFonts w:hint="eastAsia" w:asciiTheme="majorEastAsia" w:hAnsiTheme="majorEastAsia" w:eastAsiaTheme="majorEastAsia" w:cstheme="majorEastAsia"/>
          <w:color w:val="auto"/>
          <w:u w:val="single"/>
        </w:rPr>
        <w:t>         </w:t>
      </w:r>
      <w:r>
        <w:rPr>
          <w:rFonts w:hint="eastAsia" w:asciiTheme="majorEastAsia" w:hAnsiTheme="majorEastAsia" w:eastAsiaTheme="majorEastAsia" w:cstheme="majorEastAsia"/>
          <w:color w:val="auto"/>
        </w:rPr>
        <w:t>；</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11、无论因任何原因而终止合同, 乙方应将所有由乙方拥有或控制的资料和文件移交给甲方，且乙方应提供合作及协助, 以使本项目的顺利交接。</w:t>
      </w:r>
    </w:p>
    <w:p>
      <w:pPr>
        <w:pStyle w:val="38"/>
        <w:snapToGrid w:val="0"/>
        <w:spacing w:line="360" w:lineRule="auto"/>
        <w:ind w:firstLine="481"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 xml:space="preserve">第五条  </w:t>
      </w:r>
      <w:r>
        <w:rPr>
          <w:rFonts w:hint="eastAsia" w:asciiTheme="majorEastAsia" w:hAnsiTheme="majorEastAsia" w:eastAsiaTheme="majorEastAsia" w:cstheme="majorEastAsia"/>
          <w:color w:val="auto"/>
          <w:sz w:val="24"/>
          <w:szCs w:val="24"/>
        </w:rPr>
        <w:t>甲方的义务</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1、及时提供乙方完成招标审核工作所必需的文件、图纸等各种资料：</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2、按合同约定方式支付服务酬金。</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3、乙方为履行本合同的审核工作需与设计单位、编制单位联络接触时，由甲方出面组织协调甲方与设计单位、编制单位之间的联络，主持相关会议。</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4、审核、验收乙方交付的工作成果及文件资料。</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5、编制单位对乙方造价工程师审核的造价成果等存在争议不能达成一致时，甲方应协调解决。</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6、甲方应负责与本建设工程审核业务有关的第三人的协调，为乙方工作提供外部条件。</w:t>
      </w:r>
    </w:p>
    <w:p>
      <w:pPr>
        <w:pStyle w:val="38"/>
        <w:snapToGrid w:val="0"/>
        <w:spacing w:line="360" w:lineRule="auto"/>
        <w:rPr>
          <w:rFonts w:asciiTheme="majorEastAsia" w:hAnsiTheme="majorEastAsia" w:eastAsiaTheme="majorEastAsia" w:cstheme="majorEastAsia"/>
          <w:color w:val="auto"/>
          <w:sz w:val="24"/>
          <w:szCs w:val="24"/>
        </w:rPr>
      </w:pPr>
    </w:p>
    <w:p>
      <w:pPr>
        <w:pStyle w:val="38"/>
        <w:snapToGrid w:val="0"/>
        <w:spacing w:line="360" w:lineRule="auto"/>
        <w:ind w:firstLine="481"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第六条  </w:t>
      </w:r>
      <w:r>
        <w:rPr>
          <w:rFonts w:hint="eastAsia" w:asciiTheme="majorEastAsia" w:hAnsiTheme="majorEastAsia" w:eastAsiaTheme="majorEastAsia" w:cstheme="majorEastAsia"/>
          <w:color w:val="auto"/>
          <w:sz w:val="24"/>
          <w:szCs w:val="24"/>
        </w:rPr>
        <w:t>乙方的权利</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甲方在委托的审核业务范围内，授予乙方以下权利：</w:t>
      </w:r>
    </w:p>
    <w:p>
      <w:pPr>
        <w:pStyle w:val="38"/>
        <w:snapToGrid w:val="0"/>
        <w:spacing w:line="360" w:lineRule="auto"/>
        <w:ind w:left="-2" w:leftChars="-1"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1、乙方在审核过程中，有权提出合理化建议。</w:t>
      </w:r>
    </w:p>
    <w:p>
      <w:pPr>
        <w:pStyle w:val="38"/>
        <w:snapToGrid w:val="0"/>
        <w:spacing w:line="360" w:lineRule="auto"/>
        <w:ind w:left="-2" w:leftChars="-1"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2、乙方在审核过程中，有权要求第三方对本审核业务有关的问题进行解释。</w:t>
      </w:r>
    </w:p>
    <w:p>
      <w:pPr>
        <w:pStyle w:val="38"/>
        <w:snapToGrid w:val="0"/>
        <w:spacing w:line="360" w:lineRule="auto"/>
        <w:ind w:firstLine="481"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第七条  </w:t>
      </w:r>
      <w:r>
        <w:rPr>
          <w:rFonts w:hint="eastAsia" w:asciiTheme="majorEastAsia" w:hAnsiTheme="majorEastAsia" w:eastAsiaTheme="majorEastAsia" w:cstheme="majorEastAsia"/>
          <w:color w:val="auto"/>
          <w:sz w:val="24"/>
          <w:szCs w:val="24"/>
        </w:rPr>
        <w:t>甲方的权利</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甲方有以下权利：</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1、有权向乙方询问工作进展情况及相关的内容。</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2、甲方有权监督、检查乙方的审核工作，有权对乙方的工作和文件成果提出合理的质疑和修改意见，但甲方修改意见的执行并不能成为乙方免除工作质量责任的理由。</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3、当甲方有理由认定评审工作的专业人员不按委托合同履行其职责，或给甲方造成经济损失的，甲方有权要求更换评审专业人员，直至终止合同，并且甲方有权要求乙方承担相应的赔偿责任。</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4、甲方有权选择在到期应付乙方的合同价款或者履约保证金中直接扣除乙方应承担的违约金、赔偿金以及有关费用等。</w:t>
      </w:r>
    </w:p>
    <w:p>
      <w:pPr>
        <w:pStyle w:val="38"/>
        <w:snapToGrid w:val="0"/>
        <w:spacing w:line="360" w:lineRule="auto"/>
        <w:ind w:firstLine="481"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第八条  </w:t>
      </w:r>
      <w:r>
        <w:rPr>
          <w:rFonts w:hint="eastAsia" w:asciiTheme="majorEastAsia" w:hAnsiTheme="majorEastAsia" w:eastAsiaTheme="majorEastAsia" w:cstheme="majorEastAsia"/>
          <w:color w:val="auto"/>
          <w:sz w:val="24"/>
          <w:szCs w:val="24"/>
        </w:rPr>
        <w:t>乙方的责任</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1、乙方执行审核业务，必须按照执业准则、规则确定的工作程序出具报告。</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2、乙方责任期内，应当履行招标审核委托合同中约定的义务，因乙方的过错造成的经济损失，乙方应当向甲方赔偿。由于乙方提交成果的延误，造成的违约赔偿金由乙方承担。</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乙方对甲方所提出的问题不能及时核对或答复，导致招标审核合同不能全部或部分履行，乙方应承担由此产生的全部责任和损失（损失的范围包括但不限于直接损失、预期利益减损以及因为实现合法权益产生的诉讼费用、律师费、保全费、交通费等全部费用，以下同），甲方有权选择单方面解除合同。</w:t>
      </w:r>
    </w:p>
    <w:p>
      <w:pPr>
        <w:pStyle w:val="38"/>
        <w:snapToGrid w:val="0"/>
        <w:spacing w:line="360" w:lineRule="auto"/>
        <w:ind w:firstLine="481"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第九条  </w:t>
      </w:r>
      <w:r>
        <w:rPr>
          <w:rFonts w:hint="eastAsia" w:asciiTheme="majorEastAsia" w:hAnsiTheme="majorEastAsia" w:eastAsiaTheme="majorEastAsia" w:cstheme="majorEastAsia"/>
          <w:color w:val="auto"/>
          <w:sz w:val="24"/>
          <w:szCs w:val="24"/>
        </w:rPr>
        <w:t>甲方的责任</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1、如因甲方或第三方的责任造成进度的推迟或延误而超过约定的日期，双方应进一步约定相应延长合同有效期。</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2、甲方应当履行本合同约定的义务，如有违反则应当承担违约责任，赔偿给乙方造成的经济损失。</w:t>
      </w:r>
    </w:p>
    <w:p>
      <w:pPr>
        <w:pStyle w:val="38"/>
        <w:snapToGrid w:val="0"/>
        <w:spacing w:line="360" w:lineRule="auto"/>
        <w:ind w:firstLine="481"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 xml:space="preserve">第十条  </w:t>
      </w:r>
      <w:r>
        <w:rPr>
          <w:rFonts w:hint="eastAsia" w:asciiTheme="majorEastAsia" w:hAnsiTheme="majorEastAsia" w:eastAsiaTheme="majorEastAsia" w:cstheme="majorEastAsia"/>
          <w:color w:val="auto"/>
          <w:sz w:val="24"/>
          <w:szCs w:val="24"/>
        </w:rPr>
        <w:t>服务酬金</w:t>
      </w:r>
    </w:p>
    <w:p>
      <w:pPr>
        <w:pStyle w:val="38"/>
        <w:snapToGrid w:val="0"/>
        <w:spacing w:line="360" w:lineRule="auto"/>
        <w:rPr>
          <w:rFonts w:asciiTheme="majorEastAsia" w:hAnsiTheme="majorEastAsia" w:eastAsiaTheme="majorEastAsia" w:cstheme="majorEastAsia"/>
          <w:b/>
          <w:color w:val="auto"/>
          <w:kern w:val="0"/>
          <w:sz w:val="24"/>
          <w:szCs w:val="24"/>
        </w:rPr>
      </w:pPr>
      <w:r>
        <w:rPr>
          <w:rFonts w:hint="eastAsia" w:asciiTheme="majorEastAsia" w:hAnsiTheme="majorEastAsia" w:eastAsiaTheme="majorEastAsia" w:cstheme="majorEastAsia"/>
          <w:color w:val="auto"/>
          <w:sz w:val="24"/>
          <w:szCs w:val="24"/>
        </w:rPr>
        <w:t>1、审核合同服务酬金为乙方根据招标文件中审核费用标准及中标折扣率计算得出，乙方不得另行收取甲方其他任何费用。项目全部审核完成出具审核汇总报告后，</w:t>
      </w:r>
      <w:r>
        <w:rPr>
          <w:rFonts w:hint="eastAsia" w:asciiTheme="majorEastAsia" w:hAnsiTheme="majorEastAsia" w:eastAsiaTheme="majorEastAsia" w:cstheme="majorEastAsia"/>
          <w:bCs/>
          <w:color w:val="auto"/>
          <w:sz w:val="24"/>
          <w:szCs w:val="24"/>
        </w:rPr>
        <w:t>概算以送审金额扣除土地征收和专用设备设施（含两笔费用相应的预备费）为基数；竣工结算以送审金额为基数；追加费由送审的施工单位承担。</w:t>
      </w:r>
      <w:r>
        <w:rPr>
          <w:rFonts w:hint="eastAsia" w:asciiTheme="majorEastAsia" w:hAnsiTheme="majorEastAsia" w:eastAsiaTheme="majorEastAsia" w:cstheme="majorEastAsia"/>
          <w:color w:val="auto"/>
          <w:sz w:val="24"/>
          <w:szCs w:val="24"/>
        </w:rPr>
        <w:t>招标控制价以审定价为基数；按照中标折扣率及收费标准（详见下表）重新调整确定最终服务酬金。</w:t>
      </w:r>
      <w:r>
        <w:rPr>
          <w:rFonts w:hint="eastAsia" w:asciiTheme="majorEastAsia" w:hAnsiTheme="majorEastAsia" w:eastAsiaTheme="majorEastAsia" w:cstheme="majorEastAsia"/>
          <w:color w:val="auto"/>
          <w:kern w:val="0"/>
          <w:sz w:val="24"/>
          <w:szCs w:val="24"/>
        </w:rPr>
        <w:t>审核费总价（含税）暂定为</w:t>
      </w:r>
      <w:r>
        <w:rPr>
          <w:rFonts w:hint="eastAsia" w:asciiTheme="majorEastAsia" w:hAnsiTheme="majorEastAsia" w:eastAsiaTheme="majorEastAsia" w:cstheme="majorEastAsia"/>
          <w:bCs/>
          <w:color w:val="auto"/>
          <w:kern w:val="0"/>
          <w:sz w:val="24"/>
          <w:szCs w:val="24"/>
        </w:rPr>
        <w:t>：</w:t>
      </w:r>
      <w:r>
        <w:rPr>
          <w:rFonts w:hint="eastAsia" w:asciiTheme="majorEastAsia" w:hAnsiTheme="majorEastAsia" w:eastAsiaTheme="majorEastAsia" w:cstheme="majorEastAsia"/>
          <w:bCs/>
          <w:color w:val="auto"/>
          <w:kern w:val="0"/>
          <w:sz w:val="24"/>
          <w:szCs w:val="24"/>
          <w:u w:val="single"/>
        </w:rPr>
        <w:t xml:space="preserve">             </w:t>
      </w:r>
      <w:r>
        <w:rPr>
          <w:rFonts w:hint="eastAsia" w:asciiTheme="majorEastAsia" w:hAnsiTheme="majorEastAsia" w:eastAsiaTheme="majorEastAsia" w:cstheme="majorEastAsia"/>
          <w:bCs/>
          <w:color w:val="auto"/>
          <w:kern w:val="0"/>
          <w:sz w:val="24"/>
          <w:szCs w:val="24"/>
        </w:rPr>
        <w:t>万元（大写：</w:t>
      </w:r>
      <w:r>
        <w:rPr>
          <w:rFonts w:hint="eastAsia" w:asciiTheme="majorEastAsia" w:hAnsiTheme="majorEastAsia" w:eastAsiaTheme="majorEastAsia" w:cstheme="majorEastAsia"/>
          <w:bCs/>
          <w:color w:val="auto"/>
          <w:kern w:val="0"/>
          <w:sz w:val="24"/>
          <w:szCs w:val="24"/>
          <w:u w:val="single"/>
        </w:rPr>
        <w:t xml:space="preserve">           </w:t>
      </w:r>
      <w:r>
        <w:rPr>
          <w:rFonts w:hint="eastAsia" w:asciiTheme="majorEastAsia" w:hAnsiTheme="majorEastAsia" w:eastAsiaTheme="majorEastAsia" w:cstheme="majorEastAsia"/>
          <w:bCs/>
          <w:color w:val="auto"/>
          <w:kern w:val="0"/>
          <w:sz w:val="24"/>
          <w:szCs w:val="24"/>
        </w:rPr>
        <w:t>万元）</w:t>
      </w:r>
      <w:r>
        <w:rPr>
          <w:rFonts w:hint="eastAsia" w:asciiTheme="majorEastAsia" w:hAnsiTheme="majorEastAsia" w:eastAsiaTheme="majorEastAsia" w:cstheme="majorEastAsia"/>
          <w:color w:val="auto"/>
          <w:kern w:val="0"/>
          <w:sz w:val="24"/>
          <w:szCs w:val="24"/>
        </w:rPr>
        <w:t>。</w:t>
      </w:r>
      <w:r>
        <w:rPr>
          <w:rFonts w:hint="eastAsia" w:asciiTheme="majorEastAsia" w:hAnsiTheme="majorEastAsia" w:eastAsiaTheme="majorEastAsia" w:cstheme="majorEastAsia"/>
          <w:b/>
          <w:color w:val="auto"/>
          <w:kern w:val="0"/>
          <w:sz w:val="24"/>
          <w:szCs w:val="24"/>
        </w:rPr>
        <w:t xml:space="preserve"> </w:t>
      </w:r>
    </w:p>
    <w:p>
      <w:pPr>
        <w:pStyle w:val="38"/>
        <w:snapToGrid w:val="0"/>
        <w:spacing w:line="360" w:lineRule="auto"/>
        <w:ind w:left="547" w:leftChars="228"/>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支付方式： </w:t>
      </w:r>
    </w:p>
    <w:p>
      <w:pPr>
        <w:pStyle w:val="38"/>
        <w:snapToGrid w:val="0"/>
        <w:spacing w:line="360" w:lineRule="auto"/>
        <w:ind w:left="547" w:leftChars="228"/>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（1）合同签订后，</w:t>
      </w:r>
      <w:r>
        <w:rPr>
          <w:rFonts w:hint="eastAsia" w:asciiTheme="majorEastAsia" w:hAnsiTheme="majorEastAsia" w:eastAsiaTheme="majorEastAsia" w:cstheme="majorEastAsia"/>
          <w:color w:val="auto"/>
          <w:sz w:val="24"/>
          <w:szCs w:val="24"/>
          <w:lang w:eastAsia="zh-CN"/>
        </w:rPr>
        <w:t>入围供应商</w:t>
      </w:r>
      <w:r>
        <w:rPr>
          <w:rFonts w:hint="eastAsia" w:asciiTheme="majorEastAsia" w:hAnsiTheme="majorEastAsia" w:eastAsiaTheme="majorEastAsia" w:cstheme="majorEastAsia"/>
          <w:color w:val="auto"/>
          <w:sz w:val="24"/>
          <w:szCs w:val="24"/>
        </w:rPr>
        <w:t>提供审核服务方案，</w:t>
      </w:r>
      <w:r>
        <w:rPr>
          <w:rFonts w:hint="eastAsia" w:asciiTheme="majorEastAsia" w:hAnsiTheme="majorEastAsia" w:eastAsiaTheme="majorEastAsia" w:cstheme="majorEastAsia"/>
          <w:color w:val="auto"/>
          <w:sz w:val="24"/>
          <w:szCs w:val="24"/>
          <w:lang w:eastAsia="zh-CN"/>
        </w:rPr>
        <w:t>响应</w:t>
      </w:r>
      <w:r>
        <w:rPr>
          <w:rFonts w:hint="eastAsia" w:asciiTheme="majorEastAsia" w:hAnsiTheme="majorEastAsia" w:eastAsiaTheme="majorEastAsia" w:cstheme="majorEastAsia"/>
          <w:color w:val="auto"/>
          <w:sz w:val="24"/>
          <w:szCs w:val="24"/>
        </w:rPr>
        <w:t>审核人员到位后支付本项目暂定合同价的20%；</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rPr>
        <w:t>）完成全部审核咨询服务、出具完整报告，且移交全部资料后，支付至最终合同价的100%，并按合同退还履约保函。</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2、甲方要求乙方提供“附加服务”时，无附加服务费，合同总价不作调整。</w:t>
      </w:r>
    </w:p>
    <w:p>
      <w:pPr>
        <w:pStyle w:val="38"/>
        <w:snapToGrid w:val="0"/>
        <w:spacing w:line="360" w:lineRule="auto"/>
        <w:ind w:firstLine="481"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第十一条  </w:t>
      </w:r>
      <w:r>
        <w:rPr>
          <w:rFonts w:hint="eastAsia" w:asciiTheme="majorEastAsia" w:hAnsiTheme="majorEastAsia" w:eastAsiaTheme="majorEastAsia" w:cstheme="majorEastAsia"/>
          <w:color w:val="auto"/>
          <w:sz w:val="24"/>
          <w:szCs w:val="24"/>
        </w:rPr>
        <w:t>合同生效、变更与终止</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1、本合同自各方法定代表人（负责人）或其委托代理人签名并分别加盖单位公章，乙方向甲方提供履约担保后生效。</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2、当事人一方要求变更或解除合同时，则应当提前14日通知对方；因变更或解除合同使一方遭受损失的，应由责任方负责赔偿。</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3、变更或解除合同的通知或协议应当采取书面形式，新的协议未达成之前，原合同仍然有效。</w:t>
      </w:r>
    </w:p>
    <w:p>
      <w:pPr>
        <w:pStyle w:val="38"/>
        <w:snapToGrid w:val="0"/>
        <w:spacing w:line="360" w:lineRule="auto"/>
        <w:ind w:firstLine="481"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第十二条  </w:t>
      </w:r>
      <w:r>
        <w:rPr>
          <w:rFonts w:hint="eastAsia" w:asciiTheme="majorEastAsia" w:hAnsiTheme="majorEastAsia" w:eastAsiaTheme="majorEastAsia" w:cstheme="majorEastAsia"/>
          <w:color w:val="auto"/>
          <w:sz w:val="24"/>
          <w:szCs w:val="24"/>
        </w:rPr>
        <w:t>合同违约和赔偿</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非乙方原因导致合同终止，乙方未开展工作的，甲方不支付任何费用；已经开展工作的，按实际完成的工作量进行结算。由于甲方或第三者的原因使乙方工作受到阻碍或延误以至增加了工作量或持续时间，则乙方应当将此情况与可能产生的影响及时书面通知甲方。</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发生不可抗力之因素如战争、地震、洪水、政治变局和甲方投资资金暂停等致使合约不能履行或不能全部履行时，甲方与乙方双方协商解决，不受合同违约和责任赔偿条款制约，甲方需付乙方于合同终止前之从事合同之责任应获的一切服务费。</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3、如果甲乙双方任何一方无正当事由单方面提前终止合同，该方应承担合同总价的20%违约金，给对方造成经济损失和法律责任，应承担相应经济和法律上的责任，并赔偿由此给对方造成的相应经济损失。</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4、若对应标段因某种原因暂停或延期实施，乙方不能开展工作，乙方不得据此向甲方索取补偿或额外费用。</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5、对与合同约定的成果（包括中间成果）提交时限，由于乙方原因出现延误的，将处以每日5000元违约金，延期5天及以上的，甲方有权单方面终止合同，由此产生的全部责任和损失由乙方承担。</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6、未经甲方同意，乙方不得更换项目负责人和主要人员；因不可抗力原因确实需要更换项目负责人时，必须征得甲方同意并不得降低原资格标准，并按每人次处以</w:t>
      </w:r>
      <w:r>
        <w:rPr>
          <w:rFonts w:hint="default"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万元违约金；对审核过程中发生的甲方临时需要，相关专业的审核人员必须在3小时内到场或作出答复。对于未达到上述要求的，甲方有权处以每次1000元违约金或者单方面终止合同并索赔损失。</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7、乙方出具的审核初稿：误差率超过承诺值的，扣10%的审核费；误差率超过±5%的，扣30%的审核费；误差率超过±10%的，扣100%的审核费</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误差率是指编制单位出具审核初稿后，由采购人或其它审核单位复审，误差率=（中标单位审核初稿控制价-复审单位审核控制价）/中标单位审核初稿控制价×100%。</w:t>
      </w:r>
    </w:p>
    <w:p>
      <w:pPr>
        <w:spacing w:line="30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乙方的审核时间未经批准超过公开招标文件规定的审核时间、未按规定派出审核人员，即：人员到位率应达90%（含）；若人员到位率达90%（不含）-80%（含），扣10%审核费；人员到位率达80%（不含）-70%（含），扣20%审核费；人员到位率达70%（不含）以下的，扣50%审核费。甲方将视情况采取违约措施、或单方面解除合同，由此产生的全部责任和损失由乙方承担。</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9、如乙方未按合同要求完成本合同内容导致甲方解除合同或乙方无正当理由要求终止或解除合同，则返还甲方全部已付款，并按本合同总价的20%偿付甲方违约金，违约金不足弥补甲方损失的，乙方继续赔偿。</w:t>
      </w:r>
    </w:p>
    <w:p>
      <w:pPr>
        <w:pStyle w:val="38"/>
        <w:snapToGrid w:val="0"/>
        <w:spacing w:line="360" w:lineRule="auto"/>
        <w:ind w:firstLine="480"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10、乙方违反招标文件中的其他约束性规定、</w:t>
      </w:r>
      <w:r>
        <w:rPr>
          <w:rFonts w:hint="eastAsia" w:asciiTheme="majorEastAsia" w:hAnsiTheme="majorEastAsia" w:eastAsiaTheme="majorEastAsia" w:cstheme="majorEastAsia"/>
          <w:color w:val="auto"/>
          <w:sz w:val="24"/>
          <w:szCs w:val="24"/>
          <w:lang w:eastAsia="zh-CN"/>
        </w:rPr>
        <w:t>响应</w:t>
      </w:r>
      <w:r>
        <w:rPr>
          <w:rFonts w:hint="eastAsia" w:asciiTheme="majorEastAsia" w:hAnsiTheme="majorEastAsia" w:eastAsiaTheme="majorEastAsia" w:cstheme="majorEastAsia"/>
          <w:color w:val="auto"/>
          <w:sz w:val="24"/>
          <w:szCs w:val="24"/>
        </w:rPr>
        <w:t>承诺及本合同约定的任何义务性条款，均视为违约行为，甲方有权扣除乙方交纳的履约保证金作为合同违约金，违约金不足以弥补损失的，乙方应继续赔偿。</w:t>
      </w:r>
    </w:p>
    <w:p>
      <w:pPr>
        <w:pStyle w:val="38"/>
        <w:snapToGrid w:val="0"/>
        <w:spacing w:line="360" w:lineRule="auto"/>
        <w:ind w:firstLine="481"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第十四条</w:t>
      </w:r>
      <w:r>
        <w:rPr>
          <w:rFonts w:hint="eastAsia" w:asciiTheme="majorEastAsia" w:hAnsiTheme="majorEastAsia" w:eastAsiaTheme="majorEastAsia" w:cstheme="majorEastAsia"/>
          <w:color w:val="auto"/>
          <w:sz w:val="24"/>
          <w:szCs w:val="24"/>
        </w:rPr>
        <w:t xml:space="preserve">  合同争议的解决</w:t>
      </w:r>
    </w:p>
    <w:p>
      <w:pPr>
        <w:pStyle w:val="38"/>
        <w:snapToGrid w:val="0"/>
        <w:spacing w:line="360" w:lineRule="auto"/>
        <w:ind w:firstLine="480"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未尽事宜双方应友好协商解决，协商不成的，任何一方当事人均可向甲方所在地有管辖权的人民法院提起诉讼解决。</w:t>
      </w:r>
    </w:p>
    <w:p>
      <w:pPr>
        <w:pStyle w:val="38"/>
        <w:snapToGrid w:val="0"/>
        <w:spacing w:line="360" w:lineRule="auto"/>
        <w:ind w:firstLine="481"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 xml:space="preserve">第十五条  </w:t>
      </w:r>
      <w:r>
        <w:rPr>
          <w:rFonts w:hint="eastAsia" w:asciiTheme="majorEastAsia" w:hAnsiTheme="majorEastAsia" w:eastAsiaTheme="majorEastAsia" w:cstheme="majorEastAsia"/>
          <w:color w:val="auto"/>
          <w:sz w:val="24"/>
          <w:szCs w:val="24"/>
        </w:rPr>
        <w:t>其  他</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在履行合同期间，乙方应当严谨、科学、规范、客观地开展工作，提供优质、高效的服务，并定期向甲方书面报告工作；乙方应按照审核方案规定的内容进行审核，负责审核事项的取证，证据收集和资料移送，并撰写审核报告。</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2.实施审核服务工作的专业技术人员必须为</w:t>
      </w:r>
      <w:r>
        <w:rPr>
          <w:rFonts w:hint="eastAsia" w:asciiTheme="majorEastAsia" w:hAnsiTheme="majorEastAsia" w:eastAsiaTheme="majorEastAsia" w:cstheme="majorEastAsia"/>
          <w:color w:val="auto"/>
          <w:sz w:val="24"/>
          <w:szCs w:val="24"/>
          <w:lang w:eastAsia="zh-CN"/>
        </w:rPr>
        <w:t>响应文件</w:t>
      </w:r>
      <w:r>
        <w:rPr>
          <w:rFonts w:hint="eastAsia" w:asciiTheme="majorEastAsia" w:hAnsiTheme="majorEastAsia" w:eastAsiaTheme="majorEastAsia" w:cstheme="majorEastAsia"/>
          <w:color w:val="auto"/>
          <w:sz w:val="24"/>
          <w:szCs w:val="24"/>
        </w:rPr>
        <w:t>中的人员，在合同执行过程中，甲方如发现乙方未按原提供的名单执行的，甲方有权按乙方违约单方面解除合同并另外选择委托评审单位。</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除特殊原因需要调整审核人员时，其更换人员的综合能力不得低于被更换人员，更换名单须事先征得甲方书面同意。甲方根据实际工作情况，有权要求乙方更换不称职的专业技术人员。</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3.乙方应在规定的审核时限内完成审核工作，并提出完整的书面成果文件（含计算底稿），每个项目的审核开始时间根据项目资料提交时间确定。</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4.在项目审核过程中, 乙方应积极与甲方沟通联系。遇资料移交, 乙方须在3小时内到达甲方指定的地点。</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5.乙方不得向被审核单位另行收取任何费用。除甲方书面同意外，乙方及审核专业人员不应接受本合同约定以外的与审核业务有关的任何报酬，乙方不得参与可能与合同规定的与甲方利益相冲突的任何活动。</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6.因审核业务的需要，乙方如需外聘专家协助，在委托审核业务范围内其费用由乙方承担；在委托的审核业务范围以外经甲方认可其费用由甲方承担。</w:t>
      </w:r>
    </w:p>
    <w:p>
      <w:pPr>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7.乙方应严格按照《浙江省建设工程造价咨询执业操作规程》规范服务行为和操作程序，保证咨询业务的质量和效果，确保审核误差率控制在</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误差率以内，并在提交审核稿的同时提交内部复核流程意见单。乙方在评审过程中应及时整理各阶段的审核工作底稿、附件，核对取证记录和有关资料，在完成项目审核工作后，需出具相应的审核汇总报告，并做好造价指标统计以及资料归档工作并填写资料清单。</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8.未经对方的书面同意，各方均不得转让合同约定的权利和义务。乙方在接受委托项目后应该独立开展审核任务，如果特殊问题需要委托人参与解决的，需书面致函甲方，甲方将以书面的形式予以答复。</w:t>
      </w:r>
    </w:p>
    <w:p>
      <w:pPr>
        <w:pStyle w:val="38"/>
        <w:snapToGrid w:val="0"/>
        <w:spacing w:line="360" w:lineRule="auto"/>
        <w:ind w:left="-4" w:firstLine="542" w:firstLineChars="22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9.本合同如有未尽事宜，需经双方共同协商，签订补充合同或附加协议。</w:t>
      </w:r>
    </w:p>
    <w:p>
      <w:pPr>
        <w:pStyle w:val="4"/>
        <w:bidi w:val="0"/>
        <w:spacing w:line="240" w:lineRule="auto"/>
        <w:rPr>
          <w:rFonts w:hint="eastAsia" w:asciiTheme="majorEastAsia" w:hAnsiTheme="majorEastAsia" w:eastAsiaTheme="majorEastAsia" w:cstheme="majorEastAsia"/>
          <w:color w:val="auto"/>
          <w:sz w:val="28"/>
          <w:szCs w:val="28"/>
        </w:rPr>
      </w:pPr>
      <w:bookmarkStart w:id="116" w:name="_Toc221845977"/>
      <w:r>
        <w:rPr>
          <w:rFonts w:hint="eastAsia" w:asciiTheme="majorEastAsia" w:hAnsiTheme="majorEastAsia" w:eastAsiaTheme="majorEastAsia" w:cstheme="majorEastAsia"/>
          <w:color w:val="auto"/>
          <w:sz w:val="28"/>
          <w:szCs w:val="28"/>
        </w:rPr>
        <w:t>第</w:t>
      </w:r>
      <w:r>
        <w:rPr>
          <w:rFonts w:hint="eastAsia" w:asciiTheme="majorEastAsia" w:hAnsiTheme="majorEastAsia" w:eastAsiaTheme="majorEastAsia" w:cstheme="majorEastAsia"/>
          <w:color w:val="auto"/>
          <w:sz w:val="28"/>
          <w:szCs w:val="28"/>
          <w:lang w:eastAsia="zh-CN"/>
        </w:rPr>
        <w:t>七</w:t>
      </w:r>
      <w:r>
        <w:rPr>
          <w:rFonts w:hint="eastAsia" w:asciiTheme="majorEastAsia" w:hAnsiTheme="majorEastAsia" w:eastAsiaTheme="majorEastAsia" w:cstheme="majorEastAsia"/>
          <w:color w:val="auto"/>
          <w:sz w:val="28"/>
          <w:szCs w:val="28"/>
        </w:rPr>
        <w:t>章 响应文件格式</w:t>
      </w:r>
      <w:bookmarkEnd w:id="100"/>
      <w:bookmarkEnd w:id="101"/>
      <w:bookmarkEnd w:id="116"/>
    </w:p>
    <w:p>
      <w:pPr>
        <w:pStyle w:val="14"/>
        <w:snapToGrid w:val="0"/>
        <w:spacing w:beforeLines="0" w:afterLines="0" w:line="300" w:lineRule="exact"/>
        <w:ind w:firstLine="469" w:firstLineChars="195"/>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响应文件的编制</w:t>
      </w:r>
    </w:p>
    <w:p>
      <w:pPr>
        <w:spacing w:line="400" w:lineRule="exact"/>
        <w:ind w:firstLine="480" w:firstLineChars="200"/>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（一）响应文件的组成</w:t>
      </w:r>
    </w:p>
    <w:p>
      <w:pPr>
        <w:widowControl/>
        <w:spacing w:line="400" w:lineRule="exact"/>
        <w:ind w:firstLine="481" w:firstLineChars="200"/>
        <w:jc w:val="left"/>
        <w:rPr>
          <w:rFonts w:asciiTheme="majorEastAsia" w:hAnsiTheme="majorEastAsia" w:eastAsiaTheme="majorEastAsia" w:cstheme="majorEastAsia"/>
          <w:b/>
          <w:bCs/>
          <w:color w:val="auto"/>
          <w:kern w:val="1"/>
        </w:rPr>
      </w:pPr>
      <w:r>
        <w:rPr>
          <w:rFonts w:hint="eastAsia" w:asciiTheme="majorEastAsia" w:hAnsiTheme="majorEastAsia" w:eastAsiaTheme="majorEastAsia" w:cstheme="majorEastAsia"/>
          <w:b/>
          <w:bCs/>
          <w:color w:val="auto"/>
          <w:kern w:val="0"/>
        </w:rPr>
        <w:t>响应文件由资格证明文件、技术商务文件、报价文件组成。以下</w:t>
      </w:r>
      <w:r>
        <w:rPr>
          <w:rFonts w:hint="eastAsia" w:asciiTheme="majorEastAsia" w:hAnsiTheme="majorEastAsia" w:eastAsiaTheme="majorEastAsia" w:cstheme="majorEastAsia"/>
          <w:b/>
          <w:bCs/>
          <w:color w:val="auto"/>
          <w:kern w:val="1"/>
        </w:rPr>
        <w:t>资格证明文件及技术商务文件目录格式仅供参考。</w:t>
      </w:r>
    </w:p>
    <w:p>
      <w:pPr>
        <w:spacing w:line="400" w:lineRule="exact"/>
        <w:ind w:firstLine="481" w:firstLineChars="200"/>
        <w:rPr>
          <w:rFonts w:asciiTheme="majorEastAsia" w:hAnsiTheme="majorEastAsia" w:eastAsiaTheme="majorEastAsia" w:cstheme="majorEastAsia"/>
          <w:b/>
          <w:bCs/>
          <w:color w:val="auto"/>
          <w:kern w:val="1"/>
        </w:rPr>
      </w:pPr>
      <w:r>
        <w:rPr>
          <w:rFonts w:hint="eastAsia" w:asciiTheme="majorEastAsia" w:hAnsiTheme="majorEastAsia" w:eastAsiaTheme="majorEastAsia" w:cstheme="majorEastAsia"/>
          <w:b/>
          <w:bCs/>
          <w:color w:val="auto"/>
          <w:kern w:val="1"/>
        </w:rPr>
        <w:t>1、资格证明文件目录：</w:t>
      </w:r>
    </w:p>
    <w:p>
      <w:pPr>
        <w:spacing w:line="400" w:lineRule="exact"/>
        <w:ind w:firstLine="480" w:firstLineChars="200"/>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w:t>
      </w:r>
      <w:r>
        <w:rPr>
          <w:rFonts w:hint="eastAsia" w:asciiTheme="majorEastAsia" w:hAnsiTheme="majorEastAsia" w:eastAsiaTheme="majorEastAsia" w:cstheme="majorEastAsia"/>
          <w:color w:val="auto"/>
          <w:kern w:val="1"/>
          <w:lang w:eastAsia="zh-CN"/>
        </w:rPr>
        <w:t>响应</w:t>
      </w:r>
      <w:r>
        <w:rPr>
          <w:rFonts w:hint="eastAsia" w:asciiTheme="majorEastAsia" w:hAnsiTheme="majorEastAsia" w:eastAsiaTheme="majorEastAsia" w:cstheme="majorEastAsia"/>
          <w:color w:val="auto"/>
          <w:kern w:val="1"/>
        </w:rPr>
        <w:t>声明书(格式见附件1，含重大违法记录声明)；</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（2）提供法定代表人授权委托书(原件、格式见附件2、附件3)、授权代理人有效身份证明（复印件）以及授权代理人个人社保缴纳证明（缴纳凭证或人社部门出具的证明）；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1"/>
        </w:rPr>
        <w:t>（3）</w:t>
      </w:r>
      <w:r>
        <w:rPr>
          <w:rFonts w:hint="eastAsia" w:asciiTheme="majorEastAsia" w:hAnsiTheme="majorEastAsia" w:eastAsiaTheme="majorEastAsia" w:cstheme="majorEastAsia"/>
          <w:color w:val="auto"/>
          <w:kern w:val="0"/>
        </w:rPr>
        <w:t>不存在以下情况声明函（格式自拟）：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0"/>
        </w:rPr>
        <w:t>2、为采购项目提供整体设计、规范编制或者项目管理、监理、检测等服务后再参加该采购项目的其他采购活动的。</w:t>
      </w:r>
    </w:p>
    <w:p>
      <w:pPr>
        <w:spacing w:line="400" w:lineRule="exact"/>
        <w:ind w:firstLine="481" w:firstLineChars="200"/>
        <w:rPr>
          <w:rFonts w:asciiTheme="majorEastAsia" w:hAnsiTheme="majorEastAsia" w:eastAsiaTheme="majorEastAsia" w:cstheme="majorEastAsia"/>
          <w:b/>
          <w:bCs/>
          <w:color w:val="auto"/>
          <w:kern w:val="1"/>
        </w:rPr>
      </w:pPr>
      <w:r>
        <w:rPr>
          <w:rFonts w:hint="eastAsia" w:asciiTheme="majorEastAsia" w:hAnsiTheme="majorEastAsia" w:eastAsiaTheme="majorEastAsia" w:cstheme="majorEastAsia"/>
          <w:b/>
          <w:bCs/>
          <w:color w:val="auto"/>
          <w:kern w:val="1"/>
        </w:rPr>
        <w:t>请将以上资格部分材料上传政采云平台做资格审查，采购人或评标委员会仅根据上传的资格部分文件材料进行审查。</w:t>
      </w:r>
    </w:p>
    <w:p>
      <w:pPr>
        <w:spacing w:line="400" w:lineRule="exact"/>
        <w:ind w:firstLine="481" w:firstLineChars="200"/>
        <w:rPr>
          <w:rFonts w:asciiTheme="majorEastAsia" w:hAnsiTheme="majorEastAsia" w:eastAsiaTheme="majorEastAsia" w:cstheme="majorEastAsia"/>
          <w:b/>
          <w:bCs/>
          <w:color w:val="auto"/>
          <w:kern w:val="1"/>
        </w:rPr>
      </w:pPr>
      <w:r>
        <w:rPr>
          <w:rFonts w:hint="eastAsia" w:asciiTheme="majorEastAsia" w:hAnsiTheme="majorEastAsia" w:eastAsiaTheme="majorEastAsia" w:cstheme="majorEastAsia"/>
          <w:b/>
          <w:bCs/>
          <w:color w:val="auto"/>
          <w:kern w:val="1"/>
        </w:rPr>
        <w:t>2、商务及技术部分：</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（1）评分索引表（格式见附件4，主要用于评委对应评分内容，包括商务部分、技术部分）</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（2）企业荣誉与业绩（见附件5、67）；</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（3）商务、合同条款偏离表（格式见附件7）；</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（4）企业证书（复印件，如有）;</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（5）企业基本情况表（见附件8）；</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（6）技术偏离表（见附件9）；</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（7）服务大纲(格式自拟)；</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（8）服务质量(格式自拟)；</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（9）服务的重难点考虑（格式自拟）；</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（10）拟投入本项目人员配备表（格式见附件10、11）；</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（11）工作时效性及服务能力(格式自拟)；</w:t>
      </w:r>
    </w:p>
    <w:p>
      <w:pPr>
        <w:snapToGrid w:val="0"/>
        <w:spacing w:line="460" w:lineRule="exact"/>
        <w:ind w:firstLine="480" w:firstLineChars="200"/>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（12）评审人员廉洁/廉政措施（格式自拟）；</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（13）合理化建议（格式自拟）；</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（14）</w:t>
      </w:r>
      <w:r>
        <w:rPr>
          <w:rFonts w:hint="eastAsia" w:asciiTheme="majorEastAsia" w:hAnsiTheme="majorEastAsia" w:eastAsiaTheme="majorEastAsia" w:cstheme="majorEastAsia"/>
          <w:color w:val="auto"/>
          <w:kern w:val="1"/>
          <w:lang w:eastAsia="zh-CN"/>
        </w:rPr>
        <w:t>响应</w:t>
      </w:r>
      <w:r>
        <w:rPr>
          <w:rFonts w:hint="eastAsia" w:asciiTheme="majorEastAsia" w:hAnsiTheme="majorEastAsia" w:eastAsiaTheme="majorEastAsia" w:cstheme="majorEastAsia"/>
          <w:color w:val="auto"/>
          <w:kern w:val="1"/>
        </w:rPr>
        <w:t>方认为需要的其他文件资料。</w:t>
      </w:r>
    </w:p>
    <w:p>
      <w:pPr>
        <w:snapToGrid w:val="0"/>
        <w:spacing w:line="460" w:lineRule="exact"/>
        <w:ind w:firstLine="472" w:firstLineChars="196"/>
        <w:jc w:val="left"/>
        <w:rPr>
          <w:rFonts w:asciiTheme="majorEastAsia" w:hAnsiTheme="majorEastAsia" w:eastAsiaTheme="majorEastAsia" w:cstheme="majorEastAsia"/>
          <w:b/>
          <w:bCs/>
          <w:color w:val="auto"/>
          <w:kern w:val="1"/>
          <w:u w:val="single"/>
        </w:rPr>
      </w:pPr>
      <w:r>
        <w:rPr>
          <w:rFonts w:hint="eastAsia" w:asciiTheme="majorEastAsia" w:hAnsiTheme="majorEastAsia" w:eastAsiaTheme="majorEastAsia" w:cstheme="majorEastAsia"/>
          <w:b/>
          <w:bCs/>
          <w:color w:val="auto"/>
          <w:kern w:val="1"/>
        </w:rPr>
        <w:t>注：法定代表人授权委托书、</w:t>
      </w:r>
      <w:r>
        <w:rPr>
          <w:rFonts w:hint="eastAsia" w:asciiTheme="majorEastAsia" w:hAnsiTheme="majorEastAsia" w:eastAsiaTheme="majorEastAsia" w:cstheme="majorEastAsia"/>
          <w:b/>
          <w:bCs/>
          <w:color w:val="auto"/>
          <w:kern w:val="1"/>
          <w:lang w:eastAsia="zh-CN"/>
        </w:rPr>
        <w:t>响应</w:t>
      </w:r>
      <w:r>
        <w:rPr>
          <w:rFonts w:hint="eastAsia" w:asciiTheme="majorEastAsia" w:hAnsiTheme="majorEastAsia" w:eastAsiaTheme="majorEastAsia" w:cstheme="majorEastAsia"/>
          <w:b/>
          <w:bCs/>
          <w:color w:val="auto"/>
          <w:kern w:val="1"/>
        </w:rPr>
        <w:t>声明书、</w:t>
      </w:r>
      <w:r>
        <w:rPr>
          <w:rFonts w:hint="eastAsia" w:asciiTheme="majorEastAsia" w:hAnsiTheme="majorEastAsia" w:eastAsiaTheme="majorEastAsia" w:cstheme="majorEastAsia"/>
          <w:b/>
          <w:bCs/>
          <w:color w:val="auto"/>
          <w:kern w:val="1"/>
          <w:lang w:eastAsia="zh-CN"/>
        </w:rPr>
        <w:t>响应</w:t>
      </w:r>
      <w:r>
        <w:rPr>
          <w:rFonts w:hint="eastAsia" w:asciiTheme="majorEastAsia" w:hAnsiTheme="majorEastAsia" w:eastAsiaTheme="majorEastAsia" w:cstheme="majorEastAsia"/>
          <w:b/>
          <w:bCs/>
          <w:color w:val="auto"/>
          <w:kern w:val="1"/>
        </w:rPr>
        <w:t>项目报价明细表必须按招标文件格式要求正确签署并加盖</w:t>
      </w:r>
      <w:r>
        <w:rPr>
          <w:rFonts w:hint="eastAsia" w:asciiTheme="majorEastAsia" w:hAnsiTheme="majorEastAsia" w:eastAsiaTheme="majorEastAsia" w:cstheme="majorEastAsia"/>
          <w:b/>
          <w:bCs/>
          <w:color w:val="auto"/>
          <w:kern w:val="1"/>
          <w:lang w:eastAsia="zh-CN"/>
        </w:rPr>
        <w:t>响应</w:t>
      </w:r>
      <w:r>
        <w:rPr>
          <w:rFonts w:hint="eastAsia" w:asciiTheme="majorEastAsia" w:hAnsiTheme="majorEastAsia" w:eastAsiaTheme="majorEastAsia" w:cstheme="majorEastAsia"/>
          <w:b/>
          <w:bCs/>
          <w:color w:val="auto"/>
          <w:kern w:val="1"/>
        </w:rPr>
        <w:t>人电子签章。</w:t>
      </w:r>
      <w:r>
        <w:rPr>
          <w:rFonts w:hint="eastAsia" w:asciiTheme="majorEastAsia" w:hAnsiTheme="majorEastAsia" w:eastAsiaTheme="majorEastAsia" w:cstheme="majorEastAsia"/>
          <w:b/>
          <w:bCs/>
          <w:color w:val="auto"/>
          <w:kern w:val="1"/>
          <w:u w:val="single"/>
        </w:rPr>
        <w:t>资格部分、商务部分及技术部分中不得出现项目价格部分内容，否则将作无效标处理。</w:t>
      </w:r>
    </w:p>
    <w:p>
      <w:pPr>
        <w:snapToGrid w:val="0"/>
        <w:spacing w:line="460" w:lineRule="exact"/>
        <w:ind w:firstLine="472" w:firstLineChars="196"/>
        <w:jc w:val="left"/>
        <w:rPr>
          <w:rFonts w:asciiTheme="majorEastAsia" w:hAnsiTheme="majorEastAsia" w:eastAsiaTheme="majorEastAsia" w:cstheme="majorEastAsia"/>
          <w:b/>
          <w:bCs/>
          <w:color w:val="auto"/>
          <w:kern w:val="1"/>
        </w:rPr>
      </w:pPr>
      <w:r>
        <w:rPr>
          <w:rFonts w:hint="eastAsia" w:asciiTheme="majorEastAsia" w:hAnsiTheme="majorEastAsia" w:eastAsiaTheme="majorEastAsia" w:cstheme="majorEastAsia"/>
          <w:b/>
          <w:bCs/>
          <w:color w:val="auto"/>
          <w:kern w:val="1"/>
        </w:rPr>
        <w:t>3、价格部分主要包括下列内容：</w:t>
      </w:r>
    </w:p>
    <w:p>
      <w:pPr>
        <w:snapToGrid w:val="0"/>
        <w:spacing w:line="460" w:lineRule="exact"/>
        <w:ind w:firstLine="470" w:firstLineChars="196"/>
        <w:jc w:val="left"/>
        <w:rPr>
          <w:rFonts w:asciiTheme="majorEastAsia" w:hAnsiTheme="majorEastAsia" w:eastAsiaTheme="majorEastAsia" w:cstheme="majorEastAsia"/>
          <w:color w:val="auto"/>
          <w:kern w:val="1"/>
        </w:rPr>
      </w:pPr>
      <w:r>
        <w:rPr>
          <w:rFonts w:hint="eastAsia" w:asciiTheme="majorEastAsia" w:hAnsiTheme="majorEastAsia" w:eastAsiaTheme="majorEastAsia" w:cstheme="majorEastAsia"/>
          <w:color w:val="auto"/>
          <w:kern w:val="1"/>
        </w:rPr>
        <w:t>（1）报价承诺函（附件12）</w:t>
      </w:r>
    </w:p>
    <w:p>
      <w:pPr>
        <w:snapToGrid w:val="0"/>
        <w:spacing w:line="460" w:lineRule="exact"/>
        <w:ind w:firstLine="472" w:firstLineChars="196"/>
        <w:jc w:val="left"/>
        <w:rPr>
          <w:rFonts w:asciiTheme="majorEastAsia" w:hAnsiTheme="majorEastAsia" w:eastAsiaTheme="majorEastAsia" w:cstheme="majorEastAsia"/>
          <w:b/>
          <w:bCs/>
          <w:color w:val="auto"/>
          <w:kern w:val="1"/>
        </w:rPr>
      </w:pPr>
      <w:r>
        <w:rPr>
          <w:rFonts w:hint="eastAsia" w:asciiTheme="majorEastAsia" w:hAnsiTheme="majorEastAsia" w:eastAsiaTheme="majorEastAsia" w:cstheme="majorEastAsia"/>
          <w:b/>
          <w:bCs/>
          <w:color w:val="auto"/>
          <w:kern w:val="1"/>
        </w:rPr>
        <w:t>以上响应文件组成内容中的复印件均须加盖供应商电子签章。</w:t>
      </w:r>
    </w:p>
    <w:p>
      <w:pPr>
        <w:spacing w:line="360" w:lineRule="auto"/>
        <w:rPr>
          <w:rFonts w:asciiTheme="majorEastAsia" w:hAnsiTheme="majorEastAsia" w:eastAsiaTheme="majorEastAsia" w:cstheme="majorEastAsia"/>
          <w:color w:val="auto"/>
        </w:rPr>
      </w:pPr>
    </w:p>
    <w:p>
      <w:pPr>
        <w:pStyle w:val="11"/>
        <w:ind w:firstLine="240"/>
        <w:rPr>
          <w:rFonts w:asciiTheme="majorEastAsia" w:hAnsiTheme="majorEastAsia" w:eastAsiaTheme="majorEastAsia" w:cstheme="majorEastAsia"/>
          <w:color w:val="auto"/>
        </w:rPr>
      </w:pPr>
    </w:p>
    <w:p>
      <w:pPr>
        <w:snapToGrid w:val="0"/>
        <w:spacing w:before="50" w:afterLines="50"/>
        <w:jc w:val="left"/>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附件1：</w:t>
      </w:r>
    </w:p>
    <w:p>
      <w:pPr>
        <w:snapToGrid w:val="0"/>
        <w:spacing w:before="50" w:afterLines="5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投 标 声 明 书</w:t>
      </w:r>
    </w:p>
    <w:p>
      <w:pPr>
        <w:snapToGrid w:val="0"/>
        <w:spacing w:before="50" w:after="50"/>
        <w:jc w:val="center"/>
        <w:rPr>
          <w:rFonts w:asciiTheme="majorEastAsia" w:hAnsiTheme="majorEastAsia" w:eastAsiaTheme="majorEastAsia" w:cstheme="majorEastAsia"/>
          <w:b/>
          <w:color w:val="auto"/>
        </w:rPr>
      </w:pPr>
    </w:p>
    <w:p>
      <w:pPr>
        <w:snapToGrid w:val="0"/>
        <w:spacing w:line="360" w:lineRule="auto"/>
        <w:rPr>
          <w:rFonts w:asciiTheme="majorEastAsia" w:hAnsiTheme="majorEastAsia" w:eastAsiaTheme="majorEastAsia" w:cstheme="majorEastAsia"/>
          <w:snapToGrid w:val="0"/>
          <w:color w:val="auto"/>
          <w:kern w:val="0"/>
        </w:rPr>
      </w:pPr>
      <w:r>
        <w:rPr>
          <w:rFonts w:hint="eastAsia" w:asciiTheme="majorEastAsia" w:hAnsiTheme="majorEastAsia" w:eastAsiaTheme="majorEastAsia" w:cstheme="majorEastAsia"/>
          <w:snapToGrid w:val="0"/>
          <w:color w:val="auto"/>
          <w:kern w:val="0"/>
        </w:rPr>
        <w:t>致湖州市政府采购中心：</w:t>
      </w:r>
    </w:p>
    <w:p>
      <w:pPr>
        <w:snapToGrid w:val="0"/>
        <w:spacing w:line="360" w:lineRule="auto"/>
        <w:ind w:firstLine="480" w:firstLineChars="200"/>
        <w:jc w:val="left"/>
        <w:rPr>
          <w:rFonts w:asciiTheme="majorEastAsia" w:hAnsiTheme="majorEastAsia" w:eastAsiaTheme="majorEastAsia" w:cstheme="majorEastAsia"/>
          <w:snapToGrid w:val="0"/>
          <w:color w:val="auto"/>
          <w:kern w:val="0"/>
        </w:rPr>
      </w:pPr>
      <w:r>
        <w:rPr>
          <w:rFonts w:hint="eastAsia" w:asciiTheme="majorEastAsia" w:hAnsiTheme="majorEastAsia" w:eastAsiaTheme="majorEastAsia" w:cstheme="majorEastAsia"/>
          <w:snapToGrid w:val="0"/>
          <w:color w:val="auto"/>
          <w:kern w:val="0"/>
          <w:u w:val="single"/>
        </w:rPr>
        <w:t>（</w:t>
      </w:r>
      <w:r>
        <w:rPr>
          <w:rFonts w:hint="eastAsia" w:asciiTheme="majorEastAsia" w:hAnsiTheme="majorEastAsia" w:eastAsiaTheme="majorEastAsia" w:cstheme="majorEastAsia"/>
          <w:snapToGrid w:val="0"/>
          <w:color w:val="auto"/>
          <w:kern w:val="0"/>
          <w:u w:val="single"/>
          <w:lang w:eastAsia="zh-CN"/>
        </w:rPr>
        <w:t>响应</w:t>
      </w:r>
      <w:r>
        <w:rPr>
          <w:rFonts w:hint="eastAsia" w:asciiTheme="majorEastAsia" w:hAnsiTheme="majorEastAsia" w:eastAsiaTheme="majorEastAsia" w:cstheme="majorEastAsia"/>
          <w:snapToGrid w:val="0"/>
          <w:color w:val="auto"/>
          <w:kern w:val="0"/>
          <w:u w:val="single"/>
        </w:rPr>
        <w:t xml:space="preserve">人名称）               </w:t>
      </w:r>
      <w:r>
        <w:rPr>
          <w:rFonts w:hint="eastAsia" w:asciiTheme="majorEastAsia" w:hAnsiTheme="majorEastAsia" w:eastAsiaTheme="majorEastAsia" w:cstheme="majorEastAsia"/>
          <w:snapToGrid w:val="0"/>
          <w:color w:val="auto"/>
          <w:kern w:val="0"/>
        </w:rPr>
        <w:t>系中华人民共和国合法企业，经营地址</w:t>
      </w:r>
      <w:r>
        <w:rPr>
          <w:rFonts w:hint="eastAsia" w:asciiTheme="majorEastAsia" w:hAnsiTheme="majorEastAsia" w:eastAsiaTheme="majorEastAsia" w:cstheme="majorEastAsia"/>
          <w:snapToGrid w:val="0"/>
          <w:color w:val="auto"/>
          <w:kern w:val="0"/>
          <w:u w:val="single"/>
        </w:rPr>
        <w:t xml:space="preserve">                            </w:t>
      </w:r>
      <w:r>
        <w:rPr>
          <w:rFonts w:hint="eastAsia" w:asciiTheme="majorEastAsia" w:hAnsiTheme="majorEastAsia" w:eastAsiaTheme="majorEastAsia" w:cstheme="majorEastAsia"/>
          <w:snapToGrid w:val="0"/>
          <w:color w:val="auto"/>
          <w:kern w:val="0"/>
        </w:rPr>
        <w:t>。</w:t>
      </w:r>
    </w:p>
    <w:p>
      <w:pPr>
        <w:snapToGrid w:val="0"/>
        <w:spacing w:line="360" w:lineRule="auto"/>
        <w:ind w:firstLine="480" w:firstLineChars="200"/>
        <w:rPr>
          <w:rFonts w:asciiTheme="majorEastAsia" w:hAnsiTheme="majorEastAsia" w:eastAsiaTheme="majorEastAsia" w:cstheme="majorEastAsia"/>
          <w:snapToGrid w:val="0"/>
          <w:color w:val="auto"/>
          <w:kern w:val="0"/>
        </w:rPr>
      </w:pPr>
      <w:r>
        <w:rPr>
          <w:rFonts w:hint="eastAsia" w:asciiTheme="majorEastAsia" w:hAnsiTheme="majorEastAsia" w:eastAsiaTheme="majorEastAsia" w:cstheme="majorEastAsia"/>
          <w:snapToGrid w:val="0"/>
          <w:color w:val="auto"/>
          <w:kern w:val="0"/>
        </w:rPr>
        <w:t>我</w:t>
      </w:r>
      <w:r>
        <w:rPr>
          <w:rFonts w:hint="eastAsia" w:asciiTheme="majorEastAsia" w:hAnsiTheme="majorEastAsia" w:eastAsiaTheme="majorEastAsia" w:cstheme="majorEastAsia"/>
          <w:snapToGrid w:val="0"/>
          <w:color w:val="auto"/>
          <w:kern w:val="0"/>
          <w:u w:val="single"/>
        </w:rPr>
        <w:t>（姓名）</w:t>
      </w:r>
      <w:r>
        <w:rPr>
          <w:rFonts w:hint="eastAsia" w:asciiTheme="majorEastAsia" w:hAnsiTheme="majorEastAsia" w:eastAsiaTheme="majorEastAsia" w:cstheme="majorEastAsia"/>
          <w:snapToGrid w:val="0"/>
          <w:color w:val="auto"/>
          <w:kern w:val="0"/>
        </w:rPr>
        <w:t>系</w:t>
      </w:r>
      <w:r>
        <w:rPr>
          <w:rFonts w:hint="eastAsia" w:asciiTheme="majorEastAsia" w:hAnsiTheme="majorEastAsia" w:eastAsiaTheme="majorEastAsia" w:cstheme="majorEastAsia"/>
          <w:snapToGrid w:val="0"/>
          <w:color w:val="auto"/>
          <w:kern w:val="0"/>
          <w:u w:val="single"/>
        </w:rPr>
        <w:t>（</w:t>
      </w:r>
      <w:r>
        <w:rPr>
          <w:rFonts w:hint="eastAsia" w:asciiTheme="majorEastAsia" w:hAnsiTheme="majorEastAsia" w:eastAsiaTheme="majorEastAsia" w:cstheme="majorEastAsia"/>
          <w:snapToGrid w:val="0"/>
          <w:color w:val="auto"/>
          <w:kern w:val="0"/>
          <w:u w:val="single"/>
          <w:lang w:eastAsia="zh-CN"/>
        </w:rPr>
        <w:t>响应</w:t>
      </w:r>
      <w:r>
        <w:rPr>
          <w:rFonts w:hint="eastAsia" w:asciiTheme="majorEastAsia" w:hAnsiTheme="majorEastAsia" w:eastAsiaTheme="majorEastAsia" w:cstheme="majorEastAsia"/>
          <w:snapToGrid w:val="0"/>
          <w:color w:val="auto"/>
          <w:kern w:val="0"/>
          <w:u w:val="single"/>
        </w:rPr>
        <w:t>人名称）</w:t>
      </w:r>
      <w:r>
        <w:rPr>
          <w:rFonts w:hint="eastAsia" w:asciiTheme="majorEastAsia" w:hAnsiTheme="majorEastAsia" w:eastAsiaTheme="majorEastAsia" w:cstheme="majorEastAsia"/>
          <w:snapToGrid w:val="0"/>
          <w:color w:val="auto"/>
          <w:kern w:val="0"/>
        </w:rPr>
        <w:t>的法定代表人，我方愿意参加贵方组织的</w:t>
      </w:r>
      <w:r>
        <w:rPr>
          <w:rFonts w:hint="eastAsia" w:asciiTheme="majorEastAsia" w:hAnsiTheme="majorEastAsia" w:eastAsiaTheme="majorEastAsia" w:cstheme="majorEastAsia"/>
          <w:snapToGrid w:val="0"/>
          <w:color w:val="auto"/>
          <w:kern w:val="0"/>
          <w:u w:val="single"/>
        </w:rPr>
        <w:t>（招标项目名称：湖州市本级（含吴兴、南浔财政审核中心）政府投资项目工程造价咨询服务框架协议采购项目）（编号：HZKJXY（FB）2022-01）</w:t>
      </w:r>
      <w:r>
        <w:rPr>
          <w:rFonts w:hint="eastAsia" w:asciiTheme="majorEastAsia" w:hAnsiTheme="majorEastAsia" w:eastAsiaTheme="majorEastAsia" w:cstheme="majorEastAsia"/>
          <w:snapToGrid w:val="0"/>
          <w:color w:val="auto"/>
          <w:kern w:val="0"/>
        </w:rPr>
        <w:t>的</w:t>
      </w:r>
      <w:r>
        <w:rPr>
          <w:rFonts w:hint="eastAsia" w:asciiTheme="majorEastAsia" w:hAnsiTheme="majorEastAsia" w:eastAsiaTheme="majorEastAsia" w:cstheme="majorEastAsia"/>
          <w:snapToGrid w:val="0"/>
          <w:color w:val="auto"/>
          <w:kern w:val="0"/>
          <w:lang w:eastAsia="zh-CN"/>
        </w:rPr>
        <w:t>响应</w:t>
      </w:r>
      <w:r>
        <w:rPr>
          <w:rFonts w:hint="eastAsia" w:asciiTheme="majorEastAsia" w:hAnsiTheme="majorEastAsia" w:eastAsiaTheme="majorEastAsia" w:cstheme="majorEastAsia"/>
          <w:snapToGrid w:val="0"/>
          <w:color w:val="auto"/>
          <w:kern w:val="0"/>
        </w:rPr>
        <w:t>，为此，我方就本次</w:t>
      </w:r>
      <w:r>
        <w:rPr>
          <w:rFonts w:hint="eastAsia" w:asciiTheme="majorEastAsia" w:hAnsiTheme="majorEastAsia" w:eastAsiaTheme="majorEastAsia" w:cstheme="majorEastAsia"/>
          <w:snapToGrid w:val="0"/>
          <w:color w:val="auto"/>
          <w:kern w:val="0"/>
          <w:lang w:eastAsia="zh-CN"/>
        </w:rPr>
        <w:t>响应</w:t>
      </w:r>
      <w:r>
        <w:rPr>
          <w:rFonts w:hint="eastAsia" w:asciiTheme="majorEastAsia" w:hAnsiTheme="majorEastAsia" w:eastAsiaTheme="majorEastAsia" w:cstheme="majorEastAsia"/>
          <w:snapToGrid w:val="0"/>
          <w:color w:val="auto"/>
          <w:kern w:val="0"/>
        </w:rPr>
        <w:t>有关事项郑重声明如下：</w:t>
      </w:r>
    </w:p>
    <w:p>
      <w:pPr>
        <w:snapToGrid w:val="0"/>
        <w:spacing w:line="360" w:lineRule="auto"/>
        <w:ind w:firstLine="480" w:firstLineChars="200"/>
        <w:rPr>
          <w:rFonts w:asciiTheme="majorEastAsia" w:hAnsiTheme="majorEastAsia" w:eastAsiaTheme="majorEastAsia" w:cstheme="majorEastAsia"/>
          <w:snapToGrid w:val="0"/>
          <w:color w:val="auto"/>
          <w:kern w:val="0"/>
        </w:rPr>
      </w:pPr>
      <w:r>
        <w:rPr>
          <w:rFonts w:hint="eastAsia" w:asciiTheme="majorEastAsia" w:hAnsiTheme="majorEastAsia" w:eastAsiaTheme="majorEastAsia" w:cstheme="majorEastAsia"/>
          <w:snapToGrid w:val="0"/>
          <w:color w:val="auto"/>
          <w:kern w:val="0"/>
        </w:rPr>
        <w:t>1、我方已详细审查全部招标文件，同意招标文件的各项要求。</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2、我方向贵方提交的所有</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、资料都是准确的和真实的。</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3、若中标，我方将按招标文件规定履行合同责任和义务。</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4、我方不是采购人的附属机构，在获知本项目采购信息后，与采购人聘请的为此项目提供咨询服务的公司及其附属机构没有任何联系。</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5、</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自开标日起有效期为120天。</w:t>
      </w:r>
    </w:p>
    <w:p>
      <w:pPr>
        <w:snapToGrid w:val="0"/>
        <w:spacing w:line="360" w:lineRule="auto"/>
        <w:ind w:firstLine="472" w:firstLineChars="196"/>
        <w:jc w:val="left"/>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6、符合《中华人民共和国政府采购法》第二十二条：参加政府采购活动应当具备的条件；</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8、以上事项如有虚假或隐瞒，我方愿意承担一切后果，并不再寻求任何旨在减轻或免除法律责任的辩解。</w:t>
      </w:r>
    </w:p>
    <w:p>
      <w:pPr>
        <w:snapToGrid w:val="0"/>
        <w:ind w:right="600" w:firstLine="120" w:firstLineChars="50"/>
        <w:rPr>
          <w:rFonts w:asciiTheme="majorEastAsia" w:hAnsiTheme="majorEastAsia" w:eastAsiaTheme="majorEastAsia" w:cstheme="majorEastAsia"/>
          <w:color w:val="auto"/>
        </w:rPr>
      </w:pPr>
    </w:p>
    <w:p>
      <w:pPr>
        <w:snapToGrid w:val="0"/>
        <w:ind w:right="600" w:firstLine="120" w:firstLineChars="50"/>
        <w:rPr>
          <w:rFonts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rPr>
        <w:t>法定代表人签名（或签名章）：</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 xml:space="preserve">  日 期：</w:t>
      </w:r>
      <w:r>
        <w:rPr>
          <w:rFonts w:hint="eastAsia" w:asciiTheme="majorEastAsia" w:hAnsiTheme="majorEastAsia" w:eastAsiaTheme="majorEastAsia" w:cstheme="majorEastAsia"/>
          <w:color w:val="auto"/>
          <w:u w:val="single"/>
        </w:rPr>
        <w:t xml:space="preserve">          </w:t>
      </w:r>
    </w:p>
    <w:p>
      <w:pPr>
        <w:snapToGrid w:val="0"/>
        <w:ind w:firstLine="120" w:firstLineChars="5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 xml:space="preserve">       </w:t>
      </w:r>
      <w:r>
        <w:rPr>
          <w:rFonts w:hint="eastAsia" w:asciiTheme="majorEastAsia" w:hAnsiTheme="majorEastAsia" w:eastAsiaTheme="majorEastAsia" w:cstheme="majorEastAsia"/>
          <w:color w:val="auto"/>
        </w:rPr>
        <w:br w:type="page"/>
      </w:r>
    </w:p>
    <w:p>
      <w:pPr>
        <w:snapToGrid w:val="0"/>
        <w:rPr>
          <w:rFonts w:asciiTheme="majorEastAsia" w:hAnsiTheme="majorEastAsia" w:eastAsiaTheme="majorEastAsia" w:cstheme="majorEastAsia"/>
          <w:b/>
          <w:bCs/>
          <w:color w:val="auto"/>
          <w:spacing w:val="24"/>
        </w:rPr>
      </w:pPr>
      <w:r>
        <w:rPr>
          <w:rFonts w:hint="eastAsia" w:asciiTheme="majorEastAsia" w:hAnsiTheme="majorEastAsia" w:eastAsiaTheme="majorEastAsia" w:cstheme="majorEastAsia"/>
          <w:b/>
          <w:bCs/>
          <w:color w:val="auto"/>
          <w:spacing w:val="24"/>
        </w:rPr>
        <w:t>附件2：</w:t>
      </w:r>
    </w:p>
    <w:p>
      <w:pPr>
        <w:snapToGrid w:val="0"/>
        <w:spacing w:before="50" w:after="5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bCs/>
          <w:color w:val="auto"/>
          <w:spacing w:val="24"/>
        </w:rPr>
        <w:t>法定代表人有效身份证明书</w:t>
      </w:r>
    </w:p>
    <w:p>
      <w:pPr>
        <w:pStyle w:val="8"/>
        <w:spacing w:line="500" w:lineRule="exact"/>
        <w:ind w:firstLine="450" w:firstLineChars="156"/>
        <w:jc w:val="center"/>
        <w:rPr>
          <w:rFonts w:asciiTheme="majorEastAsia" w:hAnsiTheme="majorEastAsia" w:eastAsiaTheme="majorEastAsia" w:cstheme="majorEastAsia"/>
          <w:b/>
          <w:bCs/>
          <w:color w:val="auto"/>
          <w:spacing w:val="24"/>
          <w:szCs w:val="24"/>
        </w:rPr>
      </w:pPr>
    </w:p>
    <w:p>
      <w:pPr>
        <w:pStyle w:val="8"/>
        <w:spacing w:line="500" w:lineRule="exact"/>
        <w:ind w:firstLine="450" w:firstLineChars="156"/>
        <w:jc w:val="center"/>
        <w:rPr>
          <w:rFonts w:asciiTheme="majorEastAsia" w:hAnsiTheme="majorEastAsia" w:eastAsiaTheme="majorEastAsia" w:cstheme="majorEastAsia"/>
          <w:b/>
          <w:bCs/>
          <w:color w:val="auto"/>
          <w:spacing w:val="24"/>
          <w:szCs w:val="24"/>
        </w:rPr>
      </w:pPr>
    </w:p>
    <w:p>
      <w:pPr>
        <w:pStyle w:val="8"/>
        <w:spacing w:line="500" w:lineRule="exact"/>
        <w:ind w:firstLine="1080" w:firstLineChars="450"/>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u w:val="single"/>
        </w:rPr>
        <w:t>（姓名）</w:t>
      </w:r>
      <w:r>
        <w:rPr>
          <w:rFonts w:hint="eastAsia" w:asciiTheme="majorEastAsia" w:hAnsiTheme="majorEastAsia" w:eastAsiaTheme="majorEastAsia" w:cstheme="majorEastAsia"/>
          <w:color w:val="auto"/>
          <w:szCs w:val="24"/>
        </w:rPr>
        <w:t>是 （单位全称）</w:t>
      </w:r>
    </w:p>
    <w:p>
      <w:pPr>
        <w:pStyle w:val="8"/>
        <w:spacing w:line="500" w:lineRule="exact"/>
        <w:ind w:firstLine="374" w:firstLineChars="156"/>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的法定代表人，身份证号码为 。</w:t>
      </w:r>
    </w:p>
    <w:p>
      <w:pPr>
        <w:pStyle w:val="8"/>
        <w:spacing w:line="500" w:lineRule="exact"/>
        <w:ind w:firstLine="374" w:firstLineChars="156"/>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 xml:space="preserve">    特此证明</w:t>
      </w:r>
    </w:p>
    <w:p>
      <w:pPr>
        <w:pStyle w:val="8"/>
        <w:spacing w:line="500" w:lineRule="exact"/>
        <w:ind w:firstLine="374" w:firstLineChars="156"/>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 xml:space="preserve">          </w:t>
      </w:r>
      <w:r>
        <w:rPr>
          <w:rFonts w:hint="eastAsia" w:asciiTheme="majorEastAsia" w:hAnsiTheme="majorEastAsia" w:eastAsiaTheme="majorEastAsia" w:cstheme="majorEastAsia"/>
          <w:color w:val="auto"/>
          <w:szCs w:val="24"/>
          <w:lang w:eastAsia="zh-CN"/>
        </w:rPr>
        <w:t>响应</w:t>
      </w:r>
      <w:r>
        <w:rPr>
          <w:rFonts w:hint="eastAsia" w:asciiTheme="majorEastAsia" w:hAnsiTheme="majorEastAsia" w:eastAsiaTheme="majorEastAsia" w:cstheme="majorEastAsia"/>
          <w:color w:val="auto"/>
          <w:szCs w:val="24"/>
        </w:rPr>
        <w:t>人：（电子签章）</w:t>
      </w:r>
    </w:p>
    <w:p>
      <w:pPr>
        <w:pStyle w:val="8"/>
        <w:spacing w:line="500" w:lineRule="exact"/>
        <w:ind w:firstLine="374" w:firstLineChars="156"/>
        <w:rPr>
          <w:rFonts w:asciiTheme="majorEastAsia" w:hAnsiTheme="majorEastAsia" w:eastAsiaTheme="majorEastAsia" w:cstheme="majorEastAsia"/>
          <w:color w:val="auto"/>
          <w:szCs w:val="24"/>
        </w:rPr>
      </w:pPr>
    </w:p>
    <w:p>
      <w:pPr>
        <w:pStyle w:val="8"/>
        <w:spacing w:line="500" w:lineRule="exact"/>
        <w:ind w:firstLine="1454" w:firstLineChars="606"/>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法定代表人或其授权代理人（签名或盖章）</w:t>
      </w:r>
    </w:p>
    <w:p>
      <w:pPr>
        <w:pStyle w:val="8"/>
        <w:spacing w:line="500" w:lineRule="exact"/>
        <w:ind w:firstLine="374" w:firstLineChars="156"/>
        <w:jc w:val="center"/>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 xml:space="preserve">              日期：    年   月   日</w:t>
      </w:r>
    </w:p>
    <w:p>
      <w:pPr>
        <w:pStyle w:val="8"/>
        <w:spacing w:line="500" w:lineRule="exact"/>
        <w:ind w:firstLine="374" w:firstLineChars="156"/>
        <w:jc w:val="center"/>
        <w:rPr>
          <w:rFonts w:asciiTheme="majorEastAsia" w:hAnsiTheme="majorEastAsia" w:eastAsiaTheme="majorEastAsia" w:cstheme="majorEastAsia"/>
          <w:color w:val="auto"/>
          <w:szCs w:val="24"/>
        </w:rPr>
      </w:pPr>
    </w:p>
    <w:p>
      <w:pPr>
        <w:pStyle w:val="8"/>
        <w:spacing w:line="500" w:lineRule="exact"/>
        <w:ind w:firstLine="374" w:firstLineChars="156"/>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w:t>
      </w:r>
    </w:p>
    <w:p>
      <w:pPr>
        <w:pStyle w:val="8"/>
        <w:spacing w:line="500" w:lineRule="exact"/>
        <w:ind w:firstLine="0"/>
        <w:rPr>
          <w:rFonts w:asciiTheme="majorEastAsia" w:hAnsiTheme="majorEastAsia" w:eastAsiaTheme="majorEastAsia" w:cstheme="majorEastAsia"/>
          <w:color w:val="auto"/>
          <w:szCs w:val="24"/>
        </w:rPr>
      </w:pPr>
    </w:p>
    <w:p>
      <w:pPr>
        <w:pStyle w:val="8"/>
        <w:spacing w:line="500" w:lineRule="exact"/>
        <w:ind w:firstLine="374" w:firstLineChars="156"/>
        <w:jc w:val="center"/>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有效身份证明复印件粘贴处</w:t>
      </w:r>
    </w:p>
    <w:p>
      <w:pPr>
        <w:pStyle w:val="8"/>
        <w:spacing w:line="500" w:lineRule="exact"/>
        <w:ind w:firstLine="374" w:firstLineChars="156"/>
        <w:jc w:val="center"/>
        <w:rPr>
          <w:rFonts w:asciiTheme="majorEastAsia" w:hAnsiTheme="majorEastAsia" w:eastAsiaTheme="majorEastAsia" w:cstheme="majorEastAsia"/>
          <w:color w:val="auto"/>
          <w:szCs w:val="24"/>
        </w:rPr>
      </w:pPr>
    </w:p>
    <w:p>
      <w:pPr>
        <w:pStyle w:val="8"/>
        <w:spacing w:line="500" w:lineRule="exact"/>
        <w:ind w:firstLine="374" w:firstLineChars="156"/>
        <w:jc w:val="center"/>
        <w:rPr>
          <w:rFonts w:asciiTheme="majorEastAsia" w:hAnsiTheme="majorEastAsia" w:eastAsiaTheme="majorEastAsia" w:cstheme="majorEastAsia"/>
          <w:color w:val="auto"/>
          <w:szCs w:val="24"/>
        </w:rPr>
      </w:pPr>
    </w:p>
    <w:p>
      <w:pPr>
        <w:pStyle w:val="8"/>
        <w:spacing w:line="500" w:lineRule="exact"/>
        <w:ind w:firstLine="450" w:firstLineChars="156"/>
        <w:jc w:val="center"/>
        <w:rPr>
          <w:rFonts w:asciiTheme="majorEastAsia" w:hAnsiTheme="majorEastAsia" w:eastAsiaTheme="majorEastAsia" w:cstheme="majorEastAsia"/>
          <w:b/>
          <w:bCs/>
          <w:color w:val="auto"/>
          <w:spacing w:val="24"/>
          <w:szCs w:val="24"/>
        </w:rPr>
      </w:pPr>
    </w:p>
    <w:p>
      <w:pPr>
        <w:pStyle w:val="8"/>
        <w:spacing w:line="500" w:lineRule="exact"/>
        <w:ind w:firstLine="450" w:firstLineChars="156"/>
        <w:jc w:val="center"/>
        <w:rPr>
          <w:rFonts w:asciiTheme="majorEastAsia" w:hAnsiTheme="majorEastAsia" w:eastAsiaTheme="majorEastAsia" w:cstheme="majorEastAsia"/>
          <w:b/>
          <w:bCs/>
          <w:color w:val="auto"/>
          <w:spacing w:val="24"/>
          <w:szCs w:val="24"/>
        </w:rPr>
      </w:pPr>
    </w:p>
    <w:p>
      <w:pPr>
        <w:snapToGrid w:val="0"/>
        <w:spacing w:beforeLines="50" w:after="50" w:line="460" w:lineRule="exact"/>
        <w:rPr>
          <w:rFonts w:asciiTheme="majorEastAsia" w:hAnsiTheme="majorEastAsia" w:eastAsiaTheme="majorEastAsia" w:cstheme="majorEastAsia"/>
          <w:color w:val="auto"/>
        </w:rPr>
      </w:pPr>
    </w:p>
    <w:p>
      <w:pPr>
        <w:pStyle w:val="11"/>
        <w:ind w:firstLine="240"/>
        <w:rPr>
          <w:color w:val="auto"/>
        </w:rPr>
      </w:pPr>
    </w:p>
    <w:p>
      <w:pPr>
        <w:snapToGrid w:val="0"/>
        <w:spacing w:beforeLines="50" w:after="50" w:line="460" w:lineRule="exact"/>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附件3：</w:t>
      </w:r>
    </w:p>
    <w:p>
      <w:pPr>
        <w:snapToGrid w:val="0"/>
        <w:spacing w:before="50" w:after="5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法定代表人授权委托书</w:t>
      </w:r>
    </w:p>
    <w:p>
      <w:pPr>
        <w:snapToGrid w:val="0"/>
        <w:spacing w:beforeLines="50" w:after="50"/>
        <w:jc w:val="center"/>
        <w:rPr>
          <w:rFonts w:asciiTheme="majorEastAsia" w:hAnsiTheme="majorEastAsia" w:eastAsiaTheme="majorEastAsia" w:cstheme="majorEastAsia"/>
          <w:b/>
          <w:color w:val="auto"/>
        </w:rPr>
      </w:pPr>
    </w:p>
    <w:p>
      <w:pPr>
        <w:snapToGrid w:val="0"/>
        <w:spacing w:line="360" w:lineRule="auto"/>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Cs/>
          <w:color w:val="auto"/>
        </w:rPr>
        <w:t>湖州市政府采购中心：</w:t>
      </w:r>
    </w:p>
    <w:p>
      <w:pPr>
        <w:snapToGrid w:val="0"/>
        <w:spacing w:line="360" w:lineRule="auto"/>
        <w:ind w:firstLine="720" w:firstLineChars="300"/>
        <w:rPr>
          <w:rFonts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rPr>
        <w:t>我（姓名）系（</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 xml:space="preserve">人名称）的法定代表人，现授权委托本单位在职职工 </w:t>
      </w:r>
      <w:r>
        <w:rPr>
          <w:rFonts w:hint="eastAsia" w:asciiTheme="majorEastAsia" w:hAnsiTheme="majorEastAsia" w:eastAsiaTheme="majorEastAsia" w:cstheme="majorEastAsia"/>
          <w:b/>
          <w:color w:val="auto"/>
        </w:rPr>
        <w:t xml:space="preserve">(提供个人在本单位缴纳社保的证明) </w:t>
      </w:r>
    </w:p>
    <w:p>
      <w:pPr>
        <w:snapToGrid w:val="0"/>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（姓名）为授权代表，以我方的名义参加项目编号：</w:t>
      </w:r>
      <w:r>
        <w:rPr>
          <w:rFonts w:hint="eastAsia" w:asciiTheme="majorEastAsia" w:hAnsiTheme="majorEastAsia" w:eastAsiaTheme="majorEastAsia" w:cstheme="majorEastAsia"/>
          <w:color w:val="auto"/>
          <w:u w:val="single"/>
        </w:rPr>
        <w:t>HZKJXY（FB）2022-01</w:t>
      </w:r>
      <w:r>
        <w:rPr>
          <w:rFonts w:hint="eastAsia" w:asciiTheme="majorEastAsia" w:hAnsiTheme="majorEastAsia" w:eastAsiaTheme="majorEastAsia" w:cstheme="majorEastAsia"/>
          <w:color w:val="auto"/>
        </w:rPr>
        <w:t>项目名称</w:t>
      </w:r>
      <w:r>
        <w:rPr>
          <w:rFonts w:hint="eastAsia" w:asciiTheme="majorEastAsia" w:hAnsiTheme="majorEastAsia" w:eastAsiaTheme="majorEastAsia" w:cstheme="majorEastAsia"/>
          <w:color w:val="auto"/>
          <w:u w:val="single"/>
        </w:rPr>
        <w:t>：</w:t>
      </w:r>
      <w:r>
        <w:rPr>
          <w:rFonts w:hint="eastAsia" w:asciiTheme="majorEastAsia" w:hAnsiTheme="majorEastAsia" w:eastAsiaTheme="majorEastAsia" w:cstheme="majorEastAsia"/>
          <w:snapToGrid w:val="0"/>
          <w:color w:val="auto"/>
          <w:kern w:val="0"/>
          <w:u w:val="single"/>
        </w:rPr>
        <w:t>湖州市本级（含吴兴、南浔财政审核中心）政府投资项目工程造价咨询服务框架协议采购</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项目的</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活动，并代表我方全权办理针对上述项目的</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、开标、评标、签约等具体事务和签署相关文件。我方对授权代表的签名事项负全部责任。</w:t>
      </w:r>
    </w:p>
    <w:p>
      <w:pPr>
        <w:snapToGrid w:val="0"/>
        <w:spacing w:line="360" w:lineRule="auto"/>
        <w:ind w:firstLine="48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在撤销授权的书面通知以前，本授权书一直有效。授权代表在授权书有效期内签署的所有文件不因授权的撤销而失效。</w:t>
      </w:r>
    </w:p>
    <w:p>
      <w:pPr>
        <w:snapToGrid w:val="0"/>
        <w:spacing w:line="360" w:lineRule="auto"/>
        <w:ind w:firstLine="48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授权代表无转委托权，特此委托。</w:t>
      </w:r>
    </w:p>
    <w:p>
      <w:pPr>
        <w:snapToGrid w:val="0"/>
        <w:spacing w:beforeLines="50" w:after="50" w:line="460" w:lineRule="exact"/>
        <w:ind w:firstLine="480"/>
        <w:rPr>
          <w:rFonts w:asciiTheme="majorEastAsia" w:hAnsiTheme="majorEastAsia" w:eastAsiaTheme="majorEastAsia" w:cstheme="majorEastAsia"/>
          <w:color w:val="auto"/>
        </w:rPr>
      </w:pPr>
    </w:p>
    <w:p>
      <w:pPr>
        <w:snapToGrid w:val="0"/>
        <w:spacing w:beforeLines="50" w:after="50" w:line="46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授权代表签名：     职务：</w:t>
      </w:r>
    </w:p>
    <w:p>
      <w:pPr>
        <w:snapToGrid w:val="0"/>
        <w:spacing w:beforeLines="50" w:after="50" w:line="46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联系手机：（开评标期间务必保持通畅，用以询标联系）</w:t>
      </w:r>
    </w:p>
    <w:p>
      <w:pPr>
        <w:snapToGrid w:val="0"/>
        <w:spacing w:beforeLines="50" w:after="50" w:line="46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授权代表身份证号码：</w:t>
      </w:r>
    </w:p>
    <w:p>
      <w:pPr>
        <w:snapToGrid w:val="0"/>
        <w:spacing w:beforeLines="50" w:after="50" w:line="460" w:lineRule="exact"/>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法定代表人签名（或签名章）：   职务：</w:t>
      </w:r>
    </w:p>
    <w:p>
      <w:pPr>
        <w:snapToGrid w:val="0"/>
        <w:spacing w:beforeLines="50" w:after="50" w:line="460" w:lineRule="exact"/>
        <w:rPr>
          <w:rFonts w:asciiTheme="majorEastAsia" w:hAnsiTheme="majorEastAsia" w:eastAsiaTheme="majorEastAsia" w:cstheme="majorEastAsia"/>
          <w:color w:val="auto"/>
        </w:rPr>
      </w:pPr>
    </w:p>
    <w:p>
      <w:pPr>
        <w:snapToGrid w:val="0"/>
        <w:spacing w:beforeLines="50" w:after="50" w:line="460" w:lineRule="exact"/>
        <w:rPr>
          <w:rFonts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         日  期：</w:t>
      </w:r>
    </w:p>
    <w:p>
      <w:pPr>
        <w:pStyle w:val="8"/>
        <w:spacing w:line="600" w:lineRule="exact"/>
        <w:ind w:firstLine="374" w:firstLineChars="156"/>
        <w:rPr>
          <w:rFonts w:asciiTheme="majorEastAsia" w:hAnsiTheme="majorEastAsia" w:eastAsiaTheme="majorEastAsia" w:cstheme="majorEastAsia"/>
          <w:color w:val="auto"/>
          <w:szCs w:val="24"/>
        </w:rPr>
      </w:pPr>
      <w:r>
        <w:rPr>
          <w:rFonts w:hint="eastAsia" w:asciiTheme="majorEastAsia" w:hAnsiTheme="majorEastAsia" w:eastAsiaTheme="majorEastAsia" w:cstheme="majorEastAsia"/>
          <w:color w:val="auto"/>
          <w:szCs w:val="24"/>
        </w:rPr>
        <w:t>————————————————————-----------</w:t>
      </w:r>
    </w:p>
    <w:p>
      <w:pPr>
        <w:snapToGrid w:val="0"/>
        <w:spacing w:beforeLines="50" w:after="50" w:line="460" w:lineRule="exact"/>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授权代理人有效身份证明复印件粘贴处</w:t>
      </w:r>
    </w:p>
    <w:p>
      <w:pPr>
        <w:pStyle w:val="11"/>
        <w:ind w:firstLine="240"/>
        <w:rPr>
          <w:rFonts w:asciiTheme="majorEastAsia" w:hAnsiTheme="majorEastAsia" w:eastAsiaTheme="majorEastAsia" w:cstheme="majorEastAsia"/>
          <w:color w:val="auto"/>
        </w:rPr>
      </w:pPr>
    </w:p>
    <w:p>
      <w:pPr>
        <w:snapToGrid w:val="0"/>
        <w:spacing w:before="50" w:after="50"/>
        <w:rPr>
          <w:rFonts w:asciiTheme="majorEastAsia" w:hAnsiTheme="majorEastAsia" w:eastAsiaTheme="majorEastAsia" w:cstheme="majorEastAsia"/>
          <w:b/>
          <w:color w:val="auto"/>
        </w:rPr>
      </w:pPr>
    </w:p>
    <w:p>
      <w:pPr>
        <w:snapToGrid w:val="0"/>
        <w:spacing w:before="50" w:after="50"/>
        <w:rPr>
          <w:rFonts w:asciiTheme="majorEastAsia" w:hAnsiTheme="majorEastAsia" w:eastAsiaTheme="majorEastAsia" w:cstheme="majorEastAsia"/>
          <w:b/>
          <w:color w:val="auto"/>
        </w:rPr>
      </w:pPr>
    </w:p>
    <w:p>
      <w:pPr>
        <w:snapToGrid w:val="0"/>
        <w:spacing w:before="50" w:after="50"/>
        <w:rPr>
          <w:rFonts w:asciiTheme="majorEastAsia" w:hAnsiTheme="majorEastAsia" w:eastAsiaTheme="majorEastAsia" w:cstheme="majorEastAsia"/>
          <w:b/>
          <w:color w:val="auto"/>
        </w:rPr>
      </w:pPr>
    </w:p>
    <w:p>
      <w:pPr>
        <w:snapToGrid w:val="0"/>
        <w:spacing w:before="50" w:after="50"/>
        <w:rPr>
          <w:rFonts w:asciiTheme="majorEastAsia" w:hAnsiTheme="majorEastAsia" w:eastAsiaTheme="majorEastAsia" w:cstheme="majorEastAsia"/>
          <w:b/>
          <w:color w:val="auto"/>
        </w:rPr>
      </w:pPr>
    </w:p>
    <w:p>
      <w:pPr>
        <w:snapToGrid w:val="0"/>
        <w:spacing w:before="50" w:after="50"/>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附件4：</w:t>
      </w:r>
    </w:p>
    <w:p>
      <w:pPr>
        <w:snapToGrid w:val="0"/>
        <w:spacing w:before="50" w:after="5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评分索引表</w:t>
      </w:r>
    </w:p>
    <w:p>
      <w:pPr>
        <w:snapToGrid w:val="0"/>
        <w:spacing w:before="50"/>
        <w:jc w:val="center"/>
        <w:rPr>
          <w:rFonts w:asciiTheme="majorEastAsia" w:hAnsiTheme="majorEastAsia" w:eastAsiaTheme="majorEastAsia" w:cstheme="majorEastAsia"/>
          <w:b/>
          <w:color w:val="auto"/>
        </w:rPr>
      </w:pPr>
    </w:p>
    <w:p>
      <w:pPr>
        <w:pStyle w:val="9"/>
        <w:snapToGrid w:val="0"/>
        <w:rPr>
          <w:rFonts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lang w:eastAsia="zh-CN"/>
        </w:rPr>
        <w:t>响应</w:t>
      </w:r>
      <w:r>
        <w:rPr>
          <w:rFonts w:hint="eastAsia" w:asciiTheme="majorEastAsia" w:hAnsiTheme="majorEastAsia" w:eastAsiaTheme="majorEastAsia" w:cstheme="majorEastAsia"/>
          <w:color w:val="auto"/>
          <w:sz w:val="24"/>
          <w:szCs w:val="24"/>
        </w:rPr>
        <w:t>人全称（电子签章）：</w:t>
      </w:r>
    </w:p>
    <w:tbl>
      <w:tblPr>
        <w:tblStyle w:val="25"/>
        <w:tblW w:w="87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对应资料</w:t>
            </w:r>
          </w:p>
          <w:p>
            <w:pPr>
              <w:keepNext w:val="0"/>
              <w:keepLines w:val="0"/>
              <w:suppressLineNumbers w:val="0"/>
              <w:snapToGrid w:val="0"/>
              <w:spacing w:before="0" w:beforeLines="5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（请详细列明评分项中各小项）</w:t>
            </w: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Lines="5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w:t>
            </w: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43"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Autospacing="0" w:after="0" w:afterAutospacing="0"/>
              <w:ind w:left="0" w:right="0"/>
              <w:rPr>
                <w:rFonts w:asciiTheme="majorEastAsia" w:hAnsiTheme="majorEastAsia" w:eastAsiaTheme="majorEastAsia" w:cstheme="majorEastAsia"/>
                <w:color w:val="auto"/>
              </w:rPr>
            </w:pPr>
          </w:p>
        </w:tc>
        <w:tc>
          <w:tcPr>
            <w:tcW w:w="297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0" w:beforeLines="50" w:beforeAutospacing="0" w:after="0" w:afterAutospacing="0"/>
              <w:ind w:left="0" w:right="0"/>
              <w:rPr>
                <w:rFonts w:asciiTheme="majorEastAsia" w:hAnsiTheme="majorEastAsia" w:eastAsiaTheme="majorEastAsia" w:cstheme="majorEastAsia"/>
                <w:color w:val="auto"/>
              </w:rPr>
            </w:pPr>
          </w:p>
        </w:tc>
      </w:tr>
    </w:tbl>
    <w:p>
      <w:pPr>
        <w:snapToGrid w:val="0"/>
        <w:spacing w:beforeLines="50"/>
        <w:jc w:val="right"/>
        <w:rPr>
          <w:rFonts w:asciiTheme="majorEastAsia" w:hAnsiTheme="majorEastAsia" w:eastAsiaTheme="majorEastAsia" w:cstheme="majorEastAsia"/>
          <w:color w:val="auto"/>
        </w:rPr>
      </w:pPr>
    </w:p>
    <w:p>
      <w:pPr>
        <w:snapToGrid w:val="0"/>
        <w:spacing w:beforeLines="50"/>
        <w:ind w:right="1350"/>
        <w:jc w:val="right"/>
        <w:rPr>
          <w:rFonts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rPr>
        <w:t xml:space="preserve"> 日期：</w:t>
      </w:r>
    </w:p>
    <w:p>
      <w:pPr>
        <w:snapToGrid w:val="0"/>
        <w:spacing w:before="50" w:afterLines="50"/>
        <w:jc w:val="left"/>
        <w:rPr>
          <w:rFonts w:asciiTheme="majorEastAsia" w:hAnsiTheme="majorEastAsia" w:eastAsiaTheme="majorEastAsia" w:cstheme="majorEastAsia"/>
          <w:color w:val="auto"/>
        </w:rPr>
      </w:pPr>
    </w:p>
    <w:p>
      <w:pPr>
        <w:snapToGrid w:val="0"/>
        <w:spacing w:before="50" w:afterLines="50"/>
        <w:jc w:val="left"/>
        <w:rPr>
          <w:rFonts w:asciiTheme="majorEastAsia" w:hAnsiTheme="majorEastAsia" w:eastAsiaTheme="majorEastAsia" w:cstheme="majorEastAsia"/>
          <w:color w:val="auto"/>
        </w:rPr>
      </w:pPr>
    </w:p>
    <w:p>
      <w:pPr>
        <w:snapToGrid w:val="0"/>
        <w:spacing w:beforeLines="50" w:after="50" w:line="460" w:lineRule="exact"/>
        <w:rPr>
          <w:rFonts w:asciiTheme="majorEastAsia" w:hAnsiTheme="majorEastAsia" w:eastAsiaTheme="majorEastAsia" w:cstheme="majorEastAsia"/>
          <w:color w:val="auto"/>
          <w:u w:val="single"/>
        </w:rPr>
      </w:pPr>
    </w:p>
    <w:p>
      <w:pPr>
        <w:snapToGrid w:val="0"/>
        <w:spacing w:beforeLines="50" w:after="50" w:line="460" w:lineRule="exact"/>
        <w:rPr>
          <w:rFonts w:asciiTheme="majorEastAsia" w:hAnsiTheme="majorEastAsia" w:eastAsiaTheme="majorEastAsia" w:cstheme="majorEastAsia"/>
          <w:color w:val="auto"/>
          <w:u w:val="single"/>
        </w:rPr>
      </w:pPr>
    </w:p>
    <w:p>
      <w:pPr>
        <w:snapToGrid w:val="0"/>
        <w:spacing w:beforeLines="50" w:after="50" w:line="460" w:lineRule="exact"/>
        <w:rPr>
          <w:rFonts w:asciiTheme="majorEastAsia" w:hAnsiTheme="majorEastAsia" w:eastAsiaTheme="majorEastAsia" w:cstheme="majorEastAsia"/>
          <w:color w:val="auto"/>
          <w:u w:val="single"/>
        </w:rPr>
        <w:sectPr>
          <w:headerReference r:id="rId4" w:type="default"/>
          <w:footerReference r:id="rId5" w:type="default"/>
          <w:footerReference r:id="rId6" w:type="even"/>
          <w:pgSz w:w="11906" w:h="16838"/>
          <w:pgMar w:top="1440" w:right="1417" w:bottom="1440" w:left="1417" w:header="1088" w:footer="992" w:gutter="0"/>
          <w:pgNumType w:fmt="numberInDash"/>
          <w:cols w:space="720" w:num="1"/>
          <w:docGrid w:linePitch="312" w:charSpace="0"/>
        </w:sectPr>
      </w:pPr>
    </w:p>
    <w:p>
      <w:pPr>
        <w:spacing w:line="360" w:lineRule="auto"/>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附件5：</w:t>
      </w:r>
    </w:p>
    <w:p>
      <w:pPr>
        <w:snapToGrid w:val="0"/>
        <w:spacing w:before="50" w:after="5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企业荣誉</w:t>
      </w:r>
    </w:p>
    <w:p>
      <w:pPr>
        <w:spacing w:line="360" w:lineRule="auto"/>
        <w:jc w:val="center"/>
        <w:rPr>
          <w:rFonts w:asciiTheme="majorEastAsia" w:hAnsiTheme="majorEastAsia" w:eastAsiaTheme="majorEastAsia" w:cstheme="majorEastAsia"/>
          <w:color w:val="auto"/>
          <w:spacing w:val="14"/>
        </w:rPr>
      </w:pPr>
    </w:p>
    <w:p>
      <w:pPr>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           招标文件编号：HZKJXY（FB）2022-01</w:t>
      </w:r>
    </w:p>
    <w:tbl>
      <w:tblPr>
        <w:tblStyle w:val="2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序号</w:t>
            </w:r>
          </w:p>
        </w:tc>
        <w:tc>
          <w:tcPr>
            <w:tcW w:w="1980"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证书名称</w:t>
            </w:r>
          </w:p>
        </w:tc>
        <w:tc>
          <w:tcPr>
            <w:tcW w:w="159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颁发机构</w:t>
            </w:r>
          </w:p>
        </w:tc>
        <w:tc>
          <w:tcPr>
            <w:tcW w:w="1980"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颁发时间</w:t>
            </w:r>
          </w:p>
        </w:tc>
        <w:tc>
          <w:tcPr>
            <w:tcW w:w="2474"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596"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1980"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c>
          <w:tcPr>
            <w:tcW w:w="2474" w:type="dxa"/>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bCs/>
                <w:color w:val="auto"/>
              </w:rPr>
            </w:pPr>
          </w:p>
        </w:tc>
      </w:tr>
    </w:tbl>
    <w:p>
      <w:pPr>
        <w:rPr>
          <w:rFonts w:asciiTheme="majorEastAsia" w:hAnsiTheme="majorEastAsia" w:eastAsiaTheme="majorEastAsia" w:cstheme="majorEastAsia"/>
          <w:color w:val="auto"/>
        </w:rPr>
      </w:pPr>
    </w:p>
    <w:p>
      <w:pPr>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日期：     年  月  日</w:t>
      </w:r>
    </w:p>
    <w:p>
      <w:pPr>
        <w:spacing w:line="360" w:lineRule="auto"/>
        <w:ind w:left="840" w:hanging="840" w:hangingChars="350"/>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注：</w:t>
      </w:r>
      <w:r>
        <w:rPr>
          <w:rFonts w:hint="eastAsia" w:asciiTheme="majorEastAsia" w:hAnsiTheme="majorEastAsia" w:eastAsiaTheme="majorEastAsia" w:cstheme="majorEastAsia"/>
          <w:color w:val="auto"/>
        </w:rPr>
        <w:t>1、</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bCs/>
          <w:color w:val="auto"/>
        </w:rPr>
        <w:t>企业获得的荣誉证书是指2019年1月1日至今获得的荣誉证书(附</w:t>
      </w:r>
    </w:p>
    <w:p>
      <w:pPr>
        <w:spacing w:line="360" w:lineRule="auto"/>
        <w:ind w:left="840" w:hanging="840" w:hangingChars="350"/>
        <w:rPr>
          <w:rFonts w:asciiTheme="majorEastAsia" w:hAnsiTheme="majorEastAsia" w:eastAsiaTheme="majorEastAsia" w:cstheme="majorEastAsia"/>
          <w:bCs/>
          <w:color w:val="auto"/>
        </w:rPr>
      </w:pPr>
      <w:r>
        <w:rPr>
          <w:rFonts w:hint="eastAsia" w:asciiTheme="majorEastAsia" w:hAnsiTheme="majorEastAsia" w:eastAsiaTheme="majorEastAsia" w:cstheme="majorEastAsia"/>
          <w:bCs/>
          <w:color w:val="auto"/>
        </w:rPr>
        <w:t>荣誉证书复印件并加盖电子签章）；</w:t>
      </w:r>
    </w:p>
    <w:p>
      <w:pPr>
        <w:spacing w:line="360" w:lineRule="auto"/>
        <w:ind w:left="547" w:leftChars="228"/>
        <w:rPr>
          <w:rFonts w:asciiTheme="majorEastAsia" w:hAnsiTheme="majorEastAsia" w:eastAsiaTheme="majorEastAsia" w:cstheme="majorEastAsia"/>
          <w:bCs/>
          <w:color w:val="auto"/>
        </w:rPr>
      </w:pPr>
      <w:r>
        <w:rPr>
          <w:rFonts w:hint="eastAsia" w:asciiTheme="majorEastAsia" w:hAnsiTheme="majorEastAsia" w:eastAsiaTheme="majorEastAsia" w:cstheme="majorEastAsia"/>
          <w:color w:val="auto"/>
        </w:rPr>
        <w:t>2、此表仅提供了表格形式，</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人应根据需要准备足够数量的表格来填写。</w:t>
      </w:r>
    </w:p>
    <w:p>
      <w:pPr>
        <w:spacing w:line="360" w:lineRule="auto"/>
        <w:rPr>
          <w:rFonts w:asciiTheme="majorEastAsia" w:hAnsiTheme="majorEastAsia" w:eastAsiaTheme="majorEastAsia" w:cstheme="majorEastAsia"/>
          <w:b/>
          <w:bCs/>
          <w:color w:val="auto"/>
          <w:spacing w:val="14"/>
        </w:rPr>
      </w:pPr>
    </w:p>
    <w:p>
      <w:pPr>
        <w:pStyle w:val="11"/>
        <w:ind w:firstLine="240"/>
        <w:rPr>
          <w:rFonts w:asciiTheme="majorEastAsia" w:hAnsiTheme="majorEastAsia" w:eastAsiaTheme="majorEastAsia" w:cstheme="majorEastAsia"/>
          <w:color w:val="auto"/>
        </w:rPr>
      </w:pPr>
    </w:p>
    <w:p>
      <w:pPr>
        <w:rPr>
          <w:rFonts w:asciiTheme="majorEastAsia" w:hAnsiTheme="majorEastAsia" w:eastAsiaTheme="majorEastAsia" w:cstheme="majorEastAsia"/>
          <w:b/>
          <w:bCs/>
          <w:color w:val="auto"/>
          <w:spacing w:val="14"/>
        </w:rPr>
      </w:pPr>
      <w:r>
        <w:rPr>
          <w:rFonts w:hint="eastAsia" w:asciiTheme="majorEastAsia" w:hAnsiTheme="majorEastAsia" w:eastAsiaTheme="majorEastAsia" w:cstheme="majorEastAsia"/>
          <w:b/>
          <w:bCs/>
          <w:color w:val="auto"/>
          <w:spacing w:val="14"/>
        </w:rPr>
        <w:t>附件6：</w:t>
      </w:r>
    </w:p>
    <w:p>
      <w:pPr>
        <w:snapToGrid w:val="0"/>
        <w:spacing w:before="50" w:after="5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企业业绩</w:t>
      </w:r>
    </w:p>
    <w:p>
      <w:pPr>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           招标文件编号：HZKJXY（FB）2022-01</w:t>
      </w:r>
    </w:p>
    <w:p>
      <w:pPr>
        <w:autoSpaceDE w:val="0"/>
        <w:autoSpaceDN w:val="0"/>
        <w:adjustRightInd w:val="0"/>
        <w:jc w:val="center"/>
        <w:rPr>
          <w:rFonts w:asciiTheme="majorEastAsia" w:hAnsiTheme="majorEastAsia" w:eastAsiaTheme="majorEastAsia" w:cstheme="majorEastAsia"/>
          <w:b/>
          <w:color w:val="auto"/>
          <w:kern w:val="0"/>
        </w:rPr>
      </w:pPr>
      <w:r>
        <w:rPr>
          <w:rFonts w:hint="eastAsia" w:asciiTheme="majorEastAsia" w:hAnsiTheme="majorEastAsia" w:eastAsiaTheme="majorEastAsia" w:cstheme="majorEastAsia"/>
          <w:color w:val="auto"/>
        </w:rPr>
        <w:t>1．业绩汇总表</w:t>
      </w:r>
    </w:p>
    <w:tbl>
      <w:tblPr>
        <w:tblStyle w:val="25"/>
        <w:tblW w:w="9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9"/>
        <w:gridCol w:w="3270"/>
        <w:gridCol w:w="2176"/>
        <w:gridCol w:w="1181"/>
        <w:gridCol w:w="1537"/>
        <w:gridCol w:w="10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9"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序号</w:t>
            </w:r>
          </w:p>
        </w:tc>
        <w:tc>
          <w:tcPr>
            <w:tcW w:w="3270"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项目名称</w:t>
            </w:r>
          </w:p>
        </w:tc>
        <w:tc>
          <w:tcPr>
            <w:tcW w:w="2176"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rPr>
              <w:t>合同内容</w:t>
            </w:r>
          </w:p>
        </w:tc>
        <w:tc>
          <w:tcPr>
            <w:tcW w:w="1181"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合同价</w:t>
            </w:r>
          </w:p>
        </w:tc>
        <w:tc>
          <w:tcPr>
            <w:tcW w:w="1537"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签订日期</w:t>
            </w:r>
          </w:p>
        </w:tc>
        <w:tc>
          <w:tcPr>
            <w:tcW w:w="1098"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89"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1</w:t>
            </w:r>
          </w:p>
        </w:tc>
        <w:tc>
          <w:tcPr>
            <w:tcW w:w="3270"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2176"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181"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537"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098"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89"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2</w:t>
            </w:r>
          </w:p>
        </w:tc>
        <w:tc>
          <w:tcPr>
            <w:tcW w:w="3270"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2176"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181"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537"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098"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89" w:type="dxa"/>
            <w:vAlign w:val="center"/>
          </w:tcPr>
          <w:p>
            <w:pPr>
              <w:keepNext w:val="0"/>
              <w:keepLines w:val="0"/>
              <w:suppressLineNumbers w:val="0"/>
              <w:autoSpaceDE w:val="0"/>
              <w:autoSpaceDN w:val="0"/>
              <w:adjustRightInd w:val="0"/>
              <w:spacing w:before="0" w:beforeAutospacing="0" w:after="0" w:afterAutospacing="0"/>
              <w:ind w:left="0" w:right="0"/>
              <w:jc w:val="center"/>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w:t>
            </w:r>
          </w:p>
        </w:tc>
        <w:tc>
          <w:tcPr>
            <w:tcW w:w="3270"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2176"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181"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537"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098"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859" w:type="dxa"/>
            <w:gridSpan w:val="2"/>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r>
              <w:rPr>
                <w:rFonts w:hint="eastAsia" w:asciiTheme="majorEastAsia" w:hAnsiTheme="majorEastAsia" w:eastAsiaTheme="majorEastAsia" w:cstheme="majorEastAsia"/>
                <w:color w:val="auto"/>
                <w:kern w:val="0"/>
              </w:rPr>
              <w:t>总计</w:t>
            </w:r>
          </w:p>
        </w:tc>
        <w:tc>
          <w:tcPr>
            <w:tcW w:w="2176"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181"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537"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c>
          <w:tcPr>
            <w:tcW w:w="1098" w:type="dxa"/>
            <w:vAlign w:val="center"/>
          </w:tcPr>
          <w:p>
            <w:pPr>
              <w:keepNext w:val="0"/>
              <w:keepLines w:val="0"/>
              <w:suppressLineNumbers w:val="0"/>
              <w:autoSpaceDE w:val="0"/>
              <w:autoSpaceDN w:val="0"/>
              <w:adjustRightInd w:val="0"/>
              <w:spacing w:before="0" w:beforeAutospacing="0" w:after="0" w:afterAutospacing="0"/>
              <w:ind w:left="0" w:right="0"/>
              <w:rPr>
                <w:rFonts w:asciiTheme="majorEastAsia" w:hAnsiTheme="majorEastAsia" w:eastAsiaTheme="majorEastAsia" w:cstheme="majorEastAsia"/>
                <w:color w:val="auto"/>
                <w:kern w:val="0"/>
              </w:rPr>
            </w:pPr>
          </w:p>
        </w:tc>
      </w:tr>
    </w:tbl>
    <w:p>
      <w:pPr>
        <w:autoSpaceDE w:val="0"/>
        <w:autoSpaceDN w:val="0"/>
        <w:adjustRightInd w:val="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kern w:val="0"/>
        </w:rPr>
        <w:t>注：1.按</w:t>
      </w:r>
      <w:r>
        <w:rPr>
          <w:rFonts w:hint="eastAsia" w:asciiTheme="majorEastAsia" w:hAnsiTheme="majorEastAsia" w:eastAsiaTheme="majorEastAsia" w:cstheme="majorEastAsia"/>
          <w:color w:val="auto"/>
        </w:rPr>
        <w:t>合同签订时间先后填写。</w:t>
      </w:r>
    </w:p>
    <w:p>
      <w:pPr>
        <w:autoSpaceDE w:val="0"/>
        <w:autoSpaceDN w:val="0"/>
        <w:adjustRightInd w:val="0"/>
        <w:jc w:val="center"/>
        <w:rPr>
          <w:rFonts w:asciiTheme="majorEastAsia" w:hAnsiTheme="majorEastAsia" w:eastAsiaTheme="majorEastAsia" w:cstheme="majorEastAsia"/>
          <w:b/>
          <w:color w:val="auto"/>
          <w:kern w:val="0"/>
        </w:rPr>
      </w:pPr>
      <w:r>
        <w:rPr>
          <w:rFonts w:hint="eastAsia" w:asciiTheme="majorEastAsia" w:hAnsiTheme="majorEastAsia" w:eastAsiaTheme="majorEastAsia" w:cstheme="majorEastAsia"/>
          <w:color w:val="auto"/>
        </w:rPr>
        <w:t>2．单项业绩概况</w:t>
      </w:r>
    </w:p>
    <w:tbl>
      <w:tblPr>
        <w:tblStyle w:val="25"/>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项目名称</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项目所在地</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发包人名称</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发包人地址</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发包人联系人及电话</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合同价格</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服务期</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承担的工作</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项目团队人员</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技术负责人</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项目描述</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158"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备注</w:t>
            </w:r>
          </w:p>
        </w:tc>
        <w:tc>
          <w:tcPr>
            <w:tcW w:w="7060"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rPr>
            </w:pPr>
          </w:p>
        </w:tc>
      </w:tr>
    </w:tbl>
    <w:p>
      <w:pP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备注：1、本表后附合同协议书的复印件，具体年份要求为2019年以来。每张表格只填写一个项目，并标明序号，且与“1．业绩汇总表”对应。(结合第五章评审办法填写）</w:t>
      </w:r>
    </w:p>
    <w:p>
      <w:pPr>
        <w:pStyle w:val="11"/>
        <w:ind w:firstLine="240"/>
        <w:rPr>
          <w:rFonts w:asciiTheme="majorEastAsia" w:hAnsiTheme="majorEastAsia" w:eastAsiaTheme="majorEastAsia" w:cstheme="majorEastAsia"/>
          <w:color w:val="auto"/>
        </w:rPr>
      </w:pPr>
    </w:p>
    <w:p>
      <w:pPr>
        <w:pStyle w:val="12"/>
        <w:rPr>
          <w:color w:val="auto"/>
        </w:rPr>
      </w:pPr>
    </w:p>
    <w:p>
      <w:pPr>
        <w:rPr>
          <w:color w:val="auto"/>
        </w:rPr>
      </w:pPr>
    </w:p>
    <w:p>
      <w:pPr>
        <w:pStyle w:val="12"/>
        <w:rPr>
          <w:color w:val="auto"/>
        </w:rPr>
      </w:pPr>
    </w:p>
    <w:p>
      <w:pPr>
        <w:pStyle w:val="8"/>
        <w:spacing w:line="500" w:lineRule="exact"/>
        <w:ind w:firstLine="0"/>
        <w:rPr>
          <w:rFonts w:asciiTheme="majorEastAsia" w:hAnsiTheme="majorEastAsia" w:eastAsiaTheme="majorEastAsia" w:cstheme="majorEastAsia"/>
          <w:b/>
          <w:bCs/>
          <w:color w:val="auto"/>
          <w:szCs w:val="24"/>
        </w:rPr>
      </w:pPr>
      <w:r>
        <w:rPr>
          <w:rFonts w:hint="eastAsia" w:asciiTheme="majorEastAsia" w:hAnsiTheme="majorEastAsia" w:eastAsiaTheme="majorEastAsia" w:cstheme="majorEastAsia"/>
          <w:b/>
          <w:color w:val="auto"/>
          <w:szCs w:val="24"/>
        </w:rPr>
        <w:t>附件7：</w:t>
      </w:r>
    </w:p>
    <w:p>
      <w:pPr>
        <w:snapToGrid w:val="0"/>
        <w:spacing w:before="50" w:after="5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商务、合同条款偏离表</w:t>
      </w:r>
    </w:p>
    <w:p>
      <w:pPr>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           招标文件编号：HZKJXY（FB）2022-01</w:t>
      </w:r>
    </w:p>
    <w:tbl>
      <w:tblPr>
        <w:tblStyle w:val="25"/>
        <w:tblW w:w="99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479"/>
        <w:gridCol w:w="4245"/>
        <w:gridCol w:w="1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序号</w:t>
            </w:r>
          </w:p>
        </w:tc>
        <w:tc>
          <w:tcPr>
            <w:tcW w:w="34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招标文件的商务、合同条款</w:t>
            </w:r>
          </w:p>
        </w:tc>
        <w:tc>
          <w:tcPr>
            <w:tcW w:w="42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的商务、合同条款</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34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424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firstLine="480" w:firstLineChars="200"/>
              <w:rPr>
                <w:rFonts w:asciiTheme="majorEastAsia" w:hAnsiTheme="majorEastAsia" w:eastAsiaTheme="majorEastAsia" w:cstheme="majorEastAsia"/>
                <w:color w:val="auto"/>
              </w:rPr>
            </w:pPr>
          </w:p>
        </w:tc>
      </w:tr>
    </w:tbl>
    <w:p>
      <w:pPr>
        <w:spacing w:line="360" w:lineRule="auto"/>
        <w:rPr>
          <w:rFonts w:asciiTheme="majorEastAsia" w:hAnsiTheme="majorEastAsia" w:eastAsiaTheme="majorEastAsia" w:cstheme="majorEastAsia"/>
          <w:color w:val="auto"/>
        </w:rPr>
      </w:pPr>
    </w:p>
    <w:p>
      <w:pPr>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 xml:space="preserve">                                日期：    年  月  日</w:t>
      </w:r>
    </w:p>
    <w:p>
      <w:pPr>
        <w:rPr>
          <w:rFonts w:asciiTheme="majorEastAsia" w:hAnsiTheme="majorEastAsia" w:eastAsiaTheme="majorEastAsia" w:cstheme="majorEastAsia"/>
          <w:color w:val="auto"/>
        </w:rPr>
      </w:pPr>
    </w:p>
    <w:p>
      <w:pPr>
        <w:spacing w:line="360" w:lineRule="auto"/>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注：此表仅提供了表格形式，</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人应根据需要准备足够数量的表格来填写。</w:t>
      </w:r>
    </w:p>
    <w:p>
      <w:pPr>
        <w:rPr>
          <w:rFonts w:hint="eastAsia" w:asciiTheme="majorEastAsia" w:hAnsiTheme="majorEastAsia" w:eastAsiaTheme="majorEastAsia" w:cstheme="majorEastAsia"/>
          <w:b/>
          <w:color w:val="auto"/>
          <w:szCs w:val="24"/>
        </w:rPr>
      </w:pPr>
      <w:r>
        <w:rPr>
          <w:rFonts w:hint="eastAsia" w:asciiTheme="majorEastAsia" w:hAnsiTheme="majorEastAsia" w:eastAsiaTheme="majorEastAsia" w:cstheme="majorEastAsia"/>
          <w:b/>
          <w:color w:val="auto"/>
          <w:szCs w:val="24"/>
        </w:rPr>
        <w:br w:type="page"/>
      </w:r>
    </w:p>
    <w:p>
      <w:pPr>
        <w:pStyle w:val="8"/>
        <w:spacing w:line="500" w:lineRule="exact"/>
        <w:ind w:firstLine="0"/>
        <w:rPr>
          <w:rFonts w:asciiTheme="majorEastAsia" w:hAnsiTheme="majorEastAsia" w:eastAsiaTheme="majorEastAsia" w:cstheme="majorEastAsia"/>
          <w:b/>
          <w:bCs/>
          <w:color w:val="auto"/>
          <w:szCs w:val="24"/>
        </w:rPr>
      </w:pPr>
      <w:r>
        <w:rPr>
          <w:rFonts w:hint="eastAsia" w:asciiTheme="majorEastAsia" w:hAnsiTheme="majorEastAsia" w:eastAsiaTheme="majorEastAsia" w:cstheme="majorEastAsia"/>
          <w:b/>
          <w:color w:val="auto"/>
          <w:szCs w:val="24"/>
        </w:rPr>
        <w:t>附件8：</w:t>
      </w:r>
    </w:p>
    <w:p>
      <w:pPr>
        <w:pStyle w:val="39"/>
        <w:jc w:val="center"/>
        <w:rPr>
          <w:rFonts w:asciiTheme="majorEastAsia" w:hAnsiTheme="majorEastAsia" w:eastAsiaTheme="majorEastAsia" w:cstheme="majorEastAsia"/>
          <w:b/>
          <w:color w:val="auto"/>
          <w:kern w:val="2"/>
          <w:sz w:val="24"/>
          <w:szCs w:val="24"/>
        </w:rPr>
      </w:pPr>
      <w:r>
        <w:rPr>
          <w:rFonts w:hint="eastAsia" w:asciiTheme="majorEastAsia" w:hAnsiTheme="majorEastAsia" w:eastAsiaTheme="majorEastAsia" w:cstheme="majorEastAsia"/>
          <w:b/>
          <w:color w:val="auto"/>
          <w:kern w:val="2"/>
          <w:sz w:val="24"/>
          <w:szCs w:val="24"/>
        </w:rPr>
        <w:t>企业基本情况表</w:t>
      </w:r>
    </w:p>
    <w:p>
      <w:pPr>
        <w:spacing w:line="360" w:lineRule="auto"/>
        <w:rPr>
          <w:rFonts w:asciiTheme="majorEastAsia" w:hAnsiTheme="majorEastAsia" w:eastAsiaTheme="majorEastAsia" w:cstheme="majorEastAsia"/>
          <w:b/>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           招标文件编号：HZKJXY（FB）2022-01</w:t>
      </w:r>
    </w:p>
    <w:tbl>
      <w:tblPr>
        <w:tblStyle w:val="25"/>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1"/>
        <w:gridCol w:w="1078"/>
        <w:gridCol w:w="2625"/>
        <w:gridCol w:w="1053"/>
        <w:gridCol w:w="210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人名称</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企业资质</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1、等级：  2、证书号：   3、发证单位：   4、业务范围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营业执照</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1、编号：  2、发证机关：   4、营业范围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成立日期</w:t>
            </w:r>
          </w:p>
        </w:tc>
        <w:tc>
          <w:tcPr>
            <w:tcW w:w="1078" w:type="dxa"/>
            <w:vAlign w:val="center"/>
          </w:tcPr>
          <w:p>
            <w:pPr>
              <w:keepNext w:val="0"/>
              <w:keepLines w:val="0"/>
              <w:suppressLineNumbers w:val="0"/>
              <w:spacing w:before="0" w:beforeAutospacing="0" w:after="0" w:afterAutospacing="0" w:line="480" w:lineRule="auto"/>
              <w:ind w:left="0" w:right="0" w:firstLine="6415"/>
              <w:rPr>
                <w:rFonts w:asciiTheme="majorEastAsia" w:hAnsiTheme="majorEastAsia" w:eastAsiaTheme="majorEastAsia" w:cstheme="majorEastAsia"/>
                <w:color w:val="auto"/>
              </w:rPr>
            </w:pPr>
          </w:p>
        </w:tc>
        <w:tc>
          <w:tcPr>
            <w:tcW w:w="2625"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现有职工总人数（人）</w:t>
            </w:r>
          </w:p>
        </w:tc>
        <w:tc>
          <w:tcPr>
            <w:tcW w:w="1053"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p>
        </w:tc>
        <w:tc>
          <w:tcPr>
            <w:tcW w:w="2103"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技术人员人数（人）</w:t>
            </w:r>
          </w:p>
        </w:tc>
        <w:tc>
          <w:tcPr>
            <w:tcW w:w="1173" w:type="dxa"/>
            <w:vAlign w:val="center"/>
          </w:tcPr>
          <w:p>
            <w:pPr>
              <w:keepNext w:val="0"/>
              <w:keepLines w:val="0"/>
              <w:suppressLineNumbers w:val="0"/>
              <w:spacing w:before="0" w:beforeAutospacing="0" w:after="0" w:afterAutospacing="0" w:line="480" w:lineRule="auto"/>
              <w:ind w:left="0" w:right="0" w:firstLine="6415"/>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法定代表人</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企业负责人</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技术负责人</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1、姓名：  2、职务：  3、职称：  4、联系电话：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联系方式</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1、姓名：   2、职务： 3、职称： 4、联系电话：5、传真：6、E-mail：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开户银行</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1、姓名：     2、帐号：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1821" w:type="dxa"/>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人资历简历</w:t>
            </w:r>
          </w:p>
        </w:tc>
        <w:tc>
          <w:tcPr>
            <w:tcW w:w="8032" w:type="dxa"/>
            <w:gridSpan w:val="5"/>
            <w:vAlign w:val="center"/>
          </w:tcPr>
          <w:p>
            <w:pPr>
              <w:keepNext w:val="0"/>
              <w:keepLines w:val="0"/>
              <w:suppressLineNumbers w:val="0"/>
              <w:spacing w:before="0" w:beforeAutospacing="0" w:after="0" w:afterAutospacing="0" w:line="480" w:lineRule="auto"/>
              <w:ind w:left="0" w:right="0"/>
              <w:rPr>
                <w:rFonts w:asciiTheme="majorEastAsia" w:hAnsiTheme="majorEastAsia" w:eastAsiaTheme="majorEastAsia" w:cstheme="majorEastAsia"/>
                <w:color w:val="auto"/>
              </w:rPr>
            </w:pPr>
          </w:p>
        </w:tc>
      </w:tr>
    </w:tbl>
    <w:p>
      <w:pPr>
        <w:spacing w:line="360" w:lineRule="auto"/>
        <w:jc w:val="left"/>
        <w:outlineLvl w:val="1"/>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说明：1、</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人资历是指</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人的成立、改名、改制等演变和法定代表人变更、人员增减以及单位资质变化等情况，该内容可填入表内，也可单独撰写附于表后或对本表进行扩展。</w:t>
      </w:r>
    </w:p>
    <w:p>
      <w:pPr>
        <w:pStyle w:val="11"/>
        <w:ind w:firstLine="240"/>
        <w:rPr>
          <w:rFonts w:asciiTheme="majorEastAsia" w:hAnsiTheme="majorEastAsia" w:eastAsiaTheme="majorEastAsia" w:cstheme="majorEastAsia"/>
          <w:color w:val="auto"/>
        </w:rPr>
      </w:pPr>
    </w:p>
    <w:p>
      <w:pPr>
        <w:pStyle w:val="12"/>
        <w:rPr>
          <w:rFonts w:asciiTheme="majorEastAsia" w:hAnsiTheme="majorEastAsia" w:eastAsiaTheme="majorEastAsia" w:cstheme="majorEastAsia"/>
          <w:color w:val="auto"/>
          <w:sz w:val="24"/>
          <w:szCs w:val="24"/>
        </w:rPr>
      </w:pPr>
    </w:p>
    <w:p>
      <w:pPr>
        <w:rPr>
          <w:rFonts w:asciiTheme="majorEastAsia" w:hAnsiTheme="majorEastAsia" w:eastAsiaTheme="majorEastAsia" w:cstheme="majorEastAsia"/>
          <w:color w:val="auto"/>
        </w:rPr>
      </w:pPr>
    </w:p>
    <w:p>
      <w:pP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 xml:space="preserve">附件9：          </w:t>
      </w:r>
    </w:p>
    <w:p>
      <w:pPr>
        <w:spacing w:line="360" w:lineRule="auto"/>
        <w:jc w:val="center"/>
        <w:outlineLvl w:val="1"/>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技术偏离表</w:t>
      </w:r>
    </w:p>
    <w:p>
      <w:pPr>
        <w:spacing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           招标文件编号：HZKJXY（FB）2022-01</w:t>
      </w:r>
    </w:p>
    <w:tbl>
      <w:tblPr>
        <w:tblStyle w:val="25"/>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招标文件条目号</w:t>
            </w:r>
          </w:p>
        </w:tc>
        <w:tc>
          <w:tcPr>
            <w:tcW w:w="1932" w:type="dxa"/>
          </w:tcPr>
          <w:p>
            <w:pPr>
              <w:keepNext w:val="0"/>
              <w:keepLines w:val="0"/>
              <w:suppressLineNumbers w:val="0"/>
              <w:spacing w:before="0" w:beforeAutospacing="0" w:after="0" w:afterAutospacing="0" w:line="40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技术条款要求</w:t>
            </w:r>
          </w:p>
        </w:tc>
        <w:tc>
          <w:tcPr>
            <w:tcW w:w="1236" w:type="dxa"/>
          </w:tcPr>
          <w:p>
            <w:pPr>
              <w:keepNext w:val="0"/>
              <w:keepLines w:val="0"/>
              <w:suppressLineNumbers w:val="0"/>
              <w:spacing w:before="0" w:beforeAutospacing="0" w:after="0" w:afterAutospacing="0" w:line="40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完全响应</w:t>
            </w:r>
          </w:p>
        </w:tc>
        <w:tc>
          <w:tcPr>
            <w:tcW w:w="1236" w:type="dxa"/>
          </w:tcPr>
          <w:p>
            <w:pPr>
              <w:keepNext w:val="0"/>
              <w:keepLines w:val="0"/>
              <w:suppressLineNumbers w:val="0"/>
              <w:spacing w:before="0" w:beforeAutospacing="0" w:after="0" w:afterAutospacing="0" w:line="40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有偏离</w:t>
            </w:r>
          </w:p>
        </w:tc>
        <w:tc>
          <w:tcPr>
            <w:tcW w:w="2394" w:type="dxa"/>
          </w:tcPr>
          <w:p>
            <w:pPr>
              <w:keepNext w:val="0"/>
              <w:keepLines w:val="0"/>
              <w:suppressLineNumbers w:val="0"/>
              <w:spacing w:before="0" w:beforeAutospacing="0" w:after="0" w:afterAutospacing="0" w:line="400" w:lineRule="exact"/>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932"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2394"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932"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2394"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932"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2394"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932"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2394"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932"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2394"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932"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bCs/>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2394"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2268"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932"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bCs/>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1236"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c>
          <w:tcPr>
            <w:tcW w:w="2394" w:type="dxa"/>
          </w:tcPr>
          <w:p>
            <w:pPr>
              <w:keepNext w:val="0"/>
              <w:keepLines w:val="0"/>
              <w:suppressLineNumbers w:val="0"/>
              <w:spacing w:before="0" w:beforeAutospacing="0" w:after="0" w:afterAutospacing="0" w:line="400" w:lineRule="exact"/>
              <w:ind w:left="0" w:right="0"/>
              <w:rPr>
                <w:rFonts w:asciiTheme="majorEastAsia" w:hAnsiTheme="majorEastAsia" w:eastAsiaTheme="majorEastAsia" w:cstheme="majorEastAsia"/>
                <w:color w:val="auto"/>
              </w:rPr>
            </w:pPr>
          </w:p>
        </w:tc>
      </w:tr>
    </w:tbl>
    <w:p>
      <w:pPr>
        <w:spacing w:beforeLines="50" w:line="440" w:lineRule="exact"/>
        <w:ind w:left="-118" w:leftChars="-49" w:firstLine="15"/>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人：（公章）</w:t>
      </w:r>
    </w:p>
    <w:p>
      <w:pPr>
        <w:spacing w:beforeLines="50"/>
        <w:ind w:left="-118" w:leftChars="-49" w:firstLine="15"/>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法定代表人或其授权代表：（签字或盖章）</w:t>
      </w:r>
    </w:p>
    <w:p>
      <w:pPr>
        <w:spacing w:beforeLines="50"/>
        <w:ind w:left="-118" w:leftChars="-49" w:firstLine="15"/>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日期：</w:t>
      </w:r>
    </w:p>
    <w:p>
      <w:pPr>
        <w:snapToGrid w:val="0"/>
        <w:spacing w:afterLines="50"/>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注：1.</w:t>
      </w:r>
      <w:r>
        <w:rPr>
          <w:rFonts w:hint="eastAsia" w:asciiTheme="majorEastAsia" w:hAnsiTheme="majorEastAsia" w:eastAsiaTheme="majorEastAsia" w:cstheme="majorEastAsia"/>
          <w:color w:val="auto"/>
        </w:rPr>
        <w:tab/>
      </w:r>
      <w:r>
        <w:rPr>
          <w:rFonts w:hint="eastAsia" w:asciiTheme="majorEastAsia" w:hAnsiTheme="majorEastAsia" w:eastAsiaTheme="majorEastAsia" w:cstheme="majorEastAsia"/>
          <w:color w:val="auto"/>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Lines="50"/>
        <w:ind w:left="971" w:leftChars="203" w:hanging="484" w:hangingChars="202"/>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2.</w:t>
      </w:r>
      <w:r>
        <w:rPr>
          <w:rFonts w:hint="eastAsia" w:asciiTheme="majorEastAsia" w:hAnsiTheme="majorEastAsia" w:eastAsiaTheme="majorEastAsia" w:cstheme="majorEastAsia"/>
          <w:color w:val="auto"/>
        </w:rPr>
        <w:tab/>
      </w:r>
      <w:r>
        <w:rPr>
          <w:rFonts w:hint="eastAsia" w:asciiTheme="majorEastAsia" w:hAnsiTheme="majorEastAsia" w:eastAsiaTheme="majorEastAsia" w:cstheme="majorEastAsia"/>
          <w:color w:val="auto"/>
        </w:rPr>
        <w:t>正偏离是指应答的条件高于招标文件要求，负偏离是指应答的条件低于招标文件要求，正偏离项目不作扣分处理。</w:t>
      </w:r>
    </w:p>
    <w:p>
      <w:pPr>
        <w:tabs>
          <w:tab w:val="left" w:pos="1200"/>
        </w:tabs>
        <w:snapToGrid w:val="0"/>
        <w:spacing w:afterLines="50"/>
        <w:ind w:left="971" w:leftChars="203" w:hanging="484" w:hangingChars="202"/>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3</w:t>
      </w:r>
      <w:r>
        <w:rPr>
          <w:rFonts w:hint="eastAsia" w:asciiTheme="majorEastAsia" w:hAnsiTheme="majorEastAsia" w:eastAsiaTheme="majorEastAsia" w:cstheme="majorEastAsia"/>
          <w:color w:val="auto"/>
        </w:rPr>
        <w:tab/>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人须按照用户需求书逐条完整填写响应表。如果未完整填写响应表的各项内容则视作</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人已经对招标文件相关要求和内容完全理解并同意，其</w:t>
      </w: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报价为在此基础上的完全价格。</w:t>
      </w:r>
    </w:p>
    <w:p>
      <w:pPr>
        <w:tabs>
          <w:tab w:val="left" w:pos="1200"/>
        </w:tabs>
        <w:snapToGrid w:val="0"/>
        <w:spacing w:afterLines="50"/>
        <w:ind w:left="971" w:leftChars="203" w:hanging="484" w:hangingChars="202"/>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4</w:t>
      </w:r>
      <w:r>
        <w:rPr>
          <w:rFonts w:hint="eastAsia" w:asciiTheme="majorEastAsia" w:hAnsiTheme="majorEastAsia" w:eastAsiaTheme="majorEastAsia" w:cstheme="majorEastAsia"/>
          <w:color w:val="auto"/>
        </w:rPr>
        <w:tab/>
      </w:r>
      <w:r>
        <w:rPr>
          <w:rFonts w:hint="eastAsia" w:asciiTheme="majorEastAsia" w:hAnsiTheme="majorEastAsia" w:eastAsiaTheme="majorEastAsia" w:cstheme="majorEastAsia"/>
          <w:color w:val="auto"/>
        </w:rPr>
        <w:t>在买方与</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签订合同时，如</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未在</w:t>
      </w:r>
      <w:r>
        <w:rPr>
          <w:rFonts w:hint="eastAsia" w:asciiTheme="majorEastAsia" w:hAnsiTheme="majorEastAsia" w:eastAsiaTheme="majorEastAsia" w:cstheme="majorEastAsia"/>
          <w:color w:val="auto"/>
          <w:lang w:eastAsia="zh-CN"/>
        </w:rPr>
        <w:t>响应文件</w:t>
      </w:r>
      <w:r>
        <w:rPr>
          <w:rFonts w:hint="eastAsia" w:asciiTheme="majorEastAsia" w:hAnsiTheme="majorEastAsia" w:eastAsiaTheme="majorEastAsia" w:cstheme="majorEastAsia"/>
          <w:color w:val="auto"/>
        </w:rPr>
        <w:t>“响应表”中列出偏离说明，无论即将发生或已发生任何情形，均视为完全符合招标文件要求，并写入合同。若</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在合同签订前，以上述事项为借口而不履行合同签订手续及执行合同，则视作拒绝与采购人签订合同。</w:t>
      </w:r>
    </w:p>
    <w:p>
      <w:pPr>
        <w:pStyle w:val="11"/>
        <w:ind w:firstLine="240"/>
        <w:rPr>
          <w:rFonts w:asciiTheme="majorEastAsia" w:hAnsiTheme="majorEastAsia" w:eastAsiaTheme="majorEastAsia" w:cstheme="majorEastAsia"/>
          <w:color w:val="auto"/>
        </w:rPr>
      </w:pPr>
    </w:p>
    <w:p>
      <w:pPr>
        <w:rPr>
          <w:rFonts w:hint="eastAsia"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br w:type="page"/>
      </w:r>
    </w:p>
    <w:p>
      <w:pPr>
        <w:spacing w:line="360" w:lineRule="auto"/>
        <w:jc w:val="left"/>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附件10：</w:t>
      </w:r>
    </w:p>
    <w:p>
      <w:pPr>
        <w:spacing w:line="360" w:lineRule="auto"/>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拟派本项目人员汇总表</w:t>
      </w:r>
    </w:p>
    <w:p>
      <w:pPr>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人全称（电子签章）：            招标文件编号：HZKJXY（FB）2022-01</w:t>
      </w:r>
    </w:p>
    <w:tbl>
      <w:tblPr>
        <w:tblStyle w:val="25"/>
        <w:tblpPr w:leftFromText="180" w:rightFromText="180" w:vertAnchor="text" w:horzAnchor="page" w:tblpX="1795" w:tblpY="520"/>
        <w:tblOverlap w:val="never"/>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487"/>
        <w:gridCol w:w="1156"/>
        <w:gridCol w:w="1262"/>
        <w:gridCol w:w="1761"/>
        <w:gridCol w:w="1308"/>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top w:val="single" w:color="auto" w:sz="12" w:space="0"/>
              <w:left w:val="single" w:color="auto" w:sz="12" w:space="0"/>
              <w:bottom w:val="single" w:color="auto" w:sz="12"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姓  名</w:t>
            </w:r>
          </w:p>
        </w:tc>
        <w:tc>
          <w:tcPr>
            <w:tcW w:w="1487" w:type="dxa"/>
            <w:tcBorders>
              <w:top w:val="single" w:color="auto" w:sz="12" w:space="0"/>
              <w:bottom w:val="single" w:color="auto" w:sz="12"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本项目 拟任岗位</w:t>
            </w:r>
          </w:p>
        </w:tc>
        <w:tc>
          <w:tcPr>
            <w:tcW w:w="1156" w:type="dxa"/>
            <w:tcBorders>
              <w:top w:val="single" w:color="auto" w:sz="12" w:space="0"/>
              <w:bottom w:val="single" w:color="auto" w:sz="12"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专 业</w:t>
            </w:r>
          </w:p>
        </w:tc>
        <w:tc>
          <w:tcPr>
            <w:tcW w:w="1262" w:type="dxa"/>
            <w:tcBorders>
              <w:top w:val="single" w:color="auto" w:sz="12" w:space="0"/>
              <w:bottom w:val="single" w:color="auto" w:sz="12"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专业   年限（年）</w:t>
            </w:r>
          </w:p>
        </w:tc>
        <w:tc>
          <w:tcPr>
            <w:tcW w:w="1761" w:type="dxa"/>
            <w:tcBorders>
              <w:top w:val="single" w:color="auto" w:sz="12" w:space="0"/>
              <w:bottom w:val="single" w:color="auto" w:sz="12"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执业资格</w:t>
            </w:r>
          </w:p>
        </w:tc>
        <w:tc>
          <w:tcPr>
            <w:tcW w:w="1308" w:type="dxa"/>
            <w:tcBorders>
              <w:top w:val="single" w:color="auto" w:sz="12" w:space="0"/>
              <w:bottom w:val="single" w:color="auto" w:sz="12"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职称</w:t>
            </w:r>
          </w:p>
        </w:tc>
        <w:tc>
          <w:tcPr>
            <w:tcW w:w="1769" w:type="dxa"/>
            <w:tcBorders>
              <w:top w:val="single" w:color="auto" w:sz="12"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pStyle w:val="15"/>
              <w:keepNext w:val="0"/>
              <w:keepLines w:val="0"/>
              <w:suppressLineNumbers w:val="0"/>
              <w:spacing w:before="0" w:beforeAutospacing="0" w:after="0" w:afterAutospacing="0" w:line="360" w:lineRule="auto"/>
              <w:ind w:left="6000" w:right="0"/>
              <w:rPr>
                <w:rFonts w:asciiTheme="majorEastAsia" w:hAnsiTheme="majorEastAsia" w:eastAsiaTheme="majorEastAsia" w:cstheme="maj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04" w:type="dxa"/>
            <w:tcBorders>
              <w:lef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487"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5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b/>
                <w:color w:val="auto"/>
              </w:rPr>
            </w:pPr>
          </w:p>
        </w:tc>
        <w:tc>
          <w:tcPr>
            <w:tcW w:w="1262"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1"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308"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769" w:type="dxa"/>
            <w:tcBorders>
              <w:right w:val="single" w:color="auto" w:sz="12" w:space="0"/>
            </w:tcBorders>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9847" w:type="dxa"/>
            <w:gridSpan w:val="7"/>
            <w:tcBorders>
              <w:left w:val="single" w:color="auto" w:sz="12" w:space="0"/>
              <w:bottom w:val="single" w:color="auto" w:sz="12" w:space="0"/>
              <w:right w:val="single" w:color="auto" w:sz="12" w:space="0"/>
            </w:tcBorders>
            <w:vAlign w:val="center"/>
          </w:tcPr>
          <w:p>
            <w:pPr>
              <w:pStyle w:val="15"/>
              <w:keepNext w:val="0"/>
              <w:keepLines w:val="0"/>
              <w:suppressLineNumbers w:val="0"/>
              <w:spacing w:before="0" w:beforeAutospacing="0" w:after="0" w:afterAutospacing="0" w:line="360" w:lineRule="auto"/>
              <w:ind w:left="6000" w:right="0"/>
              <w:rPr>
                <w:rFonts w:asciiTheme="majorEastAsia" w:hAnsiTheme="majorEastAsia" w:eastAsiaTheme="majorEastAsia" w:cstheme="majorEastAsia"/>
                <w:color w:val="auto"/>
                <w:sz w:val="24"/>
                <w:szCs w:val="24"/>
              </w:rPr>
            </w:pPr>
          </w:p>
        </w:tc>
      </w:tr>
    </w:tbl>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p>
    <w:p>
      <w:pPr>
        <w:pStyle w:val="11"/>
        <w:ind w:firstLine="241"/>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注：1、</w:t>
      </w:r>
      <w:r>
        <w:rPr>
          <w:rFonts w:hint="eastAsia" w:asciiTheme="majorEastAsia" w:hAnsiTheme="majorEastAsia" w:eastAsiaTheme="majorEastAsia" w:cstheme="majorEastAsia"/>
          <w:b/>
          <w:bCs/>
          <w:color w:val="auto"/>
          <w:lang w:eastAsia="zh-CN"/>
        </w:rPr>
        <w:t>响应</w:t>
      </w:r>
      <w:r>
        <w:rPr>
          <w:rFonts w:hint="eastAsia" w:asciiTheme="majorEastAsia" w:hAnsiTheme="majorEastAsia" w:eastAsiaTheme="majorEastAsia" w:cstheme="majorEastAsia"/>
          <w:b/>
          <w:bCs/>
          <w:color w:val="auto"/>
        </w:rPr>
        <w:t>人提供的上述人员须满足采购人需求中最低人员要求。</w:t>
      </w:r>
    </w:p>
    <w:p>
      <w:pPr>
        <w:pStyle w:val="11"/>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2、未经采购人同意不得随意更换成员名单。</w:t>
      </w:r>
    </w:p>
    <w:p>
      <w:pPr>
        <w:spacing w:line="300" w:lineRule="auto"/>
        <w:ind w:firstLine="481" w:firstLineChars="200"/>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lang w:val="en-US" w:eastAsia="zh-CN"/>
        </w:rPr>
        <w:t>3</w:t>
      </w:r>
      <w:r>
        <w:rPr>
          <w:rFonts w:hint="eastAsia" w:asciiTheme="majorEastAsia" w:hAnsiTheme="majorEastAsia" w:eastAsiaTheme="majorEastAsia" w:cstheme="majorEastAsia"/>
          <w:b/>
          <w:bCs/>
          <w:color w:val="auto"/>
        </w:rPr>
        <w:t>、</w:t>
      </w:r>
      <w:r>
        <w:rPr>
          <w:rFonts w:hint="eastAsia" w:asciiTheme="majorEastAsia" w:hAnsiTheme="majorEastAsia" w:eastAsiaTheme="majorEastAsia" w:cstheme="majorEastAsia"/>
          <w:b/>
          <w:bCs/>
          <w:color w:val="auto"/>
          <w:lang w:eastAsia="zh-CN"/>
        </w:rPr>
        <w:t>响应</w:t>
      </w:r>
      <w:r>
        <w:rPr>
          <w:rFonts w:hint="eastAsia" w:asciiTheme="majorEastAsia" w:hAnsiTheme="majorEastAsia" w:eastAsiaTheme="majorEastAsia" w:cstheme="majorEastAsia"/>
          <w:b/>
          <w:bCs/>
          <w:color w:val="auto"/>
        </w:rPr>
        <w:t>人在</w:t>
      </w:r>
      <w:r>
        <w:rPr>
          <w:rFonts w:hint="eastAsia" w:asciiTheme="majorEastAsia" w:hAnsiTheme="majorEastAsia" w:eastAsiaTheme="majorEastAsia" w:cstheme="majorEastAsia"/>
          <w:b/>
          <w:bCs/>
          <w:color w:val="auto"/>
          <w:lang w:eastAsia="zh-CN"/>
        </w:rPr>
        <w:t>响应文件</w:t>
      </w:r>
      <w:r>
        <w:rPr>
          <w:rFonts w:hint="eastAsia" w:asciiTheme="majorEastAsia" w:hAnsiTheme="majorEastAsia" w:eastAsiaTheme="majorEastAsia" w:cstheme="majorEastAsia"/>
          <w:b/>
          <w:bCs/>
          <w:color w:val="auto"/>
        </w:rPr>
        <w:t>中应提供上述项目成员的相关执业资格证书和注册在</w:t>
      </w:r>
      <w:r>
        <w:rPr>
          <w:rFonts w:hint="eastAsia" w:asciiTheme="majorEastAsia" w:hAnsiTheme="majorEastAsia" w:eastAsiaTheme="majorEastAsia" w:cstheme="majorEastAsia"/>
          <w:b/>
          <w:bCs/>
          <w:color w:val="auto"/>
          <w:lang w:eastAsia="zh-CN"/>
        </w:rPr>
        <w:t>响应</w:t>
      </w:r>
      <w:r>
        <w:rPr>
          <w:rFonts w:hint="eastAsia" w:asciiTheme="majorEastAsia" w:hAnsiTheme="majorEastAsia" w:eastAsiaTheme="majorEastAsia" w:cstheme="majorEastAsia"/>
          <w:b/>
          <w:bCs/>
          <w:color w:val="auto"/>
        </w:rPr>
        <w:t>人单位的注册证书复印件和体现专业的证明材料（如相应的造价员证书或职称证书或学历证书等），如是高级职称提供证书复印件；复印件加盖公章；其中项目负责人还须提供开标前近三个月社保证明并加盖公章，其余成员近三个月社保证明备查。</w:t>
      </w:r>
    </w:p>
    <w:p>
      <w:pPr>
        <w:rPr>
          <w:rFonts w:asciiTheme="majorEastAsia" w:hAnsiTheme="majorEastAsia" w:eastAsiaTheme="majorEastAsia" w:cstheme="majorEastAsia"/>
          <w:color w:val="auto"/>
        </w:rPr>
      </w:pPr>
    </w:p>
    <w:p>
      <w:pPr>
        <w:pStyle w:val="11"/>
        <w:ind w:firstLine="240"/>
        <w:rPr>
          <w:rFonts w:asciiTheme="majorEastAsia" w:hAnsiTheme="majorEastAsia" w:eastAsiaTheme="majorEastAsia" w:cstheme="majorEastAsia"/>
          <w:color w:val="auto"/>
        </w:rPr>
      </w:pPr>
    </w:p>
    <w:p>
      <w:pPr>
        <w:pStyle w:val="12"/>
        <w:rPr>
          <w:rFonts w:asciiTheme="majorEastAsia" w:hAnsiTheme="majorEastAsia" w:eastAsiaTheme="majorEastAsia" w:cstheme="majorEastAsia"/>
          <w:color w:val="auto"/>
          <w:sz w:val="24"/>
          <w:szCs w:val="24"/>
        </w:rPr>
      </w:pPr>
    </w:p>
    <w:p>
      <w:pPr>
        <w:rPr>
          <w:rFonts w:asciiTheme="majorEastAsia" w:hAnsiTheme="majorEastAsia" w:eastAsiaTheme="majorEastAsia" w:cstheme="majorEastAsia"/>
          <w:color w:val="auto"/>
          <w:sz w:val="24"/>
          <w:szCs w:val="24"/>
        </w:rPr>
      </w:pPr>
    </w:p>
    <w:p>
      <w:pPr>
        <w:pStyle w:val="11"/>
        <w:rPr>
          <w:rFonts w:asciiTheme="majorEastAsia" w:hAnsiTheme="majorEastAsia" w:eastAsiaTheme="majorEastAsia" w:cstheme="majorEastAsia"/>
          <w:color w:val="auto"/>
          <w:sz w:val="24"/>
          <w:szCs w:val="24"/>
        </w:rPr>
      </w:pPr>
    </w:p>
    <w:p>
      <w:pPr>
        <w:pStyle w:val="12"/>
        <w:rPr>
          <w:rFonts w:asciiTheme="majorEastAsia" w:hAnsiTheme="majorEastAsia" w:eastAsiaTheme="majorEastAsia" w:cstheme="majorEastAsia"/>
          <w:color w:val="auto"/>
          <w:sz w:val="24"/>
          <w:szCs w:val="24"/>
        </w:rPr>
      </w:pPr>
    </w:p>
    <w:p>
      <w:pPr>
        <w:rPr>
          <w:rFonts w:asciiTheme="majorEastAsia" w:hAnsiTheme="majorEastAsia" w:eastAsiaTheme="majorEastAsia" w:cstheme="majorEastAsia"/>
          <w:color w:val="auto"/>
          <w:sz w:val="24"/>
          <w:szCs w:val="24"/>
        </w:rPr>
      </w:pPr>
    </w:p>
    <w:p>
      <w:pPr>
        <w:pStyle w:val="2"/>
        <w:rPr>
          <w:rFonts w:asciiTheme="majorEastAsia" w:hAnsiTheme="majorEastAsia" w:eastAsiaTheme="majorEastAsia" w:cstheme="majorEastAsia"/>
          <w:color w:val="auto"/>
          <w:sz w:val="24"/>
          <w:szCs w:val="24"/>
        </w:rPr>
      </w:pPr>
    </w:p>
    <w:p>
      <w:pPr>
        <w:pStyle w:val="3"/>
        <w:rPr>
          <w:rFonts w:asciiTheme="majorEastAsia" w:hAnsiTheme="majorEastAsia" w:eastAsiaTheme="majorEastAsia" w:cstheme="majorEastAsia"/>
          <w:color w:val="auto"/>
          <w:sz w:val="24"/>
          <w:szCs w:val="24"/>
        </w:rPr>
      </w:pPr>
    </w:p>
    <w:p>
      <w:pPr>
        <w:pStyle w:val="3"/>
        <w:rPr>
          <w:rFonts w:asciiTheme="majorEastAsia" w:hAnsiTheme="majorEastAsia" w:eastAsiaTheme="majorEastAsia" w:cstheme="majorEastAsia"/>
          <w:color w:val="auto"/>
          <w:sz w:val="24"/>
          <w:szCs w:val="24"/>
        </w:rPr>
      </w:pPr>
    </w:p>
    <w:p>
      <w:pPr>
        <w:pStyle w:val="3"/>
        <w:rPr>
          <w:rFonts w:asciiTheme="majorEastAsia" w:hAnsiTheme="majorEastAsia" w:eastAsiaTheme="majorEastAsia" w:cstheme="majorEastAsia"/>
          <w:color w:val="auto"/>
          <w:sz w:val="24"/>
          <w:szCs w:val="24"/>
        </w:rPr>
      </w:pPr>
    </w:p>
    <w:p>
      <w:pPr>
        <w:pStyle w:val="3"/>
        <w:rPr>
          <w:rFonts w:asciiTheme="majorEastAsia" w:hAnsiTheme="majorEastAsia" w:eastAsiaTheme="majorEastAsia" w:cstheme="majorEastAsia"/>
          <w:color w:val="auto"/>
          <w:sz w:val="24"/>
          <w:szCs w:val="24"/>
        </w:rPr>
      </w:pPr>
    </w:p>
    <w:p>
      <w:pPr>
        <w:rPr>
          <w:rFonts w:asciiTheme="majorEastAsia" w:hAnsiTheme="majorEastAsia" w:eastAsiaTheme="majorEastAsia" w:cstheme="majorEastAsia"/>
          <w:color w:val="auto"/>
          <w:sz w:val="24"/>
          <w:szCs w:val="24"/>
        </w:rPr>
      </w:pPr>
    </w:p>
    <w:p>
      <w:pPr>
        <w:pStyle w:val="11"/>
        <w:rPr>
          <w:rFonts w:asciiTheme="majorEastAsia" w:hAnsiTheme="majorEastAsia" w:eastAsiaTheme="majorEastAsia" w:cstheme="majorEastAsia"/>
          <w:color w:val="auto"/>
          <w:sz w:val="24"/>
          <w:szCs w:val="24"/>
        </w:rPr>
      </w:pPr>
    </w:p>
    <w:p>
      <w:pP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附件11：</w:t>
      </w:r>
    </w:p>
    <w:p>
      <w:pPr>
        <w:pStyle w:val="21"/>
        <w:outlineLvl w:val="9"/>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拟投入本项目的项目负责人工作履历表</w:t>
      </w:r>
    </w:p>
    <w:p>
      <w:pPr>
        <w:spacing w:after="120" w:line="360" w:lineRule="auto"/>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lang w:eastAsia="zh-CN"/>
        </w:rPr>
        <w:t>响应</w:t>
      </w:r>
      <w:r>
        <w:rPr>
          <w:rFonts w:hint="eastAsia" w:asciiTheme="majorEastAsia" w:hAnsiTheme="majorEastAsia" w:eastAsiaTheme="majorEastAsia" w:cstheme="majorEastAsia"/>
          <w:color w:val="auto"/>
        </w:rPr>
        <w:t>人名称：</w:t>
      </w:r>
      <w:r>
        <w:rPr>
          <w:rFonts w:hint="eastAsia" w:asciiTheme="majorEastAsia" w:hAnsiTheme="majorEastAsia" w:eastAsiaTheme="majorEastAsia" w:cstheme="majorEastAsia"/>
          <w:color w:val="auto"/>
          <w:u w:val="single"/>
        </w:rPr>
        <w:t xml:space="preserve">                            </w:t>
      </w:r>
      <w:r>
        <w:rPr>
          <w:rFonts w:hint="eastAsia" w:asciiTheme="majorEastAsia" w:hAnsiTheme="majorEastAsia" w:eastAsiaTheme="majorEastAsia" w:cstheme="majorEastAsia"/>
          <w:color w:val="auto"/>
        </w:rPr>
        <w:t xml:space="preserve">             </w:t>
      </w:r>
    </w:p>
    <w:tbl>
      <w:tblPr>
        <w:tblStyle w:val="25"/>
        <w:tblW w:w="98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145"/>
        <w:gridCol w:w="1349"/>
        <w:gridCol w:w="1676"/>
        <w:gridCol w:w="1814"/>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姓   名</w:t>
            </w:r>
          </w:p>
        </w:tc>
        <w:tc>
          <w:tcPr>
            <w:tcW w:w="214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1349"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职 称</w:t>
            </w:r>
          </w:p>
        </w:tc>
        <w:tc>
          <w:tcPr>
            <w:tcW w:w="167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1814"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专 业</w:t>
            </w:r>
          </w:p>
        </w:tc>
        <w:tc>
          <w:tcPr>
            <w:tcW w:w="112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执业资格</w:t>
            </w:r>
          </w:p>
        </w:tc>
        <w:tc>
          <w:tcPr>
            <w:tcW w:w="3494" w:type="dxa"/>
            <w:gridSpan w:val="2"/>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167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证书编号</w:t>
            </w:r>
          </w:p>
        </w:tc>
        <w:tc>
          <w:tcPr>
            <w:tcW w:w="2939" w:type="dxa"/>
            <w:gridSpan w:val="2"/>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本工程</w:t>
            </w:r>
          </w:p>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拟任岗位</w:t>
            </w:r>
          </w:p>
        </w:tc>
        <w:tc>
          <w:tcPr>
            <w:tcW w:w="3494" w:type="dxa"/>
            <w:gridSpan w:val="2"/>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1676"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工作年限</w:t>
            </w:r>
          </w:p>
        </w:tc>
        <w:tc>
          <w:tcPr>
            <w:tcW w:w="2939" w:type="dxa"/>
            <w:gridSpan w:val="2"/>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47" w:type="dxa"/>
            <w:gridSpan w:val="6"/>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主  要  工  作  业  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起止年月</w:t>
            </w:r>
          </w:p>
        </w:tc>
        <w:tc>
          <w:tcPr>
            <w:tcW w:w="214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项目名称</w:t>
            </w:r>
          </w:p>
        </w:tc>
        <w:tc>
          <w:tcPr>
            <w:tcW w:w="3025" w:type="dxa"/>
            <w:gridSpan w:val="2"/>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承担的主要工作</w:t>
            </w:r>
          </w:p>
        </w:tc>
        <w:tc>
          <w:tcPr>
            <w:tcW w:w="1814"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项目规模</w:t>
            </w:r>
          </w:p>
        </w:tc>
        <w:tc>
          <w:tcPr>
            <w:tcW w:w="112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项目业主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214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3025" w:type="dxa"/>
            <w:gridSpan w:val="2"/>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814"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25"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214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3025" w:type="dxa"/>
            <w:gridSpan w:val="2"/>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814"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25"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214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3025" w:type="dxa"/>
            <w:gridSpan w:val="2"/>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814"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25"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2145"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c>
          <w:tcPr>
            <w:tcW w:w="3025" w:type="dxa"/>
            <w:gridSpan w:val="2"/>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814"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c>
          <w:tcPr>
            <w:tcW w:w="1125" w:type="dxa"/>
            <w:vAlign w:val="center"/>
          </w:tcPr>
          <w:p>
            <w:pPr>
              <w:keepNext w:val="0"/>
              <w:keepLines w:val="0"/>
              <w:suppressLineNumbers w:val="0"/>
              <w:spacing w:before="0" w:beforeAutospacing="0" w:after="0" w:afterAutospacing="0" w:line="360" w:lineRule="auto"/>
              <w:ind w:left="0" w:right="0"/>
              <w:rPr>
                <w:rFonts w:asciiTheme="majorEastAsia" w:hAnsiTheme="majorEastAsia" w:eastAsiaTheme="majorEastAsia" w:cstheme="maj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738" w:type="dxa"/>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奖惩情况</w:t>
            </w:r>
          </w:p>
        </w:tc>
        <w:tc>
          <w:tcPr>
            <w:tcW w:w="8109" w:type="dxa"/>
            <w:gridSpan w:val="5"/>
            <w:vAlign w:val="center"/>
          </w:tcPr>
          <w:p>
            <w:pPr>
              <w:keepNext w:val="0"/>
              <w:keepLines w:val="0"/>
              <w:suppressLineNumbers w:val="0"/>
              <w:spacing w:before="0" w:beforeAutospacing="0" w:after="0" w:afterAutospacing="0" w:line="360" w:lineRule="auto"/>
              <w:ind w:left="0" w:right="0"/>
              <w:jc w:val="center"/>
              <w:rPr>
                <w:rFonts w:asciiTheme="majorEastAsia" w:hAnsiTheme="majorEastAsia" w:eastAsiaTheme="majorEastAsia" w:cstheme="majorEastAsia"/>
                <w:color w:val="auto"/>
              </w:rPr>
            </w:pPr>
          </w:p>
        </w:tc>
      </w:tr>
    </w:tbl>
    <w:p>
      <w:pPr>
        <w:rPr>
          <w:rFonts w:asciiTheme="majorEastAsia" w:hAnsiTheme="majorEastAsia" w:eastAsiaTheme="majorEastAsia" w:cstheme="majorEastAsia"/>
          <w:color w:val="auto"/>
        </w:rPr>
      </w:pPr>
    </w:p>
    <w:p>
      <w:pPr>
        <w:rPr>
          <w:rFonts w:asciiTheme="majorEastAsia" w:hAnsiTheme="majorEastAsia" w:eastAsiaTheme="majorEastAsia" w:cstheme="majorEastAsia"/>
          <w:color w:val="auto"/>
        </w:rPr>
      </w:pPr>
    </w:p>
    <w:p>
      <w:pPr>
        <w:pStyle w:val="11"/>
        <w:ind w:firstLine="240"/>
        <w:rPr>
          <w:rFonts w:asciiTheme="majorEastAsia" w:hAnsiTheme="majorEastAsia" w:eastAsiaTheme="majorEastAsia" w:cstheme="majorEastAsia"/>
          <w:color w:val="auto"/>
        </w:rPr>
      </w:pPr>
    </w:p>
    <w:p>
      <w:pPr>
        <w:rPr>
          <w:rFonts w:hint="eastAsia"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br w:type="page"/>
      </w:r>
    </w:p>
    <w:p>
      <w:pP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附件12：报价承诺函</w:t>
      </w:r>
    </w:p>
    <w:p>
      <w:pPr>
        <w:pStyle w:val="12"/>
        <w:ind w:left="0"/>
        <w:rPr>
          <w:rFonts w:asciiTheme="majorEastAsia" w:hAnsiTheme="majorEastAsia" w:eastAsiaTheme="majorEastAsia" w:cstheme="majorEastAsia"/>
          <w:color w:val="auto"/>
          <w:sz w:val="24"/>
          <w:szCs w:val="24"/>
        </w:rPr>
      </w:pPr>
    </w:p>
    <w:p>
      <w:pP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湖州市财政项目预算审核中心：</w:t>
      </w:r>
    </w:p>
    <w:p>
      <w:pPr>
        <w:pStyle w:val="35"/>
        <w:spacing w:line="360" w:lineRule="auto"/>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我方承诺，服务费用结算按照下表分档累进计费：</w:t>
      </w:r>
    </w:p>
    <w:p>
      <w:pPr>
        <w:spacing w:line="320" w:lineRule="exact"/>
        <w:ind w:firstLine="465"/>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（1）费用计算标准</w:t>
      </w:r>
    </w:p>
    <w:tbl>
      <w:tblPr>
        <w:tblStyle w:val="2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5"/>
        <w:gridCol w:w="5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435"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专业类型</w:t>
            </w:r>
          </w:p>
        </w:tc>
        <w:tc>
          <w:tcPr>
            <w:tcW w:w="5853"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计费依据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3435" w:type="dxa"/>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sz w:val="21"/>
                <w:szCs w:val="21"/>
              </w:rPr>
            </w:pPr>
            <w:r>
              <w:rPr>
                <w:rFonts w:hint="default" w:asciiTheme="majorEastAsia" w:hAnsiTheme="majorEastAsia" w:eastAsiaTheme="majorEastAsia" w:cstheme="majorEastAsia"/>
                <w:color w:val="auto"/>
                <w:sz w:val="21"/>
                <w:szCs w:val="21"/>
              </w:rPr>
              <w:t>工程造价</w:t>
            </w:r>
            <w:r>
              <w:rPr>
                <w:rFonts w:hint="eastAsia" w:asciiTheme="majorEastAsia" w:hAnsiTheme="majorEastAsia" w:eastAsiaTheme="majorEastAsia" w:cstheme="majorEastAsia"/>
                <w:color w:val="auto"/>
                <w:sz w:val="21"/>
                <w:szCs w:val="21"/>
              </w:rPr>
              <w:t>审核服务</w:t>
            </w:r>
          </w:p>
        </w:tc>
        <w:tc>
          <w:tcPr>
            <w:tcW w:w="5853" w:type="dxa"/>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rPr>
            </w:pPr>
            <w:r>
              <w:rPr>
                <w:rFonts w:hint="default" w:asciiTheme="majorEastAsia" w:hAnsiTheme="majorEastAsia" w:eastAsiaTheme="majorEastAsia" w:cstheme="majorEastAsia"/>
                <w:color w:val="auto"/>
                <w:sz w:val="21"/>
                <w:szCs w:val="21"/>
              </w:rPr>
              <w:t>参照</w:t>
            </w:r>
            <w:r>
              <w:rPr>
                <w:rFonts w:hint="eastAsia" w:asciiTheme="majorEastAsia" w:hAnsiTheme="majorEastAsia" w:eastAsiaTheme="majorEastAsia" w:cstheme="majorEastAsia"/>
                <w:color w:val="auto"/>
                <w:sz w:val="21"/>
                <w:szCs w:val="21"/>
              </w:rPr>
              <w:t>《浙江省建设工程造价咨询服务基准收费标准》</w:t>
            </w:r>
          </w:p>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[浙价服(2009)84号]</w:t>
            </w:r>
          </w:p>
        </w:tc>
      </w:tr>
    </w:tbl>
    <w:p>
      <w:pPr>
        <w:spacing w:line="320" w:lineRule="exact"/>
        <w:ind w:firstLine="465"/>
        <w:rPr>
          <w:rFonts w:asciiTheme="majorEastAsia" w:hAnsiTheme="majorEastAsia" w:eastAsiaTheme="majorEastAsia" w:cstheme="majorEastAsia"/>
          <w:color w:val="auto"/>
        </w:rPr>
      </w:pPr>
      <w:r>
        <w:rPr>
          <w:rFonts w:hint="eastAsia" w:asciiTheme="majorEastAsia" w:hAnsiTheme="majorEastAsia" w:eastAsiaTheme="majorEastAsia" w:cstheme="majorEastAsia"/>
          <w:b/>
          <w:color w:val="auto"/>
        </w:rPr>
        <w:t xml:space="preserve">（2）计算表                                    </w:t>
      </w:r>
      <w:r>
        <w:rPr>
          <w:rFonts w:hint="eastAsia" w:asciiTheme="majorEastAsia" w:hAnsiTheme="majorEastAsia" w:eastAsiaTheme="majorEastAsia" w:cstheme="majorEastAsia"/>
          <w:color w:val="auto"/>
        </w:rPr>
        <w:t xml:space="preserve">  费率：‰</w:t>
      </w:r>
    </w:p>
    <w:tbl>
      <w:tblPr>
        <w:tblStyle w:val="25"/>
        <w:tblW w:w="9322" w:type="dxa"/>
        <w:tblInd w:w="0" w:type="dxa"/>
        <w:tblLayout w:type="fixed"/>
        <w:tblCellMar>
          <w:top w:w="0" w:type="dxa"/>
          <w:left w:w="108" w:type="dxa"/>
          <w:bottom w:w="0" w:type="dxa"/>
          <w:right w:w="108" w:type="dxa"/>
        </w:tblCellMar>
      </w:tblPr>
      <w:tblGrid>
        <w:gridCol w:w="391"/>
        <w:gridCol w:w="1823"/>
        <w:gridCol w:w="821"/>
        <w:gridCol w:w="910"/>
        <w:gridCol w:w="810"/>
        <w:gridCol w:w="1020"/>
        <w:gridCol w:w="900"/>
        <w:gridCol w:w="980"/>
        <w:gridCol w:w="800"/>
        <w:gridCol w:w="867"/>
      </w:tblGrid>
      <w:tr>
        <w:tblPrEx>
          <w:tblCellMar>
            <w:top w:w="0" w:type="dxa"/>
            <w:left w:w="108" w:type="dxa"/>
            <w:bottom w:w="0" w:type="dxa"/>
            <w:right w:w="108" w:type="dxa"/>
          </w:tblCellMar>
        </w:tblPrEx>
        <w:trPr>
          <w:trHeight w:val="745" w:hRule="atLeast"/>
        </w:trPr>
        <w:tc>
          <w:tcPr>
            <w:tcW w:w="391" w:type="dxa"/>
            <w:vMerge w:val="restart"/>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序号</w:t>
            </w:r>
          </w:p>
        </w:tc>
        <w:tc>
          <w:tcPr>
            <w:tcW w:w="1823" w:type="dxa"/>
            <w:vMerge w:val="restart"/>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咨询项目</w:t>
            </w:r>
          </w:p>
        </w:tc>
        <w:tc>
          <w:tcPr>
            <w:tcW w:w="821" w:type="dxa"/>
            <w:vMerge w:val="restart"/>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收费基数</w:t>
            </w:r>
          </w:p>
        </w:tc>
        <w:tc>
          <w:tcPr>
            <w:tcW w:w="6287" w:type="dxa"/>
            <w:gridSpan w:val="7"/>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b/>
                <w:bCs/>
                <w:color w:val="auto"/>
              </w:rPr>
            </w:pPr>
            <w:r>
              <w:rPr>
                <w:rFonts w:hint="eastAsia" w:asciiTheme="majorEastAsia" w:hAnsiTheme="majorEastAsia" w:eastAsiaTheme="majorEastAsia" w:cstheme="majorEastAsia"/>
                <w:b/>
                <w:bCs/>
                <w:color w:val="auto"/>
              </w:rPr>
              <w:t>分档累进计费标准</w:t>
            </w:r>
          </w:p>
        </w:tc>
      </w:tr>
      <w:tr>
        <w:tblPrEx>
          <w:tblCellMar>
            <w:top w:w="0" w:type="dxa"/>
            <w:left w:w="108" w:type="dxa"/>
            <w:bottom w:w="0" w:type="dxa"/>
            <w:right w:w="108" w:type="dxa"/>
          </w:tblCellMar>
        </w:tblPrEx>
        <w:tc>
          <w:tcPr>
            <w:tcW w:w="391" w:type="dxa"/>
            <w:vMerge w:val="continue"/>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rPr>
                <w:rFonts w:asciiTheme="majorEastAsia" w:hAnsiTheme="majorEastAsia" w:eastAsiaTheme="majorEastAsia" w:cstheme="majorEastAsia"/>
                <w:color w:val="auto"/>
              </w:rPr>
            </w:pPr>
          </w:p>
        </w:tc>
        <w:tc>
          <w:tcPr>
            <w:tcW w:w="1823" w:type="dxa"/>
            <w:vMerge w:val="continue"/>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rPr>
                <w:rFonts w:asciiTheme="majorEastAsia" w:hAnsiTheme="majorEastAsia" w:eastAsiaTheme="majorEastAsia" w:cstheme="majorEastAsia"/>
                <w:color w:val="auto"/>
              </w:rPr>
            </w:pPr>
          </w:p>
        </w:tc>
        <w:tc>
          <w:tcPr>
            <w:tcW w:w="821" w:type="dxa"/>
            <w:vMerge w:val="continue"/>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rPr>
                <w:rFonts w:asciiTheme="majorEastAsia" w:hAnsiTheme="majorEastAsia" w:eastAsiaTheme="majorEastAsia" w:cstheme="majorEastAsia"/>
                <w:color w:val="auto"/>
              </w:rPr>
            </w:pP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100万元以内</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101-500万元</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501—1000万元</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1001—2000万元</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2001—5000万元</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5001-10000万元</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2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10000万元以上</w:t>
            </w:r>
          </w:p>
        </w:tc>
      </w:tr>
      <w:tr>
        <w:tblPrEx>
          <w:tblCellMar>
            <w:top w:w="0" w:type="dxa"/>
            <w:left w:w="108" w:type="dxa"/>
            <w:bottom w:w="0" w:type="dxa"/>
            <w:right w:w="108" w:type="dxa"/>
          </w:tblCellMar>
        </w:tblPrEx>
        <w:tc>
          <w:tcPr>
            <w:tcW w:w="39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w:t>
            </w:r>
          </w:p>
        </w:tc>
        <w:tc>
          <w:tcPr>
            <w:tcW w:w="1823"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概算审核</w:t>
            </w:r>
          </w:p>
        </w:tc>
        <w:tc>
          <w:tcPr>
            <w:tcW w:w="82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送审金额</w:t>
            </w: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1.7</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1.5</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1.1</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0.9</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0.8</w:t>
            </w:r>
          </w:p>
        </w:tc>
      </w:tr>
      <w:tr>
        <w:tblPrEx>
          <w:tblCellMar>
            <w:top w:w="0" w:type="dxa"/>
            <w:left w:w="108" w:type="dxa"/>
            <w:bottom w:w="0" w:type="dxa"/>
            <w:right w:w="108" w:type="dxa"/>
          </w:tblCellMar>
        </w:tblPrEx>
        <w:tc>
          <w:tcPr>
            <w:tcW w:w="39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5</w:t>
            </w:r>
          </w:p>
        </w:tc>
        <w:tc>
          <w:tcPr>
            <w:tcW w:w="1823"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工程量清单及预算、招标控制价的编制或审核</w:t>
            </w:r>
          </w:p>
        </w:tc>
        <w:tc>
          <w:tcPr>
            <w:tcW w:w="82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审定金额</w:t>
            </w: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3.6</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3.3</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3</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2.7</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2.4</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2.1</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1.8</w:t>
            </w:r>
          </w:p>
        </w:tc>
      </w:tr>
      <w:tr>
        <w:tblPrEx>
          <w:tblCellMar>
            <w:top w:w="0" w:type="dxa"/>
            <w:left w:w="108" w:type="dxa"/>
            <w:bottom w:w="0" w:type="dxa"/>
            <w:right w:w="108" w:type="dxa"/>
          </w:tblCellMar>
        </w:tblPrEx>
        <w:tc>
          <w:tcPr>
            <w:tcW w:w="39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7</w:t>
            </w:r>
          </w:p>
        </w:tc>
        <w:tc>
          <w:tcPr>
            <w:tcW w:w="1823"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结算审核</w:t>
            </w:r>
          </w:p>
        </w:tc>
        <w:tc>
          <w:tcPr>
            <w:tcW w:w="821"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ind w:left="0" w:right="0"/>
              <w:jc w:val="center"/>
              <w:rPr>
                <w:rFonts w:hint="eastAsia" w:asciiTheme="majorEastAsia" w:hAnsiTheme="majorEastAsia" w:eastAsiaTheme="majorEastAsia" w:cstheme="majorEastAsia"/>
                <w:color w:val="auto"/>
                <w:sz w:val="21"/>
                <w:szCs w:val="21"/>
                <w:lang w:eastAsia="zh-CN"/>
              </w:rPr>
            </w:pPr>
            <w:r>
              <w:rPr>
                <w:rFonts w:hint="eastAsia" w:asciiTheme="majorEastAsia" w:hAnsiTheme="majorEastAsia" w:eastAsiaTheme="majorEastAsia" w:cstheme="majorEastAsia"/>
                <w:color w:val="auto"/>
                <w:sz w:val="21"/>
                <w:szCs w:val="21"/>
                <w:lang w:eastAsia="zh-CN"/>
              </w:rPr>
              <w:t>送审金额</w:t>
            </w:r>
          </w:p>
        </w:tc>
        <w:tc>
          <w:tcPr>
            <w:tcW w:w="9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2.5</w:t>
            </w:r>
          </w:p>
        </w:tc>
        <w:tc>
          <w:tcPr>
            <w:tcW w:w="81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2.2</w:t>
            </w:r>
          </w:p>
        </w:tc>
        <w:tc>
          <w:tcPr>
            <w:tcW w:w="102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1.9</w:t>
            </w:r>
          </w:p>
        </w:tc>
        <w:tc>
          <w:tcPr>
            <w:tcW w:w="9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1.6</w:t>
            </w:r>
          </w:p>
        </w:tc>
        <w:tc>
          <w:tcPr>
            <w:tcW w:w="98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1.3</w:t>
            </w:r>
          </w:p>
        </w:tc>
        <w:tc>
          <w:tcPr>
            <w:tcW w:w="800"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1.0</w:t>
            </w:r>
          </w:p>
        </w:tc>
        <w:tc>
          <w:tcPr>
            <w:tcW w:w="867" w:type="dxa"/>
            <w:tcBorders>
              <w:top w:val="inset" w:color="auto" w:sz="6" w:space="0"/>
              <w:left w:val="inset" w:color="auto" w:sz="6" w:space="0"/>
              <w:bottom w:val="inset" w:color="auto" w:sz="6" w:space="0"/>
              <w:right w:val="inset" w:color="auto" w:sz="6" w:space="0"/>
            </w:tcBorders>
            <w:vAlign w:val="center"/>
          </w:tcPr>
          <w:p>
            <w:pPr>
              <w:keepNext w:val="0"/>
              <w:keepLines w:val="0"/>
              <w:suppressLineNumbers w:val="0"/>
              <w:spacing w:before="0" w:beforeAutospacing="0" w:after="0" w:afterAutospacing="0" w:line="440" w:lineRule="exact"/>
              <w:ind w:left="0" w:right="0"/>
              <w:jc w:val="center"/>
              <w:rPr>
                <w:rFonts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0.7</w:t>
            </w:r>
          </w:p>
        </w:tc>
      </w:tr>
    </w:tbl>
    <w:p>
      <w:pPr>
        <w:rPr>
          <w:rFonts w:asciiTheme="majorEastAsia" w:hAnsiTheme="majorEastAsia" w:eastAsiaTheme="majorEastAsia" w:cstheme="majorEastAsia"/>
          <w:b/>
          <w:color w:val="auto"/>
        </w:rPr>
      </w:pPr>
      <w:r>
        <w:rPr>
          <w:rFonts w:hint="eastAsia" w:asciiTheme="majorEastAsia" w:hAnsiTheme="majorEastAsia" w:eastAsiaTheme="majorEastAsia" w:cstheme="majorEastAsia"/>
          <w:b/>
          <w:color w:val="auto"/>
        </w:rPr>
        <w:t>（3）服务费用结算</w:t>
      </w:r>
    </w:p>
    <w:p>
      <w:pPr>
        <w:autoSpaceDE w:val="0"/>
        <w:autoSpaceDN w:val="0"/>
        <w:spacing w:line="300" w:lineRule="auto"/>
        <w:ind w:firstLine="480" w:firstLineChars="200"/>
        <w:textAlignment w:val="bottom"/>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在采购人确定</w:t>
      </w:r>
      <w:r>
        <w:rPr>
          <w:rFonts w:hint="eastAsia" w:asciiTheme="majorEastAsia" w:hAnsiTheme="majorEastAsia" w:eastAsiaTheme="majorEastAsia" w:cstheme="majorEastAsia"/>
          <w:color w:val="auto"/>
          <w:lang w:eastAsia="zh-CN"/>
        </w:rPr>
        <w:t>入围供应商</w:t>
      </w:r>
      <w:r>
        <w:rPr>
          <w:rFonts w:hint="eastAsia" w:asciiTheme="majorEastAsia" w:hAnsiTheme="majorEastAsia" w:eastAsiaTheme="majorEastAsia" w:cstheme="majorEastAsia"/>
          <w:color w:val="auto"/>
        </w:rPr>
        <w:t xml:space="preserve">按时、按质、按量完成组织审核业务后支付服务费用。 </w:t>
      </w:r>
    </w:p>
    <w:p>
      <w:pPr>
        <w:autoSpaceDE w:val="0"/>
        <w:autoSpaceDN w:val="0"/>
        <w:spacing w:line="300" w:lineRule="auto"/>
        <w:ind w:firstLine="480" w:firstLineChars="200"/>
        <w:textAlignment w:val="bottom"/>
        <w:rPr>
          <w:rFonts w:asciiTheme="majorEastAsia" w:hAnsiTheme="majorEastAsia" w:eastAsiaTheme="majorEastAsia" w:cstheme="majorEastAsia"/>
          <w:color w:val="auto"/>
        </w:rPr>
      </w:pPr>
      <w:r>
        <w:rPr>
          <w:rFonts w:hint="eastAsia" w:asciiTheme="majorEastAsia" w:hAnsiTheme="majorEastAsia" w:eastAsiaTheme="majorEastAsia" w:cstheme="majorEastAsia"/>
          <w:color w:val="auto"/>
        </w:rPr>
        <w:t>★① 服务费用结算：</w:t>
      </w:r>
    </w:p>
    <w:p>
      <w:pPr>
        <w:pStyle w:val="11"/>
        <w:ind w:firstLine="240"/>
        <w:rPr>
          <w:rFonts w:asciiTheme="majorEastAsia" w:hAnsiTheme="majorEastAsia" w:eastAsiaTheme="majorEastAsia" w:cstheme="majorEastAsia"/>
          <w:b/>
          <w:color w:val="auto"/>
        </w:rPr>
      </w:pPr>
      <w:r>
        <w:rPr>
          <w:rFonts w:hint="eastAsia" w:asciiTheme="majorEastAsia" w:hAnsiTheme="majorEastAsia" w:eastAsiaTheme="majorEastAsia" w:cstheme="majorEastAsia"/>
          <w:color w:val="auto"/>
        </w:rPr>
        <w:t>实际服务费用=</w:t>
      </w:r>
      <w:r>
        <w:rPr>
          <w:rFonts w:hint="eastAsia" w:asciiTheme="majorEastAsia" w:hAnsiTheme="majorEastAsia" w:eastAsiaTheme="majorEastAsia" w:cstheme="majorEastAsia"/>
          <w:b/>
          <w:color w:val="auto"/>
        </w:rPr>
        <w:t>收费基数（参考[浙价服(2009)84号]文件）×</w:t>
      </w:r>
      <w:r>
        <w:rPr>
          <w:rFonts w:hint="eastAsia" w:asciiTheme="majorEastAsia" w:hAnsiTheme="majorEastAsia" w:eastAsiaTheme="majorEastAsia" w:cstheme="majorEastAsia"/>
          <w:b/>
          <w:color w:val="auto"/>
          <w:lang w:eastAsia="zh-CN"/>
        </w:rPr>
        <w:t>响应</w:t>
      </w:r>
      <w:r>
        <w:rPr>
          <w:rFonts w:hint="eastAsia" w:asciiTheme="majorEastAsia" w:hAnsiTheme="majorEastAsia" w:eastAsiaTheme="majorEastAsia" w:cstheme="majorEastAsia"/>
          <w:b/>
          <w:color w:val="auto"/>
        </w:rPr>
        <w:t>报价×各类型标准收费系数；</w:t>
      </w:r>
    </w:p>
    <w:p>
      <w:pPr>
        <w:pStyle w:val="12"/>
        <w:ind w:left="0" w:firstLine="480"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z w:val="24"/>
          <w:szCs w:val="24"/>
        </w:rPr>
        <w:t>各类型标准收费系数：概算0.35；控制价0.55；结算0.5。如概算收费为：</w:t>
      </w:r>
      <w:r>
        <w:rPr>
          <w:rFonts w:hint="eastAsia" w:asciiTheme="majorEastAsia" w:hAnsiTheme="majorEastAsia" w:eastAsiaTheme="majorEastAsia" w:cstheme="majorEastAsia"/>
          <w:b/>
          <w:bCs/>
          <w:color w:val="auto"/>
          <w:sz w:val="24"/>
          <w:szCs w:val="24"/>
        </w:rPr>
        <w:t>[浙价服(2009)84号]文件的收费基数×1×0.35</w:t>
      </w:r>
    </w:p>
    <w:p>
      <w:pPr>
        <w:rPr>
          <w:color w:val="auto"/>
        </w:rPr>
      </w:pPr>
    </w:p>
    <w:p>
      <w:pPr>
        <w:pStyle w:val="12"/>
        <w:ind w:left="0" w:firstLine="480" w:firstLineChars="20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概算以送审金额扣除土地征收和专用设备设施（含两笔费用相应的预备费）为基数；</w:t>
      </w:r>
    </w:p>
    <w:p>
      <w:pPr>
        <w:pStyle w:val="12"/>
        <w:ind w:left="0" w:firstLine="480" w:firstLineChars="20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竣工结算以送审金额为基数；追加费由送审的施工单位承担。</w:t>
      </w:r>
    </w:p>
    <w:p>
      <w:pPr>
        <w:pStyle w:val="12"/>
        <w:ind w:lef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招标控制价以审定价（含暂列金额）为基数；</w:t>
      </w:r>
    </w:p>
    <w:p>
      <w:pPr>
        <w:rPr>
          <w:color w:val="auto"/>
        </w:rPr>
      </w:pPr>
    </w:p>
    <w:p>
      <w:pPr>
        <w:pStyle w:val="11"/>
        <w:ind w:firstLine="240"/>
        <w:rPr>
          <w:rFonts w:asciiTheme="majorEastAsia" w:hAnsiTheme="majorEastAsia" w:eastAsiaTheme="majorEastAsia" w:cstheme="majorEastAsia"/>
          <w:b/>
          <w:color w:val="auto"/>
        </w:rPr>
      </w:pPr>
      <w:r>
        <w:rPr>
          <w:rFonts w:hint="eastAsia" w:asciiTheme="majorEastAsia" w:hAnsiTheme="majorEastAsia" w:eastAsiaTheme="majorEastAsia" w:cstheme="majorEastAsia"/>
          <w:color w:val="auto"/>
        </w:rPr>
        <w:t>②</w:t>
      </w:r>
      <w:r>
        <w:rPr>
          <w:rFonts w:hint="eastAsia" w:asciiTheme="majorEastAsia" w:hAnsiTheme="majorEastAsia" w:eastAsiaTheme="majorEastAsia" w:cstheme="majorEastAsia"/>
          <w:b/>
          <w:color w:val="auto"/>
          <w:lang w:eastAsia="zh-CN"/>
        </w:rPr>
        <w:t>响应</w:t>
      </w:r>
      <w:r>
        <w:rPr>
          <w:rFonts w:hint="eastAsia" w:asciiTheme="majorEastAsia" w:hAnsiTheme="majorEastAsia" w:eastAsiaTheme="majorEastAsia" w:cstheme="majorEastAsia"/>
          <w:b/>
          <w:color w:val="auto"/>
        </w:rPr>
        <w:t>报价包括项目实施所需的人工费、服务费、企业管理费、利润、税金等一切费用。</w:t>
      </w:r>
    </w:p>
    <w:p>
      <w:pPr>
        <w:snapToGrid w:val="0"/>
        <w:spacing w:beforeLines="50" w:line="360" w:lineRule="auto"/>
        <w:jc w:val="center"/>
        <w:rPr>
          <w:rFonts w:asciiTheme="majorEastAsia" w:hAnsiTheme="majorEastAsia" w:eastAsiaTheme="majorEastAsia" w:cstheme="majorEastAsia"/>
          <w:color w:val="auto"/>
          <w:kern w:val="0"/>
        </w:rPr>
      </w:pPr>
    </w:p>
    <w:p>
      <w:pPr>
        <w:snapToGrid w:val="0"/>
        <w:spacing w:beforeLines="50" w:line="360" w:lineRule="auto"/>
        <w:jc w:val="center"/>
        <w:rPr>
          <w:rFonts w:asciiTheme="majorEastAsia" w:hAnsiTheme="majorEastAsia" w:eastAsiaTheme="majorEastAsia" w:cstheme="majorEastAsia"/>
          <w:color w:val="auto"/>
          <w:u w:val="single"/>
        </w:rPr>
      </w:pPr>
      <w:r>
        <w:rPr>
          <w:rFonts w:hint="eastAsia" w:asciiTheme="majorEastAsia" w:hAnsiTheme="majorEastAsia" w:eastAsiaTheme="majorEastAsia" w:cstheme="majorEastAsia"/>
          <w:color w:val="auto"/>
          <w:kern w:val="0"/>
        </w:rPr>
        <w:t>法定代表人或</w:t>
      </w:r>
      <w:r>
        <w:rPr>
          <w:rFonts w:hint="eastAsia" w:asciiTheme="majorEastAsia" w:hAnsiTheme="majorEastAsia" w:eastAsiaTheme="majorEastAsia" w:cstheme="majorEastAsia"/>
          <w:color w:val="auto"/>
        </w:rPr>
        <w:t>被授权人签字（或盖章）：</w:t>
      </w:r>
    </w:p>
    <w:p>
      <w:pPr>
        <w:pStyle w:val="33"/>
        <w:spacing w:line="360" w:lineRule="auto"/>
        <w:jc w:val="center"/>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供应商名称（公章）：</w:t>
      </w:r>
    </w:p>
    <w:p>
      <w:pPr>
        <w:pStyle w:val="33"/>
        <w:spacing w:line="360" w:lineRule="auto"/>
        <w:jc w:val="center"/>
        <w:rPr>
          <w:color w:val="auto"/>
        </w:rPr>
      </w:pPr>
      <w:r>
        <w:rPr>
          <w:rFonts w:hint="eastAsia" w:asciiTheme="majorEastAsia" w:hAnsiTheme="majorEastAsia" w:eastAsiaTheme="majorEastAsia" w:cstheme="majorEastAsia"/>
          <w:color w:val="auto"/>
          <w:sz w:val="24"/>
          <w:szCs w:val="24"/>
        </w:rPr>
        <w:t xml:space="preserve">          日期： 年 月 日</w:t>
      </w:r>
    </w:p>
    <w:sectPr>
      <w:headerReference r:id="rId7" w:type="default"/>
      <w:footerReference r:id="rId8" w:type="default"/>
      <w:pgSz w:w="11906" w:h="16838"/>
      <w:pgMar w:top="1440" w:right="1083" w:bottom="1440" w:left="1083"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华文细黑">
    <w:altName w:val="汉仪中等线简"/>
    <w:panose1 w:val="02010600040101010101"/>
    <w:charset w:val="86"/>
    <w:family w:val="auto"/>
    <w:pitch w:val="default"/>
    <w:sig w:usb0="00000000" w:usb1="00000000" w:usb2="00000000" w:usb3="00000000" w:csb0="0004009F" w:csb1="DFD70000"/>
  </w:font>
  <w:font w:name="??">
    <w:altName w:val="汉仪叶叶相思体简"/>
    <w:panose1 w:val="00000000000000000000"/>
    <w:charset w:val="00"/>
    <w:family w:val="roman"/>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等线 Light">
    <w:altName w:val="汉仪中圆B5"/>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等线简">
    <w:panose1 w:val="02010600000101010101"/>
    <w:charset w:val="86"/>
    <w:family w:val="auto"/>
    <w:pitch w:val="default"/>
    <w:sig w:usb0="00000001" w:usb1="080E0800" w:usb2="00000002" w:usb3="00000000" w:csb0="00040000" w:csb1="00000000"/>
  </w:font>
  <w:font w:name="汉仪叶叶相思体简">
    <w:panose1 w:val="0201050906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firstLine="210" w:firstLineChars="100"/>
      <w:jc w:val="center"/>
      <w:rPr>
        <w:sz w:val="21"/>
        <w:szCs w:val="21"/>
      </w:rPr>
    </w:pPr>
    <w:r>
      <w:rPr>
        <w:sz w:val="21"/>
      </w:rPr>
      <w:pict>
        <v:shape id="_x0000_s1026" o:spid="_x0000_s1026" o:spt="202" type="#_x0000_t202" style="position:absolute;left:0pt;margin-top:0pt;height:13.6pt;width:136.05pt;mso-position-horizontal:right;mso-position-horizontal-relative:margin;mso-wrap-style:none;z-index:251659264;mso-width-relative:page;mso-height-relative:page;" filled="f" stroked="f" coordsize="21600,21600" o:gfxdata="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HicsMrQAAAABAEAAA8AAAAAAAAAAQAgAAAAOAAAAGRycy9k&#10;b3ducmV2LnhtbFBLAQIUABQAAAAIAIdO4kBnNLKJuwEAAF4DAAAOAAAAAAAAAAEAIAAAADUBAABk&#10;cnMvZTJvRG9jLnhtbFBLBQYAAAAABgAGAFkBAABiBQAAAAA=&#10;">
          <v:path/>
          <v:fill on="f" focussize="0,0"/>
          <v:stroke on="f" joinstyle="miter"/>
          <v:imagedata o:title=""/>
          <o:lock v:ext="edit"/>
          <v:textbox inset="0mm,0mm,0mm,0mm" style="mso-fit-shape-to-text:t;">
            <w:txbxContent>
              <w:p>
                <w:pPr>
                  <w:pStyle w:val="18"/>
                  <w:ind w:right="720" w:firstLine="210" w:firstLineChars="100"/>
                  <w:jc w:val="center"/>
                </w:pPr>
                <w:r>
                  <w:rPr>
                    <w:rFonts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Pr>
                    <w:sz w:val="21"/>
                    <w:szCs w:val="21"/>
                  </w:rPr>
                  <w:t>13</w:t>
                </w:r>
                <w:r>
                  <w:rPr>
                    <w:sz w:val="21"/>
                    <w:szCs w:val="21"/>
                  </w:rPr>
                  <w:fldChar w:fldCharType="end"/>
                </w:r>
                <w:r>
                  <w:rPr>
                    <w:rFonts w:hint="eastAsia"/>
                    <w:sz w:val="21"/>
                    <w:szCs w:val="21"/>
                  </w:rPr>
                  <w:t>页共</w:t>
                </w:r>
                <w:r>
                  <w:rPr>
                    <w:sz w:val="21"/>
                    <w:szCs w:val="21"/>
                  </w:rPr>
                  <w:fldChar w:fldCharType="begin"/>
                </w:r>
                <w:r>
                  <w:rPr>
                    <w:sz w:val="21"/>
                    <w:szCs w:val="21"/>
                  </w:rPr>
                  <w:instrText xml:space="preserve"> NUMPAGES </w:instrText>
                </w:r>
                <w:r>
                  <w:rPr>
                    <w:sz w:val="21"/>
                    <w:szCs w:val="21"/>
                  </w:rPr>
                  <w:fldChar w:fldCharType="separate"/>
                </w:r>
                <w:r>
                  <w:rPr>
                    <w:sz w:val="21"/>
                    <w:szCs w:val="21"/>
                  </w:rPr>
                  <w:t>56</w:t>
                </w:r>
                <w:r>
                  <w:rPr>
                    <w:sz w:val="21"/>
                    <w:szCs w:val="21"/>
                  </w:rPr>
                  <w:fldChar w:fldCharType="end"/>
                </w:r>
                <w:r>
                  <w:rPr>
                    <w:rFonts w:hint="eastAsia"/>
                    <w:sz w:val="21"/>
                    <w:szCs w:val="21"/>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- 30 -</w:t>
                </w:r>
                <w:r>
                  <w:fldChar w:fldCharType="end"/>
                </w:r>
              </w:p>
            </w:txbxContent>
          </v:textbox>
        </v:shape>
      </w:pict>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27"/>
      </w:rPr>
    </w:pPr>
    <w:r>
      <w:fldChar w:fldCharType="begin"/>
    </w:r>
    <w:r>
      <w:rPr>
        <w:rStyle w:val="27"/>
      </w:rPr>
      <w:instrText xml:space="preserve">PAGE  </w:instrText>
    </w:r>
    <w:r>
      <w:fldChar w:fldCharType="end"/>
    </w:r>
  </w:p>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b/>
        <w:bCs/>
        <w:sz w:val="24"/>
        <w:szCs w:val="24"/>
      </w:rPr>
      <w:fldChar w:fldCharType="begin"/>
    </w:r>
    <w:r>
      <w:rPr>
        <w:b/>
        <w:bCs/>
      </w:rPr>
      <w:instrText xml:space="preserve">PAGE</w:instrText>
    </w:r>
    <w:r>
      <w:rPr>
        <w:b/>
        <w:bCs/>
        <w:sz w:val="24"/>
        <w:szCs w:val="24"/>
      </w:rPr>
      <w:fldChar w:fldCharType="separate"/>
    </w:r>
    <w:r>
      <w:rPr>
        <w:b/>
        <w:bCs/>
      </w:rPr>
      <w:t>50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56</w:t>
    </w:r>
    <w:r>
      <w:rPr>
        <w:b/>
        <w:bCs/>
        <w:sz w:val="24"/>
        <w:szCs w:val="24"/>
      </w:rPr>
      <w:fldChar w:fldCharType="end"/>
    </w:r>
  </w:p>
  <w:p>
    <w:pPr>
      <w:pStyle w:val="18"/>
      <w:ind w:right="720" w:firstLine="210" w:firstLineChars="100"/>
      <w:jc w:val="center"/>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9939F"/>
    <w:multiLevelType w:val="singleLevel"/>
    <w:tmpl w:val="93C9939F"/>
    <w:lvl w:ilvl="0" w:tentative="0">
      <w:start w:val="2"/>
      <w:numFmt w:val="decimal"/>
      <w:suff w:val="nothing"/>
      <w:lvlText w:val="%1、"/>
      <w:lvlJc w:val="left"/>
    </w:lvl>
  </w:abstractNum>
  <w:abstractNum w:abstractNumId="1">
    <w:nsid w:val="9DF4D125"/>
    <w:multiLevelType w:val="singleLevel"/>
    <w:tmpl w:val="9DF4D125"/>
    <w:lvl w:ilvl="0" w:tentative="0">
      <w:start w:val="1"/>
      <w:numFmt w:val="decimal"/>
      <w:lvlText w:val="%1."/>
      <w:lvlJc w:val="left"/>
      <w:pPr>
        <w:tabs>
          <w:tab w:val="left" w:pos="312"/>
        </w:tabs>
      </w:pPr>
    </w:lvl>
  </w:abstractNum>
  <w:abstractNum w:abstractNumId="2">
    <w:nsid w:val="47F5A54D"/>
    <w:multiLevelType w:val="singleLevel"/>
    <w:tmpl w:val="47F5A54D"/>
    <w:lvl w:ilvl="0" w:tentative="0">
      <w:start w:val="2"/>
      <w:numFmt w:val="chineseCounting"/>
      <w:suff w:val="nothing"/>
      <w:lvlText w:val="（%1）"/>
      <w:lvlJc w:val="left"/>
      <w:rPr>
        <w:rFonts w:hint="eastAsia"/>
      </w:rPr>
    </w:lvl>
  </w:abstractNum>
  <w:abstractNum w:abstractNumId="3">
    <w:nsid w:val="6AB019D5"/>
    <w:multiLevelType w:val="singleLevel"/>
    <w:tmpl w:val="6AB019D5"/>
    <w:lvl w:ilvl="0" w:tentative="0">
      <w:start w:val="4"/>
      <w:numFmt w:val="decimal"/>
      <w:lvlText w:val="%1."/>
      <w:lvlJc w:val="left"/>
      <w:pPr>
        <w:tabs>
          <w:tab w:val="left" w:pos="312"/>
        </w:tabs>
      </w:pPr>
    </w:lvl>
  </w:abstractNum>
  <w:abstractNum w:abstractNumId="4">
    <w:nsid w:val="6F1F1FA5"/>
    <w:multiLevelType w:val="singleLevel"/>
    <w:tmpl w:val="6F1F1FA5"/>
    <w:lvl w:ilvl="0" w:tentative="0">
      <w:start w:val="1"/>
      <w:numFmt w:val="decimal"/>
      <w:pStyle w:val="7"/>
      <w:lvlText w:val="%1."/>
      <w:lvlJc w:val="left"/>
      <w:pPr>
        <w:tabs>
          <w:tab w:val="left" w:pos="360"/>
        </w:tabs>
        <w:ind w:left="36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true"/>
  <w:bordersDoNotSurroundFooter w:val="true"/>
  <w:documentProtection w:enforcement="0"/>
  <w:defaultTabStop w:val="420"/>
  <w:drawingGridHorizontalSpacing w:val="1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AzODliZjIyZmEyOTllMDlmOGY4YWYyNDVlOTgxMmQifQ=="/>
  </w:docVars>
  <w:rsids>
    <w:rsidRoot w:val="3B9B3E26"/>
    <w:rsid w:val="00002AA7"/>
    <w:rsid w:val="00002B1F"/>
    <w:rsid w:val="00004555"/>
    <w:rsid w:val="00006D34"/>
    <w:rsid w:val="000108B6"/>
    <w:rsid w:val="00011F31"/>
    <w:rsid w:val="00014A54"/>
    <w:rsid w:val="000175CA"/>
    <w:rsid w:val="00017601"/>
    <w:rsid w:val="00020E19"/>
    <w:rsid w:val="00022413"/>
    <w:rsid w:val="000279C0"/>
    <w:rsid w:val="00030559"/>
    <w:rsid w:val="0003664B"/>
    <w:rsid w:val="00036B88"/>
    <w:rsid w:val="00042AB1"/>
    <w:rsid w:val="0004607B"/>
    <w:rsid w:val="000511DF"/>
    <w:rsid w:val="000518FB"/>
    <w:rsid w:val="00053754"/>
    <w:rsid w:val="0005456A"/>
    <w:rsid w:val="00056756"/>
    <w:rsid w:val="00061B17"/>
    <w:rsid w:val="00065907"/>
    <w:rsid w:val="00067BC8"/>
    <w:rsid w:val="00071B7E"/>
    <w:rsid w:val="00072CA4"/>
    <w:rsid w:val="00072F55"/>
    <w:rsid w:val="000759D6"/>
    <w:rsid w:val="00077280"/>
    <w:rsid w:val="00077396"/>
    <w:rsid w:val="00077E34"/>
    <w:rsid w:val="00081D6D"/>
    <w:rsid w:val="00083106"/>
    <w:rsid w:val="00084C23"/>
    <w:rsid w:val="00084E44"/>
    <w:rsid w:val="00086A9C"/>
    <w:rsid w:val="00096578"/>
    <w:rsid w:val="000978DB"/>
    <w:rsid w:val="000A1849"/>
    <w:rsid w:val="000A1AA8"/>
    <w:rsid w:val="000A24BA"/>
    <w:rsid w:val="000A3EC9"/>
    <w:rsid w:val="000A5FC9"/>
    <w:rsid w:val="000B281A"/>
    <w:rsid w:val="000C0B7C"/>
    <w:rsid w:val="000C3F2D"/>
    <w:rsid w:val="000D4119"/>
    <w:rsid w:val="000D5ACE"/>
    <w:rsid w:val="000E2908"/>
    <w:rsid w:val="000E741E"/>
    <w:rsid w:val="000F0ED6"/>
    <w:rsid w:val="000F4372"/>
    <w:rsid w:val="000F5D32"/>
    <w:rsid w:val="0010133B"/>
    <w:rsid w:val="00103375"/>
    <w:rsid w:val="00103726"/>
    <w:rsid w:val="001050AF"/>
    <w:rsid w:val="0010549D"/>
    <w:rsid w:val="00106EA7"/>
    <w:rsid w:val="00107633"/>
    <w:rsid w:val="00113C7E"/>
    <w:rsid w:val="00115454"/>
    <w:rsid w:val="00116E8C"/>
    <w:rsid w:val="001174FA"/>
    <w:rsid w:val="00136DC7"/>
    <w:rsid w:val="00146C3D"/>
    <w:rsid w:val="001653E5"/>
    <w:rsid w:val="001669C2"/>
    <w:rsid w:val="00167A9E"/>
    <w:rsid w:val="001720DA"/>
    <w:rsid w:val="0017308E"/>
    <w:rsid w:val="00173758"/>
    <w:rsid w:val="00174695"/>
    <w:rsid w:val="0017602E"/>
    <w:rsid w:val="00176270"/>
    <w:rsid w:val="00180604"/>
    <w:rsid w:val="00182F2F"/>
    <w:rsid w:val="00186951"/>
    <w:rsid w:val="00191EB8"/>
    <w:rsid w:val="00194949"/>
    <w:rsid w:val="00197F27"/>
    <w:rsid w:val="001A0EF4"/>
    <w:rsid w:val="001A1887"/>
    <w:rsid w:val="001A5D16"/>
    <w:rsid w:val="001A6E55"/>
    <w:rsid w:val="001B0B0A"/>
    <w:rsid w:val="001B3DF6"/>
    <w:rsid w:val="001C13C4"/>
    <w:rsid w:val="001C38FC"/>
    <w:rsid w:val="001C4134"/>
    <w:rsid w:val="001C6DEB"/>
    <w:rsid w:val="001D0165"/>
    <w:rsid w:val="001E668B"/>
    <w:rsid w:val="001F58CE"/>
    <w:rsid w:val="001F5ED5"/>
    <w:rsid w:val="001F6327"/>
    <w:rsid w:val="002013B5"/>
    <w:rsid w:val="0020169F"/>
    <w:rsid w:val="00201854"/>
    <w:rsid w:val="00201AC5"/>
    <w:rsid w:val="00206B02"/>
    <w:rsid w:val="00210038"/>
    <w:rsid w:val="00211272"/>
    <w:rsid w:val="00214D1B"/>
    <w:rsid w:val="00216FCA"/>
    <w:rsid w:val="00224612"/>
    <w:rsid w:val="00226792"/>
    <w:rsid w:val="00232287"/>
    <w:rsid w:val="00233162"/>
    <w:rsid w:val="002358CC"/>
    <w:rsid w:val="00240D1F"/>
    <w:rsid w:val="00241CBF"/>
    <w:rsid w:val="00242DE4"/>
    <w:rsid w:val="002457A9"/>
    <w:rsid w:val="00262574"/>
    <w:rsid w:val="00262DA9"/>
    <w:rsid w:val="00263474"/>
    <w:rsid w:val="00272130"/>
    <w:rsid w:val="00275638"/>
    <w:rsid w:val="0027613E"/>
    <w:rsid w:val="00281EF6"/>
    <w:rsid w:val="0028406C"/>
    <w:rsid w:val="0028450E"/>
    <w:rsid w:val="00291D66"/>
    <w:rsid w:val="002922DF"/>
    <w:rsid w:val="0029244B"/>
    <w:rsid w:val="00296412"/>
    <w:rsid w:val="002A0C37"/>
    <w:rsid w:val="002A1ACB"/>
    <w:rsid w:val="002A56BA"/>
    <w:rsid w:val="002B1C80"/>
    <w:rsid w:val="002B5558"/>
    <w:rsid w:val="002D2F19"/>
    <w:rsid w:val="002D3223"/>
    <w:rsid w:val="002D48A1"/>
    <w:rsid w:val="002D67C4"/>
    <w:rsid w:val="002E605F"/>
    <w:rsid w:val="002E6AA0"/>
    <w:rsid w:val="002F0C4F"/>
    <w:rsid w:val="002F2151"/>
    <w:rsid w:val="002F6074"/>
    <w:rsid w:val="003018D2"/>
    <w:rsid w:val="00303782"/>
    <w:rsid w:val="00304192"/>
    <w:rsid w:val="00305861"/>
    <w:rsid w:val="0031097E"/>
    <w:rsid w:val="00316620"/>
    <w:rsid w:val="00317F6B"/>
    <w:rsid w:val="003222AF"/>
    <w:rsid w:val="00324DD5"/>
    <w:rsid w:val="00326C8F"/>
    <w:rsid w:val="00327F5F"/>
    <w:rsid w:val="00330E7E"/>
    <w:rsid w:val="00335CFF"/>
    <w:rsid w:val="00341B73"/>
    <w:rsid w:val="003427BC"/>
    <w:rsid w:val="003447BE"/>
    <w:rsid w:val="0034588E"/>
    <w:rsid w:val="00351363"/>
    <w:rsid w:val="003545F3"/>
    <w:rsid w:val="00354B71"/>
    <w:rsid w:val="00361E8E"/>
    <w:rsid w:val="003809D7"/>
    <w:rsid w:val="003824B9"/>
    <w:rsid w:val="00385451"/>
    <w:rsid w:val="00387139"/>
    <w:rsid w:val="00387219"/>
    <w:rsid w:val="00393038"/>
    <w:rsid w:val="003962EF"/>
    <w:rsid w:val="003A2188"/>
    <w:rsid w:val="003A3D3C"/>
    <w:rsid w:val="003A6229"/>
    <w:rsid w:val="003B19F5"/>
    <w:rsid w:val="003B3214"/>
    <w:rsid w:val="003B7A51"/>
    <w:rsid w:val="003B7A68"/>
    <w:rsid w:val="003C6A04"/>
    <w:rsid w:val="003C6A35"/>
    <w:rsid w:val="003D1010"/>
    <w:rsid w:val="003D5C96"/>
    <w:rsid w:val="003E1989"/>
    <w:rsid w:val="003E2FBF"/>
    <w:rsid w:val="003E620D"/>
    <w:rsid w:val="003E650D"/>
    <w:rsid w:val="003F1C4E"/>
    <w:rsid w:val="0040059A"/>
    <w:rsid w:val="00415232"/>
    <w:rsid w:val="0041525E"/>
    <w:rsid w:val="004166A8"/>
    <w:rsid w:val="00417567"/>
    <w:rsid w:val="004200F4"/>
    <w:rsid w:val="00421089"/>
    <w:rsid w:val="00421DBC"/>
    <w:rsid w:val="00422779"/>
    <w:rsid w:val="00427CA1"/>
    <w:rsid w:val="00430FFA"/>
    <w:rsid w:val="00432D25"/>
    <w:rsid w:val="00447C76"/>
    <w:rsid w:val="004606C9"/>
    <w:rsid w:val="004619C7"/>
    <w:rsid w:val="00463D5D"/>
    <w:rsid w:val="004752A1"/>
    <w:rsid w:val="00476D65"/>
    <w:rsid w:val="00476E8D"/>
    <w:rsid w:val="00480403"/>
    <w:rsid w:val="00480EDE"/>
    <w:rsid w:val="00485905"/>
    <w:rsid w:val="0049437D"/>
    <w:rsid w:val="00494B07"/>
    <w:rsid w:val="004A3215"/>
    <w:rsid w:val="004A3DA2"/>
    <w:rsid w:val="004A6A1B"/>
    <w:rsid w:val="004B26FA"/>
    <w:rsid w:val="004B37A2"/>
    <w:rsid w:val="004B636C"/>
    <w:rsid w:val="004B6A13"/>
    <w:rsid w:val="004B77C3"/>
    <w:rsid w:val="004C4B98"/>
    <w:rsid w:val="004D3AE9"/>
    <w:rsid w:val="004D6328"/>
    <w:rsid w:val="004E04D8"/>
    <w:rsid w:val="004E1196"/>
    <w:rsid w:val="004F5AF4"/>
    <w:rsid w:val="004F5BA1"/>
    <w:rsid w:val="00501FE7"/>
    <w:rsid w:val="00502E96"/>
    <w:rsid w:val="00512C31"/>
    <w:rsid w:val="0051346E"/>
    <w:rsid w:val="005245F8"/>
    <w:rsid w:val="0053010F"/>
    <w:rsid w:val="00530BF1"/>
    <w:rsid w:val="00536467"/>
    <w:rsid w:val="00537071"/>
    <w:rsid w:val="0053711C"/>
    <w:rsid w:val="00541162"/>
    <w:rsid w:val="00547238"/>
    <w:rsid w:val="0054770F"/>
    <w:rsid w:val="00550DA8"/>
    <w:rsid w:val="00566D26"/>
    <w:rsid w:val="00567C8A"/>
    <w:rsid w:val="005705C1"/>
    <w:rsid w:val="00570CEA"/>
    <w:rsid w:val="00584C14"/>
    <w:rsid w:val="00585390"/>
    <w:rsid w:val="00585DAF"/>
    <w:rsid w:val="00593384"/>
    <w:rsid w:val="00593B2C"/>
    <w:rsid w:val="00593BC9"/>
    <w:rsid w:val="00593F38"/>
    <w:rsid w:val="0059523F"/>
    <w:rsid w:val="00597DD8"/>
    <w:rsid w:val="005A4A72"/>
    <w:rsid w:val="005A4ADD"/>
    <w:rsid w:val="005A51BD"/>
    <w:rsid w:val="005A5986"/>
    <w:rsid w:val="005B5E33"/>
    <w:rsid w:val="005B6A37"/>
    <w:rsid w:val="005C3A90"/>
    <w:rsid w:val="005C3C35"/>
    <w:rsid w:val="005C5371"/>
    <w:rsid w:val="005C798B"/>
    <w:rsid w:val="005D1964"/>
    <w:rsid w:val="005D2348"/>
    <w:rsid w:val="005D28FD"/>
    <w:rsid w:val="005F003C"/>
    <w:rsid w:val="005F63D4"/>
    <w:rsid w:val="005F7297"/>
    <w:rsid w:val="00606F46"/>
    <w:rsid w:val="00612422"/>
    <w:rsid w:val="00616042"/>
    <w:rsid w:val="006161A3"/>
    <w:rsid w:val="00620016"/>
    <w:rsid w:val="00624D1E"/>
    <w:rsid w:val="00626E73"/>
    <w:rsid w:val="00630577"/>
    <w:rsid w:val="00632CE7"/>
    <w:rsid w:val="00633208"/>
    <w:rsid w:val="006369B1"/>
    <w:rsid w:val="00637C1B"/>
    <w:rsid w:val="006402EC"/>
    <w:rsid w:val="00650056"/>
    <w:rsid w:val="0065005A"/>
    <w:rsid w:val="0065579B"/>
    <w:rsid w:val="0066031D"/>
    <w:rsid w:val="00661139"/>
    <w:rsid w:val="00662866"/>
    <w:rsid w:val="0066376A"/>
    <w:rsid w:val="00665F48"/>
    <w:rsid w:val="006767D7"/>
    <w:rsid w:val="006824DD"/>
    <w:rsid w:val="006856C9"/>
    <w:rsid w:val="006873F4"/>
    <w:rsid w:val="00694E50"/>
    <w:rsid w:val="006A0C43"/>
    <w:rsid w:val="006A5443"/>
    <w:rsid w:val="006B3920"/>
    <w:rsid w:val="006B55E6"/>
    <w:rsid w:val="006B6005"/>
    <w:rsid w:val="006C68DE"/>
    <w:rsid w:val="006C76FD"/>
    <w:rsid w:val="006D2B18"/>
    <w:rsid w:val="006D51F1"/>
    <w:rsid w:val="006D7824"/>
    <w:rsid w:val="006E0A01"/>
    <w:rsid w:val="006E1BAF"/>
    <w:rsid w:val="006E46F0"/>
    <w:rsid w:val="006E77D4"/>
    <w:rsid w:val="006F5633"/>
    <w:rsid w:val="006F7650"/>
    <w:rsid w:val="00701F25"/>
    <w:rsid w:val="00702C2B"/>
    <w:rsid w:val="007079D3"/>
    <w:rsid w:val="00710759"/>
    <w:rsid w:val="0071125B"/>
    <w:rsid w:val="00714814"/>
    <w:rsid w:val="0072661E"/>
    <w:rsid w:val="00730C48"/>
    <w:rsid w:val="00731F5F"/>
    <w:rsid w:val="007358B1"/>
    <w:rsid w:val="00736023"/>
    <w:rsid w:val="0074271E"/>
    <w:rsid w:val="007428C1"/>
    <w:rsid w:val="00743764"/>
    <w:rsid w:val="00743AD4"/>
    <w:rsid w:val="00746A54"/>
    <w:rsid w:val="00747365"/>
    <w:rsid w:val="007507A9"/>
    <w:rsid w:val="007512BE"/>
    <w:rsid w:val="0075171F"/>
    <w:rsid w:val="0075199A"/>
    <w:rsid w:val="00751A38"/>
    <w:rsid w:val="007557F1"/>
    <w:rsid w:val="00762736"/>
    <w:rsid w:val="00762840"/>
    <w:rsid w:val="00762DF1"/>
    <w:rsid w:val="00764858"/>
    <w:rsid w:val="007701B8"/>
    <w:rsid w:val="00777662"/>
    <w:rsid w:val="00782FD1"/>
    <w:rsid w:val="00790180"/>
    <w:rsid w:val="00790B3F"/>
    <w:rsid w:val="007953A5"/>
    <w:rsid w:val="007972F1"/>
    <w:rsid w:val="007B054E"/>
    <w:rsid w:val="007B0C5C"/>
    <w:rsid w:val="007B10AF"/>
    <w:rsid w:val="007B2A3C"/>
    <w:rsid w:val="007C2644"/>
    <w:rsid w:val="007C2A45"/>
    <w:rsid w:val="007C3BDA"/>
    <w:rsid w:val="007D0208"/>
    <w:rsid w:val="007D0467"/>
    <w:rsid w:val="007D0F50"/>
    <w:rsid w:val="007D468D"/>
    <w:rsid w:val="007D4B53"/>
    <w:rsid w:val="007D66DA"/>
    <w:rsid w:val="007D7449"/>
    <w:rsid w:val="007E1047"/>
    <w:rsid w:val="007E3AC8"/>
    <w:rsid w:val="007E3CEB"/>
    <w:rsid w:val="007E5865"/>
    <w:rsid w:val="007F35CA"/>
    <w:rsid w:val="008003A6"/>
    <w:rsid w:val="00800BA4"/>
    <w:rsid w:val="008072DC"/>
    <w:rsid w:val="00807552"/>
    <w:rsid w:val="008140DA"/>
    <w:rsid w:val="00814CB1"/>
    <w:rsid w:val="008152EA"/>
    <w:rsid w:val="00816440"/>
    <w:rsid w:val="00822F4F"/>
    <w:rsid w:val="00824C6C"/>
    <w:rsid w:val="00827DB0"/>
    <w:rsid w:val="00831642"/>
    <w:rsid w:val="00833056"/>
    <w:rsid w:val="008357F1"/>
    <w:rsid w:val="00835E3D"/>
    <w:rsid w:val="00836D80"/>
    <w:rsid w:val="00837EBD"/>
    <w:rsid w:val="008421A8"/>
    <w:rsid w:val="00845029"/>
    <w:rsid w:val="00845F50"/>
    <w:rsid w:val="008476FF"/>
    <w:rsid w:val="0084775A"/>
    <w:rsid w:val="00852036"/>
    <w:rsid w:val="00856CC5"/>
    <w:rsid w:val="00860502"/>
    <w:rsid w:val="0086095F"/>
    <w:rsid w:val="008655CD"/>
    <w:rsid w:val="00866BA0"/>
    <w:rsid w:val="008717A0"/>
    <w:rsid w:val="00872707"/>
    <w:rsid w:val="00873C56"/>
    <w:rsid w:val="00876301"/>
    <w:rsid w:val="00876A8D"/>
    <w:rsid w:val="00882C40"/>
    <w:rsid w:val="00885415"/>
    <w:rsid w:val="00887472"/>
    <w:rsid w:val="00891E9C"/>
    <w:rsid w:val="00893F30"/>
    <w:rsid w:val="008948B0"/>
    <w:rsid w:val="00894A74"/>
    <w:rsid w:val="00896A0A"/>
    <w:rsid w:val="008A0B79"/>
    <w:rsid w:val="008A14FD"/>
    <w:rsid w:val="008A2E8A"/>
    <w:rsid w:val="008A3E0B"/>
    <w:rsid w:val="008A6110"/>
    <w:rsid w:val="008A6747"/>
    <w:rsid w:val="008B14FE"/>
    <w:rsid w:val="008B1782"/>
    <w:rsid w:val="008B1AB0"/>
    <w:rsid w:val="008B3393"/>
    <w:rsid w:val="008C2CC2"/>
    <w:rsid w:val="008C3276"/>
    <w:rsid w:val="008C3913"/>
    <w:rsid w:val="008D52BF"/>
    <w:rsid w:val="008D5D57"/>
    <w:rsid w:val="008E53D1"/>
    <w:rsid w:val="008E5FAE"/>
    <w:rsid w:val="008E7124"/>
    <w:rsid w:val="008F099B"/>
    <w:rsid w:val="008F09F1"/>
    <w:rsid w:val="008F5851"/>
    <w:rsid w:val="009057C4"/>
    <w:rsid w:val="00906669"/>
    <w:rsid w:val="00910033"/>
    <w:rsid w:val="00911B1A"/>
    <w:rsid w:val="00911F32"/>
    <w:rsid w:val="00912A8D"/>
    <w:rsid w:val="00912D1C"/>
    <w:rsid w:val="00912E64"/>
    <w:rsid w:val="00914F6C"/>
    <w:rsid w:val="00923322"/>
    <w:rsid w:val="00923BDF"/>
    <w:rsid w:val="00924059"/>
    <w:rsid w:val="00924F90"/>
    <w:rsid w:val="009273DA"/>
    <w:rsid w:val="00933CEB"/>
    <w:rsid w:val="00936692"/>
    <w:rsid w:val="00936701"/>
    <w:rsid w:val="00937228"/>
    <w:rsid w:val="009455C5"/>
    <w:rsid w:val="009521B7"/>
    <w:rsid w:val="00955AA9"/>
    <w:rsid w:val="009567DC"/>
    <w:rsid w:val="00961B74"/>
    <w:rsid w:val="00962DBE"/>
    <w:rsid w:val="00963885"/>
    <w:rsid w:val="00964112"/>
    <w:rsid w:val="009641AD"/>
    <w:rsid w:val="00964D50"/>
    <w:rsid w:val="00966CFE"/>
    <w:rsid w:val="00972A61"/>
    <w:rsid w:val="00987D75"/>
    <w:rsid w:val="00992AE8"/>
    <w:rsid w:val="0099787C"/>
    <w:rsid w:val="009A3101"/>
    <w:rsid w:val="009A5CC7"/>
    <w:rsid w:val="009A796B"/>
    <w:rsid w:val="009A7BB4"/>
    <w:rsid w:val="009B0237"/>
    <w:rsid w:val="009B3B9A"/>
    <w:rsid w:val="009B3D64"/>
    <w:rsid w:val="009B79C0"/>
    <w:rsid w:val="009C15C8"/>
    <w:rsid w:val="009D6A62"/>
    <w:rsid w:val="009E2BD0"/>
    <w:rsid w:val="009E357E"/>
    <w:rsid w:val="009E4DC6"/>
    <w:rsid w:val="009E56E3"/>
    <w:rsid w:val="009F1C10"/>
    <w:rsid w:val="009F21BD"/>
    <w:rsid w:val="009F26CB"/>
    <w:rsid w:val="009F2A5B"/>
    <w:rsid w:val="009F33C0"/>
    <w:rsid w:val="009F4B4A"/>
    <w:rsid w:val="009F509A"/>
    <w:rsid w:val="009F6B44"/>
    <w:rsid w:val="00A0178A"/>
    <w:rsid w:val="00A0306B"/>
    <w:rsid w:val="00A04526"/>
    <w:rsid w:val="00A22874"/>
    <w:rsid w:val="00A24A39"/>
    <w:rsid w:val="00A3558B"/>
    <w:rsid w:val="00A531B7"/>
    <w:rsid w:val="00A61466"/>
    <w:rsid w:val="00A65C2F"/>
    <w:rsid w:val="00A668F5"/>
    <w:rsid w:val="00A76F48"/>
    <w:rsid w:val="00A77C9C"/>
    <w:rsid w:val="00A80DB9"/>
    <w:rsid w:val="00A8215A"/>
    <w:rsid w:val="00A84C3F"/>
    <w:rsid w:val="00A9520F"/>
    <w:rsid w:val="00AA1C3A"/>
    <w:rsid w:val="00AA2016"/>
    <w:rsid w:val="00AA4496"/>
    <w:rsid w:val="00AA6E7A"/>
    <w:rsid w:val="00AB2911"/>
    <w:rsid w:val="00AB4263"/>
    <w:rsid w:val="00AB55A2"/>
    <w:rsid w:val="00AB63F8"/>
    <w:rsid w:val="00AC099D"/>
    <w:rsid w:val="00AC770B"/>
    <w:rsid w:val="00AD4A0D"/>
    <w:rsid w:val="00AD54ED"/>
    <w:rsid w:val="00AD57C8"/>
    <w:rsid w:val="00AE633D"/>
    <w:rsid w:val="00AF1623"/>
    <w:rsid w:val="00AF29DA"/>
    <w:rsid w:val="00AF2BE3"/>
    <w:rsid w:val="00AF3BBE"/>
    <w:rsid w:val="00AF4939"/>
    <w:rsid w:val="00AF49CE"/>
    <w:rsid w:val="00AF4A10"/>
    <w:rsid w:val="00B0036F"/>
    <w:rsid w:val="00B00811"/>
    <w:rsid w:val="00B04DDF"/>
    <w:rsid w:val="00B054AB"/>
    <w:rsid w:val="00B067DE"/>
    <w:rsid w:val="00B0718C"/>
    <w:rsid w:val="00B109BA"/>
    <w:rsid w:val="00B10DD9"/>
    <w:rsid w:val="00B11EBB"/>
    <w:rsid w:val="00B1628B"/>
    <w:rsid w:val="00B20241"/>
    <w:rsid w:val="00B227CE"/>
    <w:rsid w:val="00B23139"/>
    <w:rsid w:val="00B25C0F"/>
    <w:rsid w:val="00B2703E"/>
    <w:rsid w:val="00B27B0B"/>
    <w:rsid w:val="00B31220"/>
    <w:rsid w:val="00B32197"/>
    <w:rsid w:val="00B33316"/>
    <w:rsid w:val="00B3466A"/>
    <w:rsid w:val="00B3598B"/>
    <w:rsid w:val="00B471BC"/>
    <w:rsid w:val="00B477D2"/>
    <w:rsid w:val="00B52D85"/>
    <w:rsid w:val="00B5486A"/>
    <w:rsid w:val="00B551ED"/>
    <w:rsid w:val="00B556AE"/>
    <w:rsid w:val="00B56CFB"/>
    <w:rsid w:val="00B60799"/>
    <w:rsid w:val="00B619EE"/>
    <w:rsid w:val="00B63515"/>
    <w:rsid w:val="00B652F7"/>
    <w:rsid w:val="00B72B6F"/>
    <w:rsid w:val="00B744D7"/>
    <w:rsid w:val="00B80A86"/>
    <w:rsid w:val="00B824F0"/>
    <w:rsid w:val="00B8273D"/>
    <w:rsid w:val="00B85CA0"/>
    <w:rsid w:val="00B9110F"/>
    <w:rsid w:val="00B95EB3"/>
    <w:rsid w:val="00BA6B41"/>
    <w:rsid w:val="00BA72F3"/>
    <w:rsid w:val="00BA79CE"/>
    <w:rsid w:val="00BB229B"/>
    <w:rsid w:val="00BB44D8"/>
    <w:rsid w:val="00BB52C7"/>
    <w:rsid w:val="00BC5F7E"/>
    <w:rsid w:val="00BD0387"/>
    <w:rsid w:val="00BD188C"/>
    <w:rsid w:val="00BD1E64"/>
    <w:rsid w:val="00BD2852"/>
    <w:rsid w:val="00BE5063"/>
    <w:rsid w:val="00BF05B5"/>
    <w:rsid w:val="00C00AF1"/>
    <w:rsid w:val="00C0193C"/>
    <w:rsid w:val="00C02CEA"/>
    <w:rsid w:val="00C0402A"/>
    <w:rsid w:val="00C15976"/>
    <w:rsid w:val="00C23F51"/>
    <w:rsid w:val="00C246AC"/>
    <w:rsid w:val="00C2629C"/>
    <w:rsid w:val="00C26FC3"/>
    <w:rsid w:val="00C2758E"/>
    <w:rsid w:val="00C412CC"/>
    <w:rsid w:val="00C4480B"/>
    <w:rsid w:val="00C50A2C"/>
    <w:rsid w:val="00C51931"/>
    <w:rsid w:val="00C55278"/>
    <w:rsid w:val="00C63AC9"/>
    <w:rsid w:val="00C70FF9"/>
    <w:rsid w:val="00C71AFF"/>
    <w:rsid w:val="00C7545E"/>
    <w:rsid w:val="00C75E6F"/>
    <w:rsid w:val="00C80FAF"/>
    <w:rsid w:val="00C80FDC"/>
    <w:rsid w:val="00C82663"/>
    <w:rsid w:val="00C82B5F"/>
    <w:rsid w:val="00C8431C"/>
    <w:rsid w:val="00C85810"/>
    <w:rsid w:val="00C91006"/>
    <w:rsid w:val="00C92681"/>
    <w:rsid w:val="00C92E4C"/>
    <w:rsid w:val="00C9344F"/>
    <w:rsid w:val="00C96E72"/>
    <w:rsid w:val="00CA1FB0"/>
    <w:rsid w:val="00CA6161"/>
    <w:rsid w:val="00CB2E58"/>
    <w:rsid w:val="00CB689C"/>
    <w:rsid w:val="00CB6E9D"/>
    <w:rsid w:val="00CC3637"/>
    <w:rsid w:val="00CC5EB8"/>
    <w:rsid w:val="00CC69D2"/>
    <w:rsid w:val="00CC6E77"/>
    <w:rsid w:val="00CC76E4"/>
    <w:rsid w:val="00CC7FE8"/>
    <w:rsid w:val="00CD0870"/>
    <w:rsid w:val="00CD5269"/>
    <w:rsid w:val="00CE0586"/>
    <w:rsid w:val="00CF29E1"/>
    <w:rsid w:val="00CF2AD5"/>
    <w:rsid w:val="00CF54D6"/>
    <w:rsid w:val="00D00D1B"/>
    <w:rsid w:val="00D03596"/>
    <w:rsid w:val="00D03E34"/>
    <w:rsid w:val="00D03E7C"/>
    <w:rsid w:val="00D13AFD"/>
    <w:rsid w:val="00D1701A"/>
    <w:rsid w:val="00D20DF3"/>
    <w:rsid w:val="00D222D9"/>
    <w:rsid w:val="00D235F4"/>
    <w:rsid w:val="00D25ECD"/>
    <w:rsid w:val="00D34718"/>
    <w:rsid w:val="00D367E3"/>
    <w:rsid w:val="00D36CA1"/>
    <w:rsid w:val="00D40D14"/>
    <w:rsid w:val="00D419D0"/>
    <w:rsid w:val="00D42ECF"/>
    <w:rsid w:val="00D43AFC"/>
    <w:rsid w:val="00D4586F"/>
    <w:rsid w:val="00D53208"/>
    <w:rsid w:val="00D55484"/>
    <w:rsid w:val="00D564FD"/>
    <w:rsid w:val="00D6539E"/>
    <w:rsid w:val="00D6742B"/>
    <w:rsid w:val="00D709D5"/>
    <w:rsid w:val="00D70DB4"/>
    <w:rsid w:val="00D7387F"/>
    <w:rsid w:val="00D8213D"/>
    <w:rsid w:val="00D86F6F"/>
    <w:rsid w:val="00D87289"/>
    <w:rsid w:val="00D8783A"/>
    <w:rsid w:val="00D9188C"/>
    <w:rsid w:val="00D96816"/>
    <w:rsid w:val="00DA69A7"/>
    <w:rsid w:val="00DA76C3"/>
    <w:rsid w:val="00DB00F4"/>
    <w:rsid w:val="00DB0E5F"/>
    <w:rsid w:val="00DB2E05"/>
    <w:rsid w:val="00DC1573"/>
    <w:rsid w:val="00DC4367"/>
    <w:rsid w:val="00DC6CAE"/>
    <w:rsid w:val="00DC7912"/>
    <w:rsid w:val="00DD3792"/>
    <w:rsid w:val="00DD65C5"/>
    <w:rsid w:val="00DE1734"/>
    <w:rsid w:val="00DE601E"/>
    <w:rsid w:val="00DE7FBB"/>
    <w:rsid w:val="00DF2AD4"/>
    <w:rsid w:val="00DF3E1C"/>
    <w:rsid w:val="00DF5E16"/>
    <w:rsid w:val="00DF630E"/>
    <w:rsid w:val="00DF6E98"/>
    <w:rsid w:val="00E01410"/>
    <w:rsid w:val="00E04D7F"/>
    <w:rsid w:val="00E10C76"/>
    <w:rsid w:val="00E20D8A"/>
    <w:rsid w:val="00E25662"/>
    <w:rsid w:val="00E279A0"/>
    <w:rsid w:val="00E30408"/>
    <w:rsid w:val="00E32E10"/>
    <w:rsid w:val="00E51156"/>
    <w:rsid w:val="00E55368"/>
    <w:rsid w:val="00E571A8"/>
    <w:rsid w:val="00E61B01"/>
    <w:rsid w:val="00E70DB8"/>
    <w:rsid w:val="00E728AD"/>
    <w:rsid w:val="00E73335"/>
    <w:rsid w:val="00E737D4"/>
    <w:rsid w:val="00E76EE7"/>
    <w:rsid w:val="00E77FD4"/>
    <w:rsid w:val="00E863B1"/>
    <w:rsid w:val="00E86484"/>
    <w:rsid w:val="00E86D50"/>
    <w:rsid w:val="00E9083D"/>
    <w:rsid w:val="00EA38FF"/>
    <w:rsid w:val="00EA6663"/>
    <w:rsid w:val="00EB161C"/>
    <w:rsid w:val="00EB2EDD"/>
    <w:rsid w:val="00EB4578"/>
    <w:rsid w:val="00EB45B9"/>
    <w:rsid w:val="00EB65E3"/>
    <w:rsid w:val="00EC1A3B"/>
    <w:rsid w:val="00EC21F1"/>
    <w:rsid w:val="00EC302F"/>
    <w:rsid w:val="00ED1EE8"/>
    <w:rsid w:val="00ED5E22"/>
    <w:rsid w:val="00ED6374"/>
    <w:rsid w:val="00ED7158"/>
    <w:rsid w:val="00EE050A"/>
    <w:rsid w:val="00EE15CB"/>
    <w:rsid w:val="00EE2D33"/>
    <w:rsid w:val="00EE56A1"/>
    <w:rsid w:val="00EF2FF2"/>
    <w:rsid w:val="00EF74FB"/>
    <w:rsid w:val="00F010B1"/>
    <w:rsid w:val="00F0255D"/>
    <w:rsid w:val="00F13DFE"/>
    <w:rsid w:val="00F15F93"/>
    <w:rsid w:val="00F17992"/>
    <w:rsid w:val="00F17AD6"/>
    <w:rsid w:val="00F20639"/>
    <w:rsid w:val="00F24300"/>
    <w:rsid w:val="00F26F8E"/>
    <w:rsid w:val="00F27CEF"/>
    <w:rsid w:val="00F32B47"/>
    <w:rsid w:val="00F41396"/>
    <w:rsid w:val="00F54234"/>
    <w:rsid w:val="00F54BFD"/>
    <w:rsid w:val="00F57822"/>
    <w:rsid w:val="00F603A3"/>
    <w:rsid w:val="00F64AF8"/>
    <w:rsid w:val="00F70D3B"/>
    <w:rsid w:val="00F715D3"/>
    <w:rsid w:val="00F767E6"/>
    <w:rsid w:val="00F77536"/>
    <w:rsid w:val="00F803C6"/>
    <w:rsid w:val="00F821BA"/>
    <w:rsid w:val="00F845F7"/>
    <w:rsid w:val="00F902AE"/>
    <w:rsid w:val="00F93259"/>
    <w:rsid w:val="00FA17C9"/>
    <w:rsid w:val="00FA52BB"/>
    <w:rsid w:val="00FA5CDE"/>
    <w:rsid w:val="00FC035C"/>
    <w:rsid w:val="00FC2F73"/>
    <w:rsid w:val="00FC3CC1"/>
    <w:rsid w:val="00FC67CE"/>
    <w:rsid w:val="00FC6899"/>
    <w:rsid w:val="00FC726A"/>
    <w:rsid w:val="00FD3FA8"/>
    <w:rsid w:val="00FD411E"/>
    <w:rsid w:val="00FD4E54"/>
    <w:rsid w:val="00FD60AC"/>
    <w:rsid w:val="00FE0968"/>
    <w:rsid w:val="00FE3DA5"/>
    <w:rsid w:val="00FE7C3E"/>
    <w:rsid w:val="00FF4988"/>
    <w:rsid w:val="04093CE1"/>
    <w:rsid w:val="07F54C1C"/>
    <w:rsid w:val="0A187D10"/>
    <w:rsid w:val="0E55016F"/>
    <w:rsid w:val="0FFF3146"/>
    <w:rsid w:val="2505779F"/>
    <w:rsid w:val="36B54B99"/>
    <w:rsid w:val="3B2BA53C"/>
    <w:rsid w:val="3B9B3E26"/>
    <w:rsid w:val="3CDC0434"/>
    <w:rsid w:val="3DABB585"/>
    <w:rsid w:val="3DFF0A6B"/>
    <w:rsid w:val="3EDAFD11"/>
    <w:rsid w:val="3EDDE856"/>
    <w:rsid w:val="3FFE1135"/>
    <w:rsid w:val="3FFF012D"/>
    <w:rsid w:val="46E76867"/>
    <w:rsid w:val="493516BE"/>
    <w:rsid w:val="4B2D01A5"/>
    <w:rsid w:val="4B6865FA"/>
    <w:rsid w:val="52524C09"/>
    <w:rsid w:val="531FF1BA"/>
    <w:rsid w:val="54CF6DAE"/>
    <w:rsid w:val="56DFF686"/>
    <w:rsid w:val="5CDE0DF7"/>
    <w:rsid w:val="5CFD4F96"/>
    <w:rsid w:val="5DFE25AA"/>
    <w:rsid w:val="5E234674"/>
    <w:rsid w:val="5FF74115"/>
    <w:rsid w:val="609B4E9F"/>
    <w:rsid w:val="65FF711F"/>
    <w:rsid w:val="6C3B3136"/>
    <w:rsid w:val="6C7F0D4F"/>
    <w:rsid w:val="731035D0"/>
    <w:rsid w:val="75D57D7B"/>
    <w:rsid w:val="75FE0BA8"/>
    <w:rsid w:val="76EBAEB0"/>
    <w:rsid w:val="77E76A2C"/>
    <w:rsid w:val="79FEE19D"/>
    <w:rsid w:val="7AB760C8"/>
    <w:rsid w:val="7BBFDE4E"/>
    <w:rsid w:val="7DB0182A"/>
    <w:rsid w:val="7DCBAADA"/>
    <w:rsid w:val="7EAFD3F7"/>
    <w:rsid w:val="7ED55B24"/>
    <w:rsid w:val="7ED9F2B8"/>
    <w:rsid w:val="92FF3DE6"/>
    <w:rsid w:val="9BF5CEE1"/>
    <w:rsid w:val="A3ED4BFE"/>
    <w:rsid w:val="AFEE2D01"/>
    <w:rsid w:val="BA7B23C6"/>
    <w:rsid w:val="BDFD0E1B"/>
    <w:rsid w:val="CF6F8B4E"/>
    <w:rsid w:val="D7F73119"/>
    <w:rsid w:val="DABFA47E"/>
    <w:rsid w:val="DB3E3CCF"/>
    <w:rsid w:val="DCBCB272"/>
    <w:rsid w:val="DEDF86ED"/>
    <w:rsid w:val="DEFF29A1"/>
    <w:rsid w:val="DF571034"/>
    <w:rsid w:val="DF5943CD"/>
    <w:rsid w:val="E2FD9A42"/>
    <w:rsid w:val="E6BE8510"/>
    <w:rsid w:val="E96E2C7B"/>
    <w:rsid w:val="EBBE636F"/>
    <w:rsid w:val="EBE9C0BF"/>
    <w:rsid w:val="EDD938E8"/>
    <w:rsid w:val="EDFF68D6"/>
    <w:rsid w:val="F2E1156F"/>
    <w:rsid w:val="F5F59F92"/>
    <w:rsid w:val="F76F85C3"/>
    <w:rsid w:val="F9E7EAAB"/>
    <w:rsid w:val="FE734873"/>
    <w:rsid w:val="FE9B75AD"/>
    <w:rsid w:val="FF338262"/>
    <w:rsid w:val="FF53F1B1"/>
    <w:rsid w:val="FFBBA200"/>
    <w:rsid w:val="FFD1AF35"/>
    <w:rsid w:val="FFFFA26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360" w:lineRule="auto"/>
      <w:jc w:val="center"/>
      <w:outlineLvl w:val="0"/>
    </w:pPr>
    <w:rPr>
      <w:rFonts w:ascii="楷体_GB2312" w:eastAsia="楷体_GB2312" w:cs="Times New Roman"/>
      <w:b/>
      <w:bCs/>
      <w:kern w:val="44"/>
      <w:sz w:val="44"/>
      <w:szCs w:val="44"/>
    </w:rPr>
  </w:style>
  <w:style w:type="paragraph" w:styleId="5">
    <w:name w:val="heading 2"/>
    <w:basedOn w:val="1"/>
    <w:next w:val="1"/>
    <w:qFormat/>
    <w:uiPriority w:val="0"/>
    <w:pPr>
      <w:keepNext/>
      <w:keepLines/>
      <w:spacing w:line="540" w:lineRule="exact"/>
      <w:jc w:val="left"/>
      <w:outlineLvl w:val="1"/>
    </w:pPr>
    <w:rPr>
      <w:rFonts w:ascii="Arial" w:hAnsi="Arial" w:cs="Times New Roman"/>
      <w:b/>
      <w:bCs/>
      <w:kern w:val="0"/>
      <w:szCs w:val="32"/>
    </w:rPr>
  </w:style>
  <w:style w:type="paragraph" w:styleId="6">
    <w:name w:val="heading 3"/>
    <w:basedOn w:val="1"/>
    <w:next w:val="1"/>
    <w:qFormat/>
    <w:uiPriority w:val="0"/>
    <w:pPr>
      <w:keepNext/>
      <w:keepLines/>
      <w:spacing w:line="360" w:lineRule="auto"/>
      <w:ind w:firstLine="482"/>
      <w:jc w:val="left"/>
      <w:outlineLvl w:val="2"/>
    </w:pPr>
    <w:rPr>
      <w:rFonts w:ascii="Cambria" w:hAnsi="Cambria" w:cs="Times New Roman"/>
      <w:b/>
      <w:bCs/>
    </w:rPr>
  </w:style>
  <w:style w:type="character" w:default="1" w:styleId="26">
    <w:name w:val="Default Paragraph Font"/>
    <w:unhideWhenUsed/>
    <w:qFormat/>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next w:val="3"/>
    <w:qFormat/>
    <w:uiPriority w:val="0"/>
    <w:pPr>
      <w:spacing w:line="200" w:lineRule="exact"/>
      <w:ind w:firstLine="301"/>
    </w:pPr>
    <w:rPr>
      <w:rFonts w:ascii="宋体" w:hAnsi="Courier New" w:cs="Times New Roman"/>
      <w:spacing w:val="-4"/>
      <w:kern w:val="0"/>
      <w:sz w:val="18"/>
      <w:szCs w:val="20"/>
    </w:rPr>
  </w:style>
  <w:style w:type="paragraph" w:styleId="3">
    <w:name w:val="Body Text First Indent 2"/>
    <w:basedOn w:val="2"/>
    <w:qFormat/>
    <w:uiPriority w:val="0"/>
    <w:pPr>
      <w:spacing w:after="120" w:line="240" w:lineRule="auto"/>
      <w:ind w:left="420" w:leftChars="200" w:firstLine="420" w:firstLineChars="200"/>
    </w:pPr>
    <w:rPr>
      <w:sz w:val="21"/>
      <w:szCs w:val="24"/>
    </w:rPr>
  </w:style>
  <w:style w:type="paragraph" w:styleId="7">
    <w:name w:val="List Number"/>
    <w:basedOn w:val="1"/>
    <w:qFormat/>
    <w:uiPriority w:val="0"/>
    <w:pPr>
      <w:numPr>
        <w:ilvl w:val="0"/>
        <w:numId w:val="1"/>
      </w:numPr>
    </w:pPr>
  </w:style>
  <w:style w:type="paragraph" w:styleId="8">
    <w:name w:val="Normal Indent"/>
    <w:basedOn w:val="1"/>
    <w:next w:val="1"/>
    <w:qFormat/>
    <w:uiPriority w:val="0"/>
    <w:pPr>
      <w:ind w:firstLine="420"/>
    </w:pPr>
    <w:rPr>
      <w:rFonts w:cs="Times New Roman"/>
      <w:szCs w:val="22"/>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Body Text"/>
    <w:basedOn w:val="1"/>
    <w:next w:val="11"/>
    <w:link w:val="36"/>
    <w:qFormat/>
    <w:uiPriority w:val="0"/>
    <w:pPr>
      <w:spacing w:after="120"/>
    </w:pPr>
  </w:style>
  <w:style w:type="paragraph" w:styleId="11">
    <w:name w:val="Body Text First Indent"/>
    <w:basedOn w:val="10"/>
    <w:next w:val="12"/>
    <w:link w:val="41"/>
    <w:qFormat/>
    <w:uiPriority w:val="0"/>
    <w:pPr>
      <w:ind w:firstLine="420" w:firstLineChars="100"/>
    </w:pPr>
  </w:style>
  <w:style w:type="paragraph" w:styleId="12">
    <w:name w:val="toc 6"/>
    <w:basedOn w:val="1"/>
    <w:next w:val="1"/>
    <w:qFormat/>
    <w:uiPriority w:val="0"/>
    <w:pPr>
      <w:ind w:left="1050"/>
      <w:jc w:val="left"/>
    </w:pPr>
    <w:rPr>
      <w:rFonts w:ascii="Calibri" w:hAnsi="Calibri"/>
      <w:sz w:val="18"/>
      <w:szCs w:val="18"/>
    </w:rPr>
  </w:style>
  <w:style w:type="paragraph" w:styleId="13">
    <w:name w:val="Block Text"/>
    <w:basedOn w:val="1"/>
    <w:qFormat/>
    <w:uiPriority w:val="0"/>
    <w:pPr>
      <w:spacing w:before="120" w:line="360" w:lineRule="auto"/>
      <w:ind w:left="824" w:right="202"/>
    </w:pPr>
    <w:rPr>
      <w:rFonts w:ascii="宋体" w:cs="Times New Roman"/>
      <w:szCs w:val="21"/>
    </w:rPr>
  </w:style>
  <w:style w:type="paragraph" w:styleId="14">
    <w:name w:val="Plain Text"/>
    <w:basedOn w:val="1"/>
    <w:next w:val="1"/>
    <w:link w:val="37"/>
    <w:qFormat/>
    <w:uiPriority w:val="0"/>
    <w:pPr>
      <w:spacing w:beforeLines="50" w:afterLines="50" w:line="400" w:lineRule="exact"/>
    </w:pPr>
    <w:rPr>
      <w:rFonts w:ascii="宋体" w:hAnsi="Courier New" w:cs="Times New Roman"/>
      <w:kern w:val="0"/>
    </w:rPr>
  </w:style>
  <w:style w:type="paragraph" w:styleId="15">
    <w:name w:val="Date"/>
    <w:basedOn w:val="1"/>
    <w:next w:val="1"/>
    <w:qFormat/>
    <w:uiPriority w:val="0"/>
    <w:pPr>
      <w:ind w:left="2500" w:leftChars="2500"/>
    </w:pPr>
    <w:rPr>
      <w:rFonts w:eastAsia="楷体_GB2312"/>
      <w:kern w:val="0"/>
      <w:sz w:val="32"/>
      <w:szCs w:val="20"/>
    </w:rPr>
  </w:style>
  <w:style w:type="paragraph" w:styleId="16">
    <w:name w:val="Body Text Indent 2"/>
    <w:basedOn w:val="1"/>
    <w:qFormat/>
    <w:uiPriority w:val="0"/>
    <w:pPr>
      <w:spacing w:line="320" w:lineRule="atLeast"/>
      <w:ind w:firstLine="600" w:firstLineChars="250"/>
    </w:pPr>
    <w:rPr>
      <w:rFonts w:ascii="宋体" w:hAnsi="宋体"/>
    </w:rPr>
  </w:style>
  <w:style w:type="paragraph" w:styleId="17">
    <w:name w:val="Balloon Text"/>
    <w:basedOn w:val="1"/>
    <w:qFormat/>
    <w:uiPriority w:val="0"/>
    <w:rPr>
      <w:rFonts w:cs="Times New Roman"/>
      <w:kern w:val="0"/>
      <w:sz w:val="18"/>
      <w:szCs w:val="18"/>
    </w:rPr>
  </w:style>
  <w:style w:type="paragraph" w:styleId="18">
    <w:name w:val="footer"/>
    <w:basedOn w:val="1"/>
    <w:qFormat/>
    <w:uiPriority w:val="0"/>
    <w:pPr>
      <w:tabs>
        <w:tab w:val="center" w:pos="4153"/>
        <w:tab w:val="right" w:pos="8306"/>
      </w:tabs>
      <w:snapToGrid w:val="0"/>
      <w:jc w:val="left"/>
    </w:pPr>
    <w:rPr>
      <w:rFonts w:cs="Times New Roman"/>
      <w:kern w:val="0"/>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20">
    <w:name w:val="toc 1"/>
    <w:basedOn w:val="1"/>
    <w:next w:val="1"/>
    <w:qFormat/>
    <w:uiPriority w:val="0"/>
    <w:rPr>
      <w:rFonts w:cs="Times New Roman"/>
    </w:rPr>
  </w:style>
  <w:style w:type="paragraph" w:styleId="21">
    <w:name w:val="Subtitle"/>
    <w:basedOn w:val="1"/>
    <w:next w:val="1"/>
    <w:qFormat/>
    <w:uiPriority w:val="0"/>
    <w:pPr>
      <w:spacing w:before="240" w:after="60" w:line="312" w:lineRule="auto"/>
      <w:jc w:val="center"/>
      <w:outlineLvl w:val="1"/>
    </w:pPr>
    <w:rPr>
      <w:rFonts w:ascii="华文细黑" w:hAnsi="华文细黑" w:eastAsia="??"/>
      <w:b/>
      <w:bCs/>
      <w:sz w:val="32"/>
      <w:szCs w:val="32"/>
    </w:rPr>
  </w:style>
  <w:style w:type="paragraph" w:styleId="22">
    <w:name w:val="List"/>
    <w:basedOn w:val="1"/>
    <w:qFormat/>
    <w:uiPriority w:val="0"/>
    <w:pPr>
      <w:ind w:left="200" w:hanging="200" w:hangingChars="200"/>
    </w:pPr>
    <w:rPr>
      <w:sz w:val="28"/>
    </w:rPr>
  </w:style>
  <w:style w:type="paragraph" w:styleId="23">
    <w:name w:val="Body Text Indent 3"/>
    <w:basedOn w:val="1"/>
    <w:qFormat/>
    <w:uiPriority w:val="0"/>
    <w:pPr>
      <w:snapToGrid w:val="0"/>
      <w:ind w:firstLine="480" w:firstLineChars="200"/>
      <w:jc w:val="left"/>
    </w:pPr>
    <w:rPr>
      <w:rFonts w:ascii="仿宋_GB2312" w:hAnsi="宋体" w:eastAsia="仿宋_GB2312" w:cs="Times New Roman"/>
      <w:color w:val="000000"/>
      <w:kern w:val="0"/>
    </w:rPr>
  </w:style>
  <w:style w:type="paragraph" w:styleId="24">
    <w:name w:val="Normal (Web)"/>
    <w:basedOn w:val="1"/>
    <w:qFormat/>
    <w:uiPriority w:val="0"/>
    <w:pPr>
      <w:widowControl/>
      <w:spacing w:before="100" w:beforeAutospacing="1" w:after="100" w:afterAutospacing="1"/>
      <w:jc w:val="left"/>
    </w:pPr>
    <w:rPr>
      <w:rFonts w:ascii="宋体" w:hAnsi="宋体" w:cs="Times New Roman"/>
      <w:kern w:val="0"/>
    </w:rPr>
  </w:style>
  <w:style w:type="character" w:styleId="27">
    <w:name w:val="page number"/>
    <w:qFormat/>
    <w:uiPriority w:val="0"/>
  </w:style>
  <w:style w:type="character" w:styleId="28">
    <w:name w:val="Hyperlink"/>
    <w:qFormat/>
    <w:uiPriority w:val="0"/>
    <w:rPr>
      <w:rFonts w:ascii="Times New Roman" w:hAnsi="Times New Roman" w:eastAsia="宋体" w:cs="Times New Roman"/>
      <w:color w:val="0000FF"/>
      <w:u w:val="single"/>
    </w:rPr>
  </w:style>
  <w:style w:type="paragraph" w:customStyle="1" w:styleId="29">
    <w:name w:val="标准正文"/>
    <w:basedOn w:val="1"/>
    <w:qFormat/>
    <w:uiPriority w:val="0"/>
    <w:pPr>
      <w:spacing w:line="360" w:lineRule="auto"/>
      <w:ind w:firstLine="200" w:firstLineChars="200"/>
    </w:pPr>
    <w:rPr>
      <w:rFonts w:cs="Times New Roman"/>
      <w:szCs w:val="20"/>
    </w:rPr>
  </w:style>
  <w:style w:type="paragraph" w:customStyle="1" w:styleId="3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1">
    <w:name w:val="正文2"/>
    <w:basedOn w:val="1"/>
    <w:qFormat/>
    <w:uiPriority w:val="0"/>
    <w:pPr>
      <w:spacing w:before="156" w:line="360" w:lineRule="auto"/>
      <w:ind w:firstLine="510" w:firstLineChars="200"/>
    </w:pPr>
    <w:rPr>
      <w:szCs w:val="20"/>
    </w:rPr>
  </w:style>
  <w:style w:type="paragraph" w:customStyle="1" w:styleId="32">
    <w:name w:val="List Paragraph1"/>
    <w:basedOn w:val="1"/>
    <w:qFormat/>
    <w:uiPriority w:val="0"/>
    <w:pPr>
      <w:ind w:firstLine="200" w:firstLineChars="200"/>
    </w:pPr>
    <w:rPr>
      <w:sz w:val="28"/>
      <w:szCs w:val="28"/>
    </w:rPr>
  </w:style>
  <w:style w:type="paragraph" w:customStyle="1" w:styleId="33">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5">
    <w:name w:val="纯文本2"/>
    <w:basedOn w:val="1"/>
    <w:qFormat/>
    <w:uiPriority w:val="0"/>
    <w:pPr>
      <w:adjustRightInd w:val="0"/>
      <w:textAlignment w:val="baseline"/>
    </w:pPr>
    <w:rPr>
      <w:rFonts w:ascii="宋体" w:hAnsi="Courier New" w:eastAsia="楷体_GB2312" w:cs="Times New Roman"/>
      <w:sz w:val="26"/>
      <w:szCs w:val="20"/>
    </w:rPr>
  </w:style>
  <w:style w:type="character" w:customStyle="1" w:styleId="36">
    <w:name w:val="正文文本 Char"/>
    <w:basedOn w:val="26"/>
    <w:link w:val="10"/>
    <w:qFormat/>
    <w:uiPriority w:val="0"/>
    <w:rPr>
      <w:rFonts w:ascii="Times New Roman" w:hAnsi="Times New Roman" w:eastAsia="宋体" w:cs="宋体"/>
      <w:kern w:val="2"/>
      <w:sz w:val="24"/>
      <w:szCs w:val="24"/>
    </w:rPr>
  </w:style>
  <w:style w:type="character" w:customStyle="1" w:styleId="37">
    <w:name w:val="纯文本 Char"/>
    <w:basedOn w:val="26"/>
    <w:link w:val="14"/>
    <w:qFormat/>
    <w:uiPriority w:val="0"/>
    <w:rPr>
      <w:rFonts w:ascii="宋体" w:hAnsi="Courier New"/>
      <w:sz w:val="24"/>
      <w:szCs w:val="24"/>
    </w:rPr>
  </w:style>
  <w:style w:type="paragraph" w:customStyle="1" w:styleId="38">
    <w:name w:val="正文_0"/>
    <w:basedOn w:val="1"/>
    <w:qFormat/>
    <w:uiPriority w:val="0"/>
    <w:rPr>
      <w:rFonts w:ascii="华文中宋" w:hAnsi="华文中宋" w:eastAsia="等线 Light" w:cs="Times New Roman"/>
      <w:sz w:val="21"/>
      <w:szCs w:val="22"/>
    </w:rPr>
  </w:style>
  <w:style w:type="paragraph" w:customStyle="1" w:styleId="39">
    <w:name w:val="样式 标题 2 + Times New Roman 四号 非加粗 段前: 5 磅 段后: 0 磅 行距: 固定值 20..."/>
    <w:basedOn w:val="5"/>
    <w:qFormat/>
    <w:uiPriority w:val="0"/>
    <w:pPr>
      <w:spacing w:before="100" w:line="400" w:lineRule="exact"/>
    </w:pPr>
    <w:rPr>
      <w:rFonts w:ascii="Verdana" w:hAnsi="Verdana" w:cs="等线 Light"/>
      <w:b w:val="0"/>
      <w:bCs w:val="0"/>
      <w:sz w:val="28"/>
      <w:szCs w:val="20"/>
    </w:rPr>
  </w:style>
  <w:style w:type="paragraph" w:customStyle="1" w:styleId="40">
    <w:name w:val="列出段落1"/>
    <w:basedOn w:val="1"/>
    <w:qFormat/>
    <w:uiPriority w:val="0"/>
    <w:pPr>
      <w:ind w:firstLine="420" w:firstLineChars="200"/>
    </w:pPr>
    <w:rPr>
      <w:rFonts w:asciiTheme="minorHAnsi" w:hAnsiTheme="minorHAnsi" w:eastAsiaTheme="minorEastAsia" w:cstheme="minorBidi"/>
    </w:rPr>
  </w:style>
  <w:style w:type="character" w:customStyle="1" w:styleId="41">
    <w:name w:val="正文首行缩进 Char"/>
    <w:link w:val="11"/>
    <w:qFormat/>
    <w:uiPriority w:val="0"/>
    <w:rPr>
      <w:rFonts w:hint="eastAsia" w:ascii="宋体" w:hAnsi="宋体" w:eastAsia="宋体" w:cs="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2017.4</Company>
  <Pages>57</Pages>
  <Words>30968</Words>
  <Characters>32713</Characters>
  <Lines>249</Lines>
  <Paragraphs>70</Paragraphs>
  <TotalTime>16</TotalTime>
  <ScaleCrop>false</ScaleCrop>
  <LinksUpToDate>false</LinksUpToDate>
  <CharactersWithSpaces>34145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2022-12-02T21:11:00Z</dcterms:created>
  <dc:creator>thtf-5</dc:creator>
  <cp:lastModifiedBy>Huzhou</cp:lastModifiedBy>
  <cp:lastPrinted>2022-12-05T14:09:00Z</cp:lastPrinted>
  <dcterms:modified xsi:type="dcterms:W3CDTF">2022-12-05T16:52:50Z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140C24979BF34E88B76CA5FDFEDB88B0</vt:lpwstr>
  </property>
  <property fmtid="{D5CDD505-2E9C-101B-9397-08002B2CF9AE}" pid="4" name="woTemplateTypoMode" linkTarget="0">
    <vt:lpwstr>web</vt:lpwstr>
  </property>
  <property fmtid="{D5CDD505-2E9C-101B-9397-08002B2CF9AE}" pid="5" name="woTemplate" linkTarget="0">
    <vt:i4>1</vt:i4>
  </property>
</Properties>
</file>