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仿宋" w:hAnsi="仿宋" w:eastAsia="仿宋" w:cs="仿宋"/>
          <w:color w:val="auto"/>
          <w:lang w:eastAsia="zh-CN"/>
        </w:rPr>
      </w:pPr>
      <w:bookmarkStart w:id="0" w:name="_Toc139879164"/>
      <w:bookmarkStart w:id="1" w:name="_Toc51259749"/>
      <w:bookmarkStart w:id="2" w:name="_Toc524766080"/>
      <w:bookmarkStart w:id="3" w:name="_Toc77750054"/>
      <w:bookmarkStart w:id="4" w:name="_Toc55362316"/>
      <w:bookmarkStart w:id="5" w:name="_Toc77079741"/>
      <w:bookmarkStart w:id="6" w:name="_Toc77079520"/>
      <w:bookmarkStart w:id="7" w:name="_Toc184635051"/>
    </w:p>
    <w:p>
      <w:pPr>
        <w:jc w:val="center"/>
        <w:rPr>
          <w:rFonts w:hint="eastAsia" w:ascii="仿宋" w:hAnsi="仿宋" w:eastAsia="仿宋" w:cs="仿宋"/>
          <w:b/>
          <w:bCs/>
          <w:snapToGrid w:val="0"/>
          <w:color w:val="auto"/>
          <w:sz w:val="40"/>
          <w:szCs w:val="52"/>
          <w:lang w:eastAsia="zh-CN"/>
        </w:rPr>
      </w:pPr>
      <w:r>
        <w:rPr>
          <w:rFonts w:hint="eastAsia" w:ascii="仿宋" w:hAnsi="仿宋" w:eastAsia="仿宋" w:cs="仿宋"/>
          <w:b/>
          <w:bCs/>
          <w:snapToGrid w:val="0"/>
          <w:color w:val="auto"/>
          <w:sz w:val="40"/>
          <w:szCs w:val="52"/>
          <w:lang w:eastAsia="zh-CN"/>
        </w:rPr>
        <w:drawing>
          <wp:inline distT="0" distB="0" distL="114300" distR="114300">
            <wp:extent cx="6151880" cy="8202295"/>
            <wp:effectExtent l="0" t="0" r="1270" b="8255"/>
            <wp:docPr id="1" name="图片 1" descr="招标文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招标文件封面"/>
                    <pic:cNvPicPr>
                      <a:picLocks noChangeAspect="1"/>
                    </pic:cNvPicPr>
                  </pic:nvPicPr>
                  <pic:blipFill>
                    <a:blip r:embed="rId11"/>
                    <a:stretch>
                      <a:fillRect/>
                    </a:stretch>
                  </pic:blipFill>
                  <pic:spPr>
                    <a:xfrm>
                      <a:off x="0" y="0"/>
                      <a:ext cx="6151880" cy="8202295"/>
                    </a:xfrm>
                    <a:prstGeom prst="rect">
                      <a:avLst/>
                    </a:prstGeom>
                  </pic:spPr>
                </pic:pic>
              </a:graphicData>
            </a:graphic>
          </wp:inline>
        </w:drawing>
      </w:r>
    </w:p>
    <w:p>
      <w:pPr>
        <w:jc w:val="center"/>
        <w:rPr>
          <w:rFonts w:hint="eastAsia" w:ascii="仿宋" w:hAnsi="仿宋" w:eastAsia="仿宋" w:cs="仿宋"/>
          <w:b/>
          <w:bCs/>
          <w:snapToGrid w:val="0"/>
          <w:color w:val="auto"/>
          <w:sz w:val="40"/>
          <w:szCs w:val="52"/>
          <w:lang w:eastAsia="zh-CN"/>
        </w:rPr>
      </w:pPr>
      <w:r>
        <w:rPr>
          <w:rFonts w:hint="eastAsia" w:ascii="仿宋" w:hAnsi="仿宋" w:eastAsia="仿宋" w:cs="仿宋"/>
          <w:b/>
          <w:bCs/>
          <w:snapToGrid w:val="0"/>
          <w:color w:val="auto"/>
          <w:sz w:val="40"/>
          <w:szCs w:val="52"/>
          <w:lang w:eastAsia="zh-CN"/>
        </w:rPr>
        <w:t>织里镇骥村村机四圩护岸建设工程</w:t>
      </w:r>
    </w:p>
    <w:p>
      <w:pPr>
        <w:pStyle w:val="10"/>
        <w:rPr>
          <w:rFonts w:hint="eastAsia" w:ascii="仿宋" w:hAnsi="仿宋" w:eastAsia="仿宋" w:cs="仿宋"/>
          <w:color w:val="auto"/>
        </w:rPr>
      </w:pPr>
    </w:p>
    <w:p>
      <w:pPr>
        <w:jc w:val="center"/>
        <w:rPr>
          <w:rFonts w:hint="eastAsia" w:ascii="仿宋" w:hAnsi="仿宋" w:eastAsia="仿宋" w:cs="仿宋"/>
          <w:b/>
          <w:bCs/>
          <w:snapToGrid w:val="0"/>
          <w:color w:val="auto"/>
          <w:sz w:val="68"/>
          <w:szCs w:val="68"/>
        </w:rPr>
      </w:pPr>
    </w:p>
    <w:p>
      <w:pPr>
        <w:pStyle w:val="10"/>
        <w:rPr>
          <w:rFonts w:hint="eastAsia" w:ascii="仿宋" w:hAnsi="仿宋" w:eastAsia="仿宋" w:cs="仿宋"/>
          <w:color w:val="auto"/>
        </w:rPr>
      </w:pPr>
    </w:p>
    <w:p>
      <w:pPr>
        <w:jc w:val="center"/>
        <w:rPr>
          <w:rFonts w:hint="eastAsia" w:ascii="仿宋" w:hAnsi="仿宋" w:eastAsia="仿宋" w:cs="仿宋"/>
          <w:b/>
          <w:bCs/>
          <w:snapToGrid w:val="0"/>
          <w:color w:val="auto"/>
          <w:sz w:val="68"/>
          <w:szCs w:val="68"/>
        </w:rPr>
      </w:pPr>
      <w:r>
        <w:rPr>
          <w:rFonts w:hint="eastAsia" w:ascii="仿宋" w:hAnsi="仿宋" w:eastAsia="仿宋" w:cs="仿宋"/>
          <w:b/>
          <w:bCs/>
          <w:snapToGrid w:val="0"/>
          <w:color w:val="auto"/>
          <w:sz w:val="68"/>
          <w:szCs w:val="68"/>
        </w:rPr>
        <w:t>施工招标文件</w:t>
      </w:r>
    </w:p>
    <w:p>
      <w:pPr>
        <w:jc w:val="center"/>
        <w:rPr>
          <w:rFonts w:hint="eastAsia" w:ascii="仿宋" w:hAnsi="仿宋" w:eastAsia="仿宋" w:cs="仿宋"/>
          <w:b/>
          <w:bCs/>
          <w:snapToGrid w:val="0"/>
          <w:color w:val="auto"/>
          <w:sz w:val="30"/>
          <w:szCs w:val="30"/>
        </w:rPr>
      </w:pPr>
      <w:r>
        <w:rPr>
          <w:rFonts w:hint="eastAsia" w:ascii="仿宋" w:hAnsi="仿宋" w:eastAsia="仿宋" w:cs="仿宋"/>
          <w:b/>
          <w:bCs/>
          <w:snapToGrid w:val="0"/>
          <w:color w:val="auto"/>
          <w:sz w:val="30"/>
          <w:szCs w:val="30"/>
        </w:rPr>
        <w:t>(电子全流程)</w:t>
      </w:r>
    </w:p>
    <w:p>
      <w:pPr>
        <w:rPr>
          <w:rFonts w:hint="eastAsia" w:ascii="仿宋" w:hAnsi="仿宋" w:eastAsia="仿宋" w:cs="仿宋"/>
          <w:b/>
          <w:bCs/>
          <w:snapToGrid w:val="0"/>
          <w:color w:val="auto"/>
          <w:sz w:val="68"/>
          <w:szCs w:val="68"/>
        </w:rPr>
      </w:pPr>
    </w:p>
    <w:p>
      <w:pPr>
        <w:pStyle w:val="42"/>
        <w:rPr>
          <w:rFonts w:hint="eastAsia" w:ascii="仿宋" w:hAnsi="仿宋" w:eastAsia="仿宋" w:cs="仿宋"/>
          <w:color w:val="auto"/>
        </w:rPr>
      </w:pPr>
    </w:p>
    <w:p>
      <w:pPr>
        <w:rPr>
          <w:rFonts w:hint="eastAsia" w:ascii="仿宋" w:hAnsi="仿宋" w:eastAsia="仿宋" w:cs="仿宋"/>
          <w:color w:val="auto"/>
          <w:sz w:val="22"/>
          <w:szCs w:val="21"/>
        </w:rPr>
      </w:pPr>
    </w:p>
    <w:p>
      <w:pPr>
        <w:pStyle w:val="10"/>
        <w:rPr>
          <w:rFonts w:hint="eastAsia" w:ascii="仿宋" w:hAnsi="仿宋" w:eastAsia="仿宋" w:cs="仿宋"/>
          <w:color w:val="auto"/>
        </w:rPr>
      </w:pPr>
    </w:p>
    <w:p>
      <w:pPr>
        <w:pStyle w:val="42"/>
        <w:rPr>
          <w:rFonts w:hint="eastAsia" w:ascii="仿宋" w:hAnsi="仿宋" w:eastAsia="仿宋" w:cs="仿宋"/>
          <w:color w:val="auto"/>
        </w:rPr>
      </w:pPr>
    </w:p>
    <w:p>
      <w:pPr>
        <w:rPr>
          <w:rFonts w:hint="eastAsia" w:ascii="仿宋" w:hAnsi="仿宋" w:eastAsia="仿宋" w:cs="仿宋"/>
          <w:color w:val="auto"/>
        </w:rPr>
      </w:pPr>
    </w:p>
    <w:p>
      <w:pPr>
        <w:spacing w:line="360" w:lineRule="auto"/>
        <w:ind w:firstLine="1120" w:firstLineChars="400"/>
        <w:jc w:val="left"/>
        <w:rPr>
          <w:rFonts w:hint="eastAsia" w:ascii="仿宋" w:hAnsi="仿宋" w:eastAsia="仿宋" w:cs="仿宋"/>
          <w:b/>
          <w:bCs/>
          <w:snapToGrid w:val="0"/>
          <w:color w:val="auto"/>
          <w:sz w:val="28"/>
          <w:szCs w:val="28"/>
          <w:lang w:eastAsia="zh-CN"/>
        </w:rPr>
      </w:pPr>
      <w:r>
        <w:rPr>
          <w:rFonts w:hint="eastAsia" w:ascii="仿宋" w:hAnsi="仿宋" w:eastAsia="仿宋" w:cs="仿宋"/>
          <w:b/>
          <w:bCs/>
          <w:snapToGrid w:val="0"/>
          <w:color w:val="auto"/>
          <w:sz w:val="28"/>
          <w:szCs w:val="28"/>
        </w:rPr>
        <w:t>项目招标编号：G(H)2021-002WX(S)</w:t>
      </w:r>
      <w:r>
        <w:rPr>
          <w:rFonts w:hint="eastAsia" w:ascii="仿宋" w:hAnsi="仿宋" w:eastAsia="仿宋" w:cs="仿宋"/>
          <w:b/>
          <w:bCs/>
          <w:snapToGrid w:val="0"/>
          <w:color w:val="auto"/>
          <w:sz w:val="28"/>
          <w:szCs w:val="28"/>
          <w:lang w:val="en-US" w:eastAsia="zh-CN"/>
        </w:rPr>
        <w:t xml:space="preserve">          </w:t>
      </w:r>
    </w:p>
    <w:p>
      <w:pPr>
        <w:spacing w:line="360" w:lineRule="auto"/>
        <w:ind w:firstLine="1120" w:firstLineChars="400"/>
        <w:jc w:val="left"/>
        <w:rPr>
          <w:rFonts w:hint="eastAsia" w:ascii="仿宋" w:hAnsi="仿宋" w:eastAsia="仿宋" w:cs="仿宋"/>
          <w:b/>
          <w:bCs/>
          <w:snapToGrid w:val="0"/>
          <w:color w:val="auto"/>
          <w:sz w:val="28"/>
          <w:szCs w:val="28"/>
          <w:lang w:eastAsia="zh-CN"/>
        </w:rPr>
      </w:pPr>
      <w:r>
        <w:rPr>
          <w:rFonts w:hint="eastAsia" w:ascii="仿宋" w:hAnsi="仿宋" w:eastAsia="仿宋" w:cs="仿宋"/>
          <w:b/>
          <w:bCs/>
          <w:snapToGrid w:val="0"/>
          <w:color w:val="auto"/>
          <w:sz w:val="28"/>
          <w:szCs w:val="28"/>
        </w:rPr>
        <w:t>招 标  单 位：</w:t>
      </w:r>
      <w:r>
        <w:rPr>
          <w:rFonts w:hint="eastAsia" w:ascii="仿宋" w:hAnsi="仿宋" w:eastAsia="仿宋" w:cs="仿宋"/>
          <w:b/>
          <w:bCs/>
          <w:snapToGrid w:val="0"/>
          <w:color w:val="auto"/>
          <w:sz w:val="28"/>
          <w:szCs w:val="28"/>
          <w:lang w:eastAsia="zh-CN"/>
        </w:rPr>
        <w:t>湖州新型城市投资发展集团有限公司</w:t>
      </w:r>
    </w:p>
    <w:p>
      <w:pPr>
        <w:tabs>
          <w:tab w:val="left" w:pos="7656"/>
          <w:tab w:val="left" w:pos="8700"/>
        </w:tabs>
        <w:spacing w:line="360" w:lineRule="auto"/>
        <w:ind w:firstLine="1120" w:firstLineChars="400"/>
        <w:jc w:val="left"/>
        <w:rPr>
          <w:rFonts w:hint="eastAsia" w:ascii="仿宋" w:hAnsi="仿宋" w:eastAsia="仿宋" w:cs="仿宋"/>
          <w:b/>
          <w:bCs/>
          <w:snapToGrid w:val="0"/>
          <w:color w:val="auto"/>
          <w:sz w:val="32"/>
          <w:szCs w:val="32"/>
        </w:rPr>
      </w:pPr>
      <w:r>
        <w:rPr>
          <w:rFonts w:hint="eastAsia" w:ascii="仿宋" w:hAnsi="仿宋" w:eastAsia="仿宋" w:cs="仿宋"/>
          <w:b/>
          <w:bCs/>
          <w:snapToGrid w:val="0"/>
          <w:color w:val="auto"/>
          <w:sz w:val="28"/>
          <w:szCs w:val="28"/>
        </w:rPr>
        <w:t>招标代理机构：</w:t>
      </w:r>
      <w:r>
        <w:rPr>
          <w:rFonts w:hint="eastAsia" w:ascii="仿宋" w:hAnsi="仿宋" w:eastAsia="仿宋" w:cs="仿宋"/>
          <w:b/>
          <w:bCs/>
          <w:snapToGrid w:val="0"/>
          <w:color w:val="auto"/>
          <w:sz w:val="28"/>
          <w:szCs w:val="28"/>
          <w:lang w:eastAsia="zh-CN"/>
        </w:rPr>
        <w:t>浙江诚律工程管理有限公司</w:t>
      </w:r>
    </w:p>
    <w:p>
      <w:pPr>
        <w:tabs>
          <w:tab w:val="left" w:pos="7656"/>
          <w:tab w:val="left" w:pos="8700"/>
        </w:tabs>
        <w:spacing w:line="360" w:lineRule="auto"/>
        <w:jc w:val="center"/>
        <w:rPr>
          <w:rFonts w:hint="eastAsia" w:ascii="仿宋" w:hAnsi="仿宋" w:eastAsia="仿宋" w:cs="仿宋"/>
          <w:b/>
          <w:bCs/>
          <w:snapToGrid w:val="0"/>
          <w:color w:val="auto"/>
          <w:sz w:val="28"/>
          <w:szCs w:val="28"/>
        </w:rPr>
      </w:pPr>
      <w:r>
        <w:rPr>
          <w:rFonts w:hint="eastAsia" w:ascii="仿宋" w:hAnsi="仿宋" w:eastAsia="仿宋" w:cs="仿宋"/>
          <w:b/>
          <w:bCs/>
          <w:snapToGrid w:val="0"/>
          <w:color w:val="auto"/>
          <w:sz w:val="32"/>
          <w:szCs w:val="32"/>
        </w:rPr>
        <w:t>二○二</w:t>
      </w:r>
      <w:r>
        <w:rPr>
          <w:rFonts w:hint="eastAsia" w:ascii="仿宋" w:hAnsi="仿宋" w:eastAsia="仿宋" w:cs="仿宋"/>
          <w:b/>
          <w:bCs/>
          <w:snapToGrid w:val="0"/>
          <w:color w:val="auto"/>
          <w:sz w:val="32"/>
          <w:szCs w:val="32"/>
          <w:lang w:eastAsia="zh-CN"/>
        </w:rPr>
        <w:t>一</w:t>
      </w:r>
      <w:r>
        <w:rPr>
          <w:rFonts w:hint="eastAsia" w:ascii="仿宋" w:hAnsi="仿宋" w:eastAsia="仿宋" w:cs="仿宋"/>
          <w:b/>
          <w:bCs/>
          <w:snapToGrid w:val="0"/>
          <w:color w:val="auto"/>
          <w:sz w:val="32"/>
          <w:szCs w:val="32"/>
        </w:rPr>
        <w:t>年</w:t>
      </w:r>
      <w:r>
        <w:rPr>
          <w:rFonts w:hint="eastAsia" w:ascii="仿宋" w:hAnsi="仿宋" w:eastAsia="仿宋" w:cs="仿宋"/>
          <w:b/>
          <w:bCs/>
          <w:snapToGrid w:val="0"/>
          <w:color w:val="auto"/>
          <w:sz w:val="32"/>
          <w:szCs w:val="32"/>
          <w:lang w:eastAsia="zh-CN"/>
        </w:rPr>
        <w:t>五</w:t>
      </w:r>
      <w:r>
        <w:rPr>
          <w:rFonts w:hint="eastAsia" w:ascii="仿宋" w:hAnsi="仿宋" w:eastAsia="仿宋" w:cs="仿宋"/>
          <w:b/>
          <w:bCs/>
          <w:snapToGrid w:val="0"/>
          <w:color w:val="auto"/>
          <w:sz w:val="32"/>
          <w:szCs w:val="32"/>
        </w:rPr>
        <w:t>月</w:t>
      </w:r>
    </w:p>
    <w:p>
      <w:pPr>
        <w:pStyle w:val="5"/>
        <w:spacing w:line="360" w:lineRule="auto"/>
        <w:ind w:firstLine="0"/>
        <w:jc w:val="center"/>
        <w:rPr>
          <w:rFonts w:hint="eastAsia" w:ascii="仿宋" w:hAnsi="仿宋" w:eastAsia="仿宋" w:cs="仿宋"/>
          <w:color w:val="auto"/>
          <w:sz w:val="44"/>
        </w:rPr>
        <w:sectPr>
          <w:headerReference r:id="rId4" w:type="first"/>
          <w:headerReference r:id="rId3" w:type="default"/>
          <w:pgSz w:w="11850" w:h="16783"/>
          <w:pgMar w:top="1440" w:right="1080" w:bottom="1440" w:left="1080" w:header="1304" w:footer="1134" w:gutter="0"/>
          <w:pgNumType w:start="1" w:chapStyle="1"/>
          <w:cols w:space="720" w:num="1"/>
          <w:titlePg/>
          <w:docGrid w:type="linesAndChars" w:linePitch="457" w:charSpace="0"/>
        </w:sectPr>
      </w:pPr>
    </w:p>
    <w:p>
      <w:pPr>
        <w:pStyle w:val="5"/>
        <w:spacing w:line="360" w:lineRule="auto"/>
        <w:ind w:firstLine="0"/>
        <w:jc w:val="center"/>
        <w:rPr>
          <w:rFonts w:hint="eastAsia" w:ascii="仿宋" w:hAnsi="仿宋" w:eastAsia="仿宋" w:cs="仿宋"/>
          <w:b/>
          <w:bCs/>
          <w:color w:val="auto"/>
          <w:sz w:val="44"/>
        </w:rPr>
      </w:pPr>
      <w:r>
        <w:rPr>
          <w:rFonts w:hint="eastAsia" w:ascii="仿宋" w:hAnsi="仿宋" w:eastAsia="仿宋" w:cs="仿宋"/>
          <w:b/>
          <w:bCs/>
          <w:color w:val="auto"/>
          <w:sz w:val="44"/>
        </w:rPr>
        <w:t>目   录</w:t>
      </w:r>
    </w:p>
    <w:p>
      <w:pPr>
        <w:pStyle w:val="22"/>
        <w:tabs>
          <w:tab w:val="right" w:leader="dot" w:pos="8902"/>
        </w:tabs>
        <w:ind w:left="480"/>
        <w:rPr>
          <w:rFonts w:hint="eastAsia" w:ascii="仿宋" w:hAnsi="仿宋" w:eastAsia="仿宋" w:cs="仿宋"/>
          <w:color w:val="auto"/>
        </w:rPr>
      </w:pPr>
      <w:r>
        <w:rPr>
          <w:rFonts w:hint="eastAsia" w:ascii="仿宋" w:hAnsi="仿宋" w:eastAsia="仿宋" w:cs="仿宋"/>
          <w:bCs/>
          <w:color w:val="auto"/>
          <w:szCs w:val="21"/>
        </w:rPr>
        <w:fldChar w:fldCharType="begin"/>
      </w:r>
      <w:r>
        <w:rPr>
          <w:rFonts w:hint="eastAsia" w:ascii="仿宋" w:hAnsi="仿宋" w:eastAsia="仿宋" w:cs="仿宋"/>
          <w:bCs/>
          <w:color w:val="auto"/>
          <w:szCs w:val="21"/>
        </w:rPr>
        <w:instrText xml:space="preserve"> TOC \o "1-3" \h  \u </w:instrText>
      </w:r>
      <w:r>
        <w:rPr>
          <w:rFonts w:hint="eastAsia" w:ascii="仿宋" w:hAnsi="仿宋" w:eastAsia="仿宋" w:cs="仿宋"/>
          <w:bCs/>
          <w:color w:val="auto"/>
          <w:szCs w:val="21"/>
        </w:rPr>
        <w:fldChar w:fldCharType="separate"/>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"_Toc24784" </w:instrText>
      </w:r>
      <w:r>
        <w:rPr>
          <w:rFonts w:hint="eastAsia" w:ascii="仿宋" w:hAnsi="仿宋" w:eastAsia="仿宋" w:cs="仿宋"/>
          <w:color w:val="auto"/>
        </w:rPr>
        <w:fldChar w:fldCharType="separate"/>
      </w:r>
      <w:r>
        <w:rPr>
          <w:rFonts w:hint="eastAsia" w:ascii="仿宋" w:hAnsi="仿宋" w:eastAsia="仿宋" w:cs="仿宋"/>
          <w:color w:val="auto"/>
          <w:szCs w:val="52"/>
        </w:rPr>
        <w:t>第   一   卷</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"_Toc3809" </w:instrText>
      </w:r>
      <w:r>
        <w:rPr>
          <w:rFonts w:hint="eastAsia" w:ascii="仿宋" w:hAnsi="仿宋" w:eastAsia="仿宋" w:cs="仿宋"/>
          <w:color w:val="auto"/>
        </w:rPr>
        <w:fldChar w:fldCharType="separate"/>
      </w:r>
      <w:r>
        <w:rPr>
          <w:rFonts w:hint="eastAsia" w:ascii="仿宋" w:hAnsi="仿宋" w:eastAsia="仿宋" w:cs="仿宋"/>
          <w:snapToGrid w:val="0"/>
          <w:color w:val="auto"/>
          <w:szCs w:val="28"/>
        </w:rPr>
        <w:t>第一章招标公告</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"_Toc16402" </w:instrText>
      </w:r>
      <w:r>
        <w:rPr>
          <w:rFonts w:hint="eastAsia" w:ascii="仿宋" w:hAnsi="仿宋" w:eastAsia="仿宋" w:cs="仿宋"/>
          <w:color w:val="auto"/>
        </w:rPr>
        <w:fldChar w:fldCharType="separate"/>
      </w:r>
      <w:r>
        <w:rPr>
          <w:rFonts w:hint="eastAsia" w:ascii="仿宋" w:hAnsi="仿宋" w:eastAsia="仿宋" w:cs="仿宋"/>
          <w:snapToGrid w:val="0"/>
          <w:color w:val="auto"/>
          <w:szCs w:val="28"/>
        </w:rPr>
        <w:t>第二章 投标人须知</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"_Toc24064" </w:instrText>
      </w:r>
      <w:r>
        <w:rPr>
          <w:rFonts w:hint="eastAsia" w:ascii="仿宋" w:hAnsi="仿宋" w:eastAsia="仿宋" w:cs="仿宋"/>
          <w:color w:val="auto"/>
        </w:rPr>
        <w:fldChar w:fldCharType="separate"/>
      </w:r>
      <w:r>
        <w:rPr>
          <w:rFonts w:hint="eastAsia" w:ascii="仿宋" w:hAnsi="仿宋" w:eastAsia="仿宋" w:cs="仿宋"/>
          <w:snapToGrid w:val="0"/>
          <w:color w:val="auto"/>
        </w:rPr>
        <w:t>投标人须知前附表</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"_Toc1190"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1总则</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"_Toc4247"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2 招标文件</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"_Toc14618"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3投标文件</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"_Toc7968"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4投标</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"_Toc9339"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5.开标</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"_Toc20435"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7合同授予</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"_Toc13950"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8重新招标和不再公开招标</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"_Toc14230"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9纪律和监督</w:t>
      </w:r>
      <w:r>
        <w:rPr>
          <w:rFonts w:hint="eastAsia" w:ascii="仿宋" w:hAnsi="仿宋" w:eastAsia="仿宋" w:cs="仿宋"/>
          <w:color w:val="auto"/>
        </w:rPr>
        <w:tab/>
      </w:r>
      <w:r>
        <w:rPr>
          <w:rFonts w:hint="eastAsia" w:ascii="仿宋" w:hAnsi="仿宋" w:eastAsia="仿宋" w:cs="仿宋"/>
          <w:color w:val="auto"/>
        </w:rPr>
        <w:fldChar w:fldCharType="end"/>
      </w:r>
    </w:p>
    <w:p>
      <w:pPr>
        <w:pStyle w:val="21"/>
        <w:tabs>
          <w:tab w:val="right" w:leader="dot" w:pos="8902"/>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"_Toc1905" </w:instrText>
      </w:r>
      <w:r>
        <w:rPr>
          <w:rFonts w:hint="eastAsia" w:ascii="仿宋" w:hAnsi="仿宋" w:eastAsia="仿宋" w:cs="仿宋"/>
          <w:color w:val="auto"/>
        </w:rPr>
        <w:fldChar w:fldCharType="separate"/>
      </w:r>
      <w:r>
        <w:rPr>
          <w:rFonts w:hint="eastAsia" w:ascii="仿宋" w:hAnsi="仿宋" w:eastAsia="仿宋" w:cs="仿宋"/>
          <w:color w:val="auto"/>
          <w:szCs w:val="24"/>
        </w:rPr>
        <w:t>附表一：开标记录表</w:t>
      </w:r>
      <w:r>
        <w:rPr>
          <w:rFonts w:hint="eastAsia" w:ascii="仿宋" w:hAnsi="仿宋" w:eastAsia="仿宋" w:cs="仿宋"/>
          <w:color w:val="auto"/>
        </w:rPr>
        <w:tab/>
      </w:r>
      <w:r>
        <w:rPr>
          <w:rFonts w:hint="eastAsia" w:ascii="仿宋" w:hAnsi="仿宋" w:eastAsia="仿宋" w:cs="仿宋"/>
          <w:color w:val="auto"/>
        </w:rPr>
        <w:fldChar w:fldCharType="end"/>
      </w:r>
    </w:p>
    <w:p>
      <w:pPr>
        <w:pStyle w:val="21"/>
        <w:tabs>
          <w:tab w:val="right" w:leader="dot" w:pos="8902"/>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"_Toc1832" </w:instrText>
      </w:r>
      <w:r>
        <w:rPr>
          <w:rFonts w:hint="eastAsia" w:ascii="仿宋" w:hAnsi="仿宋" w:eastAsia="仿宋" w:cs="仿宋"/>
          <w:color w:val="auto"/>
        </w:rPr>
        <w:fldChar w:fldCharType="separate"/>
      </w:r>
      <w:r>
        <w:rPr>
          <w:rFonts w:hint="eastAsia" w:ascii="仿宋" w:hAnsi="仿宋" w:eastAsia="仿宋" w:cs="仿宋"/>
          <w:color w:val="auto"/>
          <w:szCs w:val="24"/>
        </w:rPr>
        <w:t>附表二：</w:t>
      </w:r>
      <w:r>
        <w:rPr>
          <w:rFonts w:hint="eastAsia" w:ascii="仿宋" w:hAnsi="仿宋" w:eastAsia="仿宋" w:cs="仿宋"/>
          <w:color w:val="auto"/>
          <w:szCs w:val="24"/>
          <w:lang w:eastAsia="zh-CN"/>
        </w:rPr>
        <w:t>中标</w:t>
      </w:r>
      <w:r>
        <w:rPr>
          <w:rFonts w:hint="eastAsia" w:ascii="仿宋" w:hAnsi="仿宋" w:eastAsia="仿宋" w:cs="仿宋"/>
          <w:color w:val="auto"/>
          <w:szCs w:val="24"/>
        </w:rPr>
        <w:t>通知书</w:t>
      </w:r>
      <w:r>
        <w:rPr>
          <w:rFonts w:hint="eastAsia" w:ascii="仿宋" w:hAnsi="仿宋" w:eastAsia="仿宋" w:cs="仿宋"/>
          <w:color w:val="auto"/>
        </w:rPr>
        <w:tab/>
      </w:r>
      <w:r>
        <w:rPr>
          <w:rFonts w:hint="eastAsia" w:ascii="仿宋" w:hAnsi="仿宋" w:eastAsia="仿宋" w:cs="仿宋"/>
          <w:color w:val="auto"/>
        </w:rPr>
        <w:fldChar w:fldCharType="end"/>
      </w:r>
    </w:p>
    <w:p>
      <w:pPr>
        <w:pStyle w:val="22"/>
        <w:tabs>
          <w:tab w:val="right" w:leader="dot" w:pos="8902"/>
        </w:tabs>
        <w:ind w:left="48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"_Toc16410" </w:instrText>
      </w:r>
      <w:r>
        <w:rPr>
          <w:rFonts w:hint="eastAsia" w:ascii="仿宋" w:hAnsi="仿宋" w:eastAsia="仿宋" w:cs="仿宋"/>
          <w:color w:val="auto"/>
        </w:rPr>
        <w:fldChar w:fldCharType="separate"/>
      </w:r>
      <w:r>
        <w:rPr>
          <w:rFonts w:hint="eastAsia" w:ascii="仿宋" w:hAnsi="仿宋" w:eastAsia="仿宋" w:cs="仿宋"/>
          <w:color w:val="auto"/>
        </w:rPr>
        <w:t>第三章评审办法及评分标准（技术通过制的综合评估法）</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"_Toc6962" </w:instrText>
      </w:r>
      <w:r>
        <w:rPr>
          <w:rFonts w:hint="eastAsia" w:ascii="仿宋" w:hAnsi="仿宋" w:eastAsia="仿宋" w:cs="仿宋"/>
          <w:color w:val="auto"/>
        </w:rPr>
        <w:fldChar w:fldCharType="separate"/>
      </w:r>
      <w:r>
        <w:rPr>
          <w:rFonts w:hint="eastAsia" w:ascii="仿宋" w:hAnsi="仿宋" w:eastAsia="仿宋" w:cs="仿宋"/>
          <w:snapToGrid w:val="0"/>
          <w:color w:val="auto"/>
          <w:szCs w:val="24"/>
        </w:rPr>
        <w:t>1  依据</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"_Toc11661" </w:instrText>
      </w:r>
      <w:r>
        <w:rPr>
          <w:rFonts w:hint="eastAsia" w:ascii="仿宋" w:hAnsi="仿宋" w:eastAsia="仿宋" w:cs="仿宋"/>
          <w:color w:val="auto"/>
        </w:rPr>
        <w:fldChar w:fldCharType="separate"/>
      </w:r>
      <w:r>
        <w:rPr>
          <w:rFonts w:hint="eastAsia" w:ascii="仿宋" w:hAnsi="仿宋" w:eastAsia="仿宋" w:cs="仿宋"/>
          <w:snapToGrid w:val="0"/>
          <w:color w:val="auto"/>
          <w:szCs w:val="24"/>
        </w:rPr>
        <w:t>2  评审原则</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"_Toc11072" </w:instrText>
      </w:r>
      <w:r>
        <w:rPr>
          <w:rFonts w:hint="eastAsia" w:ascii="仿宋" w:hAnsi="仿宋" w:eastAsia="仿宋" w:cs="仿宋"/>
          <w:color w:val="auto"/>
        </w:rPr>
        <w:fldChar w:fldCharType="separate"/>
      </w:r>
      <w:r>
        <w:rPr>
          <w:rFonts w:hint="eastAsia" w:ascii="仿宋" w:hAnsi="仿宋" w:eastAsia="仿宋" w:cs="仿宋"/>
          <w:snapToGrid w:val="0"/>
          <w:color w:val="auto"/>
          <w:szCs w:val="24"/>
        </w:rPr>
        <w:t>3 评审组织</w:t>
      </w:r>
      <w:r>
        <w:rPr>
          <w:rFonts w:hint="eastAsia" w:ascii="仿宋" w:hAnsi="仿宋" w:eastAsia="仿宋" w:cs="仿宋"/>
          <w:color w:val="auto"/>
        </w:rPr>
        <w:tab/>
      </w:r>
      <w:r>
        <w:rPr>
          <w:rFonts w:hint="eastAsia" w:ascii="仿宋" w:hAnsi="仿宋" w:eastAsia="仿宋" w:cs="仿宋"/>
          <w:color w:val="auto"/>
        </w:rPr>
        <w:fldChar w:fldCharType="end"/>
      </w:r>
    </w:p>
    <w:p>
      <w:pPr>
        <w:pStyle w:val="22"/>
        <w:tabs>
          <w:tab w:val="right" w:leader="dot" w:pos="8902"/>
        </w:tabs>
        <w:ind w:left="48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"_Toc29902" </w:instrText>
      </w:r>
      <w:r>
        <w:rPr>
          <w:rFonts w:hint="eastAsia" w:ascii="仿宋" w:hAnsi="仿宋" w:eastAsia="仿宋" w:cs="仿宋"/>
          <w:color w:val="auto"/>
        </w:rPr>
        <w:fldChar w:fldCharType="separate"/>
      </w:r>
      <w:r>
        <w:rPr>
          <w:rFonts w:hint="eastAsia" w:ascii="仿宋" w:hAnsi="仿宋" w:eastAsia="仿宋" w:cs="仿宋"/>
          <w:color w:val="auto"/>
          <w:szCs w:val="30"/>
        </w:rPr>
        <w:t>第四章 合同条款及格式</w:t>
      </w:r>
      <w:r>
        <w:rPr>
          <w:rFonts w:hint="eastAsia" w:ascii="仿宋" w:hAnsi="仿宋" w:eastAsia="仿宋" w:cs="仿宋"/>
          <w:color w:val="auto"/>
        </w:rPr>
        <w:tab/>
      </w:r>
      <w:r>
        <w:rPr>
          <w:rFonts w:hint="eastAsia" w:ascii="仿宋" w:hAnsi="仿宋" w:eastAsia="仿宋" w:cs="仿宋"/>
          <w:color w:val="auto"/>
        </w:rPr>
        <w:fldChar w:fldCharType="end"/>
      </w:r>
    </w:p>
    <w:p>
      <w:pPr>
        <w:pStyle w:val="22"/>
        <w:tabs>
          <w:tab w:val="right" w:leader="dot" w:pos="8902"/>
        </w:tabs>
        <w:ind w:left="48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"_Toc28003" </w:instrText>
      </w:r>
      <w:r>
        <w:rPr>
          <w:rFonts w:hint="eastAsia" w:ascii="仿宋" w:hAnsi="仿宋" w:eastAsia="仿宋" w:cs="仿宋"/>
          <w:color w:val="auto"/>
        </w:rPr>
        <w:fldChar w:fldCharType="separate"/>
      </w:r>
      <w:r>
        <w:rPr>
          <w:rFonts w:hint="eastAsia" w:ascii="仿宋" w:hAnsi="仿宋" w:eastAsia="仿宋" w:cs="仿宋"/>
          <w:color w:val="auto"/>
        </w:rPr>
        <w:t>第一节通用合同条款</w:t>
      </w:r>
      <w:r>
        <w:rPr>
          <w:rFonts w:hint="eastAsia" w:ascii="仿宋" w:hAnsi="仿宋" w:eastAsia="仿宋" w:cs="仿宋"/>
          <w:color w:val="auto"/>
        </w:rPr>
        <w:tab/>
      </w:r>
      <w:r>
        <w:rPr>
          <w:rFonts w:hint="eastAsia" w:ascii="仿宋" w:hAnsi="仿宋" w:eastAsia="仿宋" w:cs="仿宋"/>
          <w:color w:val="auto"/>
        </w:rPr>
        <w:fldChar w:fldCharType="end"/>
      </w:r>
    </w:p>
    <w:p>
      <w:pPr>
        <w:pStyle w:val="22"/>
        <w:tabs>
          <w:tab w:val="right" w:leader="dot" w:pos="8902"/>
        </w:tabs>
        <w:ind w:left="48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"_Toc27734" </w:instrText>
      </w:r>
      <w:r>
        <w:rPr>
          <w:rFonts w:hint="eastAsia" w:ascii="仿宋" w:hAnsi="仿宋" w:eastAsia="仿宋" w:cs="仿宋"/>
          <w:color w:val="auto"/>
        </w:rPr>
        <w:fldChar w:fldCharType="separate"/>
      </w:r>
      <w:r>
        <w:rPr>
          <w:rFonts w:hint="eastAsia" w:ascii="仿宋" w:hAnsi="仿宋" w:eastAsia="仿宋" w:cs="仿宋"/>
          <w:bCs/>
          <w:color w:val="auto"/>
        </w:rPr>
        <w:t>第二节专用合同条款</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"_Toc15382"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1．一般约定</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"_Toc4857"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3监理人</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"_Toc30749"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4中标人</w:t>
      </w:r>
      <w:r>
        <w:rPr>
          <w:rFonts w:hint="eastAsia" w:ascii="仿宋" w:hAnsi="仿宋" w:eastAsia="仿宋" w:cs="仿宋"/>
          <w:color w:val="auto"/>
        </w:rPr>
        <w:tab/>
      </w:r>
      <w:r>
        <w:rPr>
          <w:rFonts w:hint="eastAsia" w:ascii="仿宋" w:hAnsi="仿宋" w:eastAsia="仿宋" w:cs="仿宋"/>
          <w:color w:val="auto"/>
        </w:rPr>
        <w:fldChar w:fldCharType="end"/>
      </w:r>
    </w:p>
    <w:p>
      <w:pPr>
        <w:pStyle w:val="21"/>
        <w:tabs>
          <w:tab w:val="right" w:leader="dot" w:pos="8902"/>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"_Toc5819"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4.2.1履约担保的格式和金额</w:t>
      </w:r>
      <w:r>
        <w:rPr>
          <w:rFonts w:hint="eastAsia" w:ascii="仿宋" w:hAnsi="仿宋" w:eastAsia="仿宋" w:cs="仿宋"/>
          <w:color w:val="auto"/>
        </w:rPr>
        <w:tab/>
      </w:r>
      <w:r>
        <w:rPr>
          <w:rFonts w:hint="eastAsia" w:ascii="仿宋" w:hAnsi="仿宋" w:eastAsia="仿宋" w:cs="仿宋"/>
          <w:color w:val="auto"/>
        </w:rPr>
        <w:fldChar w:fldCharType="end"/>
      </w:r>
    </w:p>
    <w:p>
      <w:pPr>
        <w:pStyle w:val="21"/>
        <w:tabs>
          <w:tab w:val="right" w:leader="dot" w:pos="8902"/>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"_Toc28272"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4.2.2履约担保的有效期</w:t>
      </w:r>
      <w:r>
        <w:rPr>
          <w:rFonts w:hint="eastAsia" w:ascii="仿宋" w:hAnsi="仿宋" w:eastAsia="仿宋" w:cs="仿宋"/>
          <w:color w:val="auto"/>
        </w:rPr>
        <w:tab/>
      </w:r>
      <w:r>
        <w:rPr>
          <w:rFonts w:hint="eastAsia" w:ascii="仿宋" w:hAnsi="仿宋" w:eastAsia="仿宋" w:cs="仿宋"/>
          <w:color w:val="auto"/>
        </w:rPr>
        <w:fldChar w:fldCharType="end"/>
      </w:r>
    </w:p>
    <w:p>
      <w:pPr>
        <w:pStyle w:val="21"/>
        <w:tabs>
          <w:tab w:val="right" w:leader="dot" w:pos="8902"/>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"_Toc13209"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4.2.3履约担保的退还</w:t>
      </w:r>
      <w:r>
        <w:rPr>
          <w:rFonts w:hint="eastAsia" w:ascii="仿宋" w:hAnsi="仿宋" w:eastAsia="仿宋" w:cs="仿宋"/>
          <w:color w:val="auto"/>
        </w:rPr>
        <w:tab/>
      </w:r>
      <w:r>
        <w:rPr>
          <w:rFonts w:hint="eastAsia" w:ascii="仿宋" w:hAnsi="仿宋" w:eastAsia="仿宋" w:cs="仿宋"/>
          <w:color w:val="auto"/>
        </w:rPr>
        <w:fldChar w:fldCharType="end"/>
      </w:r>
    </w:p>
    <w:p>
      <w:pPr>
        <w:pStyle w:val="21"/>
        <w:tabs>
          <w:tab w:val="right" w:leader="dot" w:pos="8902"/>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"_Toc2676"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4.2.4通知义务</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"_Toc12627"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5材料和工程设备</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"_Toc7954"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6施工设备和临时设施</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"_Toc16563"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7交通运输</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"_Toc9577"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8测量放线</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"_Toc15337"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9 施工安全、治安保卫和环境保护</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"_Toc1585"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11开工和竣工（完工）</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"_Toc10997"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12 暂停施工</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"_Toc27396"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13．工程质量</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"_Toc13367"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14 验收和检验</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"_Toc16170"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15变更</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"_Toc8858"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16价格调整</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"_Toc931"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16.1 物价波动引起的价格调整</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"_Toc13810"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物价波动引起的价格调整方式：不调整。</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"_Toc30836"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17计量与支付</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"_Toc22414"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18 竣工验收（验收）</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"_Toc28049"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19缺陷责任与保修责任</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"_Toc23559"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20保险</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"_Toc24531"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25 .合同类型</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"_Toc1234" </w:instrText>
      </w:r>
      <w:r>
        <w:rPr>
          <w:rFonts w:hint="eastAsia" w:ascii="仿宋" w:hAnsi="仿宋" w:eastAsia="仿宋" w:cs="仿宋"/>
          <w:color w:val="auto"/>
        </w:rPr>
        <w:fldChar w:fldCharType="separate"/>
      </w:r>
      <w:r>
        <w:rPr>
          <w:rFonts w:hint="eastAsia" w:ascii="仿宋" w:hAnsi="仿宋" w:eastAsia="仿宋" w:cs="仿宋"/>
          <w:color w:val="auto"/>
        </w:rPr>
        <w:t>第三节合同附件格式</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"_Toc27354" </w:instrText>
      </w:r>
      <w:r>
        <w:rPr>
          <w:rFonts w:hint="eastAsia" w:ascii="仿宋" w:hAnsi="仿宋" w:eastAsia="仿宋" w:cs="仿宋"/>
          <w:color w:val="auto"/>
        </w:rPr>
        <w:fldChar w:fldCharType="separate"/>
      </w:r>
      <w:r>
        <w:rPr>
          <w:rFonts w:hint="eastAsia" w:ascii="仿宋" w:hAnsi="仿宋" w:eastAsia="仿宋" w:cs="仿宋"/>
          <w:snapToGrid w:val="0"/>
          <w:color w:val="auto"/>
        </w:rPr>
        <w:t>附件一：合同协议书</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"_Toc18213" </w:instrText>
      </w:r>
      <w:r>
        <w:rPr>
          <w:rFonts w:hint="eastAsia" w:ascii="仿宋" w:hAnsi="仿宋" w:eastAsia="仿宋" w:cs="仿宋"/>
          <w:color w:val="auto"/>
        </w:rPr>
        <w:fldChar w:fldCharType="separate"/>
      </w:r>
      <w:r>
        <w:rPr>
          <w:rFonts w:hint="eastAsia" w:ascii="仿宋" w:hAnsi="仿宋" w:eastAsia="仿宋" w:cs="仿宋"/>
          <w:snapToGrid w:val="0"/>
          <w:color w:val="auto"/>
        </w:rPr>
        <w:t>附件二：履约担保</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"_Toc7887" </w:instrText>
      </w:r>
      <w:r>
        <w:rPr>
          <w:rFonts w:hint="eastAsia" w:ascii="仿宋" w:hAnsi="仿宋" w:eastAsia="仿宋" w:cs="仿宋"/>
          <w:color w:val="auto"/>
        </w:rPr>
        <w:fldChar w:fldCharType="separate"/>
      </w:r>
      <w:r>
        <w:rPr>
          <w:rFonts w:hint="eastAsia" w:ascii="仿宋" w:hAnsi="仿宋" w:eastAsia="仿宋" w:cs="仿宋"/>
          <w:color w:val="auto"/>
          <w:szCs w:val="24"/>
        </w:rPr>
        <w:t>附件三  预付款担保格式（供参考）</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"_Toc19235" </w:instrText>
      </w:r>
      <w:r>
        <w:rPr>
          <w:rFonts w:hint="eastAsia" w:ascii="仿宋" w:hAnsi="仿宋" w:eastAsia="仿宋" w:cs="仿宋"/>
          <w:color w:val="auto"/>
        </w:rPr>
        <w:fldChar w:fldCharType="separate"/>
      </w:r>
      <w:r>
        <w:rPr>
          <w:rFonts w:hint="eastAsia" w:ascii="仿宋" w:hAnsi="仿宋" w:eastAsia="仿宋" w:cs="仿宋"/>
          <w:snapToGrid w:val="0"/>
          <w:color w:val="auto"/>
        </w:rPr>
        <w:t>附件四：工程廉政责任书</w:t>
      </w:r>
      <w:r>
        <w:rPr>
          <w:rFonts w:hint="eastAsia" w:ascii="仿宋" w:hAnsi="仿宋" w:eastAsia="仿宋" w:cs="仿宋"/>
          <w:color w:val="auto"/>
        </w:rPr>
        <w:tab/>
      </w:r>
      <w:r>
        <w:rPr>
          <w:rFonts w:hint="eastAsia" w:ascii="仿宋" w:hAnsi="仿宋" w:eastAsia="仿宋" w:cs="仿宋"/>
          <w:color w:val="auto"/>
        </w:rPr>
        <w:fldChar w:fldCharType="end"/>
      </w:r>
    </w:p>
    <w:p>
      <w:pPr>
        <w:pStyle w:val="22"/>
        <w:tabs>
          <w:tab w:val="right" w:leader="dot" w:pos="8902"/>
        </w:tabs>
        <w:ind w:left="48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"_Toc350" </w:instrText>
      </w:r>
      <w:r>
        <w:rPr>
          <w:rFonts w:hint="eastAsia" w:ascii="仿宋" w:hAnsi="仿宋" w:eastAsia="仿宋" w:cs="仿宋"/>
          <w:color w:val="auto"/>
        </w:rPr>
        <w:fldChar w:fldCharType="separate"/>
      </w:r>
      <w:r>
        <w:rPr>
          <w:rFonts w:hint="eastAsia" w:ascii="仿宋" w:hAnsi="仿宋" w:eastAsia="仿宋" w:cs="仿宋"/>
          <w:color w:val="auto"/>
          <w:szCs w:val="32"/>
        </w:rPr>
        <w:t>第五章 工程量清单</w:t>
      </w:r>
      <w:r>
        <w:rPr>
          <w:rFonts w:hint="eastAsia" w:ascii="仿宋" w:hAnsi="仿宋" w:eastAsia="仿宋" w:cs="仿宋"/>
          <w:color w:val="auto"/>
        </w:rPr>
        <w:tab/>
      </w:r>
      <w:r>
        <w:rPr>
          <w:rFonts w:hint="eastAsia" w:ascii="仿宋" w:hAnsi="仿宋" w:eastAsia="仿宋" w:cs="仿宋"/>
          <w:color w:val="auto"/>
        </w:rPr>
        <w:fldChar w:fldCharType="end"/>
      </w:r>
    </w:p>
    <w:p>
      <w:pPr>
        <w:pStyle w:val="22"/>
        <w:tabs>
          <w:tab w:val="right" w:leader="dot" w:pos="8902"/>
        </w:tabs>
        <w:ind w:left="48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"_Toc28027" </w:instrText>
      </w:r>
      <w:r>
        <w:rPr>
          <w:rFonts w:hint="eastAsia" w:ascii="仿宋" w:hAnsi="仿宋" w:eastAsia="仿宋" w:cs="仿宋"/>
          <w:color w:val="auto"/>
        </w:rPr>
        <w:fldChar w:fldCharType="separate"/>
      </w:r>
      <w:r>
        <w:rPr>
          <w:rFonts w:hint="eastAsia" w:ascii="仿宋" w:hAnsi="仿宋" w:eastAsia="仿宋" w:cs="仿宋"/>
          <w:color w:val="auto"/>
          <w:szCs w:val="52"/>
        </w:rPr>
        <w:t>第   二   卷</w:t>
      </w:r>
      <w:r>
        <w:rPr>
          <w:rFonts w:hint="eastAsia" w:ascii="仿宋" w:hAnsi="仿宋" w:eastAsia="仿宋" w:cs="仿宋"/>
          <w:color w:val="auto"/>
        </w:rPr>
        <w:tab/>
      </w:r>
      <w:r>
        <w:rPr>
          <w:rFonts w:hint="eastAsia" w:ascii="仿宋" w:hAnsi="仿宋" w:eastAsia="仿宋" w:cs="仿宋"/>
          <w:color w:val="auto"/>
        </w:rPr>
        <w:fldChar w:fldCharType="end"/>
      </w:r>
    </w:p>
    <w:p>
      <w:pPr>
        <w:pStyle w:val="22"/>
        <w:tabs>
          <w:tab w:val="right" w:leader="dot" w:pos="8902"/>
        </w:tabs>
        <w:ind w:left="48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"_Toc31589" </w:instrText>
      </w:r>
      <w:r>
        <w:rPr>
          <w:rFonts w:hint="eastAsia" w:ascii="仿宋" w:hAnsi="仿宋" w:eastAsia="仿宋" w:cs="仿宋"/>
          <w:color w:val="auto"/>
        </w:rPr>
        <w:fldChar w:fldCharType="separate"/>
      </w:r>
      <w:r>
        <w:rPr>
          <w:rFonts w:hint="eastAsia" w:ascii="仿宋" w:hAnsi="仿宋" w:eastAsia="仿宋" w:cs="仿宋"/>
          <w:color w:val="auto"/>
          <w:szCs w:val="32"/>
        </w:rPr>
        <w:t>第六章 图纸</w:t>
      </w:r>
      <w:r>
        <w:rPr>
          <w:rFonts w:hint="eastAsia" w:ascii="仿宋" w:hAnsi="仿宋" w:eastAsia="仿宋" w:cs="仿宋"/>
          <w:color w:val="auto"/>
        </w:rPr>
        <w:tab/>
      </w:r>
      <w:r>
        <w:rPr>
          <w:rFonts w:hint="eastAsia" w:ascii="仿宋" w:hAnsi="仿宋" w:eastAsia="仿宋" w:cs="仿宋"/>
          <w:color w:val="auto"/>
        </w:rPr>
        <w:fldChar w:fldCharType="end"/>
      </w:r>
    </w:p>
    <w:p>
      <w:pPr>
        <w:pStyle w:val="22"/>
        <w:tabs>
          <w:tab w:val="right" w:leader="dot" w:pos="8902"/>
        </w:tabs>
        <w:ind w:left="48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"_Toc7894" </w:instrText>
      </w:r>
      <w:r>
        <w:rPr>
          <w:rFonts w:hint="eastAsia" w:ascii="仿宋" w:hAnsi="仿宋" w:eastAsia="仿宋" w:cs="仿宋"/>
          <w:color w:val="auto"/>
        </w:rPr>
        <w:fldChar w:fldCharType="separate"/>
      </w:r>
      <w:r>
        <w:rPr>
          <w:rFonts w:hint="eastAsia" w:ascii="仿宋" w:hAnsi="仿宋" w:eastAsia="仿宋" w:cs="仿宋"/>
          <w:color w:val="auto"/>
          <w:szCs w:val="52"/>
        </w:rPr>
        <w:t>第   三   卷</w:t>
      </w:r>
      <w:r>
        <w:rPr>
          <w:rFonts w:hint="eastAsia" w:ascii="仿宋" w:hAnsi="仿宋" w:eastAsia="仿宋" w:cs="仿宋"/>
          <w:color w:val="auto"/>
        </w:rPr>
        <w:tab/>
      </w:r>
      <w:r>
        <w:rPr>
          <w:rFonts w:hint="eastAsia" w:ascii="仿宋" w:hAnsi="仿宋" w:eastAsia="仿宋" w:cs="仿宋"/>
          <w:color w:val="auto"/>
        </w:rPr>
        <w:fldChar w:fldCharType="end"/>
      </w:r>
    </w:p>
    <w:p>
      <w:pPr>
        <w:pStyle w:val="22"/>
        <w:tabs>
          <w:tab w:val="right" w:leader="dot" w:pos="8902"/>
        </w:tabs>
        <w:ind w:left="48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"_Toc16677" </w:instrText>
      </w:r>
      <w:r>
        <w:rPr>
          <w:rFonts w:hint="eastAsia" w:ascii="仿宋" w:hAnsi="仿宋" w:eastAsia="仿宋" w:cs="仿宋"/>
          <w:color w:val="auto"/>
        </w:rPr>
        <w:fldChar w:fldCharType="separate"/>
      </w:r>
      <w:r>
        <w:rPr>
          <w:rFonts w:hint="eastAsia" w:ascii="仿宋" w:hAnsi="仿宋" w:eastAsia="仿宋" w:cs="仿宋"/>
          <w:color w:val="auto"/>
          <w:szCs w:val="32"/>
        </w:rPr>
        <w:t xml:space="preserve">第七章  </w:t>
      </w:r>
      <w:r>
        <w:rPr>
          <w:rFonts w:hint="eastAsia" w:ascii="仿宋" w:hAnsi="仿宋" w:eastAsia="仿宋" w:cs="仿宋"/>
          <w:bCs/>
          <w:color w:val="auto"/>
          <w:szCs w:val="32"/>
        </w:rPr>
        <w:t>技术标准和要求（合同技术条款）</w:t>
      </w:r>
      <w:r>
        <w:rPr>
          <w:rFonts w:hint="eastAsia" w:ascii="仿宋" w:hAnsi="仿宋" w:eastAsia="仿宋" w:cs="仿宋"/>
          <w:color w:val="auto"/>
        </w:rPr>
        <w:tab/>
      </w:r>
      <w:r>
        <w:rPr>
          <w:rFonts w:hint="eastAsia" w:ascii="仿宋" w:hAnsi="仿宋" w:eastAsia="仿宋" w:cs="仿宋"/>
          <w:color w:val="auto"/>
        </w:rPr>
        <w:fldChar w:fldCharType="end"/>
      </w:r>
    </w:p>
    <w:p>
      <w:pPr>
        <w:pStyle w:val="22"/>
        <w:tabs>
          <w:tab w:val="right" w:leader="dot" w:pos="8902"/>
        </w:tabs>
        <w:ind w:left="48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"_Toc6083" </w:instrText>
      </w:r>
      <w:r>
        <w:rPr>
          <w:rFonts w:hint="eastAsia" w:ascii="仿宋" w:hAnsi="仿宋" w:eastAsia="仿宋" w:cs="仿宋"/>
          <w:color w:val="auto"/>
        </w:rPr>
        <w:fldChar w:fldCharType="separate"/>
      </w:r>
      <w:r>
        <w:rPr>
          <w:rFonts w:hint="eastAsia" w:ascii="仿宋" w:hAnsi="仿宋" w:eastAsia="仿宋" w:cs="仿宋"/>
          <w:color w:val="auto"/>
          <w:szCs w:val="30"/>
        </w:rPr>
        <w:t>第1节一般规定</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"_Toc28924"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1.1 说明</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"_Toc19719"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1.2 合同工作范围</w:t>
      </w:r>
      <w:r>
        <w:rPr>
          <w:rFonts w:hint="eastAsia" w:ascii="仿宋" w:hAnsi="仿宋" w:eastAsia="仿宋" w:cs="仿宋"/>
          <w:color w:val="auto"/>
        </w:rPr>
        <w:tab/>
      </w:r>
      <w:r>
        <w:rPr>
          <w:rFonts w:hint="eastAsia" w:ascii="仿宋" w:hAnsi="仿宋" w:eastAsia="仿宋" w:cs="仿宋"/>
          <w:color w:val="auto"/>
        </w:rPr>
        <w:fldChar w:fldCharType="end"/>
      </w:r>
    </w:p>
    <w:p>
      <w:pPr>
        <w:pStyle w:val="22"/>
        <w:tabs>
          <w:tab w:val="right" w:leader="dot" w:pos="8902"/>
        </w:tabs>
        <w:ind w:left="48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"_Toc17650" </w:instrText>
      </w:r>
      <w:r>
        <w:rPr>
          <w:rFonts w:hint="eastAsia" w:ascii="仿宋" w:hAnsi="仿宋" w:eastAsia="仿宋" w:cs="仿宋"/>
          <w:color w:val="auto"/>
        </w:rPr>
        <w:fldChar w:fldCharType="separate"/>
      </w:r>
      <w:r>
        <w:rPr>
          <w:rFonts w:hint="eastAsia" w:ascii="仿宋" w:hAnsi="仿宋" w:eastAsia="仿宋" w:cs="仿宋"/>
          <w:color w:val="auto"/>
          <w:szCs w:val="30"/>
        </w:rPr>
        <w:t>第2节施工临时设施</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"_Toc12159" </w:instrText>
      </w:r>
      <w:r>
        <w:rPr>
          <w:rFonts w:hint="eastAsia" w:ascii="仿宋" w:hAnsi="仿宋" w:eastAsia="仿宋" w:cs="仿宋"/>
          <w:color w:val="auto"/>
        </w:rPr>
        <w:fldChar w:fldCharType="separate"/>
      </w:r>
      <w:r>
        <w:rPr>
          <w:rFonts w:hint="eastAsia" w:ascii="仿宋" w:hAnsi="仿宋" w:eastAsia="仿宋" w:cs="仿宋"/>
          <w:color w:val="auto"/>
          <w:szCs w:val="21"/>
        </w:rPr>
        <w:t>2.1 一般规定</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"_Toc21915" </w:instrText>
      </w:r>
      <w:r>
        <w:rPr>
          <w:rFonts w:hint="eastAsia" w:ascii="仿宋" w:hAnsi="仿宋" w:eastAsia="仿宋" w:cs="仿宋"/>
          <w:color w:val="auto"/>
        </w:rPr>
        <w:fldChar w:fldCharType="separate"/>
      </w:r>
      <w:r>
        <w:rPr>
          <w:rFonts w:hint="eastAsia" w:ascii="仿宋" w:hAnsi="仿宋" w:eastAsia="仿宋" w:cs="仿宋"/>
          <w:color w:val="auto"/>
          <w:szCs w:val="21"/>
        </w:rPr>
        <w:t>2.2 现场施工测量</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"_Toc8475" </w:instrText>
      </w:r>
      <w:r>
        <w:rPr>
          <w:rFonts w:hint="eastAsia" w:ascii="仿宋" w:hAnsi="仿宋" w:eastAsia="仿宋" w:cs="仿宋"/>
          <w:color w:val="auto"/>
        </w:rPr>
        <w:fldChar w:fldCharType="separate"/>
      </w:r>
      <w:r>
        <w:rPr>
          <w:rFonts w:hint="eastAsia" w:ascii="仿宋" w:hAnsi="仿宋" w:eastAsia="仿宋" w:cs="仿宋"/>
          <w:color w:val="auto"/>
          <w:szCs w:val="21"/>
        </w:rPr>
        <w:t>2.3 现场试验</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"_Toc17026" </w:instrText>
      </w:r>
      <w:r>
        <w:rPr>
          <w:rFonts w:hint="eastAsia" w:ascii="仿宋" w:hAnsi="仿宋" w:eastAsia="仿宋" w:cs="仿宋"/>
          <w:color w:val="auto"/>
        </w:rPr>
        <w:fldChar w:fldCharType="separate"/>
      </w:r>
      <w:r>
        <w:rPr>
          <w:rFonts w:hint="eastAsia" w:ascii="仿宋" w:hAnsi="仿宋" w:eastAsia="仿宋" w:cs="仿宋"/>
          <w:color w:val="auto"/>
          <w:szCs w:val="21"/>
        </w:rPr>
        <w:t>2.4 施工交通</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"_Toc24408" </w:instrText>
      </w:r>
      <w:r>
        <w:rPr>
          <w:rFonts w:hint="eastAsia" w:ascii="仿宋" w:hAnsi="仿宋" w:eastAsia="仿宋" w:cs="仿宋"/>
          <w:color w:val="auto"/>
        </w:rPr>
        <w:fldChar w:fldCharType="separate"/>
      </w:r>
      <w:r>
        <w:rPr>
          <w:rFonts w:hint="eastAsia" w:ascii="仿宋" w:hAnsi="仿宋" w:eastAsia="仿宋" w:cs="仿宋"/>
          <w:color w:val="auto"/>
          <w:szCs w:val="21"/>
        </w:rPr>
        <w:t>2.5 施工供电</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"_Toc19105" </w:instrText>
      </w:r>
      <w:r>
        <w:rPr>
          <w:rFonts w:hint="eastAsia" w:ascii="仿宋" w:hAnsi="仿宋" w:eastAsia="仿宋" w:cs="仿宋"/>
          <w:color w:val="auto"/>
        </w:rPr>
        <w:fldChar w:fldCharType="separate"/>
      </w:r>
      <w:r>
        <w:rPr>
          <w:rFonts w:hint="eastAsia" w:ascii="仿宋" w:hAnsi="仿宋" w:eastAsia="仿宋" w:cs="仿宋"/>
          <w:color w:val="auto"/>
          <w:szCs w:val="21"/>
        </w:rPr>
        <w:t>2.6 施工供水</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"_Toc13463" </w:instrText>
      </w:r>
      <w:r>
        <w:rPr>
          <w:rFonts w:hint="eastAsia" w:ascii="仿宋" w:hAnsi="仿宋" w:eastAsia="仿宋" w:cs="仿宋"/>
          <w:color w:val="auto"/>
        </w:rPr>
        <w:fldChar w:fldCharType="separate"/>
      </w:r>
      <w:r>
        <w:rPr>
          <w:rFonts w:hint="eastAsia" w:ascii="仿宋" w:hAnsi="仿宋" w:eastAsia="仿宋" w:cs="仿宋"/>
          <w:color w:val="auto"/>
          <w:szCs w:val="21"/>
        </w:rPr>
        <w:t>2.7 施工供风</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"_Toc24499" </w:instrText>
      </w:r>
      <w:r>
        <w:rPr>
          <w:rFonts w:hint="eastAsia" w:ascii="仿宋" w:hAnsi="仿宋" w:eastAsia="仿宋" w:cs="仿宋"/>
          <w:color w:val="auto"/>
        </w:rPr>
        <w:fldChar w:fldCharType="separate"/>
      </w:r>
      <w:r>
        <w:rPr>
          <w:rFonts w:hint="eastAsia" w:ascii="仿宋" w:hAnsi="仿宋" w:eastAsia="仿宋" w:cs="仿宋"/>
          <w:color w:val="auto"/>
          <w:szCs w:val="21"/>
        </w:rPr>
        <w:t>2.8 施工照明</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"_Toc7700" </w:instrText>
      </w:r>
      <w:r>
        <w:rPr>
          <w:rFonts w:hint="eastAsia" w:ascii="仿宋" w:hAnsi="仿宋" w:eastAsia="仿宋" w:cs="仿宋"/>
          <w:color w:val="auto"/>
        </w:rPr>
        <w:fldChar w:fldCharType="separate"/>
      </w:r>
      <w:r>
        <w:rPr>
          <w:rFonts w:hint="eastAsia" w:ascii="仿宋" w:hAnsi="仿宋" w:eastAsia="仿宋" w:cs="仿宋"/>
          <w:color w:val="auto"/>
          <w:szCs w:val="21"/>
        </w:rPr>
        <w:t>2.9 施工通信</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"_Toc29640" </w:instrText>
      </w:r>
      <w:r>
        <w:rPr>
          <w:rFonts w:hint="eastAsia" w:ascii="仿宋" w:hAnsi="仿宋" w:eastAsia="仿宋" w:cs="仿宋"/>
          <w:color w:val="auto"/>
        </w:rPr>
        <w:fldChar w:fldCharType="separate"/>
      </w:r>
      <w:r>
        <w:rPr>
          <w:rFonts w:hint="eastAsia" w:ascii="仿宋" w:hAnsi="仿宋" w:eastAsia="仿宋" w:cs="仿宋"/>
          <w:color w:val="auto"/>
          <w:szCs w:val="21"/>
        </w:rPr>
        <w:t>2.10 混凝土生产系统</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"_Toc4185" </w:instrText>
      </w:r>
      <w:r>
        <w:rPr>
          <w:rFonts w:hint="eastAsia" w:ascii="仿宋" w:hAnsi="仿宋" w:eastAsia="仿宋" w:cs="仿宋"/>
          <w:color w:val="auto"/>
        </w:rPr>
        <w:fldChar w:fldCharType="separate"/>
      </w:r>
      <w:r>
        <w:rPr>
          <w:rFonts w:hint="eastAsia" w:ascii="仿宋" w:hAnsi="仿宋" w:eastAsia="仿宋" w:cs="仿宋"/>
          <w:color w:val="auto"/>
          <w:szCs w:val="21"/>
        </w:rPr>
        <w:t>2.11 临时工厂设施</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"_Toc12558" </w:instrText>
      </w:r>
      <w:r>
        <w:rPr>
          <w:rFonts w:hint="eastAsia" w:ascii="仿宋" w:hAnsi="仿宋" w:eastAsia="仿宋" w:cs="仿宋"/>
          <w:color w:val="auto"/>
        </w:rPr>
        <w:fldChar w:fldCharType="separate"/>
      </w:r>
      <w:r>
        <w:rPr>
          <w:rFonts w:hint="eastAsia" w:ascii="仿宋" w:hAnsi="仿宋" w:eastAsia="仿宋" w:cs="仿宋"/>
          <w:color w:val="auto"/>
          <w:szCs w:val="21"/>
        </w:rPr>
        <w:t>2.12 仓库和堆、存料场</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"_Toc15717" </w:instrText>
      </w:r>
      <w:r>
        <w:rPr>
          <w:rFonts w:hint="eastAsia" w:ascii="仿宋" w:hAnsi="仿宋" w:eastAsia="仿宋" w:cs="仿宋"/>
          <w:color w:val="auto"/>
        </w:rPr>
        <w:fldChar w:fldCharType="separate"/>
      </w:r>
      <w:r>
        <w:rPr>
          <w:rFonts w:hint="eastAsia" w:ascii="仿宋" w:hAnsi="仿宋" w:eastAsia="仿宋" w:cs="仿宋"/>
          <w:color w:val="auto"/>
          <w:szCs w:val="21"/>
        </w:rPr>
        <w:t>2.13 弃渣场</w:t>
      </w:r>
      <w:r>
        <w:rPr>
          <w:rFonts w:hint="eastAsia" w:ascii="仿宋" w:hAnsi="仿宋" w:eastAsia="仿宋" w:cs="仿宋"/>
          <w:color w:val="auto"/>
        </w:rPr>
        <w:tab/>
      </w:r>
      <w:r>
        <w:rPr>
          <w:rFonts w:hint="eastAsia" w:ascii="仿宋" w:hAnsi="仿宋" w:eastAsia="仿宋" w:cs="仿宋"/>
          <w:color w:val="auto"/>
        </w:rPr>
        <w:fldChar w:fldCharType="end"/>
      </w:r>
    </w:p>
    <w:p>
      <w:pPr>
        <w:pStyle w:val="22"/>
        <w:tabs>
          <w:tab w:val="right" w:leader="dot" w:pos="8902"/>
        </w:tabs>
        <w:ind w:left="48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"_Toc6125" </w:instrText>
      </w:r>
      <w:r>
        <w:rPr>
          <w:rFonts w:hint="eastAsia" w:ascii="仿宋" w:hAnsi="仿宋" w:eastAsia="仿宋" w:cs="仿宋"/>
          <w:color w:val="auto"/>
        </w:rPr>
        <w:fldChar w:fldCharType="separate"/>
      </w:r>
      <w:r>
        <w:rPr>
          <w:rFonts w:hint="eastAsia" w:ascii="仿宋" w:hAnsi="仿宋" w:eastAsia="仿宋" w:cs="仿宋"/>
          <w:color w:val="auto"/>
          <w:szCs w:val="21"/>
        </w:rPr>
        <w:t>2.14 临时生产管理和生活设施</w:t>
      </w:r>
      <w:r>
        <w:rPr>
          <w:rFonts w:hint="eastAsia" w:ascii="仿宋" w:hAnsi="仿宋" w:eastAsia="仿宋" w:cs="仿宋"/>
          <w:color w:val="auto"/>
        </w:rPr>
        <w:tab/>
      </w:r>
      <w:r>
        <w:rPr>
          <w:rFonts w:hint="eastAsia" w:ascii="仿宋" w:hAnsi="仿宋" w:eastAsia="仿宋" w:cs="仿宋"/>
          <w:color w:val="auto"/>
        </w:rPr>
        <w:fldChar w:fldCharType="end"/>
      </w:r>
    </w:p>
    <w:p>
      <w:pPr>
        <w:pStyle w:val="22"/>
        <w:tabs>
          <w:tab w:val="right" w:leader="dot" w:pos="8902"/>
        </w:tabs>
        <w:ind w:left="48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"_Toc26844" </w:instrText>
      </w:r>
      <w:r>
        <w:rPr>
          <w:rFonts w:hint="eastAsia" w:ascii="仿宋" w:hAnsi="仿宋" w:eastAsia="仿宋" w:cs="仿宋"/>
          <w:color w:val="auto"/>
        </w:rPr>
        <w:fldChar w:fldCharType="separate"/>
      </w:r>
      <w:r>
        <w:rPr>
          <w:rFonts w:hint="eastAsia" w:ascii="仿宋" w:hAnsi="仿宋" w:eastAsia="仿宋" w:cs="仿宋"/>
          <w:color w:val="auto"/>
          <w:szCs w:val="21"/>
        </w:rPr>
        <w:t>第3节施工安全措施</w:t>
      </w:r>
      <w:r>
        <w:rPr>
          <w:rFonts w:hint="eastAsia" w:ascii="仿宋" w:hAnsi="仿宋" w:eastAsia="仿宋" w:cs="仿宋"/>
          <w:color w:val="auto"/>
        </w:rPr>
        <w:tab/>
      </w:r>
      <w:r>
        <w:rPr>
          <w:rFonts w:hint="eastAsia" w:ascii="仿宋" w:hAnsi="仿宋" w:eastAsia="仿宋" w:cs="仿宋"/>
          <w:color w:val="auto"/>
        </w:rPr>
        <w:fldChar w:fldCharType="end"/>
      </w:r>
    </w:p>
    <w:p>
      <w:pPr>
        <w:pStyle w:val="22"/>
        <w:tabs>
          <w:tab w:val="right" w:leader="dot" w:pos="8902"/>
        </w:tabs>
        <w:ind w:left="48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"_Toc30443" </w:instrText>
      </w:r>
      <w:r>
        <w:rPr>
          <w:rFonts w:hint="eastAsia" w:ascii="仿宋" w:hAnsi="仿宋" w:eastAsia="仿宋" w:cs="仿宋"/>
          <w:color w:val="auto"/>
        </w:rPr>
        <w:fldChar w:fldCharType="separate"/>
      </w:r>
      <w:r>
        <w:rPr>
          <w:rFonts w:hint="eastAsia" w:ascii="仿宋" w:hAnsi="仿宋" w:eastAsia="仿宋" w:cs="仿宋"/>
          <w:color w:val="auto"/>
          <w:szCs w:val="21"/>
        </w:rPr>
        <w:t>3.1一般规定</w:t>
      </w:r>
      <w:r>
        <w:rPr>
          <w:rFonts w:hint="eastAsia" w:ascii="仿宋" w:hAnsi="仿宋" w:eastAsia="仿宋" w:cs="仿宋"/>
          <w:color w:val="auto"/>
        </w:rPr>
        <w:tab/>
      </w:r>
      <w:r>
        <w:rPr>
          <w:rFonts w:hint="eastAsia" w:ascii="仿宋" w:hAnsi="仿宋" w:eastAsia="仿宋" w:cs="仿宋"/>
          <w:color w:val="auto"/>
        </w:rPr>
        <w:fldChar w:fldCharType="end"/>
      </w:r>
    </w:p>
    <w:p>
      <w:pPr>
        <w:pStyle w:val="22"/>
        <w:tabs>
          <w:tab w:val="right" w:leader="dot" w:pos="8902"/>
        </w:tabs>
        <w:ind w:left="48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"_Toc8916" </w:instrText>
      </w:r>
      <w:r>
        <w:rPr>
          <w:rFonts w:hint="eastAsia" w:ascii="仿宋" w:hAnsi="仿宋" w:eastAsia="仿宋" w:cs="仿宋"/>
          <w:color w:val="auto"/>
        </w:rPr>
        <w:fldChar w:fldCharType="separate"/>
      </w:r>
      <w:r>
        <w:rPr>
          <w:rFonts w:hint="eastAsia" w:ascii="仿宋" w:hAnsi="仿宋" w:eastAsia="仿宋" w:cs="仿宋"/>
          <w:color w:val="auto"/>
          <w:szCs w:val="21"/>
        </w:rPr>
        <w:t>3.2  文明施工措施</w:t>
      </w:r>
      <w:r>
        <w:rPr>
          <w:rFonts w:hint="eastAsia" w:ascii="仿宋" w:hAnsi="仿宋" w:eastAsia="仿宋" w:cs="仿宋"/>
          <w:color w:val="auto"/>
        </w:rPr>
        <w:tab/>
      </w:r>
      <w:r>
        <w:rPr>
          <w:rFonts w:hint="eastAsia" w:ascii="仿宋" w:hAnsi="仿宋" w:eastAsia="仿宋" w:cs="仿宋"/>
          <w:color w:val="auto"/>
        </w:rPr>
        <w:fldChar w:fldCharType="end"/>
      </w:r>
    </w:p>
    <w:p>
      <w:pPr>
        <w:pStyle w:val="22"/>
        <w:tabs>
          <w:tab w:val="right" w:leader="dot" w:pos="8902"/>
        </w:tabs>
        <w:ind w:left="48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"_Toc21195" </w:instrText>
      </w:r>
      <w:r>
        <w:rPr>
          <w:rFonts w:hint="eastAsia" w:ascii="仿宋" w:hAnsi="仿宋" w:eastAsia="仿宋" w:cs="仿宋"/>
          <w:color w:val="auto"/>
        </w:rPr>
        <w:fldChar w:fldCharType="separate"/>
      </w:r>
      <w:r>
        <w:rPr>
          <w:rFonts w:hint="eastAsia" w:ascii="仿宋" w:hAnsi="仿宋" w:eastAsia="仿宋" w:cs="仿宋"/>
          <w:color w:val="auto"/>
          <w:szCs w:val="21"/>
        </w:rPr>
        <w:t>3.3施工安全措施</w:t>
      </w:r>
      <w:r>
        <w:rPr>
          <w:rFonts w:hint="eastAsia" w:ascii="仿宋" w:hAnsi="仿宋" w:eastAsia="仿宋" w:cs="仿宋"/>
          <w:color w:val="auto"/>
        </w:rPr>
        <w:tab/>
      </w:r>
      <w:r>
        <w:rPr>
          <w:rFonts w:hint="eastAsia" w:ascii="仿宋" w:hAnsi="仿宋" w:eastAsia="仿宋" w:cs="仿宋"/>
          <w:color w:val="auto"/>
        </w:rPr>
        <w:fldChar w:fldCharType="end"/>
      </w:r>
    </w:p>
    <w:p>
      <w:pPr>
        <w:pStyle w:val="22"/>
        <w:tabs>
          <w:tab w:val="right" w:leader="dot" w:pos="8902"/>
        </w:tabs>
        <w:ind w:left="48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"_Toc17920" </w:instrText>
      </w:r>
      <w:r>
        <w:rPr>
          <w:rFonts w:hint="eastAsia" w:ascii="仿宋" w:hAnsi="仿宋" w:eastAsia="仿宋" w:cs="仿宋"/>
          <w:color w:val="auto"/>
        </w:rPr>
        <w:fldChar w:fldCharType="separate"/>
      </w:r>
      <w:r>
        <w:rPr>
          <w:rFonts w:hint="eastAsia" w:ascii="仿宋" w:hAnsi="仿宋" w:eastAsia="仿宋" w:cs="仿宋"/>
          <w:color w:val="auto"/>
          <w:szCs w:val="21"/>
        </w:rPr>
        <w:t>3.4应急救援措施</w:t>
      </w:r>
      <w:r>
        <w:rPr>
          <w:rFonts w:hint="eastAsia" w:ascii="仿宋" w:hAnsi="仿宋" w:eastAsia="仿宋" w:cs="仿宋"/>
          <w:color w:val="auto"/>
        </w:rPr>
        <w:tab/>
      </w:r>
      <w:r>
        <w:rPr>
          <w:rFonts w:hint="eastAsia" w:ascii="仿宋" w:hAnsi="仿宋" w:eastAsia="仿宋" w:cs="仿宋"/>
          <w:color w:val="auto"/>
        </w:rPr>
        <w:fldChar w:fldCharType="end"/>
      </w:r>
    </w:p>
    <w:p>
      <w:pPr>
        <w:pStyle w:val="22"/>
        <w:tabs>
          <w:tab w:val="right" w:leader="dot" w:pos="8902"/>
        </w:tabs>
        <w:ind w:left="48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"_Toc18563" </w:instrText>
      </w:r>
      <w:r>
        <w:rPr>
          <w:rFonts w:hint="eastAsia" w:ascii="仿宋" w:hAnsi="仿宋" w:eastAsia="仿宋" w:cs="仿宋"/>
          <w:color w:val="auto"/>
        </w:rPr>
        <w:fldChar w:fldCharType="separate"/>
      </w:r>
      <w:r>
        <w:rPr>
          <w:rFonts w:hint="eastAsia" w:ascii="仿宋" w:hAnsi="仿宋" w:eastAsia="仿宋" w:cs="仿宋"/>
          <w:color w:val="auto"/>
          <w:szCs w:val="21"/>
        </w:rPr>
        <w:t>3.5  计量和支付</w:t>
      </w:r>
      <w:r>
        <w:rPr>
          <w:rFonts w:hint="eastAsia" w:ascii="仿宋" w:hAnsi="仿宋" w:eastAsia="仿宋" w:cs="仿宋"/>
          <w:color w:val="auto"/>
        </w:rPr>
        <w:tab/>
      </w:r>
      <w:r>
        <w:rPr>
          <w:rFonts w:hint="eastAsia" w:ascii="仿宋" w:hAnsi="仿宋" w:eastAsia="仿宋" w:cs="仿宋"/>
          <w:color w:val="auto"/>
        </w:rPr>
        <w:fldChar w:fldCharType="end"/>
      </w:r>
    </w:p>
    <w:p>
      <w:pPr>
        <w:pStyle w:val="22"/>
        <w:tabs>
          <w:tab w:val="right" w:leader="dot" w:pos="8902"/>
        </w:tabs>
        <w:ind w:left="48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"_Toc15433" </w:instrText>
      </w:r>
      <w:r>
        <w:rPr>
          <w:rFonts w:hint="eastAsia" w:ascii="仿宋" w:hAnsi="仿宋" w:eastAsia="仿宋" w:cs="仿宋"/>
          <w:color w:val="auto"/>
        </w:rPr>
        <w:fldChar w:fldCharType="separate"/>
      </w:r>
      <w:r>
        <w:rPr>
          <w:rFonts w:hint="eastAsia" w:ascii="仿宋" w:hAnsi="仿宋" w:eastAsia="仿宋" w:cs="仿宋"/>
          <w:color w:val="auto"/>
          <w:szCs w:val="21"/>
        </w:rPr>
        <w:t>3.6本招标文件中未体现的，按国家、省、市有关法律法规执行。</w:t>
      </w:r>
      <w:r>
        <w:rPr>
          <w:rFonts w:hint="eastAsia" w:ascii="仿宋" w:hAnsi="仿宋" w:eastAsia="仿宋" w:cs="仿宋"/>
          <w:color w:val="auto"/>
        </w:rPr>
        <w:tab/>
      </w:r>
      <w:r>
        <w:rPr>
          <w:rFonts w:hint="eastAsia" w:ascii="仿宋" w:hAnsi="仿宋" w:eastAsia="仿宋" w:cs="仿宋"/>
          <w:color w:val="auto"/>
        </w:rPr>
        <w:fldChar w:fldCharType="end"/>
      </w:r>
    </w:p>
    <w:p>
      <w:pPr>
        <w:pStyle w:val="22"/>
        <w:tabs>
          <w:tab w:val="right" w:leader="dot" w:pos="8902"/>
        </w:tabs>
        <w:ind w:left="48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"_Toc32761" </w:instrText>
      </w:r>
      <w:r>
        <w:rPr>
          <w:rFonts w:hint="eastAsia" w:ascii="仿宋" w:hAnsi="仿宋" w:eastAsia="仿宋" w:cs="仿宋"/>
          <w:color w:val="auto"/>
        </w:rPr>
        <w:fldChar w:fldCharType="separate"/>
      </w:r>
      <w:r>
        <w:rPr>
          <w:rFonts w:hint="eastAsia" w:ascii="仿宋" w:hAnsi="仿宋" w:eastAsia="仿宋" w:cs="仿宋"/>
          <w:color w:val="auto"/>
          <w:szCs w:val="30"/>
        </w:rPr>
        <w:t>第4节环境保护和水土保持</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"_Toc25876" </w:instrText>
      </w:r>
      <w:r>
        <w:rPr>
          <w:rFonts w:hint="eastAsia" w:ascii="仿宋" w:hAnsi="仿宋" w:eastAsia="仿宋" w:cs="仿宋"/>
          <w:color w:val="auto"/>
        </w:rPr>
        <w:fldChar w:fldCharType="separate"/>
      </w:r>
      <w:r>
        <w:rPr>
          <w:rFonts w:hint="eastAsia" w:ascii="仿宋" w:hAnsi="仿宋" w:eastAsia="仿宋" w:cs="仿宋"/>
          <w:color w:val="auto"/>
          <w:szCs w:val="21"/>
        </w:rPr>
        <w:t>4.1 一般规定</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"_Toc15792" </w:instrText>
      </w:r>
      <w:r>
        <w:rPr>
          <w:rFonts w:hint="eastAsia" w:ascii="仿宋" w:hAnsi="仿宋" w:eastAsia="仿宋" w:cs="仿宋"/>
          <w:color w:val="auto"/>
        </w:rPr>
        <w:fldChar w:fldCharType="separate"/>
      </w:r>
      <w:r>
        <w:rPr>
          <w:rFonts w:hint="eastAsia" w:ascii="仿宋" w:hAnsi="仿宋" w:eastAsia="仿宋" w:cs="仿宋"/>
          <w:color w:val="auto"/>
          <w:szCs w:val="21"/>
        </w:rPr>
        <w:t>4.2 施工环境保护</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"_Toc4803" </w:instrText>
      </w:r>
      <w:r>
        <w:rPr>
          <w:rFonts w:hint="eastAsia" w:ascii="仿宋" w:hAnsi="仿宋" w:eastAsia="仿宋" w:cs="仿宋"/>
          <w:color w:val="auto"/>
        </w:rPr>
        <w:fldChar w:fldCharType="separate"/>
      </w:r>
      <w:r>
        <w:rPr>
          <w:rFonts w:hint="eastAsia" w:ascii="仿宋" w:hAnsi="仿宋" w:eastAsia="仿宋" w:cs="仿宋"/>
          <w:color w:val="auto"/>
          <w:szCs w:val="21"/>
        </w:rPr>
        <w:t>4.3 生态环境保护</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"_Toc21191" </w:instrText>
      </w:r>
      <w:r>
        <w:rPr>
          <w:rFonts w:hint="eastAsia" w:ascii="仿宋" w:hAnsi="仿宋" w:eastAsia="仿宋" w:cs="仿宋"/>
          <w:color w:val="auto"/>
        </w:rPr>
        <w:fldChar w:fldCharType="separate"/>
      </w:r>
      <w:r>
        <w:rPr>
          <w:rFonts w:hint="eastAsia" w:ascii="仿宋" w:hAnsi="仿宋" w:eastAsia="仿宋" w:cs="仿宋"/>
          <w:color w:val="auto"/>
          <w:szCs w:val="21"/>
        </w:rPr>
        <w:t>4.4 水土保持</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"_Toc308" </w:instrText>
      </w:r>
      <w:r>
        <w:rPr>
          <w:rFonts w:hint="eastAsia" w:ascii="仿宋" w:hAnsi="仿宋" w:eastAsia="仿宋" w:cs="仿宋"/>
          <w:color w:val="auto"/>
        </w:rPr>
        <w:fldChar w:fldCharType="separate"/>
      </w:r>
      <w:r>
        <w:rPr>
          <w:rFonts w:hint="eastAsia" w:ascii="仿宋" w:hAnsi="仿宋" w:eastAsia="仿宋" w:cs="仿宋"/>
          <w:color w:val="auto"/>
          <w:szCs w:val="21"/>
        </w:rPr>
        <w:t>4.5 环境清理</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"_Toc26100" </w:instrText>
      </w:r>
      <w:r>
        <w:rPr>
          <w:rFonts w:hint="eastAsia" w:ascii="仿宋" w:hAnsi="仿宋" w:eastAsia="仿宋" w:cs="仿宋"/>
          <w:color w:val="auto"/>
        </w:rPr>
        <w:fldChar w:fldCharType="separate"/>
      </w:r>
      <w:r>
        <w:rPr>
          <w:rFonts w:hint="eastAsia" w:ascii="仿宋" w:hAnsi="仿宋" w:eastAsia="仿宋" w:cs="仿宋"/>
          <w:color w:val="auto"/>
          <w:szCs w:val="21"/>
        </w:rPr>
        <w:t>4.6 环境保护工程的验收</w:t>
      </w:r>
      <w:r>
        <w:rPr>
          <w:rFonts w:hint="eastAsia" w:ascii="仿宋" w:hAnsi="仿宋" w:eastAsia="仿宋" w:cs="仿宋"/>
          <w:color w:val="auto"/>
        </w:rPr>
        <w:tab/>
      </w:r>
      <w:r>
        <w:rPr>
          <w:rFonts w:hint="eastAsia" w:ascii="仿宋" w:hAnsi="仿宋" w:eastAsia="仿宋" w:cs="仿宋"/>
          <w:color w:val="auto"/>
        </w:rPr>
        <w:fldChar w:fldCharType="end"/>
      </w:r>
    </w:p>
    <w:p>
      <w:pPr>
        <w:pStyle w:val="22"/>
        <w:tabs>
          <w:tab w:val="right" w:leader="dot" w:pos="8902"/>
        </w:tabs>
        <w:ind w:left="48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"_Toc30028" </w:instrText>
      </w:r>
      <w:r>
        <w:rPr>
          <w:rFonts w:hint="eastAsia" w:ascii="仿宋" w:hAnsi="仿宋" w:eastAsia="仿宋" w:cs="仿宋"/>
          <w:color w:val="auto"/>
        </w:rPr>
        <w:fldChar w:fldCharType="separate"/>
      </w:r>
      <w:r>
        <w:rPr>
          <w:rFonts w:hint="eastAsia" w:ascii="仿宋" w:hAnsi="仿宋" w:eastAsia="仿宋" w:cs="仿宋"/>
          <w:color w:val="auto"/>
          <w:szCs w:val="30"/>
        </w:rPr>
        <w:t>第5节土方明挖</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"_Toc30165" </w:instrText>
      </w:r>
      <w:r>
        <w:rPr>
          <w:rFonts w:hint="eastAsia" w:ascii="仿宋" w:hAnsi="仿宋" w:eastAsia="仿宋" w:cs="仿宋"/>
          <w:color w:val="auto"/>
        </w:rPr>
        <w:fldChar w:fldCharType="separate"/>
      </w:r>
      <w:r>
        <w:rPr>
          <w:rFonts w:hint="eastAsia" w:ascii="仿宋" w:hAnsi="仿宋" w:eastAsia="仿宋" w:cs="仿宋"/>
          <w:color w:val="auto"/>
          <w:szCs w:val="21"/>
        </w:rPr>
        <w:t>5.1 一般规定</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"_Toc12477" </w:instrText>
      </w:r>
      <w:r>
        <w:rPr>
          <w:rFonts w:hint="eastAsia" w:ascii="仿宋" w:hAnsi="仿宋" w:eastAsia="仿宋" w:cs="仿宋"/>
          <w:color w:val="auto"/>
        </w:rPr>
        <w:fldChar w:fldCharType="separate"/>
      </w:r>
      <w:r>
        <w:rPr>
          <w:rFonts w:hint="eastAsia" w:ascii="仿宋" w:hAnsi="仿宋" w:eastAsia="仿宋" w:cs="仿宋"/>
          <w:color w:val="auto"/>
          <w:szCs w:val="21"/>
        </w:rPr>
        <w:t>5.2 场地清理</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"_Toc20525" </w:instrText>
      </w:r>
      <w:r>
        <w:rPr>
          <w:rFonts w:hint="eastAsia" w:ascii="仿宋" w:hAnsi="仿宋" w:eastAsia="仿宋" w:cs="仿宋"/>
          <w:color w:val="auto"/>
        </w:rPr>
        <w:fldChar w:fldCharType="separate"/>
      </w:r>
      <w:r>
        <w:rPr>
          <w:rFonts w:hint="eastAsia" w:ascii="仿宋" w:hAnsi="仿宋" w:eastAsia="仿宋" w:cs="仿宋"/>
          <w:color w:val="auto"/>
          <w:szCs w:val="21"/>
        </w:rPr>
        <w:t>5.3 土方开挖</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"_Toc17239" </w:instrText>
      </w:r>
      <w:r>
        <w:rPr>
          <w:rFonts w:hint="eastAsia" w:ascii="仿宋" w:hAnsi="仿宋" w:eastAsia="仿宋" w:cs="仿宋"/>
          <w:color w:val="auto"/>
        </w:rPr>
        <w:fldChar w:fldCharType="separate"/>
      </w:r>
      <w:r>
        <w:rPr>
          <w:rFonts w:hint="eastAsia" w:ascii="仿宋" w:hAnsi="仿宋" w:eastAsia="仿宋" w:cs="仿宋"/>
          <w:color w:val="auto"/>
          <w:szCs w:val="21"/>
        </w:rPr>
        <w:t>5.4 施工期临时排水</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"_Toc28574" </w:instrText>
      </w:r>
      <w:r>
        <w:rPr>
          <w:rFonts w:hint="eastAsia" w:ascii="仿宋" w:hAnsi="仿宋" w:eastAsia="仿宋" w:cs="仿宋"/>
          <w:color w:val="auto"/>
        </w:rPr>
        <w:fldChar w:fldCharType="separate"/>
      </w:r>
      <w:r>
        <w:rPr>
          <w:rFonts w:hint="eastAsia" w:ascii="仿宋" w:hAnsi="仿宋" w:eastAsia="仿宋" w:cs="仿宋"/>
          <w:color w:val="auto"/>
          <w:szCs w:val="21"/>
        </w:rPr>
        <w:t>5.5 土料场</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"_Toc10983" </w:instrText>
      </w:r>
      <w:r>
        <w:rPr>
          <w:rFonts w:hint="eastAsia" w:ascii="仿宋" w:hAnsi="仿宋" w:eastAsia="仿宋" w:cs="仿宋"/>
          <w:color w:val="auto"/>
        </w:rPr>
        <w:fldChar w:fldCharType="separate"/>
      </w:r>
      <w:r>
        <w:rPr>
          <w:rFonts w:hint="eastAsia" w:ascii="仿宋" w:hAnsi="仿宋" w:eastAsia="仿宋" w:cs="仿宋"/>
          <w:color w:val="auto"/>
          <w:szCs w:val="21"/>
        </w:rPr>
        <w:t>5.6 开挖渣料的利用和弃渣处理</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"_Toc1118" </w:instrText>
      </w:r>
      <w:r>
        <w:rPr>
          <w:rFonts w:hint="eastAsia" w:ascii="仿宋" w:hAnsi="仿宋" w:eastAsia="仿宋" w:cs="仿宋"/>
          <w:color w:val="auto"/>
        </w:rPr>
        <w:fldChar w:fldCharType="separate"/>
      </w:r>
      <w:r>
        <w:rPr>
          <w:rFonts w:hint="eastAsia" w:ascii="仿宋" w:hAnsi="仿宋" w:eastAsia="仿宋" w:cs="仿宋"/>
          <w:color w:val="auto"/>
          <w:szCs w:val="21"/>
        </w:rPr>
        <w:t>5.7 检查和验收</w:t>
      </w:r>
      <w:r>
        <w:rPr>
          <w:rFonts w:hint="eastAsia" w:ascii="仿宋" w:hAnsi="仿宋" w:eastAsia="仿宋" w:cs="仿宋"/>
          <w:color w:val="auto"/>
        </w:rPr>
        <w:tab/>
      </w:r>
      <w:r>
        <w:rPr>
          <w:rFonts w:hint="eastAsia" w:ascii="仿宋" w:hAnsi="仿宋" w:eastAsia="仿宋" w:cs="仿宋"/>
          <w:color w:val="auto"/>
        </w:rPr>
        <w:fldChar w:fldCharType="end"/>
      </w:r>
    </w:p>
    <w:p>
      <w:pPr>
        <w:pStyle w:val="22"/>
        <w:tabs>
          <w:tab w:val="right" w:leader="dot" w:pos="8902"/>
        </w:tabs>
        <w:ind w:left="48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"_Toc13043" </w:instrText>
      </w:r>
      <w:r>
        <w:rPr>
          <w:rFonts w:hint="eastAsia" w:ascii="仿宋" w:hAnsi="仿宋" w:eastAsia="仿宋" w:cs="仿宋"/>
          <w:color w:val="auto"/>
        </w:rPr>
        <w:fldChar w:fldCharType="separate"/>
      </w:r>
      <w:r>
        <w:rPr>
          <w:rFonts w:hint="eastAsia" w:ascii="仿宋" w:hAnsi="仿宋" w:eastAsia="仿宋" w:cs="仿宋"/>
          <w:color w:val="auto"/>
          <w:szCs w:val="30"/>
        </w:rPr>
        <w:t>第6节土石方填筑工程</w:t>
      </w:r>
      <w:r>
        <w:rPr>
          <w:rFonts w:hint="eastAsia" w:ascii="仿宋" w:hAnsi="仿宋" w:eastAsia="仿宋" w:cs="仿宋"/>
          <w:color w:val="auto"/>
        </w:rPr>
        <w:tab/>
      </w:r>
      <w:r>
        <w:rPr>
          <w:rFonts w:hint="eastAsia" w:ascii="仿宋" w:hAnsi="仿宋" w:eastAsia="仿宋" w:cs="仿宋"/>
          <w:color w:val="auto"/>
        </w:rPr>
        <w:fldChar w:fldCharType="end"/>
      </w:r>
    </w:p>
    <w:p>
      <w:pPr>
        <w:pStyle w:val="22"/>
        <w:tabs>
          <w:tab w:val="right" w:leader="dot" w:pos="8902"/>
        </w:tabs>
        <w:ind w:left="48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"_Toc8058" </w:instrText>
      </w:r>
      <w:r>
        <w:rPr>
          <w:rFonts w:hint="eastAsia" w:ascii="仿宋" w:hAnsi="仿宋" w:eastAsia="仿宋" w:cs="仿宋"/>
          <w:color w:val="auto"/>
        </w:rPr>
        <w:fldChar w:fldCharType="separate"/>
      </w:r>
      <w:r>
        <w:rPr>
          <w:rFonts w:hint="eastAsia" w:ascii="仿宋" w:hAnsi="仿宋" w:eastAsia="仿宋" w:cs="仿宋"/>
          <w:color w:val="auto"/>
          <w:szCs w:val="30"/>
        </w:rPr>
        <w:t>第7节砌体工程</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"_Toc13699"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7.1 一般规定</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"_Toc21312"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7.2 石砌体工程</w:t>
      </w:r>
      <w:r>
        <w:rPr>
          <w:rFonts w:hint="eastAsia" w:ascii="仿宋" w:hAnsi="仿宋" w:eastAsia="仿宋" w:cs="仿宋"/>
          <w:color w:val="auto"/>
        </w:rPr>
        <w:tab/>
      </w:r>
      <w:r>
        <w:rPr>
          <w:rFonts w:hint="eastAsia" w:ascii="仿宋" w:hAnsi="仿宋" w:eastAsia="仿宋" w:cs="仿宋"/>
          <w:color w:val="auto"/>
        </w:rPr>
        <w:fldChar w:fldCharType="end"/>
      </w:r>
    </w:p>
    <w:p>
      <w:pPr>
        <w:pStyle w:val="22"/>
        <w:tabs>
          <w:tab w:val="right" w:leader="dot" w:pos="8902"/>
        </w:tabs>
        <w:ind w:left="48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"_Toc17004" </w:instrText>
      </w:r>
      <w:r>
        <w:rPr>
          <w:rFonts w:hint="eastAsia" w:ascii="仿宋" w:hAnsi="仿宋" w:eastAsia="仿宋" w:cs="仿宋"/>
          <w:color w:val="auto"/>
        </w:rPr>
        <w:fldChar w:fldCharType="separate"/>
      </w:r>
      <w:r>
        <w:rPr>
          <w:rFonts w:hint="eastAsia" w:ascii="仿宋" w:hAnsi="仿宋" w:eastAsia="仿宋" w:cs="仿宋"/>
          <w:color w:val="auto"/>
          <w:szCs w:val="30"/>
        </w:rPr>
        <w:t>第8节混凝土工程</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"_Toc9195"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8.1 一般规定</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"_Toc6615"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8.2 混凝土生产</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"_Toc12942"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8.3 模板</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"_Toc23523"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8.4 钢筋</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"_Toc7329"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8.5 混凝土（含钢筋混凝土）</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"_Toc7845" </w:instrText>
      </w:r>
      <w:r>
        <w:rPr>
          <w:rFonts w:hint="eastAsia" w:ascii="仿宋" w:hAnsi="仿宋" w:eastAsia="仿宋" w:cs="仿宋"/>
          <w:color w:val="auto"/>
        </w:rPr>
        <w:fldChar w:fldCharType="separate"/>
      </w:r>
      <w:r>
        <w:rPr>
          <w:rFonts w:hint="eastAsia" w:ascii="仿宋" w:hAnsi="仿宋" w:eastAsia="仿宋" w:cs="仿宋"/>
          <w:snapToGrid w:val="0"/>
          <w:color w:val="auto"/>
          <w:szCs w:val="21"/>
        </w:rPr>
        <w:t>8.6 计量和支付</w:t>
      </w:r>
      <w:r>
        <w:rPr>
          <w:rFonts w:hint="eastAsia" w:ascii="仿宋" w:hAnsi="仿宋" w:eastAsia="仿宋" w:cs="仿宋"/>
          <w:color w:val="auto"/>
        </w:rPr>
        <w:tab/>
      </w:r>
      <w:r>
        <w:rPr>
          <w:rFonts w:hint="eastAsia" w:ascii="仿宋" w:hAnsi="仿宋" w:eastAsia="仿宋" w:cs="仿宋"/>
          <w:color w:val="auto"/>
        </w:rPr>
        <w:fldChar w:fldCharType="end"/>
      </w:r>
    </w:p>
    <w:p>
      <w:pPr>
        <w:pStyle w:val="22"/>
        <w:tabs>
          <w:tab w:val="right" w:leader="dot" w:pos="8902"/>
        </w:tabs>
        <w:ind w:left="48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"_Toc7313" </w:instrText>
      </w:r>
      <w:r>
        <w:rPr>
          <w:rFonts w:hint="eastAsia" w:ascii="仿宋" w:hAnsi="仿宋" w:eastAsia="仿宋" w:cs="仿宋"/>
          <w:color w:val="auto"/>
        </w:rPr>
        <w:fldChar w:fldCharType="separate"/>
      </w:r>
      <w:r>
        <w:rPr>
          <w:rFonts w:hint="eastAsia" w:ascii="仿宋" w:hAnsi="仿宋" w:eastAsia="仿宋" w:cs="仿宋"/>
          <w:color w:val="auto"/>
          <w:szCs w:val="32"/>
        </w:rPr>
        <w:t>第八章投标文件格式</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"_Toc25805" </w:instrText>
      </w:r>
      <w:r>
        <w:rPr>
          <w:rFonts w:hint="eastAsia" w:ascii="仿宋" w:hAnsi="仿宋" w:eastAsia="仿宋" w:cs="仿宋"/>
          <w:color w:val="auto"/>
        </w:rPr>
        <w:fldChar w:fldCharType="separate"/>
      </w:r>
      <w:r>
        <w:rPr>
          <w:rFonts w:hint="eastAsia" w:ascii="仿宋" w:hAnsi="仿宋" w:eastAsia="仿宋" w:cs="仿宋"/>
          <w:snapToGrid w:val="0"/>
          <w:color w:val="auto"/>
          <w:szCs w:val="32"/>
        </w:rPr>
        <w:t>一、技术文件特征值表</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"_Toc7243" </w:instrText>
      </w:r>
      <w:r>
        <w:rPr>
          <w:rFonts w:hint="eastAsia" w:ascii="仿宋" w:hAnsi="仿宋" w:eastAsia="仿宋" w:cs="仿宋"/>
          <w:color w:val="auto"/>
        </w:rPr>
        <w:fldChar w:fldCharType="separate"/>
      </w:r>
      <w:r>
        <w:rPr>
          <w:rFonts w:hint="eastAsia" w:ascii="仿宋" w:hAnsi="仿宋" w:eastAsia="仿宋" w:cs="仿宋"/>
          <w:snapToGrid w:val="0"/>
          <w:color w:val="auto"/>
          <w:szCs w:val="32"/>
        </w:rPr>
        <w:t>二、法定代表人身份证明</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"_Toc689" </w:instrText>
      </w:r>
      <w:r>
        <w:rPr>
          <w:rFonts w:hint="eastAsia" w:ascii="仿宋" w:hAnsi="仿宋" w:eastAsia="仿宋" w:cs="仿宋"/>
          <w:color w:val="auto"/>
        </w:rPr>
        <w:fldChar w:fldCharType="separate"/>
      </w:r>
      <w:r>
        <w:rPr>
          <w:rFonts w:hint="eastAsia" w:ascii="仿宋" w:hAnsi="仿宋" w:eastAsia="仿宋" w:cs="仿宋"/>
          <w:snapToGrid w:val="0"/>
          <w:color w:val="auto"/>
          <w:szCs w:val="32"/>
        </w:rPr>
        <w:t>授权委托书</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"_Toc12436" </w:instrText>
      </w:r>
      <w:r>
        <w:rPr>
          <w:rFonts w:hint="eastAsia" w:ascii="仿宋" w:hAnsi="仿宋" w:eastAsia="仿宋" w:cs="仿宋"/>
          <w:color w:val="auto"/>
        </w:rPr>
        <w:fldChar w:fldCharType="separate"/>
      </w:r>
      <w:r>
        <w:rPr>
          <w:rFonts w:hint="eastAsia" w:ascii="仿宋" w:hAnsi="仿宋" w:eastAsia="仿宋" w:cs="仿宋"/>
          <w:snapToGrid w:val="0"/>
          <w:color w:val="auto"/>
          <w:szCs w:val="28"/>
        </w:rPr>
        <w:t>三、投标保证金</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"_Toc11417" </w:instrText>
      </w:r>
      <w:r>
        <w:rPr>
          <w:rFonts w:hint="eastAsia" w:ascii="仿宋" w:hAnsi="仿宋" w:eastAsia="仿宋" w:cs="仿宋"/>
          <w:color w:val="auto"/>
        </w:rPr>
        <w:fldChar w:fldCharType="separate"/>
      </w:r>
      <w:r>
        <w:rPr>
          <w:rFonts w:hint="eastAsia" w:ascii="仿宋" w:hAnsi="仿宋" w:eastAsia="仿宋" w:cs="仿宋"/>
          <w:snapToGrid w:val="0"/>
          <w:color w:val="auto"/>
          <w:szCs w:val="28"/>
        </w:rPr>
        <w:t>四、施工组织设计</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"_Toc27821" </w:instrText>
      </w:r>
      <w:r>
        <w:rPr>
          <w:rFonts w:hint="eastAsia" w:ascii="仿宋" w:hAnsi="仿宋" w:eastAsia="仿宋" w:cs="仿宋"/>
          <w:color w:val="auto"/>
        </w:rPr>
        <w:fldChar w:fldCharType="separate"/>
      </w:r>
      <w:r>
        <w:rPr>
          <w:rFonts w:hint="eastAsia" w:ascii="仿宋" w:hAnsi="仿宋" w:eastAsia="仿宋" w:cs="仿宋"/>
          <w:snapToGrid w:val="0"/>
          <w:color w:val="auto"/>
          <w:szCs w:val="28"/>
        </w:rPr>
        <w:t>五、项目管理机构</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"_Toc125" </w:instrText>
      </w:r>
      <w:r>
        <w:rPr>
          <w:rFonts w:hint="eastAsia" w:ascii="仿宋" w:hAnsi="仿宋" w:eastAsia="仿宋" w:cs="仿宋"/>
          <w:color w:val="auto"/>
        </w:rPr>
        <w:fldChar w:fldCharType="separate"/>
      </w:r>
      <w:r>
        <w:rPr>
          <w:rFonts w:hint="eastAsia" w:ascii="仿宋" w:hAnsi="仿宋" w:eastAsia="仿宋" w:cs="仿宋"/>
          <w:snapToGrid w:val="0"/>
          <w:color w:val="auto"/>
          <w:szCs w:val="28"/>
        </w:rPr>
        <w:t>六、资格审查资料</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"_Toc14232" </w:instrText>
      </w:r>
      <w:r>
        <w:rPr>
          <w:rFonts w:hint="eastAsia" w:ascii="仿宋" w:hAnsi="仿宋" w:eastAsia="仿宋" w:cs="仿宋"/>
          <w:color w:val="auto"/>
        </w:rPr>
        <w:fldChar w:fldCharType="separate"/>
      </w:r>
      <w:r>
        <w:rPr>
          <w:rFonts w:hint="eastAsia" w:ascii="仿宋" w:hAnsi="仿宋" w:eastAsia="仿宋" w:cs="仿宋"/>
          <w:color w:val="auto"/>
          <w:szCs w:val="24"/>
        </w:rPr>
        <w:t>（一）投标人基本情况表</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"_Toc11922" </w:instrText>
      </w:r>
      <w:r>
        <w:rPr>
          <w:rFonts w:hint="eastAsia" w:ascii="仿宋" w:hAnsi="仿宋" w:eastAsia="仿宋" w:cs="仿宋"/>
          <w:color w:val="auto"/>
        </w:rPr>
        <w:fldChar w:fldCharType="separate"/>
      </w:r>
      <w:r>
        <w:rPr>
          <w:rFonts w:hint="eastAsia" w:ascii="仿宋" w:hAnsi="仿宋" w:eastAsia="仿宋" w:cs="仿宋"/>
          <w:color w:val="auto"/>
          <w:szCs w:val="28"/>
        </w:rPr>
        <w:t>（三）正在施工的和新承接的项目情况表</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"_Toc22770" </w:instrText>
      </w:r>
      <w:r>
        <w:rPr>
          <w:rFonts w:hint="eastAsia" w:ascii="仿宋" w:hAnsi="仿宋" w:eastAsia="仿宋" w:cs="仿宋"/>
          <w:color w:val="auto"/>
        </w:rPr>
        <w:fldChar w:fldCharType="separate"/>
      </w:r>
      <w:r>
        <w:rPr>
          <w:rFonts w:hint="eastAsia" w:ascii="仿宋" w:hAnsi="仿宋" w:eastAsia="仿宋" w:cs="仿宋"/>
          <w:snapToGrid w:val="0"/>
          <w:color w:val="auto"/>
          <w:szCs w:val="28"/>
        </w:rPr>
        <w:t>七、原件的扫描件或电子件</w:t>
      </w:r>
      <w:r>
        <w:rPr>
          <w:rFonts w:hint="eastAsia" w:ascii="仿宋" w:hAnsi="仿宋" w:eastAsia="仿宋" w:cs="仿宋"/>
          <w:color w:val="auto"/>
        </w:rPr>
        <w:tab/>
      </w:r>
      <w:r>
        <w:rPr>
          <w:rFonts w:hint="eastAsia" w:ascii="仿宋" w:hAnsi="仿宋" w:eastAsia="仿宋" w:cs="仿宋"/>
          <w:color w:val="auto"/>
        </w:rPr>
        <w:fldChar w:fldCharType="end"/>
      </w:r>
    </w:p>
    <w:p>
      <w:pPr>
        <w:pStyle w:val="22"/>
        <w:tabs>
          <w:tab w:val="right" w:leader="dot" w:pos="8902"/>
        </w:tabs>
        <w:ind w:left="48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"_Toc16215" </w:instrText>
      </w:r>
      <w:r>
        <w:rPr>
          <w:rFonts w:hint="eastAsia" w:ascii="仿宋" w:hAnsi="仿宋" w:eastAsia="仿宋" w:cs="仿宋"/>
          <w:color w:val="auto"/>
        </w:rPr>
        <w:fldChar w:fldCharType="separate"/>
      </w:r>
      <w:r>
        <w:rPr>
          <w:rFonts w:hint="eastAsia" w:ascii="仿宋" w:hAnsi="仿宋" w:eastAsia="仿宋" w:cs="仿宋"/>
          <w:color w:val="auto"/>
        </w:rPr>
        <w:t>商务文件目录</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"_Toc24905" </w:instrText>
      </w:r>
      <w:r>
        <w:rPr>
          <w:rFonts w:hint="eastAsia" w:ascii="仿宋" w:hAnsi="仿宋" w:eastAsia="仿宋" w:cs="仿宋"/>
          <w:color w:val="auto"/>
        </w:rPr>
        <w:fldChar w:fldCharType="separate"/>
      </w:r>
      <w:r>
        <w:rPr>
          <w:rFonts w:hint="eastAsia" w:ascii="仿宋" w:hAnsi="仿宋" w:eastAsia="仿宋" w:cs="仿宋"/>
          <w:snapToGrid w:val="0"/>
          <w:color w:val="auto"/>
          <w:szCs w:val="30"/>
        </w:rPr>
        <w:t>一、投标函</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"_Toc11014" </w:instrText>
      </w:r>
      <w:r>
        <w:rPr>
          <w:rFonts w:hint="eastAsia" w:ascii="仿宋" w:hAnsi="仿宋" w:eastAsia="仿宋" w:cs="仿宋"/>
          <w:color w:val="auto"/>
        </w:rPr>
        <w:fldChar w:fldCharType="separate"/>
      </w:r>
      <w:r>
        <w:rPr>
          <w:rFonts w:hint="eastAsia" w:ascii="仿宋" w:hAnsi="仿宋" w:eastAsia="仿宋" w:cs="仿宋"/>
          <w:snapToGrid w:val="0"/>
          <w:color w:val="auto"/>
          <w:szCs w:val="30"/>
        </w:rPr>
        <w:t>二、已标价的工程量清单</w:t>
      </w:r>
      <w:r>
        <w:rPr>
          <w:rFonts w:hint="eastAsia" w:ascii="仿宋" w:hAnsi="仿宋" w:eastAsia="仿宋" w:cs="仿宋"/>
          <w:color w:val="auto"/>
        </w:rPr>
        <w:tab/>
      </w:r>
      <w:r>
        <w:rPr>
          <w:rFonts w:hint="eastAsia" w:ascii="仿宋" w:hAnsi="仿宋" w:eastAsia="仿宋" w:cs="仿宋"/>
          <w:color w:val="auto"/>
        </w:rPr>
        <w:fldChar w:fldCharType="end"/>
      </w:r>
    </w:p>
    <w:p>
      <w:pPr>
        <w:pStyle w:val="14"/>
        <w:tabs>
          <w:tab w:val="right" w:leader="dot" w:pos="8902"/>
        </w:tabs>
        <w:ind w:left="96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"_Toc29252" </w:instrText>
      </w:r>
      <w:r>
        <w:rPr>
          <w:rFonts w:hint="eastAsia" w:ascii="仿宋" w:hAnsi="仿宋" w:eastAsia="仿宋" w:cs="仿宋"/>
          <w:color w:val="auto"/>
        </w:rPr>
        <w:fldChar w:fldCharType="separate"/>
      </w:r>
      <w:r>
        <w:rPr>
          <w:rFonts w:hint="eastAsia" w:ascii="仿宋" w:hAnsi="仿宋" w:eastAsia="仿宋" w:cs="仿宋"/>
          <w:snapToGrid w:val="0"/>
          <w:color w:val="auto"/>
          <w:szCs w:val="30"/>
        </w:rPr>
        <w:t>三、其他材料</w:t>
      </w:r>
      <w:r>
        <w:rPr>
          <w:rFonts w:hint="eastAsia" w:ascii="仿宋" w:hAnsi="仿宋" w:eastAsia="仿宋" w:cs="仿宋"/>
          <w:color w:val="auto"/>
        </w:rPr>
        <w:tab/>
      </w:r>
      <w:r>
        <w:rPr>
          <w:rFonts w:hint="eastAsia" w:ascii="仿宋" w:hAnsi="仿宋" w:eastAsia="仿宋" w:cs="仿宋"/>
          <w:color w:val="auto"/>
        </w:rPr>
        <w:fldChar w:fldCharType="end"/>
      </w:r>
    </w:p>
    <w:p>
      <w:pPr>
        <w:spacing w:line="420" w:lineRule="exact"/>
        <w:rPr>
          <w:rFonts w:hint="eastAsia" w:ascii="仿宋" w:hAnsi="仿宋" w:eastAsia="仿宋" w:cs="仿宋"/>
          <w:color w:val="auto"/>
          <w:kern w:val="2"/>
        </w:rPr>
      </w:pPr>
      <w:r>
        <w:rPr>
          <w:rFonts w:hint="eastAsia" w:ascii="仿宋" w:hAnsi="仿宋" w:eastAsia="仿宋" w:cs="仿宋"/>
          <w:color w:val="auto"/>
          <w:kern w:val="2"/>
        </w:rPr>
        <w:fldChar w:fldCharType="end"/>
      </w:r>
    </w:p>
    <w:p>
      <w:pPr>
        <w:spacing w:line="720" w:lineRule="auto"/>
        <w:rPr>
          <w:rFonts w:hint="eastAsia" w:ascii="仿宋" w:hAnsi="仿宋" w:eastAsia="仿宋" w:cs="仿宋"/>
          <w:color w:val="auto"/>
          <w:kern w:val="2"/>
        </w:rPr>
      </w:pPr>
    </w:p>
    <w:bookmarkEnd w:id="0"/>
    <w:bookmarkEnd w:id="1"/>
    <w:bookmarkEnd w:id="2"/>
    <w:bookmarkEnd w:id="3"/>
    <w:bookmarkEnd w:id="4"/>
    <w:bookmarkEnd w:id="5"/>
    <w:bookmarkEnd w:id="6"/>
    <w:p>
      <w:pPr>
        <w:pStyle w:val="7"/>
        <w:jc w:val="center"/>
        <w:rPr>
          <w:rFonts w:hint="eastAsia" w:ascii="仿宋" w:hAnsi="仿宋" w:eastAsia="仿宋" w:cs="仿宋"/>
          <w:color w:val="auto"/>
          <w:sz w:val="48"/>
        </w:rPr>
      </w:pPr>
    </w:p>
    <w:p>
      <w:pPr>
        <w:pStyle w:val="7"/>
        <w:jc w:val="center"/>
        <w:rPr>
          <w:rFonts w:hint="eastAsia" w:ascii="仿宋" w:hAnsi="仿宋" w:eastAsia="仿宋" w:cs="仿宋"/>
          <w:color w:val="auto"/>
          <w:sz w:val="48"/>
        </w:rPr>
      </w:pPr>
    </w:p>
    <w:p>
      <w:pPr>
        <w:pStyle w:val="6"/>
        <w:spacing w:line="360" w:lineRule="auto"/>
        <w:jc w:val="center"/>
        <w:rPr>
          <w:rFonts w:hint="eastAsia" w:ascii="仿宋" w:hAnsi="仿宋" w:eastAsia="仿宋" w:cs="仿宋"/>
          <w:color w:val="auto"/>
          <w:sz w:val="52"/>
          <w:szCs w:val="52"/>
        </w:rPr>
      </w:pPr>
    </w:p>
    <w:p>
      <w:pPr>
        <w:pStyle w:val="6"/>
        <w:spacing w:line="360" w:lineRule="auto"/>
        <w:jc w:val="center"/>
        <w:rPr>
          <w:rFonts w:hint="eastAsia" w:ascii="仿宋" w:hAnsi="仿宋" w:eastAsia="仿宋" w:cs="仿宋"/>
          <w:color w:val="auto"/>
          <w:sz w:val="52"/>
          <w:szCs w:val="52"/>
        </w:rPr>
      </w:pPr>
    </w:p>
    <w:p>
      <w:pPr>
        <w:pStyle w:val="6"/>
        <w:spacing w:line="360" w:lineRule="auto"/>
        <w:jc w:val="center"/>
        <w:rPr>
          <w:rFonts w:hint="eastAsia" w:ascii="仿宋" w:hAnsi="仿宋" w:eastAsia="仿宋" w:cs="仿宋"/>
          <w:color w:val="auto"/>
          <w:sz w:val="52"/>
          <w:szCs w:val="52"/>
        </w:rPr>
      </w:pPr>
    </w:p>
    <w:p>
      <w:pPr>
        <w:pStyle w:val="6"/>
        <w:spacing w:line="360" w:lineRule="auto"/>
        <w:jc w:val="center"/>
        <w:rPr>
          <w:rFonts w:hint="eastAsia" w:ascii="仿宋" w:hAnsi="仿宋" w:eastAsia="仿宋" w:cs="仿宋"/>
          <w:color w:val="auto"/>
          <w:sz w:val="52"/>
          <w:szCs w:val="52"/>
        </w:rPr>
      </w:pPr>
    </w:p>
    <w:p>
      <w:pPr>
        <w:pStyle w:val="6"/>
        <w:spacing w:line="360" w:lineRule="auto"/>
        <w:jc w:val="center"/>
        <w:rPr>
          <w:rFonts w:hint="eastAsia" w:ascii="仿宋" w:hAnsi="仿宋" w:eastAsia="仿宋" w:cs="仿宋"/>
          <w:color w:val="auto"/>
          <w:sz w:val="52"/>
          <w:szCs w:val="52"/>
        </w:rPr>
      </w:pPr>
    </w:p>
    <w:p>
      <w:pPr>
        <w:pStyle w:val="6"/>
        <w:spacing w:line="360" w:lineRule="auto"/>
        <w:jc w:val="center"/>
        <w:rPr>
          <w:rFonts w:hint="eastAsia" w:ascii="仿宋" w:hAnsi="仿宋" w:eastAsia="仿宋" w:cs="仿宋"/>
          <w:color w:val="auto"/>
          <w:sz w:val="52"/>
          <w:szCs w:val="52"/>
        </w:rPr>
      </w:pPr>
    </w:p>
    <w:p>
      <w:pPr>
        <w:pStyle w:val="6"/>
        <w:spacing w:line="360" w:lineRule="auto"/>
        <w:jc w:val="center"/>
        <w:rPr>
          <w:rFonts w:hint="eastAsia" w:ascii="仿宋" w:hAnsi="仿宋" w:eastAsia="仿宋" w:cs="仿宋"/>
          <w:color w:val="auto"/>
          <w:sz w:val="52"/>
          <w:szCs w:val="52"/>
        </w:rPr>
      </w:pPr>
      <w:bookmarkStart w:id="8" w:name="_Toc24784"/>
      <w:bookmarkStart w:id="9" w:name="_Toc7643"/>
    </w:p>
    <w:p>
      <w:pPr>
        <w:pStyle w:val="6"/>
        <w:spacing w:line="360" w:lineRule="auto"/>
        <w:jc w:val="center"/>
        <w:rPr>
          <w:rFonts w:hint="eastAsia" w:ascii="仿宋" w:hAnsi="仿宋" w:eastAsia="仿宋" w:cs="仿宋"/>
          <w:color w:val="auto"/>
          <w:sz w:val="52"/>
          <w:szCs w:val="52"/>
        </w:rPr>
      </w:pPr>
    </w:p>
    <w:p>
      <w:pPr>
        <w:pStyle w:val="6"/>
        <w:spacing w:line="360" w:lineRule="auto"/>
        <w:jc w:val="center"/>
        <w:rPr>
          <w:rFonts w:hint="eastAsia" w:ascii="仿宋" w:hAnsi="仿宋" w:eastAsia="仿宋" w:cs="仿宋"/>
          <w:color w:val="auto"/>
          <w:sz w:val="52"/>
          <w:szCs w:val="52"/>
        </w:rPr>
      </w:pPr>
    </w:p>
    <w:p>
      <w:pPr>
        <w:pStyle w:val="6"/>
        <w:spacing w:line="360" w:lineRule="auto"/>
        <w:jc w:val="center"/>
        <w:rPr>
          <w:rFonts w:hint="eastAsia" w:ascii="仿宋" w:hAnsi="仿宋" w:eastAsia="仿宋" w:cs="仿宋"/>
          <w:color w:val="auto"/>
          <w:sz w:val="52"/>
          <w:szCs w:val="52"/>
        </w:rPr>
      </w:pPr>
    </w:p>
    <w:p>
      <w:pPr>
        <w:pStyle w:val="6"/>
        <w:spacing w:line="360" w:lineRule="auto"/>
        <w:jc w:val="center"/>
        <w:rPr>
          <w:rFonts w:hint="eastAsia" w:ascii="仿宋" w:hAnsi="仿宋" w:eastAsia="仿宋" w:cs="仿宋"/>
          <w:color w:val="auto"/>
          <w:sz w:val="52"/>
          <w:szCs w:val="52"/>
        </w:rPr>
      </w:pPr>
    </w:p>
    <w:p>
      <w:pPr>
        <w:pStyle w:val="6"/>
        <w:spacing w:line="360" w:lineRule="auto"/>
        <w:jc w:val="center"/>
        <w:rPr>
          <w:rFonts w:hint="eastAsia" w:ascii="仿宋" w:hAnsi="仿宋" w:eastAsia="仿宋" w:cs="仿宋"/>
          <w:color w:val="auto"/>
          <w:sz w:val="52"/>
          <w:szCs w:val="52"/>
        </w:rPr>
      </w:pPr>
    </w:p>
    <w:p>
      <w:pPr>
        <w:pStyle w:val="6"/>
        <w:spacing w:line="360" w:lineRule="auto"/>
        <w:jc w:val="center"/>
        <w:rPr>
          <w:rFonts w:hint="eastAsia" w:ascii="仿宋" w:hAnsi="仿宋" w:eastAsia="仿宋" w:cs="仿宋"/>
          <w:color w:val="auto"/>
          <w:sz w:val="52"/>
          <w:szCs w:val="52"/>
        </w:rPr>
      </w:pPr>
    </w:p>
    <w:p>
      <w:pPr>
        <w:pStyle w:val="6"/>
        <w:spacing w:line="360" w:lineRule="auto"/>
        <w:jc w:val="center"/>
        <w:rPr>
          <w:rFonts w:hint="eastAsia" w:ascii="仿宋" w:hAnsi="仿宋" w:eastAsia="仿宋" w:cs="仿宋"/>
          <w:color w:val="auto"/>
          <w:sz w:val="52"/>
          <w:szCs w:val="52"/>
        </w:rPr>
      </w:pPr>
    </w:p>
    <w:p>
      <w:pPr>
        <w:pStyle w:val="6"/>
        <w:spacing w:line="360" w:lineRule="auto"/>
        <w:jc w:val="center"/>
        <w:rPr>
          <w:rFonts w:hint="eastAsia" w:ascii="仿宋" w:hAnsi="仿宋" w:eastAsia="仿宋" w:cs="仿宋"/>
          <w:color w:val="auto"/>
          <w:sz w:val="52"/>
          <w:szCs w:val="52"/>
        </w:rPr>
      </w:pPr>
    </w:p>
    <w:p>
      <w:pPr>
        <w:pStyle w:val="6"/>
        <w:spacing w:line="360" w:lineRule="auto"/>
        <w:jc w:val="center"/>
        <w:rPr>
          <w:rFonts w:hint="eastAsia" w:ascii="仿宋" w:hAnsi="仿宋" w:eastAsia="仿宋" w:cs="仿宋"/>
          <w:color w:val="auto"/>
          <w:sz w:val="52"/>
          <w:szCs w:val="52"/>
        </w:rPr>
      </w:pPr>
      <w:r>
        <w:rPr>
          <w:rFonts w:hint="eastAsia" w:ascii="仿宋" w:hAnsi="仿宋" w:eastAsia="仿宋" w:cs="仿宋"/>
          <w:color w:val="auto"/>
          <w:sz w:val="52"/>
          <w:szCs w:val="52"/>
        </w:rPr>
        <w:t>第   一   卷</w:t>
      </w:r>
      <w:bookmarkEnd w:id="8"/>
      <w:bookmarkEnd w:id="9"/>
    </w:p>
    <w:p>
      <w:pPr>
        <w:pStyle w:val="7"/>
        <w:jc w:val="center"/>
        <w:rPr>
          <w:rFonts w:hint="eastAsia" w:ascii="仿宋" w:hAnsi="仿宋" w:eastAsia="仿宋" w:cs="仿宋"/>
          <w:color w:val="auto"/>
          <w:sz w:val="30"/>
          <w:szCs w:val="30"/>
        </w:rPr>
      </w:pPr>
      <w:r>
        <w:rPr>
          <w:rFonts w:hint="eastAsia" w:ascii="仿宋" w:hAnsi="仿宋" w:eastAsia="仿宋" w:cs="仿宋"/>
          <w:color w:val="auto"/>
          <w:sz w:val="48"/>
        </w:rPr>
        <w:br w:type="page"/>
      </w:r>
      <w:bookmarkEnd w:id="7"/>
      <w:bookmarkStart w:id="10" w:name="_Toc184635060"/>
      <w:bookmarkStart w:id="11" w:name="_Toc3809"/>
      <w:bookmarkStart w:id="12" w:name="_Toc22626"/>
      <w:bookmarkStart w:id="13" w:name="_Toc271220705"/>
      <w:bookmarkStart w:id="14" w:name="_Toc271200539"/>
      <w:bookmarkStart w:id="15" w:name="_Toc261464167"/>
      <w:bookmarkStart w:id="16" w:name="_Toc450905863"/>
      <w:bookmarkStart w:id="17" w:name="_Toc184635069"/>
      <w:bookmarkStart w:id="18" w:name="_Toc261464168"/>
      <w:bookmarkStart w:id="19" w:name="_Toc271220706"/>
      <w:bookmarkStart w:id="20" w:name="_Toc271200540"/>
      <w:r>
        <w:rPr>
          <w:rFonts w:hint="eastAsia" w:ascii="仿宋" w:hAnsi="仿宋" w:eastAsia="仿宋" w:cs="仿宋"/>
          <w:snapToGrid w:val="0"/>
          <w:color w:val="auto"/>
          <w:sz w:val="28"/>
          <w:szCs w:val="28"/>
        </w:rPr>
        <w:t>第一章</w:t>
      </w:r>
      <w:bookmarkEnd w:id="10"/>
      <w:r>
        <w:rPr>
          <w:rFonts w:hint="eastAsia" w:ascii="仿宋" w:hAnsi="仿宋" w:eastAsia="仿宋" w:cs="仿宋"/>
          <w:snapToGrid w:val="0"/>
          <w:color w:val="auto"/>
          <w:sz w:val="28"/>
          <w:szCs w:val="28"/>
        </w:rPr>
        <w:t>招标公告</w:t>
      </w:r>
      <w:bookmarkEnd w:id="11"/>
      <w:bookmarkEnd w:id="12"/>
      <w:bookmarkEnd w:id="13"/>
      <w:bookmarkEnd w:id="14"/>
      <w:bookmarkEnd w:id="15"/>
      <w:bookmarkEnd w:id="16"/>
    </w:p>
    <w:p>
      <w:pPr>
        <w:jc w:val="center"/>
        <w:rPr>
          <w:rFonts w:hint="eastAsia" w:ascii="仿宋" w:hAnsi="仿宋" w:eastAsia="仿宋" w:cs="仿宋"/>
          <w:b/>
          <w:bCs/>
          <w:color w:val="auto"/>
          <w:sz w:val="22"/>
          <w:szCs w:val="21"/>
        </w:rPr>
      </w:pPr>
      <w:bookmarkStart w:id="21" w:name="_Toc450905864"/>
      <w:bookmarkStart w:id="22" w:name="_Toc389815164"/>
      <w:bookmarkStart w:id="23" w:name="_Toc405378458"/>
      <w:bookmarkStart w:id="24" w:name="_Toc7824"/>
      <w:bookmarkStart w:id="25" w:name="_Toc341964950"/>
      <w:bookmarkStart w:id="26" w:name="_Toc339983339"/>
      <w:r>
        <w:rPr>
          <w:rFonts w:hint="eastAsia" w:ascii="仿宋" w:hAnsi="仿宋" w:eastAsia="仿宋" w:cs="仿宋"/>
          <w:b/>
          <w:bCs/>
          <w:color w:val="auto"/>
          <w:sz w:val="22"/>
          <w:szCs w:val="21"/>
          <w:lang w:eastAsia="zh-CN"/>
        </w:rPr>
        <w:t>织里镇骥村村机四圩护岸建设工程</w:t>
      </w:r>
      <w:r>
        <w:rPr>
          <w:rFonts w:hint="eastAsia" w:ascii="仿宋" w:hAnsi="仿宋" w:eastAsia="仿宋" w:cs="仿宋"/>
          <w:b/>
          <w:bCs/>
          <w:color w:val="auto"/>
          <w:sz w:val="22"/>
          <w:szCs w:val="21"/>
        </w:rPr>
        <w:t>招标公告</w:t>
      </w:r>
      <w:bookmarkEnd w:id="21"/>
      <w:bookmarkEnd w:id="22"/>
      <w:bookmarkEnd w:id="23"/>
      <w:bookmarkEnd w:id="24"/>
      <w:bookmarkEnd w:id="25"/>
      <w:bookmarkEnd w:id="26"/>
    </w:p>
    <w:p>
      <w:pPr>
        <w:numPr>
          <w:ilvl w:val="0"/>
          <w:numId w:val="3"/>
        </w:numPr>
        <w:snapToGrid w:val="0"/>
        <w:spacing w:line="360" w:lineRule="auto"/>
        <w:rPr>
          <w:rFonts w:hint="eastAsia" w:ascii="仿宋" w:hAnsi="仿宋" w:eastAsia="仿宋" w:cs="仿宋"/>
          <w:b/>
          <w:snapToGrid w:val="0"/>
          <w:color w:val="auto"/>
          <w:sz w:val="21"/>
          <w:szCs w:val="21"/>
        </w:rPr>
      </w:pPr>
      <w:r>
        <w:rPr>
          <w:rFonts w:hint="eastAsia" w:ascii="仿宋" w:hAnsi="仿宋" w:eastAsia="仿宋" w:cs="仿宋"/>
          <w:b/>
          <w:snapToGrid w:val="0"/>
          <w:color w:val="auto"/>
          <w:sz w:val="21"/>
          <w:szCs w:val="21"/>
        </w:rPr>
        <w:t>招标条件</w:t>
      </w:r>
    </w:p>
    <w:p>
      <w:pPr>
        <w:pStyle w:val="42"/>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shd w:val="clear" w:color="FFFFFF" w:fill="D9D9D9"/>
        </w:rPr>
        <w:t>本项目为全流程电子招投标水利工程项目【采用远程不见面开标方式】</w:t>
      </w:r>
    </w:p>
    <w:p>
      <w:pPr>
        <w:widowControl/>
        <w:ind w:firstLine="404" w:firstLineChars="200"/>
        <w:jc w:val="left"/>
        <w:rPr>
          <w:rFonts w:hint="eastAsia" w:ascii="仿宋" w:hAnsi="仿宋" w:eastAsia="仿宋" w:cs="仿宋"/>
          <w:snapToGrid w:val="0"/>
          <w:color w:val="auto"/>
          <w:spacing w:val="-4"/>
          <w:sz w:val="21"/>
          <w:szCs w:val="21"/>
        </w:rPr>
      </w:pPr>
      <w:r>
        <w:rPr>
          <w:rFonts w:hint="eastAsia" w:ascii="仿宋" w:hAnsi="仿宋" w:eastAsia="仿宋" w:cs="仿宋"/>
          <w:snapToGrid w:val="0"/>
          <w:color w:val="auto"/>
          <w:spacing w:val="-4"/>
          <w:sz w:val="21"/>
          <w:szCs w:val="21"/>
        </w:rPr>
        <w:t>本招标项目</w:t>
      </w:r>
      <w:r>
        <w:rPr>
          <w:rFonts w:hint="eastAsia" w:ascii="仿宋" w:hAnsi="仿宋" w:eastAsia="仿宋" w:cs="仿宋"/>
          <w:bCs/>
          <w:snapToGrid w:val="0"/>
          <w:color w:val="auto"/>
          <w:spacing w:val="-4"/>
          <w:sz w:val="21"/>
          <w:szCs w:val="21"/>
          <w:lang w:eastAsia="zh-CN"/>
        </w:rPr>
        <w:t>织里镇骥村村机四圩护岸建设工程</w:t>
      </w:r>
      <w:r>
        <w:rPr>
          <w:rFonts w:hint="eastAsia" w:ascii="仿宋" w:hAnsi="仿宋" w:eastAsia="仿宋" w:cs="仿宋"/>
          <w:snapToGrid w:val="0"/>
          <w:color w:val="auto"/>
          <w:sz w:val="21"/>
          <w:szCs w:val="21"/>
        </w:rPr>
        <w:t>已由</w:t>
      </w:r>
      <w:r>
        <w:rPr>
          <w:rFonts w:hint="eastAsia" w:ascii="仿宋" w:hAnsi="仿宋" w:eastAsia="仿宋" w:cs="仿宋"/>
          <w:snapToGrid w:val="0"/>
          <w:color w:val="auto"/>
          <w:sz w:val="21"/>
          <w:szCs w:val="21"/>
          <w:u w:val="single"/>
          <w:lang w:eastAsia="zh-CN"/>
        </w:rPr>
        <w:t>吴兴区发展改革和经济信息化局</w:t>
      </w:r>
      <w:r>
        <w:rPr>
          <w:rFonts w:hint="eastAsia" w:ascii="仿宋" w:hAnsi="仿宋" w:eastAsia="仿宋" w:cs="仿宋"/>
          <w:color w:val="auto"/>
          <w:sz w:val="21"/>
          <w:szCs w:val="21"/>
          <w:u w:val="none"/>
          <w:lang w:val="en-US" w:eastAsia="zh-CN"/>
        </w:rPr>
        <w:t>以</w:t>
      </w:r>
      <w:r>
        <w:rPr>
          <w:rFonts w:hint="eastAsia" w:ascii="仿宋" w:hAnsi="仿宋" w:eastAsia="仿宋" w:cs="仿宋"/>
          <w:color w:val="auto"/>
          <w:sz w:val="21"/>
          <w:szCs w:val="21"/>
          <w:u w:val="single"/>
          <w:lang w:val="en-US" w:eastAsia="zh-CN"/>
        </w:rPr>
        <w:t>吴发改经投织【2021】23号</w:t>
      </w:r>
      <w:r>
        <w:rPr>
          <w:rFonts w:hint="eastAsia" w:ascii="仿宋" w:hAnsi="仿宋" w:eastAsia="仿宋" w:cs="仿宋"/>
          <w:snapToGrid w:val="0"/>
          <w:color w:val="auto"/>
          <w:sz w:val="21"/>
          <w:szCs w:val="21"/>
        </w:rPr>
        <w:t>批准建设，建设资金来源为</w:t>
      </w:r>
      <w:r>
        <w:rPr>
          <w:rFonts w:hint="eastAsia" w:ascii="仿宋" w:hAnsi="仿宋" w:eastAsia="仿宋" w:cs="仿宋"/>
          <w:snapToGrid w:val="0"/>
          <w:color w:val="auto"/>
          <w:sz w:val="21"/>
          <w:szCs w:val="21"/>
          <w:lang w:eastAsia="zh-CN"/>
        </w:rPr>
        <w:t>自筹</w:t>
      </w:r>
      <w:r>
        <w:rPr>
          <w:rFonts w:hint="eastAsia" w:ascii="仿宋" w:hAnsi="仿宋" w:eastAsia="仿宋" w:cs="仿宋"/>
          <w:snapToGrid w:val="0"/>
          <w:color w:val="auto"/>
          <w:spacing w:val="-4"/>
          <w:sz w:val="21"/>
          <w:szCs w:val="21"/>
        </w:rPr>
        <w:t>。项目业主为</w:t>
      </w:r>
      <w:r>
        <w:rPr>
          <w:rFonts w:hint="eastAsia" w:ascii="仿宋" w:hAnsi="仿宋" w:eastAsia="仿宋" w:cs="仿宋"/>
          <w:bCs/>
          <w:snapToGrid w:val="0"/>
          <w:color w:val="auto"/>
          <w:spacing w:val="-4"/>
          <w:sz w:val="21"/>
          <w:szCs w:val="21"/>
          <w:u w:val="single"/>
          <w:lang w:eastAsia="zh-CN"/>
        </w:rPr>
        <w:t>湖州新型城市投资发展集团有限公司</w:t>
      </w:r>
      <w:r>
        <w:rPr>
          <w:rFonts w:hint="eastAsia" w:ascii="仿宋" w:hAnsi="仿宋" w:eastAsia="仿宋" w:cs="仿宋"/>
          <w:snapToGrid w:val="0"/>
          <w:color w:val="auto"/>
          <w:spacing w:val="-4"/>
          <w:sz w:val="21"/>
          <w:szCs w:val="21"/>
        </w:rPr>
        <w:t>（委托代理单位为</w:t>
      </w:r>
      <w:r>
        <w:rPr>
          <w:rFonts w:hint="eastAsia" w:ascii="仿宋" w:hAnsi="仿宋" w:eastAsia="仿宋" w:cs="仿宋"/>
          <w:bCs/>
          <w:snapToGrid w:val="0"/>
          <w:color w:val="auto"/>
          <w:spacing w:val="-4"/>
          <w:sz w:val="21"/>
          <w:szCs w:val="21"/>
          <w:u w:val="single"/>
          <w:lang w:eastAsia="zh-CN"/>
        </w:rPr>
        <w:t>浙江诚律工程管理有限公司</w:t>
      </w:r>
      <w:r>
        <w:rPr>
          <w:rFonts w:hint="eastAsia" w:ascii="仿宋" w:hAnsi="仿宋" w:eastAsia="仿宋" w:cs="仿宋"/>
          <w:snapToGrid w:val="0"/>
          <w:color w:val="auto"/>
          <w:spacing w:val="-4"/>
          <w:sz w:val="21"/>
          <w:szCs w:val="21"/>
        </w:rPr>
        <w:t>），招投标监督机构为</w:t>
      </w:r>
      <w:r>
        <w:rPr>
          <w:rFonts w:hint="eastAsia" w:ascii="仿宋" w:hAnsi="仿宋" w:eastAsia="仿宋" w:cs="仿宋"/>
          <w:snapToGrid w:val="0"/>
          <w:color w:val="auto"/>
          <w:spacing w:val="-4"/>
          <w:sz w:val="21"/>
          <w:szCs w:val="21"/>
          <w:u w:val="single"/>
        </w:rPr>
        <w:t>湖州市吴兴区公共资源交易管理办公室</w:t>
      </w:r>
      <w:r>
        <w:rPr>
          <w:rFonts w:hint="eastAsia" w:ascii="仿宋" w:hAnsi="仿宋" w:eastAsia="仿宋" w:cs="仿宋"/>
          <w:snapToGrid w:val="0"/>
          <w:color w:val="auto"/>
          <w:spacing w:val="-4"/>
          <w:sz w:val="21"/>
          <w:szCs w:val="21"/>
        </w:rPr>
        <w:t>。项目已具备招标条件，现对该项目施工公开招标。</w:t>
      </w:r>
    </w:p>
    <w:p>
      <w:pPr>
        <w:snapToGrid w:val="0"/>
        <w:spacing w:line="360" w:lineRule="auto"/>
        <w:rPr>
          <w:rFonts w:hint="eastAsia" w:ascii="仿宋" w:hAnsi="仿宋" w:eastAsia="仿宋" w:cs="仿宋"/>
          <w:b/>
          <w:snapToGrid w:val="0"/>
          <w:color w:val="auto"/>
          <w:sz w:val="21"/>
          <w:szCs w:val="21"/>
        </w:rPr>
      </w:pPr>
      <w:r>
        <w:rPr>
          <w:rFonts w:hint="eastAsia" w:ascii="仿宋" w:hAnsi="仿宋" w:eastAsia="仿宋" w:cs="仿宋"/>
          <w:b/>
          <w:snapToGrid w:val="0"/>
          <w:color w:val="auto"/>
          <w:sz w:val="21"/>
          <w:szCs w:val="21"/>
        </w:rPr>
        <w:t>2. 项目概况与招标范围</w:t>
      </w:r>
    </w:p>
    <w:p>
      <w:pPr>
        <w:keepNext w:val="0"/>
        <w:keepLines w:val="0"/>
        <w:widowControl/>
        <w:suppressLineNumbers w:val="0"/>
        <w:ind w:firstLine="404" w:firstLineChars="200"/>
        <w:jc w:val="left"/>
        <w:rPr>
          <w:rFonts w:hint="eastAsia" w:ascii="仿宋" w:hAnsi="仿宋" w:eastAsia="仿宋" w:cs="仿宋"/>
          <w:snapToGrid w:val="0"/>
          <w:color w:val="auto"/>
          <w:spacing w:val="-4"/>
          <w:sz w:val="21"/>
          <w:szCs w:val="21"/>
        </w:rPr>
      </w:pPr>
      <w:r>
        <w:rPr>
          <w:rFonts w:hint="eastAsia" w:ascii="仿宋" w:hAnsi="仿宋" w:eastAsia="仿宋" w:cs="仿宋"/>
          <w:snapToGrid w:val="0"/>
          <w:color w:val="auto"/>
          <w:spacing w:val="-4"/>
          <w:sz w:val="21"/>
          <w:szCs w:val="21"/>
        </w:rPr>
        <w:t>本工程主要建设内容为</w:t>
      </w:r>
      <w:r>
        <w:rPr>
          <w:rFonts w:hint="eastAsia" w:ascii="仿宋" w:hAnsi="仿宋" w:eastAsia="仿宋" w:cs="仿宋"/>
          <w:snapToGrid w:val="0"/>
          <w:color w:val="auto"/>
          <w:spacing w:val="-4"/>
          <w:sz w:val="21"/>
          <w:szCs w:val="21"/>
          <w:lang w:eastAsia="zh-CN"/>
        </w:rPr>
        <w:t>：</w:t>
      </w:r>
      <w:r>
        <w:rPr>
          <w:rFonts w:hint="eastAsia" w:ascii="仿宋" w:hAnsi="仿宋" w:eastAsia="仿宋" w:cs="仿宋"/>
          <w:snapToGrid w:val="0"/>
          <w:color w:val="auto"/>
          <w:spacing w:val="-4"/>
          <w:sz w:val="21"/>
          <w:szCs w:val="21"/>
          <w:lang w:val="en-US" w:eastAsia="zh-CN"/>
        </w:rPr>
        <w:t xml:space="preserve"> 本工程位于吴兴区织里镇，共新建护岸长度955.64m，护岸型式为C25钢筋砼悬臂式挡墙，挡墙基础采用松木桩基础，基础顶高程0.80m，挡墙顶高程3.00m，堤防设计顶高程4.00m。护岸采用C25钢筋砼悬臂式挡墙，挡墙底板为0.30m厚C25钢筋砼底板，墙高2.2m。其上以1:2的草籽护坡至设计堤顶高程4.0m。</w:t>
      </w:r>
    </w:p>
    <w:p>
      <w:pPr>
        <w:widowControl/>
        <w:ind w:firstLine="404" w:firstLineChars="200"/>
        <w:jc w:val="left"/>
        <w:rPr>
          <w:rFonts w:hint="eastAsia" w:ascii="仿宋" w:hAnsi="仿宋" w:eastAsia="仿宋" w:cs="仿宋"/>
          <w:snapToGrid w:val="0"/>
          <w:color w:val="auto"/>
          <w:spacing w:val="-4"/>
          <w:sz w:val="21"/>
          <w:szCs w:val="21"/>
          <w:lang w:eastAsia="zh-CN"/>
        </w:rPr>
      </w:pPr>
      <w:r>
        <w:rPr>
          <w:rFonts w:hint="eastAsia" w:ascii="仿宋" w:hAnsi="仿宋" w:eastAsia="仿宋" w:cs="仿宋"/>
          <w:snapToGrid w:val="0"/>
          <w:color w:val="auto"/>
          <w:spacing w:val="-4"/>
          <w:sz w:val="21"/>
          <w:szCs w:val="21"/>
          <w:lang w:eastAsia="zh-CN"/>
        </w:rPr>
        <w:t>项目基本建设项目投资约</w:t>
      </w:r>
      <w:r>
        <w:rPr>
          <w:rFonts w:hint="eastAsia" w:ascii="仿宋" w:hAnsi="仿宋" w:eastAsia="仿宋" w:cs="仿宋"/>
          <w:snapToGrid w:val="0"/>
          <w:color w:val="auto"/>
          <w:spacing w:val="-4"/>
          <w:sz w:val="21"/>
          <w:szCs w:val="21"/>
          <w:lang w:val="en-US" w:eastAsia="zh-CN"/>
        </w:rPr>
        <w:t>495</w:t>
      </w:r>
      <w:r>
        <w:rPr>
          <w:rFonts w:hint="eastAsia" w:ascii="仿宋" w:hAnsi="仿宋" w:eastAsia="仿宋" w:cs="仿宋"/>
          <w:snapToGrid w:val="0"/>
          <w:color w:val="auto"/>
          <w:spacing w:val="-4"/>
          <w:sz w:val="21"/>
          <w:szCs w:val="21"/>
          <w:lang w:eastAsia="zh-CN"/>
        </w:rPr>
        <w:t>万元。</w:t>
      </w:r>
    </w:p>
    <w:p>
      <w:pPr>
        <w:widowControl/>
        <w:ind w:firstLine="404" w:firstLineChars="200"/>
        <w:jc w:val="left"/>
        <w:rPr>
          <w:rFonts w:hint="eastAsia" w:ascii="仿宋" w:hAnsi="仿宋" w:eastAsia="仿宋" w:cs="仿宋"/>
          <w:snapToGrid w:val="0"/>
          <w:color w:val="auto"/>
          <w:spacing w:val="-4"/>
          <w:sz w:val="21"/>
          <w:szCs w:val="21"/>
          <w:lang w:eastAsia="zh-CN"/>
        </w:rPr>
      </w:pPr>
      <w:r>
        <w:rPr>
          <w:rFonts w:hint="eastAsia" w:ascii="仿宋" w:hAnsi="仿宋" w:eastAsia="仿宋" w:cs="仿宋"/>
          <w:snapToGrid w:val="0"/>
          <w:color w:val="auto"/>
          <w:spacing w:val="-4"/>
          <w:sz w:val="21"/>
          <w:szCs w:val="21"/>
          <w:lang w:eastAsia="zh-CN"/>
        </w:rPr>
        <w:t>计划总工期为</w:t>
      </w:r>
      <w:r>
        <w:rPr>
          <w:rFonts w:hint="eastAsia" w:ascii="仿宋" w:hAnsi="仿宋" w:eastAsia="仿宋" w:cs="仿宋"/>
          <w:snapToGrid w:val="0"/>
          <w:color w:val="auto"/>
          <w:spacing w:val="-4"/>
          <w:sz w:val="21"/>
          <w:szCs w:val="21"/>
          <w:lang w:val="en-US" w:eastAsia="zh-CN"/>
        </w:rPr>
        <w:t>180日历天</w:t>
      </w:r>
      <w:r>
        <w:rPr>
          <w:rFonts w:hint="eastAsia" w:ascii="仿宋" w:hAnsi="仿宋" w:eastAsia="仿宋" w:cs="仿宋"/>
          <w:snapToGrid w:val="0"/>
          <w:color w:val="auto"/>
          <w:spacing w:val="-4"/>
          <w:sz w:val="21"/>
          <w:szCs w:val="21"/>
          <w:lang w:eastAsia="zh-CN"/>
        </w:rPr>
        <w:t>。</w:t>
      </w:r>
    </w:p>
    <w:p>
      <w:pPr>
        <w:widowControl/>
        <w:ind w:firstLine="404" w:firstLineChars="200"/>
        <w:jc w:val="left"/>
        <w:rPr>
          <w:rFonts w:hint="eastAsia" w:ascii="仿宋" w:hAnsi="仿宋" w:eastAsia="仿宋" w:cs="仿宋"/>
          <w:snapToGrid w:val="0"/>
          <w:color w:val="auto"/>
          <w:spacing w:val="-4"/>
          <w:sz w:val="21"/>
          <w:szCs w:val="21"/>
          <w:lang w:eastAsia="zh-CN"/>
        </w:rPr>
      </w:pPr>
      <w:r>
        <w:rPr>
          <w:rFonts w:hint="eastAsia" w:ascii="仿宋" w:hAnsi="仿宋" w:eastAsia="仿宋" w:cs="仿宋"/>
          <w:snapToGrid w:val="0"/>
          <w:color w:val="auto"/>
          <w:spacing w:val="-4"/>
          <w:sz w:val="21"/>
          <w:szCs w:val="21"/>
          <w:lang w:eastAsia="zh-CN"/>
        </w:rPr>
        <w:t>工程质量要求合格。</w:t>
      </w:r>
    </w:p>
    <w:p>
      <w:pPr>
        <w:snapToGrid w:val="0"/>
        <w:spacing w:line="360" w:lineRule="auto"/>
        <w:rPr>
          <w:rFonts w:hint="eastAsia" w:ascii="仿宋" w:hAnsi="仿宋" w:eastAsia="仿宋" w:cs="仿宋"/>
          <w:b/>
          <w:snapToGrid w:val="0"/>
          <w:color w:val="auto"/>
          <w:sz w:val="21"/>
          <w:szCs w:val="21"/>
        </w:rPr>
      </w:pPr>
      <w:r>
        <w:rPr>
          <w:rFonts w:hint="eastAsia" w:ascii="仿宋" w:hAnsi="仿宋" w:eastAsia="仿宋" w:cs="仿宋"/>
          <w:b/>
          <w:snapToGrid w:val="0"/>
          <w:color w:val="auto"/>
          <w:sz w:val="21"/>
          <w:szCs w:val="21"/>
        </w:rPr>
        <w:t>3. 投标人资格要求</w:t>
      </w:r>
    </w:p>
    <w:p>
      <w:pPr>
        <w:snapToGrid w:val="0"/>
        <w:spacing w:line="360" w:lineRule="auto"/>
        <w:ind w:firstLine="606" w:firstLineChars="300"/>
        <w:rPr>
          <w:rFonts w:hint="eastAsia" w:ascii="仿宋" w:hAnsi="仿宋" w:eastAsia="仿宋" w:cs="仿宋"/>
          <w:snapToGrid w:val="0"/>
          <w:color w:val="auto"/>
          <w:spacing w:val="-4"/>
          <w:sz w:val="21"/>
          <w:szCs w:val="21"/>
        </w:rPr>
      </w:pPr>
      <w:r>
        <w:rPr>
          <w:rFonts w:hint="eastAsia" w:ascii="仿宋" w:hAnsi="仿宋" w:eastAsia="仿宋" w:cs="仿宋"/>
          <w:snapToGrid w:val="0"/>
          <w:color w:val="auto"/>
          <w:spacing w:val="-4"/>
          <w:sz w:val="21"/>
          <w:szCs w:val="21"/>
        </w:rPr>
        <w:t>3.1 本次招标（浙江省外企业须提供《省外企业进浙承接业务备案证明》,其他条件详见附表。</w:t>
      </w:r>
    </w:p>
    <w:p>
      <w:pPr>
        <w:snapToGrid w:val="0"/>
        <w:spacing w:line="360" w:lineRule="auto"/>
        <w:ind w:firstLine="606" w:firstLineChars="300"/>
        <w:rPr>
          <w:rFonts w:hint="eastAsia" w:ascii="仿宋" w:hAnsi="仿宋" w:eastAsia="仿宋" w:cs="仿宋"/>
          <w:snapToGrid w:val="0"/>
          <w:color w:val="auto"/>
          <w:spacing w:val="-4"/>
          <w:sz w:val="21"/>
          <w:szCs w:val="21"/>
        </w:rPr>
      </w:pPr>
      <w:r>
        <w:rPr>
          <w:rFonts w:hint="eastAsia" w:ascii="仿宋" w:hAnsi="仿宋" w:eastAsia="仿宋" w:cs="仿宋"/>
          <w:snapToGrid w:val="0"/>
          <w:color w:val="auto"/>
          <w:spacing w:val="-4"/>
          <w:sz w:val="21"/>
          <w:szCs w:val="21"/>
        </w:rPr>
        <w:t>3.2本次招标不接受联合体投标。</w:t>
      </w:r>
    </w:p>
    <w:p>
      <w:pPr>
        <w:snapToGrid w:val="0"/>
        <w:spacing w:line="360" w:lineRule="auto"/>
        <w:ind w:firstLine="606" w:firstLineChars="300"/>
        <w:rPr>
          <w:rFonts w:hint="eastAsia" w:ascii="仿宋" w:hAnsi="仿宋" w:eastAsia="仿宋" w:cs="仿宋"/>
          <w:snapToGrid w:val="0"/>
          <w:color w:val="auto"/>
          <w:spacing w:val="-4"/>
          <w:sz w:val="21"/>
          <w:szCs w:val="21"/>
        </w:rPr>
      </w:pPr>
      <w:r>
        <w:rPr>
          <w:rFonts w:hint="eastAsia" w:ascii="仿宋" w:hAnsi="仿宋" w:eastAsia="仿宋" w:cs="仿宋"/>
          <w:snapToGrid w:val="0"/>
          <w:color w:val="auto"/>
          <w:spacing w:val="-4"/>
          <w:sz w:val="21"/>
          <w:szCs w:val="21"/>
        </w:rPr>
        <w:t>3.3其他要求：1、本项目采用电子招投标，</w:t>
      </w:r>
      <w:r>
        <w:rPr>
          <w:rFonts w:hint="eastAsia" w:ascii="仿宋" w:hAnsi="仿宋" w:eastAsia="仿宋" w:cs="仿宋"/>
          <w:color w:val="auto"/>
          <w:sz w:val="21"/>
          <w:szCs w:val="21"/>
        </w:rPr>
        <w:t>投标单位在制作电子投标文件前须在湖州市公共资源电子交易平台完成相关注册</w:t>
      </w:r>
      <w:r>
        <w:rPr>
          <w:rFonts w:hint="eastAsia" w:ascii="仿宋" w:hAnsi="仿宋" w:eastAsia="仿宋" w:cs="仿宋"/>
          <w:snapToGrid w:val="0"/>
          <w:color w:val="auto"/>
          <w:spacing w:val="-4"/>
          <w:sz w:val="21"/>
          <w:szCs w:val="21"/>
        </w:rPr>
        <w:t>；2、本项目拒绝被市场监督管理部门列入经营异常名录的投标企业。</w:t>
      </w:r>
    </w:p>
    <w:p>
      <w:pPr>
        <w:snapToGrid w:val="0"/>
        <w:spacing w:line="360" w:lineRule="auto"/>
        <w:rPr>
          <w:rFonts w:hint="eastAsia" w:ascii="仿宋" w:hAnsi="仿宋" w:eastAsia="仿宋" w:cs="仿宋"/>
          <w:b/>
          <w:snapToGrid w:val="0"/>
          <w:color w:val="auto"/>
          <w:sz w:val="21"/>
          <w:szCs w:val="21"/>
        </w:rPr>
      </w:pPr>
      <w:r>
        <w:rPr>
          <w:rFonts w:hint="eastAsia" w:ascii="仿宋" w:hAnsi="仿宋" w:eastAsia="仿宋" w:cs="仿宋"/>
          <w:b/>
          <w:snapToGrid w:val="0"/>
          <w:color w:val="auto"/>
          <w:sz w:val="21"/>
          <w:szCs w:val="21"/>
        </w:rPr>
        <w:t>4. 招标文件的获取</w:t>
      </w:r>
    </w:p>
    <w:p>
      <w:pPr>
        <w:snapToGrid w:val="0"/>
        <w:spacing w:line="360" w:lineRule="auto"/>
        <w:ind w:firstLine="505" w:firstLineChars="250"/>
        <w:rPr>
          <w:rFonts w:hint="eastAsia" w:ascii="仿宋" w:hAnsi="仿宋" w:eastAsia="仿宋" w:cs="仿宋"/>
          <w:snapToGrid w:val="0"/>
          <w:color w:val="auto"/>
          <w:spacing w:val="-4"/>
          <w:sz w:val="21"/>
          <w:szCs w:val="21"/>
        </w:rPr>
      </w:pPr>
      <w:bookmarkStart w:id="27" w:name="_Toc221949933"/>
      <w:r>
        <w:rPr>
          <w:rFonts w:hint="eastAsia" w:ascii="仿宋" w:hAnsi="仿宋" w:eastAsia="仿宋" w:cs="仿宋"/>
          <w:snapToGrid w:val="0"/>
          <w:color w:val="auto"/>
          <w:spacing w:val="-4"/>
          <w:sz w:val="21"/>
          <w:szCs w:val="21"/>
        </w:rPr>
        <w:t>4.1已注册用户，请</w:t>
      </w:r>
      <w:bookmarkStart w:id="1073" w:name="_GoBack"/>
      <w:bookmarkEnd w:id="1073"/>
      <w:r>
        <w:rPr>
          <w:rFonts w:hint="eastAsia" w:ascii="仿宋" w:hAnsi="仿宋" w:eastAsia="仿宋" w:cs="仿宋"/>
          <w:snapToGrid w:val="0"/>
          <w:color w:val="auto"/>
          <w:spacing w:val="-4"/>
          <w:sz w:val="21"/>
          <w:szCs w:val="21"/>
          <w:lang w:eastAsia="zh-CN"/>
        </w:rPr>
        <w:t>登录</w:t>
      </w:r>
      <w:r>
        <w:rPr>
          <w:rFonts w:hint="eastAsia" w:ascii="仿宋" w:hAnsi="仿宋" w:eastAsia="仿宋" w:cs="仿宋"/>
          <w:snapToGrid w:val="0"/>
          <w:color w:val="auto"/>
          <w:spacing w:val="-4"/>
          <w:sz w:val="21"/>
          <w:szCs w:val="21"/>
        </w:rPr>
        <w:t>湖州市公共资源交易系统（http://ggzy.huzhou.gov.cn/hzfront/）—“交易主体登录”，下载获取后缀名为“.HZZF”的招标文件等。</w:t>
      </w:r>
    </w:p>
    <w:p>
      <w:pPr>
        <w:snapToGrid w:val="0"/>
        <w:spacing w:line="360" w:lineRule="auto"/>
        <w:ind w:firstLine="505" w:firstLineChars="250"/>
        <w:rPr>
          <w:rFonts w:hint="eastAsia" w:ascii="仿宋" w:hAnsi="仿宋" w:eastAsia="仿宋" w:cs="仿宋"/>
          <w:snapToGrid w:val="0"/>
          <w:color w:val="auto"/>
          <w:spacing w:val="-4"/>
          <w:sz w:val="21"/>
          <w:szCs w:val="21"/>
        </w:rPr>
      </w:pPr>
      <w:r>
        <w:rPr>
          <w:rFonts w:hint="eastAsia" w:ascii="仿宋" w:hAnsi="仿宋" w:eastAsia="仿宋" w:cs="仿宋"/>
          <w:snapToGrid w:val="0"/>
          <w:color w:val="auto"/>
          <w:spacing w:val="-4"/>
          <w:sz w:val="21"/>
          <w:szCs w:val="21"/>
        </w:rPr>
        <w:t>4.2未注册用户可通过招标公告中附件下载获取招标文件进行查看咨询</w:t>
      </w:r>
    </w:p>
    <w:p>
      <w:pPr>
        <w:snapToGrid w:val="0"/>
        <w:spacing w:line="360" w:lineRule="auto"/>
        <w:ind w:firstLine="505" w:firstLineChars="250"/>
        <w:rPr>
          <w:rFonts w:hint="eastAsia" w:ascii="仿宋" w:hAnsi="仿宋" w:eastAsia="仿宋" w:cs="仿宋"/>
          <w:snapToGrid w:val="0"/>
          <w:color w:val="auto"/>
          <w:spacing w:val="-4"/>
          <w:sz w:val="21"/>
          <w:szCs w:val="21"/>
        </w:rPr>
      </w:pPr>
      <w:r>
        <w:rPr>
          <w:rFonts w:hint="eastAsia" w:ascii="仿宋" w:hAnsi="仿宋" w:eastAsia="仿宋" w:cs="仿宋"/>
          <w:snapToGrid w:val="0"/>
          <w:color w:val="auto"/>
          <w:spacing w:val="-4"/>
          <w:sz w:val="21"/>
          <w:szCs w:val="21"/>
        </w:rPr>
        <w:t>4.3注册咨询、技术服务电话:0572-2220028 ；CA锁办理：http://ggzy.huzhou.gov.cn/HZfront/InfoDetail/?InfoID=be90c8bc-0bd8-4140-a371-a0ba2181479a&amp;CategoryNum=010007。</w:t>
      </w:r>
    </w:p>
    <w:bookmarkEnd w:id="27"/>
    <w:p>
      <w:pPr>
        <w:snapToGrid w:val="0"/>
        <w:spacing w:line="360" w:lineRule="auto"/>
        <w:rPr>
          <w:rFonts w:hint="eastAsia" w:ascii="仿宋" w:hAnsi="仿宋" w:eastAsia="仿宋" w:cs="仿宋"/>
          <w:b/>
          <w:snapToGrid w:val="0"/>
          <w:color w:val="auto"/>
          <w:sz w:val="21"/>
          <w:szCs w:val="21"/>
        </w:rPr>
      </w:pPr>
      <w:r>
        <w:rPr>
          <w:rFonts w:hint="eastAsia" w:ascii="仿宋" w:hAnsi="仿宋" w:eastAsia="仿宋" w:cs="仿宋"/>
          <w:b/>
          <w:snapToGrid w:val="0"/>
          <w:color w:val="auto"/>
          <w:sz w:val="21"/>
          <w:szCs w:val="21"/>
        </w:rPr>
        <w:t>5. 投标文件的递交</w:t>
      </w:r>
    </w:p>
    <w:p>
      <w:pPr>
        <w:snapToGrid w:val="0"/>
        <w:spacing w:line="360" w:lineRule="auto"/>
        <w:ind w:firstLine="525" w:firstLineChars="250"/>
        <w:rPr>
          <w:rFonts w:hint="eastAsia" w:ascii="仿宋" w:hAnsi="仿宋" w:eastAsia="仿宋" w:cs="仿宋"/>
          <w:b/>
          <w:snapToGrid w:val="0"/>
          <w:color w:val="auto"/>
          <w:sz w:val="21"/>
          <w:szCs w:val="21"/>
        </w:rPr>
      </w:pPr>
      <w:r>
        <w:rPr>
          <w:rFonts w:hint="eastAsia" w:ascii="仿宋" w:hAnsi="仿宋" w:eastAsia="仿宋" w:cs="仿宋"/>
          <w:b/>
          <w:snapToGrid w:val="0"/>
          <w:color w:val="auto"/>
          <w:sz w:val="21"/>
          <w:szCs w:val="21"/>
        </w:rPr>
        <w:t>5.1 投标文件递交的截止时间（投标截止时间，下同）为202</w:t>
      </w:r>
      <w:r>
        <w:rPr>
          <w:rFonts w:hint="eastAsia" w:ascii="仿宋" w:hAnsi="仿宋" w:eastAsia="仿宋" w:cs="仿宋"/>
          <w:b/>
          <w:snapToGrid w:val="0"/>
          <w:color w:val="auto"/>
          <w:sz w:val="21"/>
          <w:szCs w:val="21"/>
          <w:lang w:val="en-US" w:eastAsia="zh-CN"/>
        </w:rPr>
        <w:t>1</w:t>
      </w:r>
      <w:r>
        <w:rPr>
          <w:rFonts w:hint="eastAsia" w:ascii="仿宋" w:hAnsi="仿宋" w:eastAsia="仿宋" w:cs="仿宋"/>
          <w:b/>
          <w:snapToGrid w:val="0"/>
          <w:color w:val="auto"/>
          <w:sz w:val="21"/>
          <w:szCs w:val="21"/>
        </w:rPr>
        <w:t>年</w:t>
      </w:r>
      <w:r>
        <w:rPr>
          <w:rFonts w:hint="eastAsia" w:ascii="仿宋" w:hAnsi="仿宋" w:eastAsia="仿宋" w:cs="仿宋"/>
          <w:b/>
          <w:snapToGrid w:val="0"/>
          <w:color w:val="auto"/>
          <w:sz w:val="21"/>
          <w:szCs w:val="21"/>
          <w:lang w:val="en-US" w:eastAsia="zh-CN"/>
        </w:rPr>
        <w:t>6</w:t>
      </w:r>
      <w:r>
        <w:rPr>
          <w:rFonts w:hint="eastAsia" w:ascii="仿宋" w:hAnsi="仿宋" w:eastAsia="仿宋" w:cs="仿宋"/>
          <w:b/>
          <w:snapToGrid w:val="0"/>
          <w:color w:val="auto"/>
          <w:sz w:val="21"/>
          <w:szCs w:val="21"/>
        </w:rPr>
        <w:t>月</w:t>
      </w:r>
      <w:r>
        <w:rPr>
          <w:rFonts w:hint="eastAsia" w:ascii="仿宋" w:hAnsi="仿宋" w:eastAsia="仿宋" w:cs="仿宋"/>
          <w:b/>
          <w:snapToGrid w:val="0"/>
          <w:color w:val="auto"/>
          <w:sz w:val="21"/>
          <w:szCs w:val="21"/>
          <w:lang w:val="en-US" w:eastAsia="zh-CN"/>
        </w:rPr>
        <w:t>1</w:t>
      </w:r>
      <w:r>
        <w:rPr>
          <w:rFonts w:hint="eastAsia" w:ascii="仿宋" w:hAnsi="仿宋" w:eastAsia="仿宋" w:cs="仿宋"/>
          <w:b/>
          <w:snapToGrid w:val="0"/>
          <w:color w:val="auto"/>
          <w:sz w:val="21"/>
          <w:szCs w:val="21"/>
        </w:rPr>
        <w:t>日</w:t>
      </w:r>
      <w:r>
        <w:rPr>
          <w:rFonts w:hint="eastAsia" w:ascii="仿宋" w:hAnsi="仿宋" w:eastAsia="仿宋" w:cs="仿宋"/>
          <w:b/>
          <w:snapToGrid w:val="0"/>
          <w:color w:val="auto"/>
          <w:sz w:val="21"/>
          <w:szCs w:val="21"/>
          <w:lang w:val="en-US" w:eastAsia="zh-CN"/>
        </w:rPr>
        <w:t>9</w:t>
      </w:r>
      <w:r>
        <w:rPr>
          <w:rFonts w:hint="eastAsia" w:ascii="仿宋" w:hAnsi="仿宋" w:eastAsia="仿宋" w:cs="仿宋"/>
          <w:b/>
          <w:snapToGrid w:val="0"/>
          <w:color w:val="auto"/>
          <w:sz w:val="21"/>
          <w:szCs w:val="21"/>
        </w:rPr>
        <w:t>时</w:t>
      </w:r>
      <w:r>
        <w:rPr>
          <w:rFonts w:hint="eastAsia" w:ascii="仿宋" w:hAnsi="仿宋" w:eastAsia="仿宋" w:cs="仿宋"/>
          <w:b/>
          <w:snapToGrid w:val="0"/>
          <w:color w:val="auto"/>
          <w:sz w:val="21"/>
          <w:szCs w:val="21"/>
          <w:lang w:val="en-US" w:eastAsia="zh-CN"/>
        </w:rPr>
        <w:t>00</w:t>
      </w:r>
      <w:r>
        <w:rPr>
          <w:rFonts w:hint="eastAsia" w:ascii="仿宋" w:hAnsi="仿宋" w:eastAsia="仿宋" w:cs="仿宋"/>
          <w:b/>
          <w:snapToGrid w:val="0"/>
          <w:color w:val="auto"/>
          <w:sz w:val="21"/>
          <w:szCs w:val="21"/>
        </w:rPr>
        <w:t>分。投标人应在投标截止时间之前，</w:t>
      </w:r>
      <w:r>
        <w:rPr>
          <w:rFonts w:hint="eastAsia" w:ascii="仿宋" w:hAnsi="仿宋" w:eastAsia="仿宋" w:cs="仿宋"/>
          <w:b/>
          <w:snapToGrid w:val="0"/>
          <w:color w:val="auto"/>
          <w:sz w:val="21"/>
          <w:szCs w:val="21"/>
          <w:lang w:eastAsia="zh-CN"/>
        </w:rPr>
        <w:t>登录</w:t>
      </w:r>
      <w:r>
        <w:rPr>
          <w:rFonts w:hint="eastAsia" w:ascii="仿宋" w:hAnsi="仿宋" w:eastAsia="仿宋" w:cs="仿宋"/>
          <w:b/>
          <w:snapToGrid w:val="0"/>
          <w:color w:val="auto"/>
          <w:sz w:val="21"/>
          <w:szCs w:val="21"/>
        </w:rPr>
        <w:t>湖州市公共资源交易信息网—交易主体登录—电子招投标交易平台—上传投标文件模块，上传“CA加密后的电子投标文件”。</w:t>
      </w:r>
    </w:p>
    <w:p>
      <w:pPr>
        <w:snapToGrid w:val="0"/>
        <w:spacing w:line="360" w:lineRule="auto"/>
        <w:ind w:firstLine="525" w:firstLineChars="250"/>
        <w:rPr>
          <w:rFonts w:hint="eastAsia" w:ascii="仿宋" w:hAnsi="仿宋" w:eastAsia="仿宋" w:cs="仿宋"/>
          <w:b/>
          <w:snapToGrid w:val="0"/>
          <w:color w:val="auto"/>
          <w:sz w:val="21"/>
          <w:szCs w:val="21"/>
        </w:rPr>
      </w:pPr>
      <w:r>
        <w:rPr>
          <w:rFonts w:hint="eastAsia" w:ascii="仿宋" w:hAnsi="仿宋" w:eastAsia="仿宋" w:cs="仿宋"/>
          <w:b/>
          <w:snapToGrid w:val="0"/>
          <w:color w:val="auto"/>
          <w:sz w:val="21"/>
          <w:szCs w:val="21"/>
        </w:rPr>
        <w:t>5.2 逾期上传电子投标文件的，招标人不予受理。</w:t>
      </w:r>
    </w:p>
    <w:p>
      <w:pPr>
        <w:snapToGrid w:val="0"/>
        <w:spacing w:line="360" w:lineRule="auto"/>
        <w:ind w:firstLine="525" w:firstLineChars="250"/>
        <w:rPr>
          <w:rFonts w:hint="eastAsia" w:ascii="仿宋" w:hAnsi="仿宋" w:eastAsia="仿宋" w:cs="仿宋"/>
          <w:snapToGrid w:val="0"/>
          <w:color w:val="auto"/>
          <w:sz w:val="21"/>
          <w:szCs w:val="21"/>
        </w:rPr>
      </w:pPr>
      <w:r>
        <w:rPr>
          <w:rFonts w:hint="eastAsia" w:ascii="仿宋" w:hAnsi="仿宋" w:eastAsia="仿宋" w:cs="仿宋"/>
          <w:b/>
          <w:snapToGrid w:val="0"/>
          <w:color w:val="auto"/>
          <w:sz w:val="21"/>
          <w:szCs w:val="21"/>
        </w:rPr>
        <w:t>6. 发布公告的媒体</w:t>
      </w:r>
    </w:p>
    <w:p>
      <w:pPr>
        <w:pStyle w:val="5"/>
        <w:tabs>
          <w:tab w:val="left" w:pos="4830"/>
        </w:tabs>
        <w:snapToGrid w:val="0"/>
        <w:spacing w:line="360" w:lineRule="auto"/>
        <w:ind w:firstLine="420" w:firstLineChars="200"/>
        <w:jc w:val="left"/>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本次招标公告同时在中国招标投标公共服务平台、浙江省公共资源交易服务平台、湖州市公共资源交易信息网</w:t>
      </w:r>
      <w:r>
        <w:rPr>
          <w:rFonts w:hint="eastAsia" w:ascii="仿宋" w:hAnsi="仿宋" w:eastAsia="仿宋" w:cs="仿宋"/>
          <w:snapToGrid w:val="0"/>
          <w:color w:val="auto"/>
          <w:sz w:val="21"/>
          <w:szCs w:val="21"/>
          <w:lang w:eastAsia="zh-CN"/>
        </w:rPr>
        <w:t>、吴兴区人民政府网（http://www.wuxing.gov.cn/）首页“吴兴区人民政府网（http://www.wuxing.gov.cn/）首页“吴兴区公共资源交易中心””专栏上发布。</w:t>
      </w:r>
    </w:p>
    <w:p>
      <w:pPr>
        <w:snapToGrid w:val="0"/>
        <w:spacing w:line="360" w:lineRule="auto"/>
        <w:ind w:firstLine="420" w:firstLineChars="200"/>
        <w:rPr>
          <w:rFonts w:hint="eastAsia" w:ascii="仿宋" w:hAnsi="仿宋" w:eastAsia="仿宋" w:cs="仿宋"/>
          <w:b/>
          <w:snapToGrid w:val="0"/>
          <w:color w:val="auto"/>
          <w:sz w:val="21"/>
          <w:szCs w:val="21"/>
        </w:rPr>
      </w:pPr>
      <w:r>
        <w:rPr>
          <w:rFonts w:hint="eastAsia" w:ascii="仿宋" w:hAnsi="仿宋" w:eastAsia="仿宋" w:cs="仿宋"/>
          <w:b/>
          <w:snapToGrid w:val="0"/>
          <w:color w:val="auto"/>
          <w:sz w:val="21"/>
          <w:szCs w:val="21"/>
        </w:rPr>
        <w:t>7. 联系方式</w:t>
      </w:r>
    </w:p>
    <w:p>
      <w:pPr>
        <w:pStyle w:val="23"/>
        <w:adjustRightInd w:val="0"/>
        <w:snapToGrid w:val="0"/>
        <w:spacing w:beforeAutospacing="0" w:afterAutospacing="0" w:line="360" w:lineRule="auto"/>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 xml:space="preserve">    招 标 人：</w:t>
      </w:r>
      <w:r>
        <w:rPr>
          <w:rFonts w:hint="eastAsia" w:ascii="仿宋" w:hAnsi="仿宋" w:eastAsia="仿宋" w:cs="仿宋"/>
          <w:snapToGrid w:val="0"/>
          <w:color w:val="auto"/>
          <w:sz w:val="21"/>
          <w:szCs w:val="21"/>
          <w:lang w:eastAsia="zh-CN"/>
        </w:rPr>
        <w:t>湖州新型城市投资发展集团有限公司</w:t>
      </w:r>
      <w:r>
        <w:rPr>
          <w:rFonts w:hint="eastAsia" w:ascii="仿宋" w:hAnsi="仿宋" w:eastAsia="仿宋" w:cs="仿宋"/>
          <w:snapToGrid w:val="0"/>
          <w:color w:val="auto"/>
          <w:sz w:val="21"/>
          <w:szCs w:val="21"/>
        </w:rPr>
        <w:t>   </w:t>
      </w:r>
    </w:p>
    <w:p>
      <w:pPr>
        <w:pStyle w:val="23"/>
        <w:adjustRightInd w:val="0"/>
        <w:snapToGrid w:val="0"/>
        <w:spacing w:beforeAutospacing="0" w:afterAutospacing="0" w:line="360" w:lineRule="auto"/>
        <w:ind w:firstLine="420"/>
        <w:rPr>
          <w:rFonts w:hint="eastAsia" w:ascii="仿宋" w:hAnsi="仿宋" w:eastAsia="仿宋" w:cs="仿宋"/>
          <w:snapToGrid w:val="0"/>
          <w:color w:val="auto"/>
          <w:sz w:val="21"/>
          <w:szCs w:val="21"/>
          <w:lang w:val="en-US" w:eastAsia="zh-CN"/>
        </w:rPr>
      </w:pPr>
      <w:r>
        <w:rPr>
          <w:rFonts w:hint="eastAsia" w:ascii="仿宋" w:hAnsi="仿宋" w:eastAsia="仿宋" w:cs="仿宋"/>
          <w:snapToGrid w:val="0"/>
          <w:color w:val="auto"/>
          <w:sz w:val="21"/>
          <w:szCs w:val="21"/>
        </w:rPr>
        <w:t>地  址</w:t>
      </w:r>
      <w:r>
        <w:rPr>
          <w:rFonts w:hint="eastAsia" w:ascii="仿宋" w:hAnsi="仿宋" w:eastAsia="仿宋" w:cs="仿宋"/>
          <w:snapToGrid w:val="0"/>
          <w:color w:val="auto"/>
          <w:sz w:val="21"/>
          <w:szCs w:val="21"/>
          <w:lang w:eastAsia="zh-CN"/>
        </w:rPr>
        <w:t>：湖州市吴兴区佛仙路288号</w:t>
      </w:r>
    </w:p>
    <w:p>
      <w:pPr>
        <w:pStyle w:val="23"/>
        <w:adjustRightInd w:val="0"/>
        <w:snapToGrid w:val="0"/>
        <w:spacing w:beforeAutospacing="0" w:afterAutospacing="0" w:line="360" w:lineRule="auto"/>
        <w:ind w:firstLine="42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联 系 人：</w:t>
      </w:r>
      <w:r>
        <w:rPr>
          <w:rFonts w:hint="eastAsia" w:ascii="仿宋" w:hAnsi="仿宋" w:eastAsia="仿宋" w:cs="仿宋"/>
          <w:snapToGrid w:val="0"/>
          <w:color w:val="auto"/>
          <w:sz w:val="21"/>
          <w:szCs w:val="21"/>
          <w:lang w:eastAsia="zh-CN"/>
        </w:rPr>
        <w:t>沈俊杰</w:t>
      </w:r>
      <w:r>
        <w:rPr>
          <w:rFonts w:hint="eastAsia" w:ascii="仿宋" w:hAnsi="仿宋" w:eastAsia="仿宋" w:cs="仿宋"/>
          <w:snapToGrid w:val="0"/>
          <w:color w:val="auto"/>
          <w:sz w:val="21"/>
          <w:szCs w:val="21"/>
        </w:rPr>
        <w:t xml:space="preserve">   电 话：</w:t>
      </w:r>
      <w:r>
        <w:rPr>
          <w:rFonts w:hint="eastAsia" w:ascii="仿宋" w:hAnsi="仿宋" w:eastAsia="仿宋" w:cs="仿宋"/>
          <w:snapToGrid w:val="0"/>
          <w:color w:val="auto"/>
          <w:sz w:val="21"/>
          <w:szCs w:val="21"/>
          <w:lang w:eastAsia="zh-CN"/>
        </w:rPr>
        <w:t xml:space="preserve">0572-2922929  </w:t>
      </w:r>
      <w:r>
        <w:rPr>
          <w:rFonts w:hint="eastAsia" w:ascii="仿宋" w:hAnsi="仿宋" w:eastAsia="仿宋" w:cs="仿宋"/>
          <w:snapToGrid w:val="0"/>
          <w:color w:val="auto"/>
          <w:sz w:val="21"/>
          <w:szCs w:val="21"/>
        </w:rPr>
        <w:t xml:space="preserve"> </w:t>
      </w:r>
    </w:p>
    <w:p>
      <w:pPr>
        <w:pStyle w:val="23"/>
        <w:adjustRightInd w:val="0"/>
        <w:snapToGrid w:val="0"/>
        <w:spacing w:beforeAutospacing="0" w:afterAutospacing="0" w:line="360" w:lineRule="auto"/>
        <w:rPr>
          <w:rFonts w:hint="eastAsia" w:ascii="仿宋" w:hAnsi="仿宋" w:eastAsia="仿宋" w:cs="仿宋"/>
          <w:snapToGrid w:val="0"/>
          <w:color w:val="auto"/>
          <w:sz w:val="21"/>
          <w:szCs w:val="21"/>
          <w:lang w:eastAsia="zh-CN"/>
        </w:rPr>
      </w:pPr>
      <w:r>
        <w:rPr>
          <w:rFonts w:hint="eastAsia" w:ascii="仿宋" w:hAnsi="仿宋" w:eastAsia="仿宋" w:cs="仿宋"/>
          <w:snapToGrid w:val="0"/>
          <w:color w:val="auto"/>
          <w:sz w:val="21"/>
          <w:szCs w:val="21"/>
        </w:rPr>
        <w:t xml:space="preserve">    招标代理机构：</w:t>
      </w:r>
      <w:r>
        <w:rPr>
          <w:rFonts w:hint="eastAsia" w:ascii="仿宋" w:hAnsi="仿宋" w:eastAsia="仿宋" w:cs="仿宋"/>
          <w:snapToGrid w:val="0"/>
          <w:color w:val="auto"/>
          <w:sz w:val="21"/>
          <w:szCs w:val="21"/>
          <w:lang w:eastAsia="zh-CN"/>
        </w:rPr>
        <w:t>浙江诚律工程管理有限公司</w:t>
      </w:r>
    </w:p>
    <w:p>
      <w:pPr>
        <w:pStyle w:val="23"/>
        <w:adjustRightInd w:val="0"/>
        <w:snapToGrid w:val="0"/>
        <w:spacing w:beforeAutospacing="0" w:afterAutospacing="0" w:line="360" w:lineRule="auto"/>
        <w:rPr>
          <w:rFonts w:hint="eastAsia" w:ascii="仿宋" w:hAnsi="仿宋" w:eastAsia="仿宋" w:cs="仿宋"/>
          <w:snapToGrid w:val="0"/>
          <w:color w:val="auto"/>
          <w:sz w:val="21"/>
          <w:szCs w:val="21"/>
          <w:lang w:val="en-US" w:eastAsia="zh-CN"/>
        </w:rPr>
      </w:pPr>
      <w:r>
        <w:rPr>
          <w:rFonts w:hint="eastAsia" w:ascii="仿宋" w:hAnsi="仿宋" w:eastAsia="仿宋" w:cs="仿宋"/>
          <w:snapToGrid w:val="0"/>
          <w:color w:val="auto"/>
          <w:sz w:val="21"/>
          <w:szCs w:val="21"/>
        </w:rPr>
        <w:t xml:space="preserve">    地    址： </w:t>
      </w:r>
      <w:r>
        <w:rPr>
          <w:rFonts w:hint="eastAsia" w:ascii="仿宋" w:hAnsi="仿宋" w:eastAsia="仿宋" w:cs="仿宋"/>
          <w:snapToGrid w:val="0"/>
          <w:color w:val="auto"/>
          <w:sz w:val="21"/>
          <w:szCs w:val="21"/>
          <w:lang w:eastAsia="zh-CN"/>
        </w:rPr>
        <w:t>湖州市吴兴区富田家园4幢803室</w:t>
      </w:r>
    </w:p>
    <w:p>
      <w:pPr>
        <w:pStyle w:val="23"/>
        <w:adjustRightInd w:val="0"/>
        <w:snapToGrid w:val="0"/>
        <w:spacing w:beforeAutospacing="0" w:afterAutospacing="0" w:line="360" w:lineRule="auto"/>
        <w:rPr>
          <w:rFonts w:hint="eastAsia" w:ascii="仿宋" w:hAnsi="仿宋" w:eastAsia="仿宋" w:cs="仿宋"/>
          <w:b/>
          <w:snapToGrid w:val="0"/>
          <w:color w:val="auto"/>
          <w:sz w:val="21"/>
          <w:szCs w:val="21"/>
        </w:rPr>
      </w:pPr>
      <w:r>
        <w:rPr>
          <w:rFonts w:hint="eastAsia" w:ascii="仿宋" w:hAnsi="仿宋" w:eastAsia="仿宋" w:cs="仿宋"/>
          <w:snapToGrid w:val="0"/>
          <w:color w:val="auto"/>
          <w:sz w:val="21"/>
          <w:szCs w:val="21"/>
        </w:rPr>
        <w:t xml:space="preserve">    联 系 人：</w:t>
      </w:r>
      <w:r>
        <w:rPr>
          <w:rFonts w:hint="eastAsia" w:ascii="仿宋" w:hAnsi="仿宋" w:eastAsia="仿宋" w:cs="仿宋"/>
          <w:snapToGrid w:val="0"/>
          <w:color w:val="auto"/>
          <w:sz w:val="21"/>
          <w:szCs w:val="21"/>
          <w:lang w:eastAsia="zh-CN"/>
        </w:rPr>
        <w:t>沈晓燕</w:t>
      </w:r>
      <w:r>
        <w:rPr>
          <w:rFonts w:hint="eastAsia" w:ascii="仿宋" w:hAnsi="仿宋" w:eastAsia="仿宋" w:cs="仿宋"/>
          <w:snapToGrid w:val="0"/>
          <w:color w:val="auto"/>
          <w:sz w:val="21"/>
          <w:szCs w:val="21"/>
        </w:rPr>
        <w:t xml:space="preserve">    电话：</w:t>
      </w:r>
      <w:r>
        <w:rPr>
          <w:rFonts w:hint="eastAsia" w:ascii="仿宋" w:hAnsi="仿宋" w:eastAsia="仿宋" w:cs="仿宋"/>
          <w:snapToGrid w:val="0"/>
          <w:color w:val="auto"/>
          <w:sz w:val="21"/>
          <w:szCs w:val="21"/>
          <w:lang w:eastAsia="zh-CN"/>
        </w:rPr>
        <w:t>0572-2020159</w:t>
      </w:r>
      <w:r>
        <w:rPr>
          <w:rFonts w:hint="eastAsia" w:ascii="仿宋" w:hAnsi="仿宋" w:eastAsia="仿宋" w:cs="仿宋"/>
          <w:snapToGrid w:val="0"/>
          <w:color w:val="auto"/>
          <w:sz w:val="21"/>
          <w:szCs w:val="21"/>
        </w:rPr>
        <w:t xml:space="preserve">   </w:t>
      </w:r>
    </w:p>
    <w:p>
      <w:pPr>
        <w:snapToGrid w:val="0"/>
        <w:spacing w:line="360" w:lineRule="auto"/>
        <w:ind w:firstLine="420" w:firstLineChars="200"/>
        <w:rPr>
          <w:rFonts w:hint="eastAsia" w:ascii="仿宋" w:hAnsi="仿宋" w:eastAsia="仿宋" w:cs="仿宋"/>
          <w:b/>
          <w:snapToGrid w:val="0"/>
          <w:color w:val="auto"/>
          <w:sz w:val="21"/>
          <w:szCs w:val="21"/>
        </w:rPr>
      </w:pPr>
      <w:r>
        <w:rPr>
          <w:rFonts w:hint="eastAsia" w:ascii="仿宋" w:hAnsi="仿宋" w:eastAsia="仿宋" w:cs="仿宋"/>
          <w:b/>
          <w:snapToGrid w:val="0"/>
          <w:color w:val="auto"/>
          <w:sz w:val="21"/>
          <w:szCs w:val="21"/>
        </w:rPr>
        <w:t>8. 软件技术支持</w:t>
      </w:r>
    </w:p>
    <w:p>
      <w:pPr>
        <w:pStyle w:val="23"/>
        <w:adjustRightInd w:val="0"/>
        <w:snapToGrid w:val="0"/>
        <w:spacing w:before="0" w:beforeAutospacing="0" w:after="0" w:afterAutospacing="0" w:line="48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电 话：0572-2220028</w:t>
      </w:r>
    </w:p>
    <w:p>
      <w:pPr>
        <w:widowControl/>
        <w:shd w:val="clear" w:color="auto" w:fill="FFFFFF"/>
        <w:snapToGrid w:val="0"/>
        <w:spacing w:line="460" w:lineRule="atLeast"/>
        <w:ind w:firstLine="420"/>
        <w:rPr>
          <w:rFonts w:hint="eastAsia" w:ascii="仿宋" w:hAnsi="仿宋" w:eastAsia="仿宋" w:cs="仿宋"/>
          <w:color w:val="auto"/>
          <w:kern w:val="0"/>
          <w:sz w:val="18"/>
          <w:szCs w:val="18"/>
        </w:rPr>
      </w:pPr>
      <w:r>
        <w:rPr>
          <w:rFonts w:hint="eastAsia" w:ascii="仿宋" w:hAnsi="仿宋" w:eastAsia="仿宋" w:cs="仿宋"/>
          <w:color w:val="auto"/>
          <w:kern w:val="0"/>
          <w:szCs w:val="21"/>
        </w:rPr>
        <w:t>联系人：国泰新点客服    电话 ：4009980000</w:t>
      </w:r>
    </w:p>
    <w:p>
      <w:pPr>
        <w:widowControl/>
        <w:shd w:val="clear" w:color="auto" w:fill="FFFFFF"/>
        <w:snapToGrid w:val="0"/>
        <w:spacing w:line="460" w:lineRule="atLeast"/>
        <w:ind w:firstLine="420"/>
        <w:rPr>
          <w:rFonts w:hint="eastAsia" w:ascii="仿宋" w:hAnsi="仿宋" w:eastAsia="仿宋" w:cs="仿宋"/>
          <w:color w:val="auto"/>
          <w:kern w:val="0"/>
          <w:sz w:val="18"/>
          <w:szCs w:val="18"/>
        </w:rPr>
      </w:pPr>
      <w:r>
        <w:rPr>
          <w:rFonts w:hint="eastAsia" w:ascii="仿宋" w:hAnsi="仿宋" w:eastAsia="仿宋" w:cs="仿宋"/>
          <w:color w:val="auto"/>
          <w:kern w:val="0"/>
          <w:szCs w:val="21"/>
        </w:rPr>
        <w:t>联系人：国泰新点        电话 ：18657183506</w:t>
      </w:r>
    </w:p>
    <w:p>
      <w:pPr>
        <w:widowControl/>
        <w:shd w:val="clear" w:color="auto" w:fill="FFFFFF"/>
        <w:snapToGrid w:val="0"/>
        <w:spacing w:line="460" w:lineRule="atLeast"/>
        <w:ind w:firstLine="420"/>
        <w:rPr>
          <w:rFonts w:hint="eastAsia" w:ascii="仿宋" w:hAnsi="仿宋" w:eastAsia="仿宋" w:cs="仿宋"/>
          <w:color w:val="auto"/>
          <w:kern w:val="0"/>
          <w:szCs w:val="21"/>
        </w:rPr>
      </w:pPr>
      <w:r>
        <w:rPr>
          <w:rFonts w:hint="eastAsia" w:ascii="仿宋" w:hAnsi="仿宋" w:eastAsia="仿宋" w:cs="仿宋"/>
          <w:color w:val="auto"/>
          <w:kern w:val="0"/>
          <w:szCs w:val="21"/>
        </w:rPr>
        <w:t>联 系 人：施展（品茗）  电话：13857254002</w:t>
      </w:r>
    </w:p>
    <w:p>
      <w:pPr>
        <w:widowControl/>
        <w:shd w:val="clear" w:color="auto" w:fill="FFFFFF"/>
        <w:snapToGrid w:val="0"/>
        <w:spacing w:line="460" w:lineRule="atLeast"/>
        <w:ind w:firstLine="420"/>
        <w:rPr>
          <w:rFonts w:hint="eastAsia" w:ascii="仿宋" w:hAnsi="仿宋" w:eastAsia="仿宋" w:cs="仿宋"/>
          <w:b/>
          <w:bCs/>
          <w:color w:val="auto"/>
          <w:kern w:val="0"/>
          <w:szCs w:val="21"/>
        </w:rPr>
      </w:pPr>
      <w:r>
        <w:rPr>
          <w:rFonts w:hint="eastAsia" w:ascii="仿宋" w:hAnsi="仿宋" w:eastAsia="仿宋" w:cs="仿宋"/>
          <w:b/>
          <w:bCs/>
          <w:color w:val="auto"/>
          <w:kern w:val="0"/>
          <w:szCs w:val="21"/>
        </w:rPr>
        <w:t>本项目招标文件已于2021 年</w:t>
      </w:r>
      <w:r>
        <w:rPr>
          <w:rFonts w:hint="eastAsia" w:ascii="仿宋" w:hAnsi="仿宋" w:eastAsia="仿宋" w:cs="仿宋"/>
          <w:b/>
          <w:bCs/>
          <w:color w:val="auto"/>
          <w:kern w:val="0"/>
          <w:szCs w:val="21"/>
          <w:lang w:val="en-US" w:eastAsia="zh-CN"/>
        </w:rPr>
        <w:t>4</w:t>
      </w:r>
      <w:r>
        <w:rPr>
          <w:rFonts w:hint="eastAsia" w:ascii="仿宋" w:hAnsi="仿宋" w:eastAsia="仿宋" w:cs="仿宋"/>
          <w:b/>
          <w:bCs/>
          <w:color w:val="auto"/>
          <w:kern w:val="0"/>
          <w:szCs w:val="21"/>
        </w:rPr>
        <w:t>月</w:t>
      </w:r>
      <w:r>
        <w:rPr>
          <w:rFonts w:hint="eastAsia" w:ascii="仿宋" w:hAnsi="仿宋" w:eastAsia="仿宋" w:cs="仿宋"/>
          <w:b/>
          <w:bCs/>
          <w:color w:val="auto"/>
          <w:kern w:val="0"/>
          <w:szCs w:val="21"/>
          <w:lang w:val="en-US" w:eastAsia="zh-CN"/>
        </w:rPr>
        <w:t>27</w:t>
      </w:r>
      <w:r>
        <w:rPr>
          <w:rFonts w:hint="eastAsia" w:ascii="仿宋" w:hAnsi="仿宋" w:eastAsia="仿宋" w:cs="仿宋"/>
          <w:b/>
          <w:bCs/>
          <w:color w:val="auto"/>
          <w:kern w:val="0"/>
          <w:szCs w:val="21"/>
        </w:rPr>
        <w:t>日至2021 年</w:t>
      </w:r>
      <w:r>
        <w:rPr>
          <w:rFonts w:hint="eastAsia" w:ascii="仿宋" w:hAnsi="仿宋" w:eastAsia="仿宋" w:cs="仿宋"/>
          <w:b/>
          <w:bCs/>
          <w:color w:val="auto"/>
          <w:kern w:val="0"/>
          <w:szCs w:val="21"/>
          <w:lang w:val="en-US" w:eastAsia="zh-CN"/>
        </w:rPr>
        <w:t xml:space="preserve">4 </w:t>
      </w:r>
      <w:r>
        <w:rPr>
          <w:rFonts w:hint="eastAsia" w:ascii="仿宋" w:hAnsi="仿宋" w:eastAsia="仿宋" w:cs="仿宋"/>
          <w:b/>
          <w:bCs/>
          <w:color w:val="auto"/>
          <w:kern w:val="0"/>
          <w:szCs w:val="21"/>
        </w:rPr>
        <w:t>月</w:t>
      </w:r>
      <w:r>
        <w:rPr>
          <w:rFonts w:hint="eastAsia" w:ascii="仿宋" w:hAnsi="仿宋" w:eastAsia="仿宋" w:cs="仿宋"/>
          <w:b/>
          <w:bCs/>
          <w:color w:val="auto"/>
          <w:kern w:val="0"/>
          <w:szCs w:val="21"/>
          <w:lang w:val="en-US" w:eastAsia="zh-CN"/>
        </w:rPr>
        <w:t>30</w:t>
      </w:r>
      <w:r>
        <w:rPr>
          <w:rFonts w:hint="eastAsia" w:ascii="仿宋" w:hAnsi="仿宋" w:eastAsia="仿宋" w:cs="仿宋"/>
          <w:b/>
          <w:bCs/>
          <w:color w:val="auto"/>
          <w:kern w:val="0"/>
          <w:szCs w:val="21"/>
        </w:rPr>
        <w:t>日在湖州市公共资源交易平台公示。</w:t>
      </w:r>
    </w:p>
    <w:p>
      <w:pPr>
        <w:widowControl/>
        <w:shd w:val="clear" w:color="auto" w:fill="FFFFFF"/>
        <w:snapToGrid w:val="0"/>
        <w:spacing w:line="460" w:lineRule="atLeast"/>
        <w:ind w:firstLine="420"/>
        <w:rPr>
          <w:rFonts w:hint="eastAsia" w:ascii="仿宋" w:hAnsi="仿宋" w:eastAsia="仿宋" w:cs="仿宋"/>
          <w:bCs/>
          <w:color w:val="auto"/>
          <w:sz w:val="21"/>
          <w:szCs w:val="21"/>
        </w:rPr>
      </w:pPr>
      <w:r>
        <w:rPr>
          <w:rFonts w:hint="eastAsia" w:ascii="仿宋" w:hAnsi="仿宋" w:eastAsia="仿宋" w:cs="仿宋"/>
          <w:color w:val="auto"/>
          <w:kern w:val="0"/>
          <w:szCs w:val="21"/>
        </w:rPr>
        <w:t>远程不见面开标：是指将传统的开标场所搬</w:t>
      </w:r>
      <w:r>
        <w:rPr>
          <w:rFonts w:hint="eastAsia" w:ascii="仿宋" w:hAnsi="仿宋" w:eastAsia="仿宋" w:cs="仿宋"/>
          <w:bCs/>
          <w:color w:val="auto"/>
          <w:sz w:val="21"/>
          <w:szCs w:val="21"/>
        </w:rPr>
        <w:t>到网上，招标人、投标人只需登录网上不见面开标大厅，无需到开标现场参与即可进行投标文件在线解密、投标人在线质疑、招标人在线回复等操作。</w:t>
      </w:r>
    </w:p>
    <w:p>
      <w:pPr>
        <w:pStyle w:val="5"/>
        <w:tabs>
          <w:tab w:val="left" w:pos="4830"/>
        </w:tabs>
        <w:snapToGrid w:val="0"/>
        <w:spacing w:line="276" w:lineRule="auto"/>
        <w:ind w:firstLine="0"/>
        <w:jc w:val="center"/>
        <w:rPr>
          <w:rFonts w:hint="eastAsia" w:ascii="仿宋" w:hAnsi="仿宋" w:eastAsia="仿宋" w:cs="仿宋"/>
          <w:color w:val="auto"/>
          <w:sz w:val="21"/>
          <w:szCs w:val="21"/>
        </w:rPr>
      </w:pPr>
      <w:r>
        <w:rPr>
          <w:rFonts w:hint="eastAsia" w:ascii="仿宋" w:hAnsi="仿宋" w:eastAsia="仿宋" w:cs="仿宋"/>
          <w:color w:val="auto"/>
          <w:sz w:val="21"/>
          <w:szCs w:val="21"/>
        </w:rPr>
        <w:br w:type="page"/>
      </w:r>
      <w:r>
        <w:rPr>
          <w:rFonts w:hint="eastAsia" w:ascii="仿宋" w:hAnsi="仿宋" w:eastAsia="仿宋" w:cs="仿宋"/>
          <w:b/>
          <w:bCs/>
          <w:snapToGrid w:val="0"/>
          <w:color w:val="auto"/>
          <w:sz w:val="28"/>
          <w:szCs w:val="28"/>
        </w:rPr>
        <w:t>投标人资格条件要求附表</w:t>
      </w:r>
    </w:p>
    <w:bookmarkEnd w:id="17"/>
    <w:bookmarkEnd w:id="18"/>
    <w:bookmarkEnd w:id="19"/>
    <w:bookmarkEnd w:id="20"/>
    <w:tbl>
      <w:tblPr>
        <w:tblStyle w:val="25"/>
        <w:tblW w:w="10264" w:type="dxa"/>
        <w:tblInd w:w="-5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8"/>
        <w:gridCol w:w="95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68" w:type="dxa"/>
            <w:tcBorders>
              <w:top w:val="single" w:color="auto" w:sz="8"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hint="eastAsia" w:ascii="仿宋" w:hAnsi="仿宋" w:eastAsia="仿宋" w:cs="仿宋"/>
                <w:b/>
                <w:bCs/>
                <w:color w:val="auto"/>
                <w:kern w:val="2"/>
                <w:sz w:val="21"/>
                <w:szCs w:val="21"/>
              </w:rPr>
            </w:pPr>
            <w:bookmarkStart w:id="28" w:name="_Toc261333111"/>
            <w:bookmarkStart w:id="29" w:name="_Toc271220709"/>
            <w:bookmarkStart w:id="30" w:name="_Toc15793"/>
            <w:bookmarkStart w:id="31" w:name="_Toc271200543"/>
            <w:bookmarkStart w:id="32" w:name="_Toc261464179"/>
            <w:bookmarkStart w:id="33" w:name="_Toc184635081"/>
            <w:bookmarkStart w:id="34" w:name="_Toc218314686"/>
            <w:r>
              <w:rPr>
                <w:rFonts w:hint="eastAsia" w:ascii="仿宋" w:hAnsi="仿宋" w:eastAsia="仿宋" w:cs="仿宋"/>
                <w:b/>
                <w:bCs/>
                <w:snapToGrid w:val="0"/>
                <w:color w:val="auto"/>
                <w:kern w:val="2"/>
                <w:sz w:val="21"/>
                <w:szCs w:val="21"/>
              </w:rPr>
              <w:t>序号</w:t>
            </w:r>
          </w:p>
        </w:tc>
        <w:tc>
          <w:tcPr>
            <w:tcW w:w="9596" w:type="dxa"/>
            <w:tcBorders>
              <w:top w:val="single" w:color="auto" w:sz="8" w:space="0"/>
              <w:left w:val="single" w:color="auto" w:sz="4" w:space="0"/>
              <w:bottom w:val="single" w:color="auto" w:sz="4" w:space="0"/>
              <w:right w:val="single" w:color="auto" w:sz="8" w:space="0"/>
            </w:tcBorders>
            <w:vAlign w:val="center"/>
          </w:tcPr>
          <w:p>
            <w:pPr>
              <w:widowControl/>
              <w:autoSpaceDE/>
              <w:autoSpaceDN/>
              <w:adjustRightInd/>
              <w:spacing w:line="240" w:lineRule="exact"/>
              <w:jc w:val="center"/>
              <w:textAlignment w:val="auto"/>
              <w:rPr>
                <w:rFonts w:hint="eastAsia" w:ascii="仿宋" w:hAnsi="仿宋" w:eastAsia="仿宋" w:cs="仿宋"/>
                <w:b/>
                <w:bCs/>
                <w:color w:val="auto"/>
                <w:kern w:val="2"/>
                <w:sz w:val="21"/>
                <w:szCs w:val="21"/>
              </w:rPr>
            </w:pPr>
            <w:r>
              <w:rPr>
                <w:rFonts w:hint="eastAsia" w:ascii="仿宋" w:hAnsi="仿宋" w:eastAsia="仿宋" w:cs="仿宋"/>
                <w:b/>
                <w:bCs/>
                <w:snapToGrid w:val="0"/>
                <w:color w:val="auto"/>
                <w:kern w:val="2"/>
                <w:sz w:val="21"/>
                <w:szCs w:val="21"/>
              </w:rPr>
              <w:t>资 格 条 件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hint="eastAsia" w:ascii="仿宋" w:hAnsi="仿宋" w:eastAsia="仿宋" w:cs="仿宋"/>
                <w:b/>
                <w:bCs/>
                <w:color w:val="auto"/>
                <w:kern w:val="2"/>
                <w:sz w:val="21"/>
                <w:szCs w:val="21"/>
              </w:rPr>
            </w:pPr>
            <w:r>
              <w:rPr>
                <w:rFonts w:hint="eastAsia" w:ascii="仿宋" w:hAnsi="仿宋" w:eastAsia="仿宋" w:cs="仿宋"/>
                <w:b/>
                <w:bCs/>
                <w:snapToGrid w:val="0"/>
                <w:color w:val="auto"/>
                <w:kern w:val="2"/>
                <w:sz w:val="21"/>
                <w:szCs w:val="21"/>
              </w:rPr>
              <w:t>一</w:t>
            </w:r>
          </w:p>
        </w:tc>
        <w:tc>
          <w:tcPr>
            <w:tcW w:w="9596"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napToGrid w:val="0"/>
              <w:spacing w:line="240" w:lineRule="exact"/>
              <w:jc w:val="left"/>
              <w:textAlignment w:val="auto"/>
              <w:rPr>
                <w:rFonts w:hint="eastAsia" w:ascii="仿宋" w:hAnsi="仿宋" w:eastAsia="仿宋" w:cs="仿宋"/>
                <w:b/>
                <w:bCs/>
                <w:color w:val="auto"/>
                <w:kern w:val="2"/>
                <w:sz w:val="21"/>
                <w:szCs w:val="21"/>
              </w:rPr>
            </w:pPr>
            <w:r>
              <w:rPr>
                <w:rFonts w:hint="eastAsia" w:ascii="仿宋" w:hAnsi="仿宋" w:eastAsia="仿宋" w:cs="仿宋"/>
                <w:b/>
                <w:bCs/>
                <w:snapToGrid w:val="0"/>
                <w:color w:val="auto"/>
                <w:kern w:val="2"/>
                <w:sz w:val="21"/>
                <w:szCs w:val="21"/>
              </w:rPr>
              <w:t>企业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hint="eastAsia" w:ascii="仿宋" w:hAnsi="仿宋" w:eastAsia="仿宋" w:cs="仿宋"/>
                <w:color w:val="auto"/>
                <w:kern w:val="2"/>
                <w:sz w:val="21"/>
                <w:szCs w:val="21"/>
              </w:rPr>
            </w:pPr>
            <w:r>
              <w:rPr>
                <w:rFonts w:hint="eastAsia" w:ascii="仿宋" w:hAnsi="仿宋" w:eastAsia="仿宋" w:cs="仿宋"/>
                <w:snapToGrid w:val="0"/>
                <w:color w:val="auto"/>
                <w:kern w:val="2"/>
                <w:sz w:val="21"/>
                <w:szCs w:val="21"/>
              </w:rPr>
              <w:t>1</w:t>
            </w:r>
          </w:p>
        </w:tc>
        <w:tc>
          <w:tcPr>
            <w:tcW w:w="9596" w:type="dxa"/>
            <w:tcBorders>
              <w:top w:val="single" w:color="auto" w:sz="4" w:space="0"/>
              <w:left w:val="single" w:color="auto" w:sz="4" w:space="0"/>
              <w:bottom w:val="single" w:color="auto" w:sz="4" w:space="0"/>
              <w:right w:val="single" w:color="auto" w:sz="8" w:space="0"/>
            </w:tcBorders>
            <w:vAlign w:val="center"/>
          </w:tcPr>
          <w:p>
            <w:pPr>
              <w:numPr>
                <w:ilvl w:val="0"/>
                <w:numId w:val="4"/>
              </w:numPr>
              <w:snapToGrid w:val="0"/>
              <w:spacing w:line="240" w:lineRule="auto"/>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应具备</w:t>
            </w:r>
            <w:r>
              <w:rPr>
                <w:rFonts w:hint="eastAsia" w:ascii="仿宋" w:hAnsi="仿宋" w:eastAsia="仿宋" w:cs="仿宋"/>
                <w:snapToGrid w:val="0"/>
                <w:color w:val="auto"/>
                <w:spacing w:val="-4"/>
                <w:kern w:val="2"/>
                <w:sz w:val="21"/>
                <w:szCs w:val="21"/>
              </w:rPr>
              <w:t>水利水电工程施工总承包</w:t>
            </w:r>
            <w:r>
              <w:rPr>
                <w:rFonts w:hint="eastAsia" w:ascii="仿宋" w:hAnsi="仿宋" w:eastAsia="仿宋" w:cs="仿宋"/>
                <w:snapToGrid w:val="0"/>
                <w:color w:val="auto"/>
                <w:spacing w:val="-4"/>
                <w:kern w:val="2"/>
                <w:sz w:val="21"/>
                <w:szCs w:val="21"/>
                <w:lang w:eastAsia="zh-CN"/>
              </w:rPr>
              <w:t>三</w:t>
            </w:r>
            <w:r>
              <w:rPr>
                <w:rFonts w:hint="eastAsia" w:ascii="仿宋" w:hAnsi="仿宋" w:eastAsia="仿宋" w:cs="仿宋"/>
                <w:snapToGrid w:val="0"/>
                <w:color w:val="auto"/>
                <w:spacing w:val="-4"/>
                <w:kern w:val="2"/>
                <w:sz w:val="21"/>
                <w:szCs w:val="21"/>
              </w:rPr>
              <w:t>级及以上资质</w:t>
            </w:r>
            <w:r>
              <w:rPr>
                <w:rFonts w:hint="eastAsia" w:ascii="仿宋" w:hAnsi="仿宋" w:eastAsia="仿宋" w:cs="仿宋"/>
                <w:snapToGrid w:val="0"/>
                <w:color w:val="auto"/>
                <w:kern w:val="2"/>
                <w:sz w:val="21"/>
                <w:szCs w:val="21"/>
              </w:rPr>
              <w:t>，具有有效的营业执照和安全生产许可证。</w:t>
            </w:r>
          </w:p>
          <w:p>
            <w:pPr>
              <w:numPr>
                <w:ilvl w:val="0"/>
                <w:numId w:val="4"/>
              </w:numPr>
              <w:snapToGrid w:val="0"/>
              <w:spacing w:line="240" w:lineRule="auto"/>
              <w:rPr>
                <w:rFonts w:hint="eastAsia" w:ascii="仿宋" w:hAnsi="仿宋" w:eastAsia="仿宋" w:cs="仿宋"/>
                <w:color w:val="auto"/>
                <w:kern w:val="2"/>
                <w:sz w:val="21"/>
                <w:szCs w:val="21"/>
              </w:rPr>
            </w:pPr>
            <w:r>
              <w:rPr>
                <w:rFonts w:hint="eastAsia" w:ascii="仿宋" w:hAnsi="仿宋" w:eastAsia="仿宋" w:cs="仿宋"/>
                <w:snapToGrid w:val="0"/>
                <w:color w:val="auto"/>
                <w:spacing w:val="-4"/>
                <w:sz w:val="21"/>
                <w:szCs w:val="21"/>
              </w:rPr>
              <w:t>本次招标不接受联合体投标。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2</w:t>
            </w:r>
          </w:p>
        </w:tc>
        <w:tc>
          <w:tcPr>
            <w:tcW w:w="9596"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napToGrid w:val="0"/>
              <w:spacing w:line="240" w:lineRule="exact"/>
              <w:jc w:val="left"/>
              <w:textAlignment w:val="auto"/>
              <w:rPr>
                <w:rFonts w:hint="eastAsia" w:ascii="仿宋" w:hAnsi="仿宋" w:eastAsia="仿宋" w:cs="仿宋"/>
                <w:snapToGrid w:val="0"/>
                <w:color w:val="auto"/>
                <w:kern w:val="2"/>
                <w:sz w:val="21"/>
                <w:szCs w:val="21"/>
              </w:rPr>
            </w:pPr>
            <w:r>
              <w:rPr>
                <w:rFonts w:hint="eastAsia" w:ascii="仿宋" w:hAnsi="仿宋" w:eastAsia="仿宋" w:cs="仿宋"/>
                <w:color w:val="auto"/>
                <w:kern w:val="2"/>
                <w:sz w:val="21"/>
                <w:szCs w:val="21"/>
              </w:rPr>
              <w:t>近三年（</w:t>
            </w:r>
            <w:r>
              <w:rPr>
                <w:rFonts w:hint="eastAsia" w:ascii="仿宋" w:hAnsi="仿宋" w:eastAsia="仿宋" w:cs="仿宋"/>
                <w:color w:val="auto"/>
                <w:kern w:val="2"/>
                <w:sz w:val="21"/>
                <w:szCs w:val="21"/>
                <w:lang w:eastAsia="zh-CN"/>
              </w:rPr>
              <w:t>2018</w:t>
            </w:r>
            <w:r>
              <w:rPr>
                <w:rFonts w:hint="eastAsia" w:ascii="仿宋" w:hAnsi="仿宋" w:eastAsia="仿宋" w:cs="仿宋"/>
                <w:color w:val="auto"/>
                <w:kern w:val="2"/>
                <w:sz w:val="21"/>
                <w:szCs w:val="21"/>
              </w:rPr>
              <w:t>年1月1日以来至投标截止日）无行贿犯罪记录（以中国裁判文书网（http</w:t>
            </w:r>
            <w:r>
              <w:rPr>
                <w:rFonts w:hint="eastAsia" w:ascii="仿宋" w:hAnsi="仿宋" w:eastAsia="仿宋" w:cs="仿宋"/>
                <w:color w:val="auto"/>
                <w:kern w:val="2"/>
                <w:sz w:val="21"/>
                <w:szCs w:val="21"/>
                <w:lang w:val="en-US" w:eastAsia="zh-CN"/>
              </w:rPr>
              <w:t>s</w:t>
            </w:r>
            <w:r>
              <w:rPr>
                <w:rFonts w:hint="eastAsia" w:ascii="仿宋" w:hAnsi="仿宋" w:eastAsia="仿宋" w:cs="仿宋"/>
                <w:color w:val="auto"/>
                <w:kern w:val="2"/>
                <w:sz w:val="21"/>
                <w:szCs w:val="21"/>
              </w:rPr>
              <w:t>://wenshu.court.gov.cn/）查询结果为准）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hint="eastAsia" w:ascii="仿宋" w:hAnsi="仿宋" w:eastAsia="仿宋" w:cs="仿宋"/>
                <w:color w:val="auto"/>
                <w:kern w:val="2"/>
                <w:sz w:val="21"/>
                <w:szCs w:val="21"/>
              </w:rPr>
            </w:pPr>
            <w:r>
              <w:rPr>
                <w:rFonts w:hint="eastAsia" w:ascii="仿宋" w:hAnsi="仿宋" w:eastAsia="仿宋" w:cs="仿宋"/>
                <w:snapToGrid w:val="0"/>
                <w:color w:val="auto"/>
                <w:kern w:val="2"/>
                <w:sz w:val="21"/>
                <w:szCs w:val="21"/>
              </w:rPr>
              <w:t>3</w:t>
            </w:r>
          </w:p>
        </w:tc>
        <w:tc>
          <w:tcPr>
            <w:tcW w:w="9596"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napToGrid w:val="0"/>
              <w:spacing w:line="240" w:lineRule="exact"/>
              <w:jc w:val="left"/>
              <w:textAlignment w:val="auto"/>
              <w:rPr>
                <w:rFonts w:hint="eastAsia" w:ascii="仿宋" w:hAnsi="仿宋" w:eastAsia="仿宋" w:cs="仿宋"/>
                <w:color w:val="auto"/>
                <w:kern w:val="2"/>
                <w:sz w:val="21"/>
                <w:szCs w:val="21"/>
              </w:rPr>
            </w:pPr>
            <w:r>
              <w:rPr>
                <w:rFonts w:hint="eastAsia" w:ascii="仿宋" w:hAnsi="仿宋" w:eastAsia="仿宋" w:cs="仿宋"/>
                <w:snapToGrid w:val="0"/>
                <w:color w:val="auto"/>
                <w:kern w:val="2"/>
                <w:sz w:val="21"/>
                <w:szCs w:val="21"/>
              </w:rPr>
              <w:t>应未被项目所在地区（</w:t>
            </w:r>
            <w:r>
              <w:rPr>
                <w:rFonts w:hint="eastAsia" w:ascii="仿宋" w:hAnsi="仿宋" w:eastAsia="仿宋" w:cs="仿宋"/>
                <w:snapToGrid w:val="0"/>
                <w:color w:val="auto"/>
                <w:kern w:val="2"/>
                <w:sz w:val="21"/>
                <w:szCs w:val="21"/>
                <w:lang w:eastAsia="zh-CN"/>
              </w:rPr>
              <w:t>吴兴区</w:t>
            </w:r>
            <w:r>
              <w:rPr>
                <w:rFonts w:hint="eastAsia" w:ascii="仿宋" w:hAnsi="仿宋" w:eastAsia="仿宋" w:cs="仿宋"/>
                <w:snapToGrid w:val="0"/>
                <w:color w:val="auto"/>
                <w:kern w:val="2"/>
                <w:sz w:val="21"/>
                <w:szCs w:val="21"/>
              </w:rPr>
              <w:t>）水利建设市场限制投标。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hint="eastAsia" w:ascii="仿宋" w:hAnsi="仿宋" w:eastAsia="仿宋" w:cs="仿宋"/>
                <w:b/>
                <w:bCs/>
                <w:color w:val="auto"/>
                <w:kern w:val="2"/>
                <w:sz w:val="21"/>
                <w:szCs w:val="21"/>
              </w:rPr>
            </w:pPr>
            <w:r>
              <w:rPr>
                <w:rFonts w:hint="eastAsia" w:ascii="仿宋" w:hAnsi="仿宋" w:eastAsia="仿宋" w:cs="仿宋"/>
                <w:b/>
                <w:bCs/>
                <w:snapToGrid w:val="0"/>
                <w:color w:val="auto"/>
                <w:kern w:val="2"/>
                <w:sz w:val="21"/>
                <w:szCs w:val="21"/>
              </w:rPr>
              <w:t>二</w:t>
            </w:r>
          </w:p>
        </w:tc>
        <w:tc>
          <w:tcPr>
            <w:tcW w:w="9596"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napToGrid w:val="0"/>
              <w:spacing w:line="240" w:lineRule="exact"/>
              <w:jc w:val="left"/>
              <w:textAlignment w:val="auto"/>
              <w:rPr>
                <w:rFonts w:hint="eastAsia" w:ascii="仿宋" w:hAnsi="仿宋" w:eastAsia="仿宋" w:cs="仿宋"/>
                <w:b/>
                <w:bCs/>
                <w:color w:val="auto"/>
                <w:kern w:val="2"/>
                <w:sz w:val="21"/>
                <w:szCs w:val="21"/>
              </w:rPr>
            </w:pPr>
            <w:r>
              <w:rPr>
                <w:rFonts w:hint="eastAsia" w:ascii="仿宋" w:hAnsi="仿宋" w:eastAsia="仿宋" w:cs="仿宋"/>
                <w:b/>
                <w:bCs/>
                <w:snapToGrid w:val="0"/>
                <w:color w:val="auto"/>
                <w:kern w:val="2"/>
                <w:sz w:val="21"/>
                <w:szCs w:val="21"/>
              </w:rPr>
              <w:t>拟派项目组主要人员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hint="eastAsia" w:ascii="仿宋" w:hAnsi="仿宋" w:eastAsia="仿宋" w:cs="仿宋"/>
                <w:color w:val="auto"/>
                <w:kern w:val="2"/>
                <w:sz w:val="21"/>
                <w:szCs w:val="21"/>
              </w:rPr>
            </w:pPr>
            <w:r>
              <w:rPr>
                <w:rFonts w:hint="eastAsia" w:ascii="仿宋" w:hAnsi="仿宋" w:eastAsia="仿宋" w:cs="仿宋"/>
                <w:snapToGrid w:val="0"/>
                <w:color w:val="auto"/>
                <w:kern w:val="2"/>
                <w:sz w:val="21"/>
                <w:szCs w:val="21"/>
              </w:rPr>
              <w:t>1</w:t>
            </w:r>
          </w:p>
        </w:tc>
        <w:tc>
          <w:tcPr>
            <w:tcW w:w="9596" w:type="dxa"/>
            <w:tcBorders>
              <w:top w:val="single" w:color="auto" w:sz="4" w:space="0"/>
              <w:left w:val="single" w:color="auto" w:sz="4" w:space="0"/>
              <w:bottom w:val="single" w:color="auto" w:sz="4" w:space="0"/>
              <w:right w:val="single" w:color="auto" w:sz="8" w:space="0"/>
            </w:tcBorders>
            <w:vAlign w:val="center"/>
          </w:tcPr>
          <w:p>
            <w:pPr>
              <w:spacing w:line="320" w:lineRule="exact"/>
              <w:jc w:val="left"/>
              <w:textAlignment w:val="auto"/>
              <w:rPr>
                <w:rFonts w:hint="eastAsia" w:ascii="仿宋" w:hAnsi="仿宋" w:eastAsia="仿宋" w:cs="仿宋"/>
                <w:color w:val="auto"/>
                <w:kern w:val="2"/>
                <w:sz w:val="21"/>
                <w:szCs w:val="21"/>
              </w:rPr>
            </w:pPr>
            <w:r>
              <w:rPr>
                <w:rFonts w:hint="eastAsia" w:ascii="仿宋" w:hAnsi="仿宋" w:eastAsia="仿宋" w:cs="仿宋"/>
                <w:snapToGrid w:val="0"/>
                <w:color w:val="auto"/>
                <w:kern w:val="2"/>
                <w:sz w:val="21"/>
                <w:szCs w:val="21"/>
              </w:rPr>
              <w:t>项目负责人应持有</w:t>
            </w:r>
            <w:r>
              <w:rPr>
                <w:rFonts w:hint="eastAsia" w:ascii="仿宋" w:hAnsi="仿宋" w:eastAsia="仿宋" w:cs="仿宋"/>
                <w:b/>
                <w:bCs/>
                <w:snapToGrid w:val="0"/>
                <w:color w:val="auto"/>
                <w:kern w:val="2"/>
                <w:sz w:val="21"/>
                <w:szCs w:val="21"/>
                <w:u w:val="single"/>
              </w:rPr>
              <w:t>水利水电专业贰级</w:t>
            </w:r>
            <w:r>
              <w:rPr>
                <w:rFonts w:hint="eastAsia" w:ascii="仿宋" w:hAnsi="仿宋" w:eastAsia="仿宋" w:cs="仿宋"/>
                <w:snapToGrid w:val="0"/>
                <w:color w:val="auto"/>
                <w:kern w:val="2"/>
                <w:sz w:val="21"/>
                <w:szCs w:val="21"/>
              </w:rPr>
              <w:t>及以上建造师注册证书，并在投标截止日不得在其他任何在建合同工程中担任项目负责人。其他在建合同工程的开始时间为合同工程中标通知书发出之日（不通过招标方式的，开始时间为合同签订之日），结束时间为该合同工程通过验收或合同解除之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2</w:t>
            </w:r>
          </w:p>
        </w:tc>
        <w:tc>
          <w:tcPr>
            <w:tcW w:w="9596" w:type="dxa"/>
            <w:tcBorders>
              <w:top w:val="single" w:color="auto" w:sz="4" w:space="0"/>
              <w:left w:val="single" w:color="auto" w:sz="4" w:space="0"/>
              <w:bottom w:val="single" w:color="auto" w:sz="4" w:space="0"/>
              <w:right w:val="single" w:color="auto" w:sz="8" w:space="0"/>
            </w:tcBorders>
            <w:vAlign w:val="center"/>
          </w:tcPr>
          <w:p>
            <w:pPr>
              <w:spacing w:line="320" w:lineRule="exact"/>
              <w:jc w:val="left"/>
              <w:textAlignment w:val="auto"/>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拟派项目负责人自</w:t>
            </w:r>
            <w:r>
              <w:rPr>
                <w:rFonts w:hint="eastAsia" w:ascii="仿宋" w:hAnsi="仿宋" w:eastAsia="仿宋" w:cs="仿宋"/>
                <w:snapToGrid w:val="0"/>
                <w:color w:val="auto"/>
                <w:kern w:val="2"/>
                <w:sz w:val="21"/>
                <w:szCs w:val="21"/>
                <w:lang w:eastAsia="zh-CN"/>
              </w:rPr>
              <w:t>2018</w:t>
            </w:r>
            <w:r>
              <w:rPr>
                <w:rFonts w:hint="eastAsia" w:ascii="仿宋" w:hAnsi="仿宋" w:eastAsia="仿宋" w:cs="仿宋"/>
                <w:snapToGrid w:val="0"/>
                <w:color w:val="auto"/>
                <w:kern w:val="2"/>
                <w:sz w:val="21"/>
                <w:szCs w:val="21"/>
              </w:rPr>
              <w:t>年1月1日以来至投标截止日无行贿犯罪记录。（以中国裁判文书网（http</w:t>
            </w:r>
            <w:r>
              <w:rPr>
                <w:rFonts w:hint="eastAsia" w:ascii="仿宋" w:hAnsi="仿宋" w:eastAsia="仿宋" w:cs="仿宋"/>
                <w:snapToGrid w:val="0"/>
                <w:color w:val="auto"/>
                <w:kern w:val="2"/>
                <w:sz w:val="21"/>
                <w:szCs w:val="21"/>
                <w:lang w:val="en-US" w:eastAsia="zh-CN"/>
              </w:rPr>
              <w:t>s</w:t>
            </w:r>
            <w:r>
              <w:rPr>
                <w:rFonts w:hint="eastAsia" w:ascii="仿宋" w:hAnsi="仿宋" w:eastAsia="仿宋" w:cs="仿宋"/>
                <w:snapToGrid w:val="0"/>
                <w:color w:val="auto"/>
                <w:kern w:val="2"/>
                <w:sz w:val="21"/>
                <w:szCs w:val="21"/>
              </w:rPr>
              <w:t>://wenshu.court.gov.cn/）查询结果为准）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hint="eastAsia" w:ascii="仿宋" w:hAnsi="仿宋" w:eastAsia="仿宋" w:cs="仿宋"/>
                <w:color w:val="auto"/>
                <w:kern w:val="2"/>
                <w:sz w:val="21"/>
                <w:szCs w:val="21"/>
              </w:rPr>
            </w:pPr>
            <w:r>
              <w:rPr>
                <w:rFonts w:hint="eastAsia" w:ascii="仿宋" w:hAnsi="仿宋" w:eastAsia="仿宋" w:cs="仿宋"/>
                <w:snapToGrid w:val="0"/>
                <w:color w:val="auto"/>
                <w:kern w:val="2"/>
                <w:sz w:val="21"/>
                <w:szCs w:val="21"/>
              </w:rPr>
              <w:t>3</w:t>
            </w:r>
          </w:p>
        </w:tc>
        <w:tc>
          <w:tcPr>
            <w:tcW w:w="9596"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napToGrid w:val="0"/>
              <w:spacing w:line="240" w:lineRule="exact"/>
              <w:jc w:val="left"/>
              <w:textAlignment w:val="auto"/>
              <w:rPr>
                <w:rFonts w:hint="eastAsia" w:ascii="仿宋" w:hAnsi="仿宋" w:eastAsia="仿宋" w:cs="仿宋"/>
                <w:color w:val="auto"/>
                <w:kern w:val="2"/>
                <w:sz w:val="21"/>
                <w:szCs w:val="21"/>
              </w:rPr>
            </w:pPr>
            <w:r>
              <w:rPr>
                <w:rFonts w:hint="eastAsia" w:ascii="仿宋" w:hAnsi="仿宋" w:eastAsia="仿宋" w:cs="仿宋"/>
                <w:snapToGrid w:val="0"/>
                <w:color w:val="auto"/>
                <w:kern w:val="2"/>
                <w:sz w:val="21"/>
                <w:szCs w:val="21"/>
              </w:rPr>
              <w:t>项目负责人应未被项目所在地区（</w:t>
            </w:r>
            <w:r>
              <w:rPr>
                <w:rFonts w:hint="eastAsia" w:ascii="仿宋" w:hAnsi="仿宋" w:eastAsia="仿宋" w:cs="仿宋"/>
                <w:snapToGrid w:val="0"/>
                <w:color w:val="auto"/>
                <w:kern w:val="2"/>
                <w:sz w:val="21"/>
                <w:szCs w:val="21"/>
                <w:lang w:eastAsia="zh-CN"/>
              </w:rPr>
              <w:t>吴兴区</w:t>
            </w:r>
            <w:r>
              <w:rPr>
                <w:rFonts w:hint="eastAsia" w:ascii="仿宋" w:hAnsi="仿宋" w:eastAsia="仿宋" w:cs="仿宋"/>
                <w:snapToGrid w:val="0"/>
                <w:color w:val="auto"/>
                <w:kern w:val="2"/>
                <w:sz w:val="21"/>
                <w:szCs w:val="21"/>
              </w:rPr>
              <w:t>）水利建设市场限制投标。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hint="eastAsia" w:ascii="仿宋" w:hAnsi="仿宋" w:eastAsia="仿宋" w:cs="仿宋"/>
                <w:color w:val="auto"/>
                <w:kern w:val="2"/>
                <w:sz w:val="21"/>
                <w:szCs w:val="21"/>
              </w:rPr>
            </w:pPr>
            <w:r>
              <w:rPr>
                <w:rFonts w:hint="eastAsia" w:ascii="仿宋" w:hAnsi="仿宋" w:eastAsia="仿宋" w:cs="仿宋"/>
                <w:snapToGrid w:val="0"/>
                <w:color w:val="auto"/>
                <w:kern w:val="2"/>
                <w:sz w:val="21"/>
                <w:szCs w:val="21"/>
              </w:rPr>
              <w:t>4</w:t>
            </w:r>
          </w:p>
        </w:tc>
        <w:tc>
          <w:tcPr>
            <w:tcW w:w="9596" w:type="dxa"/>
            <w:tcBorders>
              <w:top w:val="single" w:color="auto" w:sz="4" w:space="0"/>
              <w:left w:val="single" w:color="auto" w:sz="4" w:space="0"/>
              <w:bottom w:val="single" w:color="auto" w:sz="4" w:space="0"/>
              <w:right w:val="single" w:color="auto" w:sz="8" w:space="0"/>
            </w:tcBorders>
            <w:vAlign w:val="center"/>
          </w:tcPr>
          <w:p>
            <w:pPr>
              <w:spacing w:line="320" w:lineRule="exact"/>
              <w:jc w:val="left"/>
              <w:textAlignment w:val="auto"/>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项目技术负责人应持有水利水电工程专业的二级及以上建造师注册证书，且必须具有水利相关专业工程师及以上职称证书；（职称证书未注明专业的，要求提供毕业证书（以满足水利类工程师的条件）。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hint="eastAsia" w:ascii="仿宋" w:hAnsi="仿宋" w:eastAsia="仿宋" w:cs="仿宋"/>
                <w:color w:val="auto"/>
                <w:kern w:val="2"/>
                <w:sz w:val="21"/>
                <w:szCs w:val="21"/>
              </w:rPr>
            </w:pPr>
            <w:r>
              <w:rPr>
                <w:rFonts w:hint="eastAsia" w:ascii="仿宋" w:hAnsi="仿宋" w:eastAsia="仿宋" w:cs="仿宋"/>
                <w:snapToGrid w:val="0"/>
                <w:color w:val="auto"/>
                <w:kern w:val="2"/>
                <w:sz w:val="21"/>
                <w:szCs w:val="21"/>
              </w:rPr>
              <w:t>5</w:t>
            </w:r>
          </w:p>
        </w:tc>
        <w:tc>
          <w:tcPr>
            <w:tcW w:w="9596" w:type="dxa"/>
            <w:tcBorders>
              <w:top w:val="single" w:color="auto" w:sz="4" w:space="0"/>
              <w:left w:val="single" w:color="auto" w:sz="4" w:space="0"/>
              <w:bottom w:val="single" w:color="auto" w:sz="4" w:space="0"/>
              <w:right w:val="single" w:color="auto" w:sz="8" w:space="0"/>
            </w:tcBorders>
            <w:vAlign w:val="center"/>
          </w:tcPr>
          <w:p>
            <w:pPr>
              <w:spacing w:line="320" w:lineRule="exact"/>
              <w:jc w:val="left"/>
              <w:textAlignment w:val="auto"/>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质量负责人、安全负责人应持有水利水电专业贰级及以上建造师注册证书。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hint="eastAsia" w:ascii="仿宋" w:hAnsi="仿宋" w:eastAsia="仿宋" w:cs="仿宋"/>
                <w:color w:val="auto"/>
                <w:kern w:val="2"/>
                <w:sz w:val="21"/>
                <w:szCs w:val="21"/>
              </w:rPr>
            </w:pPr>
            <w:r>
              <w:rPr>
                <w:rFonts w:hint="eastAsia" w:ascii="仿宋" w:hAnsi="仿宋" w:eastAsia="仿宋" w:cs="仿宋"/>
                <w:snapToGrid w:val="0"/>
                <w:color w:val="auto"/>
                <w:kern w:val="2"/>
                <w:sz w:val="21"/>
                <w:szCs w:val="21"/>
              </w:rPr>
              <w:t>6</w:t>
            </w:r>
          </w:p>
        </w:tc>
        <w:tc>
          <w:tcPr>
            <w:tcW w:w="9596" w:type="dxa"/>
            <w:tcBorders>
              <w:top w:val="single" w:color="auto" w:sz="4" w:space="0"/>
              <w:left w:val="single" w:color="auto" w:sz="4" w:space="0"/>
              <w:bottom w:val="single" w:color="auto" w:sz="4" w:space="0"/>
              <w:right w:val="single" w:color="auto" w:sz="8" w:space="0"/>
            </w:tcBorders>
            <w:vAlign w:val="center"/>
          </w:tcPr>
          <w:p>
            <w:pPr>
              <w:spacing w:line="320" w:lineRule="exact"/>
              <w:jc w:val="left"/>
              <w:textAlignment w:val="auto"/>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项目安全员、质检员和施工员必须持有省级及以上水利行政主管部门颁发或认可的上岗证（或培训合格证书）。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7</w:t>
            </w:r>
          </w:p>
        </w:tc>
        <w:tc>
          <w:tcPr>
            <w:tcW w:w="9596"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pacing w:line="240" w:lineRule="exact"/>
              <w:jc w:val="left"/>
              <w:textAlignment w:val="auto"/>
              <w:rPr>
                <w:rFonts w:hint="eastAsia" w:ascii="仿宋" w:hAnsi="仿宋" w:eastAsia="仿宋" w:cs="仿宋"/>
                <w:snapToGrid w:val="0"/>
                <w:color w:val="auto"/>
                <w:kern w:val="2"/>
                <w:sz w:val="21"/>
                <w:szCs w:val="21"/>
              </w:rPr>
            </w:pPr>
            <w:r>
              <w:rPr>
                <w:rFonts w:hint="eastAsia" w:ascii="仿宋" w:hAnsi="仿宋" w:eastAsia="仿宋" w:cs="仿宋"/>
                <w:b/>
                <w:snapToGrid w:val="0"/>
                <w:color w:val="auto"/>
                <w:kern w:val="2"/>
                <w:sz w:val="21"/>
                <w:szCs w:val="21"/>
              </w:rPr>
              <w:t>项目负责人、项目技术负责人、安全员、施工员、质检员、专职安全生产管理人员均不得相互兼任。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hint="eastAsia" w:ascii="仿宋" w:hAnsi="仿宋" w:eastAsia="仿宋" w:cs="仿宋"/>
                <w:b/>
                <w:bCs/>
                <w:color w:val="auto"/>
                <w:kern w:val="2"/>
                <w:sz w:val="21"/>
                <w:szCs w:val="21"/>
              </w:rPr>
            </w:pPr>
            <w:r>
              <w:rPr>
                <w:rFonts w:hint="eastAsia" w:ascii="仿宋" w:hAnsi="仿宋" w:eastAsia="仿宋" w:cs="仿宋"/>
                <w:b/>
                <w:bCs/>
                <w:snapToGrid w:val="0"/>
                <w:color w:val="auto"/>
                <w:kern w:val="2"/>
                <w:sz w:val="21"/>
                <w:szCs w:val="21"/>
              </w:rPr>
              <w:t>三</w:t>
            </w:r>
          </w:p>
        </w:tc>
        <w:tc>
          <w:tcPr>
            <w:tcW w:w="9596"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napToGrid w:val="0"/>
              <w:spacing w:line="240" w:lineRule="exact"/>
              <w:jc w:val="left"/>
              <w:textAlignment w:val="auto"/>
              <w:rPr>
                <w:rFonts w:hint="eastAsia" w:ascii="仿宋" w:hAnsi="仿宋" w:eastAsia="仿宋" w:cs="仿宋"/>
                <w:b/>
                <w:bCs/>
                <w:color w:val="auto"/>
                <w:kern w:val="2"/>
                <w:sz w:val="21"/>
                <w:szCs w:val="21"/>
              </w:rPr>
            </w:pPr>
            <w:r>
              <w:rPr>
                <w:rFonts w:hint="eastAsia" w:ascii="仿宋" w:hAnsi="仿宋" w:eastAsia="仿宋" w:cs="仿宋"/>
                <w:b/>
                <w:bCs/>
                <w:snapToGrid w:val="0"/>
                <w:color w:val="auto"/>
                <w:kern w:val="2"/>
                <w:sz w:val="21"/>
                <w:szCs w:val="21"/>
              </w:rPr>
              <w:t>其它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hint="eastAsia" w:ascii="仿宋" w:hAnsi="仿宋" w:eastAsia="仿宋" w:cs="仿宋"/>
                <w:color w:val="auto"/>
                <w:kern w:val="2"/>
                <w:sz w:val="21"/>
                <w:szCs w:val="21"/>
              </w:rPr>
            </w:pPr>
            <w:r>
              <w:rPr>
                <w:rFonts w:hint="eastAsia" w:ascii="仿宋" w:hAnsi="仿宋" w:eastAsia="仿宋" w:cs="仿宋"/>
                <w:snapToGrid w:val="0"/>
                <w:color w:val="auto"/>
                <w:kern w:val="2"/>
                <w:sz w:val="21"/>
                <w:szCs w:val="21"/>
              </w:rPr>
              <w:t>1</w:t>
            </w:r>
          </w:p>
        </w:tc>
        <w:tc>
          <w:tcPr>
            <w:tcW w:w="9596" w:type="dxa"/>
            <w:tcBorders>
              <w:top w:val="single" w:color="auto" w:sz="4" w:space="0"/>
              <w:left w:val="single" w:color="auto" w:sz="4" w:space="0"/>
              <w:bottom w:val="single" w:color="auto" w:sz="4" w:space="0"/>
              <w:right w:val="single" w:color="auto" w:sz="8" w:space="0"/>
            </w:tcBorders>
            <w:vAlign w:val="center"/>
          </w:tcPr>
          <w:p>
            <w:pPr>
              <w:spacing w:line="320" w:lineRule="exact"/>
              <w:jc w:val="left"/>
              <w:textAlignment w:val="auto"/>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投标人的“三类人员”（企业主要负责人、项目负责人、专职安全生产管理人员）必须持有省级及以上水利行政主管部门颁发的安全生产考核合格证书（A、B、C证），企业主要负责人是指企业法定代表人、企业总经理、企业技术负责人、企业分管安全生产的副经理；其中企业分管安全生产的副总经理应有任命文件；专职安全生产管理人员不少于1人。</w:t>
            </w:r>
          </w:p>
          <w:p>
            <w:pPr>
              <w:spacing w:line="320" w:lineRule="exact"/>
              <w:jc w:val="left"/>
              <w:textAlignment w:val="auto"/>
              <w:rPr>
                <w:rFonts w:hint="eastAsia" w:ascii="仿宋" w:hAnsi="仿宋" w:eastAsia="仿宋" w:cs="仿宋"/>
                <w:color w:val="auto"/>
              </w:rPr>
            </w:pPr>
            <w:r>
              <w:rPr>
                <w:rFonts w:hint="eastAsia" w:ascii="仿宋" w:hAnsi="仿宋" w:eastAsia="仿宋" w:cs="仿宋"/>
                <w:snapToGrid w:val="0"/>
                <w:color w:val="auto"/>
                <w:kern w:val="2"/>
                <w:sz w:val="21"/>
                <w:szCs w:val="21"/>
                <w:lang w:eastAsia="zh-CN"/>
              </w:rPr>
              <w:t>注：</w:t>
            </w:r>
            <w:r>
              <w:rPr>
                <w:rFonts w:hint="eastAsia" w:ascii="仿宋" w:hAnsi="仿宋" w:eastAsia="仿宋" w:cs="仿宋"/>
                <w:snapToGrid w:val="0"/>
                <w:color w:val="auto"/>
                <w:kern w:val="2"/>
                <w:sz w:val="21"/>
                <w:szCs w:val="21"/>
              </w:rPr>
              <w:t>根据浙江省水利厅浙水监督〔2020〕1号文件本项目三类人员证书应为电子证书，否则视无效标处理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hint="eastAsia" w:ascii="仿宋" w:hAnsi="仿宋" w:eastAsia="仿宋" w:cs="仿宋"/>
                <w:color w:val="auto"/>
                <w:kern w:val="2"/>
                <w:sz w:val="21"/>
                <w:szCs w:val="21"/>
              </w:rPr>
            </w:pPr>
            <w:r>
              <w:rPr>
                <w:rFonts w:hint="eastAsia" w:ascii="仿宋" w:hAnsi="仿宋" w:eastAsia="仿宋" w:cs="仿宋"/>
                <w:snapToGrid w:val="0"/>
                <w:color w:val="auto"/>
                <w:kern w:val="2"/>
                <w:sz w:val="21"/>
                <w:szCs w:val="21"/>
              </w:rPr>
              <w:t>2</w:t>
            </w:r>
          </w:p>
        </w:tc>
        <w:tc>
          <w:tcPr>
            <w:tcW w:w="9596"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napToGrid w:val="0"/>
              <w:spacing w:line="240" w:lineRule="exact"/>
              <w:jc w:val="left"/>
              <w:textAlignment w:val="auto"/>
              <w:rPr>
                <w:rFonts w:hint="eastAsia" w:ascii="仿宋" w:hAnsi="仿宋" w:eastAsia="仿宋" w:cs="仿宋"/>
                <w:color w:val="auto"/>
                <w:kern w:val="2"/>
                <w:sz w:val="21"/>
                <w:szCs w:val="21"/>
              </w:rPr>
            </w:pPr>
            <w:r>
              <w:rPr>
                <w:rFonts w:hint="eastAsia" w:ascii="仿宋" w:hAnsi="仿宋" w:eastAsia="仿宋" w:cs="仿宋"/>
                <w:snapToGrid w:val="0"/>
                <w:color w:val="auto"/>
                <w:kern w:val="2"/>
                <w:sz w:val="21"/>
                <w:szCs w:val="21"/>
              </w:rPr>
              <w:t>拟派项目组主要人员（指项目负责人、项目技术负责人、专职安全生产管理人员、安全员、质量员、施工员，下同）必须已在 “浙江省水利建设市场信息平台”上公示，外地进浙施工企业的委托代理人必须是在“浙江省水利建设市场信息平台”上已经公示的授权的代理人。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hint="eastAsia" w:ascii="仿宋" w:hAnsi="仿宋" w:eastAsia="仿宋" w:cs="仿宋"/>
                <w:color w:val="auto"/>
                <w:kern w:val="2"/>
                <w:sz w:val="21"/>
                <w:szCs w:val="21"/>
              </w:rPr>
            </w:pPr>
            <w:r>
              <w:rPr>
                <w:rFonts w:hint="eastAsia" w:ascii="仿宋" w:hAnsi="仿宋" w:eastAsia="仿宋" w:cs="仿宋"/>
                <w:snapToGrid w:val="0"/>
                <w:color w:val="auto"/>
                <w:kern w:val="2"/>
                <w:sz w:val="21"/>
                <w:szCs w:val="21"/>
              </w:rPr>
              <w:t>3</w:t>
            </w:r>
          </w:p>
        </w:tc>
        <w:tc>
          <w:tcPr>
            <w:tcW w:w="9596"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napToGrid w:val="0"/>
              <w:spacing w:line="240" w:lineRule="exact"/>
              <w:jc w:val="left"/>
              <w:textAlignment w:val="auto"/>
              <w:rPr>
                <w:rFonts w:hint="eastAsia" w:ascii="仿宋" w:hAnsi="仿宋" w:eastAsia="仿宋" w:cs="仿宋"/>
                <w:color w:val="auto"/>
                <w:kern w:val="2"/>
                <w:sz w:val="21"/>
                <w:szCs w:val="21"/>
              </w:rPr>
            </w:pPr>
            <w:r>
              <w:rPr>
                <w:rFonts w:hint="eastAsia" w:ascii="仿宋" w:hAnsi="仿宋" w:eastAsia="仿宋" w:cs="仿宋"/>
                <w:snapToGrid w:val="0"/>
                <w:color w:val="auto"/>
                <w:kern w:val="2"/>
                <w:sz w:val="21"/>
                <w:szCs w:val="21"/>
              </w:rPr>
              <w:t>授权的代理人及拟派项目组主要人员应为投标人本单位正式员工，均须提供</w:t>
            </w:r>
            <w:r>
              <w:rPr>
                <w:rFonts w:hint="eastAsia" w:ascii="仿宋" w:hAnsi="仿宋" w:eastAsia="仿宋" w:cs="仿宋"/>
                <w:b/>
                <w:snapToGrid w:val="0"/>
                <w:color w:val="auto"/>
                <w:kern w:val="2"/>
                <w:sz w:val="21"/>
                <w:szCs w:val="21"/>
              </w:rPr>
              <w:t>连续</w:t>
            </w:r>
            <w:r>
              <w:rPr>
                <w:rFonts w:hint="eastAsia" w:ascii="仿宋" w:hAnsi="仿宋" w:eastAsia="仿宋" w:cs="仿宋"/>
                <w:snapToGrid w:val="0"/>
                <w:color w:val="auto"/>
                <w:kern w:val="2"/>
                <w:sz w:val="21"/>
                <w:szCs w:val="21"/>
              </w:rPr>
              <w:t>近3个月出具社保缴费证明（并加盖缴费证明专用章）</w:t>
            </w:r>
            <w:r>
              <w:rPr>
                <w:rFonts w:hint="eastAsia" w:ascii="仿宋" w:hAnsi="仿宋" w:eastAsia="仿宋" w:cs="仿宋"/>
                <w:b/>
                <w:snapToGrid w:val="0"/>
                <w:color w:val="auto"/>
                <w:kern w:val="2"/>
                <w:sz w:val="21"/>
                <w:szCs w:val="21"/>
              </w:rPr>
              <w:t>（注：自</w:t>
            </w:r>
            <w:r>
              <w:rPr>
                <w:rFonts w:hint="eastAsia" w:ascii="仿宋" w:hAnsi="仿宋" w:eastAsia="仿宋" w:cs="仿宋"/>
                <w:b/>
                <w:snapToGrid w:val="0"/>
                <w:color w:val="auto"/>
                <w:kern w:val="2"/>
                <w:sz w:val="21"/>
                <w:szCs w:val="21"/>
                <w:lang w:val="en-US" w:eastAsia="zh-CN"/>
              </w:rPr>
              <w:t>2021</w:t>
            </w:r>
            <w:r>
              <w:rPr>
                <w:rFonts w:hint="eastAsia" w:ascii="仿宋" w:hAnsi="仿宋" w:eastAsia="仿宋" w:cs="仿宋"/>
                <w:b/>
                <w:snapToGrid w:val="0"/>
                <w:color w:val="auto"/>
                <w:kern w:val="2"/>
                <w:sz w:val="21"/>
                <w:szCs w:val="21"/>
              </w:rPr>
              <w:t>年</w:t>
            </w:r>
            <w:r>
              <w:rPr>
                <w:rFonts w:hint="eastAsia" w:ascii="仿宋" w:hAnsi="仿宋" w:eastAsia="仿宋" w:cs="仿宋"/>
                <w:b/>
                <w:snapToGrid w:val="0"/>
                <w:color w:val="auto"/>
                <w:kern w:val="2"/>
                <w:sz w:val="21"/>
                <w:szCs w:val="21"/>
                <w:lang w:val="en-US" w:eastAsia="zh-CN"/>
              </w:rPr>
              <w:t>1</w:t>
            </w:r>
            <w:r>
              <w:rPr>
                <w:rFonts w:hint="eastAsia" w:ascii="仿宋" w:hAnsi="仿宋" w:eastAsia="仿宋" w:cs="仿宋"/>
                <w:b/>
                <w:snapToGrid w:val="0"/>
                <w:color w:val="auto"/>
                <w:kern w:val="2"/>
                <w:sz w:val="21"/>
                <w:szCs w:val="21"/>
              </w:rPr>
              <w:t>月1日起）。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4</w:t>
            </w:r>
          </w:p>
        </w:tc>
        <w:tc>
          <w:tcPr>
            <w:tcW w:w="9596"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napToGrid w:val="0"/>
              <w:spacing w:line="240" w:lineRule="exact"/>
              <w:jc w:val="left"/>
              <w:textAlignment w:val="auto"/>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本工程拒绝投标人及其相关人员在工程建设中因以下行为之一受到行政处罚且在处罚有效期内（无有效期的按一年计）的参与本项目投标，但已经信用修复的除外：</w:t>
            </w:r>
          </w:p>
          <w:p>
            <w:pPr>
              <w:widowControl/>
              <w:autoSpaceDE/>
              <w:autoSpaceDN/>
              <w:adjustRightInd/>
              <w:snapToGrid w:val="0"/>
              <w:spacing w:line="240" w:lineRule="exact"/>
              <w:jc w:val="left"/>
              <w:textAlignment w:val="auto"/>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a.在招投标活动中串通投标、弄虚作假；b.转包、违法分包建设工程；c.工程建设相关的较大等级或以上工程质量事故、安全事故。</w:t>
            </w:r>
          </w:p>
        </w:tc>
      </w:tr>
    </w:tbl>
    <w:p>
      <w:pPr>
        <w:pStyle w:val="7"/>
        <w:jc w:val="center"/>
        <w:rPr>
          <w:rFonts w:hint="eastAsia" w:ascii="仿宋" w:hAnsi="仿宋" w:eastAsia="仿宋" w:cs="仿宋"/>
          <w:b w:val="0"/>
          <w:bCs/>
          <w:color w:val="auto"/>
          <w:sz w:val="28"/>
          <w:szCs w:val="28"/>
        </w:rPr>
      </w:pPr>
      <w:bookmarkStart w:id="35" w:name="_Toc16402"/>
      <w:r>
        <w:rPr>
          <w:rFonts w:hint="eastAsia" w:ascii="仿宋" w:hAnsi="仿宋" w:eastAsia="仿宋" w:cs="仿宋"/>
          <w:snapToGrid w:val="0"/>
          <w:color w:val="auto"/>
          <w:sz w:val="28"/>
          <w:szCs w:val="28"/>
        </w:rPr>
        <w:t>第二章 投标人须知</w:t>
      </w:r>
      <w:bookmarkEnd w:id="35"/>
    </w:p>
    <w:p>
      <w:pPr>
        <w:pStyle w:val="7"/>
        <w:jc w:val="center"/>
        <w:rPr>
          <w:rFonts w:hint="eastAsia" w:ascii="仿宋" w:hAnsi="仿宋" w:eastAsia="仿宋" w:cs="仿宋"/>
          <w:b w:val="0"/>
          <w:bCs/>
          <w:color w:val="auto"/>
          <w:sz w:val="28"/>
          <w:szCs w:val="28"/>
        </w:rPr>
      </w:pPr>
      <w:bookmarkStart w:id="36" w:name="_Toc24064"/>
      <w:bookmarkStart w:id="37" w:name="_Toc30571"/>
      <w:r>
        <w:rPr>
          <w:rFonts w:hint="eastAsia" w:ascii="仿宋" w:hAnsi="仿宋" w:eastAsia="仿宋" w:cs="仿宋"/>
          <w:snapToGrid w:val="0"/>
          <w:color w:val="auto"/>
        </w:rPr>
        <w:t>投标人须知前附表</w:t>
      </w:r>
      <w:bookmarkEnd w:id="36"/>
      <w:bookmarkEnd w:id="37"/>
    </w:p>
    <w:tbl>
      <w:tblPr>
        <w:tblStyle w:val="25"/>
        <w:tblW w:w="10102"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280"/>
        <w:gridCol w:w="69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76" w:type="dxa"/>
            <w:vAlign w:val="center"/>
          </w:tcPr>
          <w:p>
            <w:pPr>
              <w:tabs>
                <w:tab w:val="left" w:pos="10324"/>
              </w:tabs>
              <w:jc w:val="center"/>
              <w:rPr>
                <w:rFonts w:hint="eastAsia" w:ascii="仿宋" w:hAnsi="仿宋" w:eastAsia="仿宋" w:cs="仿宋"/>
                <w:b/>
                <w:bCs/>
                <w:snapToGrid w:val="0"/>
                <w:color w:val="auto"/>
                <w:kern w:val="2"/>
                <w:sz w:val="20"/>
              </w:rPr>
            </w:pPr>
            <w:r>
              <w:rPr>
                <w:rFonts w:hint="eastAsia" w:ascii="仿宋" w:hAnsi="仿宋" w:eastAsia="仿宋" w:cs="仿宋"/>
                <w:b/>
                <w:bCs/>
                <w:snapToGrid w:val="0"/>
                <w:color w:val="auto"/>
                <w:kern w:val="2"/>
                <w:sz w:val="20"/>
              </w:rPr>
              <w:t>条款号</w:t>
            </w:r>
          </w:p>
        </w:tc>
        <w:tc>
          <w:tcPr>
            <w:tcW w:w="2280" w:type="dxa"/>
            <w:vAlign w:val="center"/>
          </w:tcPr>
          <w:p>
            <w:pPr>
              <w:tabs>
                <w:tab w:val="left" w:pos="5081"/>
                <w:tab w:val="left" w:pos="10324"/>
              </w:tabs>
              <w:jc w:val="center"/>
              <w:rPr>
                <w:rFonts w:hint="eastAsia" w:ascii="仿宋" w:hAnsi="仿宋" w:eastAsia="仿宋" w:cs="仿宋"/>
                <w:b/>
                <w:bCs/>
                <w:snapToGrid w:val="0"/>
                <w:color w:val="auto"/>
                <w:kern w:val="2"/>
                <w:sz w:val="20"/>
              </w:rPr>
            </w:pPr>
            <w:r>
              <w:rPr>
                <w:rFonts w:hint="eastAsia" w:ascii="仿宋" w:hAnsi="仿宋" w:eastAsia="仿宋" w:cs="仿宋"/>
                <w:b/>
                <w:bCs/>
                <w:snapToGrid w:val="0"/>
                <w:color w:val="auto"/>
                <w:kern w:val="2"/>
                <w:sz w:val="20"/>
              </w:rPr>
              <w:t>条款名称</w:t>
            </w:r>
          </w:p>
        </w:tc>
        <w:tc>
          <w:tcPr>
            <w:tcW w:w="6946" w:type="dxa"/>
            <w:vAlign w:val="center"/>
          </w:tcPr>
          <w:p>
            <w:pPr>
              <w:tabs>
                <w:tab w:val="left" w:pos="-7368"/>
                <w:tab w:val="left" w:pos="10324"/>
              </w:tabs>
              <w:jc w:val="center"/>
              <w:rPr>
                <w:rFonts w:hint="eastAsia" w:ascii="仿宋" w:hAnsi="仿宋" w:eastAsia="仿宋" w:cs="仿宋"/>
                <w:b/>
                <w:bCs/>
                <w:snapToGrid w:val="0"/>
                <w:color w:val="auto"/>
                <w:kern w:val="2"/>
                <w:sz w:val="20"/>
              </w:rPr>
            </w:pPr>
            <w:r>
              <w:rPr>
                <w:rFonts w:hint="eastAsia" w:ascii="仿宋" w:hAnsi="仿宋" w:eastAsia="仿宋" w:cs="仿宋"/>
                <w:b/>
                <w:bCs/>
                <w:snapToGrid w:val="0"/>
                <w:color w:val="auto"/>
                <w:kern w:val="2"/>
                <w:sz w:val="20"/>
              </w:rPr>
              <w:t>编列内容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vAlign w:val="center"/>
          </w:tcPr>
          <w:p>
            <w:pPr>
              <w:tabs>
                <w:tab w:val="left" w:pos="10324"/>
              </w:tabs>
              <w:snapToGrid w:val="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1.1.2</w:t>
            </w:r>
          </w:p>
        </w:tc>
        <w:tc>
          <w:tcPr>
            <w:tcW w:w="2280" w:type="dxa"/>
            <w:vAlign w:val="center"/>
          </w:tcPr>
          <w:p>
            <w:pPr>
              <w:pStyle w:val="5"/>
              <w:snapToGrid w:val="0"/>
              <w:ind w:firstLine="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招标人</w:t>
            </w:r>
          </w:p>
        </w:tc>
        <w:tc>
          <w:tcPr>
            <w:tcW w:w="6946" w:type="dxa"/>
            <w:vAlign w:val="center"/>
          </w:tcPr>
          <w:p>
            <w:pPr>
              <w:snapToGrid w:val="0"/>
              <w:rPr>
                <w:rFonts w:hint="eastAsia" w:ascii="仿宋" w:hAnsi="仿宋" w:eastAsia="仿宋" w:cs="仿宋"/>
                <w:snapToGrid w:val="0"/>
                <w:color w:val="auto"/>
                <w:kern w:val="2"/>
                <w:sz w:val="20"/>
                <w:szCs w:val="20"/>
              </w:rPr>
            </w:pPr>
            <w:r>
              <w:rPr>
                <w:rFonts w:hint="eastAsia" w:ascii="仿宋" w:hAnsi="仿宋" w:eastAsia="仿宋" w:cs="仿宋"/>
                <w:snapToGrid w:val="0"/>
                <w:color w:val="auto"/>
                <w:kern w:val="2"/>
                <w:sz w:val="20"/>
                <w:szCs w:val="20"/>
              </w:rPr>
              <w:t xml:space="preserve">名称：详见招标公告 </w:t>
            </w:r>
          </w:p>
          <w:p>
            <w:pPr>
              <w:pStyle w:val="5"/>
              <w:snapToGrid w:val="0"/>
              <w:ind w:firstLine="0"/>
              <w:rPr>
                <w:rFonts w:hint="eastAsia" w:ascii="仿宋" w:hAnsi="仿宋" w:eastAsia="仿宋" w:cs="仿宋"/>
                <w:snapToGrid w:val="0"/>
                <w:color w:val="auto"/>
                <w:kern w:val="2"/>
                <w:sz w:val="20"/>
                <w:szCs w:val="20"/>
              </w:rPr>
            </w:pPr>
            <w:r>
              <w:rPr>
                <w:rFonts w:hint="eastAsia" w:ascii="仿宋" w:hAnsi="仿宋" w:eastAsia="仿宋" w:cs="仿宋"/>
                <w:snapToGrid w:val="0"/>
                <w:color w:val="auto"/>
                <w:kern w:val="2"/>
                <w:sz w:val="20"/>
                <w:szCs w:val="20"/>
              </w:rPr>
              <w:t>地址：详见招标公告</w:t>
            </w:r>
          </w:p>
          <w:p>
            <w:pPr>
              <w:pStyle w:val="5"/>
              <w:snapToGrid w:val="0"/>
              <w:ind w:firstLine="0"/>
              <w:rPr>
                <w:rFonts w:hint="eastAsia" w:ascii="仿宋" w:hAnsi="仿宋" w:eastAsia="仿宋" w:cs="仿宋"/>
                <w:snapToGrid w:val="0"/>
                <w:color w:val="auto"/>
                <w:kern w:val="2"/>
                <w:sz w:val="20"/>
                <w:szCs w:val="20"/>
                <w:highlight w:val="yellow"/>
              </w:rPr>
            </w:pPr>
            <w:r>
              <w:rPr>
                <w:rFonts w:hint="eastAsia" w:ascii="仿宋" w:hAnsi="仿宋" w:eastAsia="仿宋" w:cs="仿宋"/>
                <w:snapToGrid w:val="0"/>
                <w:color w:val="auto"/>
                <w:kern w:val="2"/>
                <w:sz w:val="20"/>
                <w:szCs w:val="20"/>
              </w:rPr>
              <w:t xml:space="preserve">联系人：详见招标公告 </w:t>
            </w:r>
          </w:p>
          <w:p>
            <w:pPr>
              <w:pStyle w:val="5"/>
              <w:snapToGrid w:val="0"/>
              <w:ind w:firstLine="0"/>
              <w:rPr>
                <w:rFonts w:hint="eastAsia" w:ascii="仿宋" w:hAnsi="仿宋" w:eastAsia="仿宋" w:cs="仿宋"/>
                <w:snapToGrid w:val="0"/>
                <w:color w:val="auto"/>
                <w:kern w:val="2"/>
                <w:sz w:val="20"/>
                <w:szCs w:val="20"/>
              </w:rPr>
            </w:pPr>
            <w:r>
              <w:rPr>
                <w:rFonts w:hint="eastAsia" w:ascii="仿宋" w:hAnsi="仿宋" w:eastAsia="仿宋" w:cs="仿宋"/>
                <w:snapToGrid w:val="0"/>
                <w:color w:val="auto"/>
                <w:kern w:val="2"/>
                <w:sz w:val="20"/>
                <w:szCs w:val="20"/>
              </w:rPr>
              <w:t>电话：详见招标公告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vAlign w:val="center"/>
          </w:tcPr>
          <w:p>
            <w:pPr>
              <w:tabs>
                <w:tab w:val="left" w:pos="10324"/>
              </w:tabs>
              <w:snapToGrid w:val="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1.1.3</w:t>
            </w:r>
          </w:p>
        </w:tc>
        <w:tc>
          <w:tcPr>
            <w:tcW w:w="2280" w:type="dxa"/>
            <w:vAlign w:val="center"/>
          </w:tcPr>
          <w:p>
            <w:pPr>
              <w:pStyle w:val="5"/>
              <w:snapToGrid w:val="0"/>
              <w:ind w:firstLine="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代理机构</w:t>
            </w:r>
          </w:p>
        </w:tc>
        <w:tc>
          <w:tcPr>
            <w:tcW w:w="6946" w:type="dxa"/>
            <w:vAlign w:val="center"/>
          </w:tcPr>
          <w:p>
            <w:pPr>
              <w:pStyle w:val="5"/>
              <w:snapToGrid w:val="0"/>
              <w:ind w:firstLine="0"/>
              <w:jc w:val="left"/>
              <w:rPr>
                <w:rFonts w:hint="eastAsia" w:ascii="仿宋" w:hAnsi="仿宋" w:eastAsia="仿宋" w:cs="仿宋"/>
                <w:snapToGrid w:val="0"/>
                <w:color w:val="auto"/>
                <w:kern w:val="2"/>
                <w:sz w:val="20"/>
                <w:szCs w:val="20"/>
              </w:rPr>
            </w:pPr>
            <w:r>
              <w:rPr>
                <w:rFonts w:hint="eastAsia" w:ascii="仿宋" w:hAnsi="仿宋" w:eastAsia="仿宋" w:cs="仿宋"/>
                <w:snapToGrid w:val="0"/>
                <w:color w:val="auto"/>
                <w:kern w:val="2"/>
                <w:sz w:val="20"/>
                <w:szCs w:val="20"/>
              </w:rPr>
              <w:t>名称：详见招标公告　</w:t>
            </w:r>
          </w:p>
          <w:p>
            <w:pPr>
              <w:pStyle w:val="5"/>
              <w:tabs>
                <w:tab w:val="left" w:pos="4410"/>
              </w:tabs>
              <w:snapToGrid w:val="0"/>
              <w:ind w:left="5600" w:hanging="5600" w:hangingChars="2800"/>
              <w:jc w:val="left"/>
              <w:rPr>
                <w:rFonts w:hint="eastAsia" w:ascii="仿宋" w:hAnsi="仿宋" w:eastAsia="仿宋" w:cs="仿宋"/>
                <w:snapToGrid w:val="0"/>
                <w:color w:val="auto"/>
                <w:kern w:val="2"/>
                <w:sz w:val="20"/>
                <w:szCs w:val="20"/>
              </w:rPr>
            </w:pPr>
            <w:r>
              <w:rPr>
                <w:rFonts w:hint="eastAsia" w:ascii="仿宋" w:hAnsi="仿宋" w:eastAsia="仿宋" w:cs="仿宋"/>
                <w:snapToGrid w:val="0"/>
                <w:color w:val="auto"/>
                <w:kern w:val="2"/>
                <w:sz w:val="20"/>
                <w:szCs w:val="20"/>
              </w:rPr>
              <w:t>地址：详见招标公告</w:t>
            </w:r>
          </w:p>
          <w:p>
            <w:pPr>
              <w:pStyle w:val="5"/>
              <w:snapToGrid w:val="0"/>
              <w:ind w:firstLine="0"/>
              <w:jc w:val="left"/>
              <w:rPr>
                <w:rFonts w:hint="eastAsia" w:ascii="仿宋" w:hAnsi="仿宋" w:eastAsia="仿宋" w:cs="仿宋"/>
                <w:snapToGrid w:val="0"/>
                <w:color w:val="auto"/>
                <w:kern w:val="2"/>
                <w:sz w:val="20"/>
                <w:szCs w:val="20"/>
              </w:rPr>
            </w:pPr>
            <w:r>
              <w:rPr>
                <w:rFonts w:hint="eastAsia" w:ascii="仿宋" w:hAnsi="仿宋" w:eastAsia="仿宋" w:cs="仿宋"/>
                <w:snapToGrid w:val="0"/>
                <w:color w:val="auto"/>
                <w:kern w:val="2"/>
                <w:sz w:val="20"/>
                <w:szCs w:val="20"/>
              </w:rPr>
              <w:t>联系人：详见招标公告</w:t>
            </w:r>
          </w:p>
          <w:p>
            <w:pPr>
              <w:pStyle w:val="5"/>
              <w:snapToGrid w:val="0"/>
              <w:ind w:firstLine="0"/>
              <w:jc w:val="left"/>
              <w:rPr>
                <w:rFonts w:hint="eastAsia" w:ascii="仿宋" w:hAnsi="仿宋" w:eastAsia="仿宋" w:cs="仿宋"/>
                <w:snapToGrid w:val="0"/>
                <w:color w:val="auto"/>
                <w:kern w:val="2"/>
                <w:sz w:val="20"/>
                <w:szCs w:val="20"/>
              </w:rPr>
            </w:pPr>
            <w:r>
              <w:rPr>
                <w:rFonts w:hint="eastAsia" w:ascii="仿宋" w:hAnsi="仿宋" w:eastAsia="仿宋" w:cs="仿宋"/>
                <w:snapToGrid w:val="0"/>
                <w:color w:val="auto"/>
                <w:kern w:val="2"/>
                <w:sz w:val="20"/>
                <w:szCs w:val="20"/>
              </w:rPr>
              <w:t>电话：详见招标公告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vAlign w:val="center"/>
          </w:tcPr>
          <w:p>
            <w:pPr>
              <w:tabs>
                <w:tab w:val="left" w:pos="10324"/>
              </w:tabs>
              <w:snapToGrid w:val="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1.1.4</w:t>
            </w:r>
          </w:p>
        </w:tc>
        <w:tc>
          <w:tcPr>
            <w:tcW w:w="2280" w:type="dxa"/>
            <w:vAlign w:val="center"/>
          </w:tcPr>
          <w:p>
            <w:pPr>
              <w:pStyle w:val="5"/>
              <w:snapToGrid w:val="0"/>
              <w:ind w:firstLine="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项目名称</w:t>
            </w:r>
          </w:p>
        </w:tc>
        <w:tc>
          <w:tcPr>
            <w:tcW w:w="6946" w:type="dxa"/>
            <w:vAlign w:val="center"/>
          </w:tcPr>
          <w:p>
            <w:pPr>
              <w:pStyle w:val="5"/>
              <w:snapToGrid w:val="0"/>
              <w:ind w:firstLine="0"/>
              <w:jc w:val="left"/>
              <w:rPr>
                <w:rFonts w:hint="eastAsia" w:ascii="仿宋" w:hAnsi="仿宋" w:eastAsia="仿宋" w:cs="仿宋"/>
                <w:snapToGrid w:val="0"/>
                <w:color w:val="auto"/>
                <w:spacing w:val="-4"/>
                <w:kern w:val="2"/>
                <w:sz w:val="20"/>
                <w:szCs w:val="20"/>
                <w:lang w:eastAsia="zh-CN"/>
              </w:rPr>
            </w:pPr>
            <w:r>
              <w:rPr>
                <w:rFonts w:hint="eastAsia" w:ascii="仿宋" w:hAnsi="仿宋" w:eastAsia="仿宋" w:cs="仿宋"/>
                <w:snapToGrid w:val="0"/>
                <w:color w:val="auto"/>
                <w:spacing w:val="-4"/>
                <w:kern w:val="2"/>
                <w:sz w:val="20"/>
                <w:szCs w:val="20"/>
                <w:lang w:eastAsia="zh-CN"/>
              </w:rPr>
              <w:t>织里镇骥村村机四圩护岸建设工程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76" w:type="dxa"/>
            <w:vAlign w:val="center"/>
          </w:tcPr>
          <w:p>
            <w:pPr>
              <w:tabs>
                <w:tab w:val="left" w:pos="10324"/>
              </w:tabs>
              <w:snapToGrid w:val="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1.1.5</w:t>
            </w:r>
          </w:p>
        </w:tc>
        <w:tc>
          <w:tcPr>
            <w:tcW w:w="2280" w:type="dxa"/>
            <w:vAlign w:val="center"/>
          </w:tcPr>
          <w:p>
            <w:pPr>
              <w:pStyle w:val="5"/>
              <w:snapToGrid w:val="0"/>
              <w:ind w:firstLine="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建设地点</w:t>
            </w:r>
          </w:p>
        </w:tc>
        <w:tc>
          <w:tcPr>
            <w:tcW w:w="6946" w:type="dxa"/>
            <w:vAlign w:val="center"/>
          </w:tcPr>
          <w:p>
            <w:pPr>
              <w:snapToGrid w:val="0"/>
              <w:rPr>
                <w:rFonts w:hint="eastAsia" w:ascii="仿宋" w:hAnsi="仿宋" w:eastAsia="仿宋" w:cs="仿宋"/>
                <w:snapToGrid w:val="0"/>
                <w:color w:val="auto"/>
                <w:kern w:val="2"/>
                <w:sz w:val="20"/>
                <w:szCs w:val="20"/>
              </w:rPr>
            </w:pPr>
            <w:r>
              <w:rPr>
                <w:rFonts w:hint="eastAsia" w:ascii="仿宋" w:hAnsi="仿宋" w:eastAsia="仿宋" w:cs="仿宋"/>
                <w:snapToGrid w:val="0"/>
                <w:color w:val="auto"/>
                <w:spacing w:val="-4"/>
                <w:kern w:val="2"/>
                <w:sz w:val="20"/>
                <w:szCs w:val="20"/>
                <w:lang w:eastAsia="zh-CN"/>
              </w:rPr>
              <w:t>吴兴区织里镇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76" w:type="dxa"/>
            <w:vAlign w:val="center"/>
          </w:tcPr>
          <w:p>
            <w:pPr>
              <w:pStyle w:val="5"/>
              <w:snapToGrid w:val="0"/>
              <w:ind w:firstLine="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1.1.6</w:t>
            </w:r>
          </w:p>
        </w:tc>
        <w:tc>
          <w:tcPr>
            <w:tcW w:w="2280" w:type="dxa"/>
            <w:vAlign w:val="center"/>
          </w:tcPr>
          <w:p>
            <w:pPr>
              <w:pStyle w:val="5"/>
              <w:snapToGrid w:val="0"/>
              <w:ind w:firstLine="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现场管理机构</w:t>
            </w:r>
          </w:p>
        </w:tc>
        <w:tc>
          <w:tcPr>
            <w:tcW w:w="6946" w:type="dxa"/>
            <w:vAlign w:val="center"/>
          </w:tcPr>
          <w:p>
            <w:pPr>
              <w:snapToGrid w:val="0"/>
              <w:rPr>
                <w:rFonts w:hint="eastAsia" w:ascii="仿宋" w:hAnsi="仿宋" w:eastAsia="仿宋" w:cs="仿宋"/>
                <w:snapToGrid w:val="0"/>
                <w:color w:val="auto"/>
                <w:kern w:val="2"/>
                <w:sz w:val="20"/>
                <w:szCs w:val="20"/>
              </w:rPr>
            </w:pPr>
            <w:r>
              <w:rPr>
                <w:rFonts w:hint="eastAsia" w:ascii="仿宋" w:hAnsi="仿宋" w:eastAsia="仿宋" w:cs="仿宋"/>
                <w:snapToGrid w:val="0"/>
                <w:color w:val="auto"/>
                <w:kern w:val="2"/>
                <w:sz w:val="20"/>
                <w:szCs w:val="20"/>
                <w:lang w:eastAsia="zh-CN"/>
              </w:rPr>
              <w:t>湖州新型城市投资发展集团有限公司</w:t>
            </w:r>
            <w:r>
              <w:rPr>
                <w:rFonts w:hint="eastAsia" w:ascii="仿宋" w:hAnsi="仿宋" w:eastAsia="仿宋" w:cs="仿宋"/>
                <w:snapToGrid w:val="0"/>
                <w:color w:val="auto"/>
                <w:kern w:val="2"/>
                <w:sz w:val="20"/>
                <w:szCs w:val="20"/>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6" w:type="dxa"/>
            <w:vAlign w:val="center"/>
          </w:tcPr>
          <w:p>
            <w:pPr>
              <w:pStyle w:val="5"/>
              <w:snapToGrid w:val="0"/>
              <w:ind w:firstLine="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1.1.7</w:t>
            </w:r>
          </w:p>
        </w:tc>
        <w:tc>
          <w:tcPr>
            <w:tcW w:w="2280" w:type="dxa"/>
            <w:vAlign w:val="center"/>
          </w:tcPr>
          <w:p>
            <w:pPr>
              <w:pStyle w:val="5"/>
              <w:snapToGrid w:val="0"/>
              <w:ind w:firstLine="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设计人</w:t>
            </w:r>
          </w:p>
        </w:tc>
        <w:tc>
          <w:tcPr>
            <w:tcW w:w="6946" w:type="dxa"/>
            <w:vAlign w:val="center"/>
          </w:tcPr>
          <w:p>
            <w:pPr>
              <w:snapToGrid w:val="0"/>
              <w:rPr>
                <w:rFonts w:hint="eastAsia" w:ascii="仿宋" w:hAnsi="仿宋" w:eastAsia="仿宋" w:cs="仿宋"/>
                <w:snapToGrid w:val="0"/>
                <w:color w:val="auto"/>
                <w:kern w:val="2"/>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76" w:type="dxa"/>
            <w:vAlign w:val="center"/>
          </w:tcPr>
          <w:p>
            <w:pPr>
              <w:pStyle w:val="5"/>
              <w:snapToGrid w:val="0"/>
              <w:ind w:firstLine="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1.1.8</w:t>
            </w:r>
          </w:p>
        </w:tc>
        <w:tc>
          <w:tcPr>
            <w:tcW w:w="2280" w:type="dxa"/>
            <w:vAlign w:val="center"/>
          </w:tcPr>
          <w:p>
            <w:pPr>
              <w:pStyle w:val="5"/>
              <w:snapToGrid w:val="0"/>
              <w:ind w:firstLine="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监理人</w:t>
            </w:r>
          </w:p>
        </w:tc>
        <w:tc>
          <w:tcPr>
            <w:tcW w:w="6946" w:type="dxa"/>
            <w:vAlign w:val="center"/>
          </w:tcPr>
          <w:p>
            <w:pPr>
              <w:snapToGrid w:val="0"/>
              <w:rPr>
                <w:rFonts w:hint="eastAsia" w:ascii="仿宋" w:hAnsi="仿宋" w:eastAsia="仿宋" w:cs="仿宋"/>
                <w:snapToGrid w:val="0"/>
                <w:color w:val="auto"/>
                <w:kern w:val="2"/>
                <w:sz w:val="20"/>
                <w:szCs w:val="20"/>
              </w:rPr>
            </w:pPr>
            <w:r>
              <w:rPr>
                <w:rFonts w:hint="eastAsia" w:ascii="仿宋" w:hAnsi="仿宋" w:eastAsia="仿宋" w:cs="仿宋"/>
                <w:snapToGrid w:val="0"/>
                <w:color w:val="auto"/>
                <w:kern w:val="2"/>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6" w:type="dxa"/>
            <w:vAlign w:val="center"/>
          </w:tcPr>
          <w:p>
            <w:pPr>
              <w:tabs>
                <w:tab w:val="left" w:pos="10324"/>
              </w:tabs>
              <w:snapToGrid w:val="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1.2.1</w:t>
            </w:r>
          </w:p>
        </w:tc>
        <w:tc>
          <w:tcPr>
            <w:tcW w:w="2280" w:type="dxa"/>
            <w:vAlign w:val="center"/>
          </w:tcPr>
          <w:p>
            <w:pPr>
              <w:pStyle w:val="5"/>
              <w:snapToGrid w:val="0"/>
              <w:ind w:firstLine="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资金来源</w:t>
            </w:r>
          </w:p>
        </w:tc>
        <w:tc>
          <w:tcPr>
            <w:tcW w:w="6946" w:type="dxa"/>
            <w:vAlign w:val="center"/>
          </w:tcPr>
          <w:p>
            <w:pPr>
              <w:pStyle w:val="5"/>
              <w:snapToGrid w:val="0"/>
              <w:ind w:firstLine="0"/>
              <w:jc w:val="left"/>
              <w:rPr>
                <w:rFonts w:hint="eastAsia" w:ascii="仿宋" w:hAnsi="仿宋" w:eastAsia="仿宋" w:cs="仿宋"/>
                <w:snapToGrid w:val="0"/>
                <w:color w:val="auto"/>
                <w:kern w:val="2"/>
                <w:sz w:val="20"/>
                <w:szCs w:val="20"/>
                <w:lang w:eastAsia="zh-CN"/>
              </w:rPr>
            </w:pPr>
            <w:r>
              <w:rPr>
                <w:rFonts w:hint="eastAsia" w:ascii="仿宋" w:hAnsi="仿宋" w:eastAsia="仿宋" w:cs="仿宋"/>
                <w:snapToGrid w:val="0"/>
                <w:color w:val="auto"/>
                <w:kern w:val="2"/>
                <w:sz w:val="20"/>
                <w:szCs w:val="20"/>
                <w:lang w:eastAsia="zh-CN"/>
              </w:rPr>
              <w:t>自筹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76" w:type="dxa"/>
            <w:vAlign w:val="center"/>
          </w:tcPr>
          <w:p>
            <w:pPr>
              <w:tabs>
                <w:tab w:val="left" w:pos="10324"/>
              </w:tabs>
              <w:snapToGrid w:val="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1.2.2</w:t>
            </w:r>
          </w:p>
        </w:tc>
        <w:tc>
          <w:tcPr>
            <w:tcW w:w="2280" w:type="dxa"/>
            <w:vAlign w:val="center"/>
          </w:tcPr>
          <w:p>
            <w:pPr>
              <w:pStyle w:val="5"/>
              <w:snapToGrid w:val="0"/>
              <w:ind w:firstLine="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出资比例</w:t>
            </w:r>
          </w:p>
        </w:tc>
        <w:tc>
          <w:tcPr>
            <w:tcW w:w="6946" w:type="dxa"/>
            <w:vAlign w:val="center"/>
          </w:tcPr>
          <w:p>
            <w:pPr>
              <w:pStyle w:val="5"/>
              <w:snapToGrid w:val="0"/>
              <w:ind w:firstLine="0"/>
              <w:jc w:val="left"/>
              <w:rPr>
                <w:rFonts w:hint="eastAsia" w:ascii="仿宋" w:hAnsi="仿宋" w:eastAsia="仿宋" w:cs="仿宋"/>
                <w:snapToGrid w:val="0"/>
                <w:color w:val="auto"/>
                <w:kern w:val="2"/>
                <w:sz w:val="20"/>
              </w:rPr>
            </w:pPr>
            <w:r>
              <w:rPr>
                <w:rFonts w:hint="eastAsia" w:ascii="仿宋" w:hAnsi="仿宋" w:eastAsia="仿宋" w:cs="仿宋"/>
                <w:snapToGrid w:val="0"/>
                <w:color w:val="auto"/>
                <w:spacing w:val="-4"/>
                <w:kern w:val="2"/>
                <w:sz w:val="20"/>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6" w:type="dxa"/>
            <w:vAlign w:val="center"/>
          </w:tcPr>
          <w:p>
            <w:pPr>
              <w:tabs>
                <w:tab w:val="left" w:pos="10324"/>
              </w:tabs>
              <w:snapToGrid w:val="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1.2.3</w:t>
            </w:r>
          </w:p>
        </w:tc>
        <w:tc>
          <w:tcPr>
            <w:tcW w:w="2280" w:type="dxa"/>
            <w:vAlign w:val="center"/>
          </w:tcPr>
          <w:p>
            <w:pPr>
              <w:pStyle w:val="5"/>
              <w:snapToGrid w:val="0"/>
              <w:ind w:firstLine="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资金落实情况</w:t>
            </w:r>
          </w:p>
        </w:tc>
        <w:tc>
          <w:tcPr>
            <w:tcW w:w="6946" w:type="dxa"/>
            <w:vAlign w:val="center"/>
          </w:tcPr>
          <w:p>
            <w:pPr>
              <w:pStyle w:val="5"/>
              <w:snapToGrid w:val="0"/>
              <w:ind w:firstLine="0"/>
              <w:jc w:val="left"/>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76" w:type="dxa"/>
            <w:vAlign w:val="center"/>
          </w:tcPr>
          <w:p>
            <w:pPr>
              <w:tabs>
                <w:tab w:val="left" w:pos="10324"/>
              </w:tabs>
              <w:snapToGrid w:val="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1.3.1</w:t>
            </w:r>
          </w:p>
        </w:tc>
        <w:tc>
          <w:tcPr>
            <w:tcW w:w="2280" w:type="dxa"/>
            <w:vAlign w:val="center"/>
          </w:tcPr>
          <w:p>
            <w:pPr>
              <w:pStyle w:val="5"/>
              <w:snapToGrid w:val="0"/>
              <w:ind w:firstLine="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招标范围</w:t>
            </w:r>
          </w:p>
        </w:tc>
        <w:tc>
          <w:tcPr>
            <w:tcW w:w="6946" w:type="dxa"/>
            <w:vAlign w:val="center"/>
          </w:tcPr>
          <w:p>
            <w:pPr>
              <w:snapToGrid w:val="0"/>
              <w:rPr>
                <w:rFonts w:hint="eastAsia" w:ascii="仿宋" w:hAnsi="仿宋" w:eastAsia="仿宋" w:cs="仿宋"/>
                <w:snapToGrid w:val="0"/>
                <w:color w:val="auto"/>
                <w:spacing w:val="-4"/>
                <w:kern w:val="2"/>
                <w:sz w:val="20"/>
                <w:szCs w:val="20"/>
              </w:rPr>
            </w:pPr>
            <w:r>
              <w:rPr>
                <w:rFonts w:hint="eastAsia" w:ascii="仿宋" w:hAnsi="仿宋" w:eastAsia="仿宋" w:cs="仿宋"/>
                <w:snapToGrid w:val="0"/>
                <w:color w:val="auto"/>
                <w:kern w:val="2"/>
                <w:sz w:val="20"/>
                <w:szCs w:val="20"/>
              </w:rPr>
              <w:t>详见工程量清单及图纸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vAlign w:val="center"/>
          </w:tcPr>
          <w:p>
            <w:pPr>
              <w:tabs>
                <w:tab w:val="left" w:pos="10324"/>
              </w:tabs>
              <w:snapToGrid w:val="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1.3.2</w:t>
            </w:r>
          </w:p>
        </w:tc>
        <w:tc>
          <w:tcPr>
            <w:tcW w:w="2280" w:type="dxa"/>
            <w:vAlign w:val="center"/>
          </w:tcPr>
          <w:p>
            <w:pPr>
              <w:tabs>
                <w:tab w:val="left" w:pos="10324"/>
              </w:tabs>
              <w:snapToGrid w:val="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计划工期</w:t>
            </w:r>
          </w:p>
        </w:tc>
        <w:tc>
          <w:tcPr>
            <w:tcW w:w="6946" w:type="dxa"/>
            <w:vAlign w:val="center"/>
          </w:tcPr>
          <w:p>
            <w:pPr>
              <w:pStyle w:val="5"/>
              <w:snapToGrid w:val="0"/>
              <w:ind w:firstLine="0"/>
              <w:jc w:val="left"/>
              <w:rPr>
                <w:rFonts w:hint="eastAsia" w:ascii="仿宋" w:hAnsi="仿宋" w:eastAsia="仿宋" w:cs="仿宋"/>
                <w:snapToGrid w:val="0"/>
                <w:color w:val="auto"/>
                <w:kern w:val="2"/>
                <w:sz w:val="20"/>
                <w:szCs w:val="20"/>
              </w:rPr>
            </w:pPr>
            <w:r>
              <w:rPr>
                <w:rFonts w:hint="eastAsia" w:ascii="仿宋" w:hAnsi="仿宋" w:eastAsia="仿宋" w:cs="仿宋"/>
                <w:snapToGrid w:val="0"/>
                <w:color w:val="auto"/>
                <w:kern w:val="2"/>
                <w:sz w:val="20"/>
                <w:szCs w:val="20"/>
              </w:rPr>
              <w:t>计划工期：</w:t>
            </w:r>
            <w:r>
              <w:rPr>
                <w:rFonts w:hint="eastAsia" w:ascii="仿宋" w:hAnsi="仿宋" w:eastAsia="仿宋" w:cs="仿宋"/>
                <w:b/>
                <w:snapToGrid w:val="0"/>
                <w:color w:val="auto"/>
                <w:kern w:val="2"/>
                <w:sz w:val="20"/>
                <w:szCs w:val="20"/>
                <w:u w:val="single"/>
              </w:rPr>
              <w:t xml:space="preserve"> </w:t>
            </w:r>
            <w:r>
              <w:rPr>
                <w:rFonts w:hint="eastAsia" w:ascii="仿宋" w:hAnsi="仿宋" w:eastAsia="仿宋" w:cs="仿宋"/>
                <w:b/>
                <w:snapToGrid w:val="0"/>
                <w:color w:val="auto"/>
                <w:kern w:val="2"/>
                <w:sz w:val="20"/>
                <w:szCs w:val="20"/>
                <w:u w:val="single"/>
                <w:lang w:val="en-US" w:eastAsia="zh-CN"/>
              </w:rPr>
              <w:t>180日历天</w:t>
            </w:r>
            <w:r>
              <w:rPr>
                <w:rFonts w:hint="eastAsia" w:ascii="仿宋" w:hAnsi="仿宋" w:eastAsia="仿宋" w:cs="仿宋"/>
                <w:snapToGrid w:val="0"/>
                <w:color w:val="auto"/>
                <w:spacing w:val="-4"/>
                <w:sz w:val="21"/>
                <w:szCs w:val="21"/>
                <w:lang w:eastAsia="zh-CN"/>
              </w:rPr>
              <w:t>（具体标段开工时间由业主另行通知）</w:t>
            </w:r>
          </w:p>
          <w:p>
            <w:pPr>
              <w:pStyle w:val="5"/>
              <w:snapToGrid w:val="0"/>
              <w:ind w:firstLine="0"/>
              <w:jc w:val="left"/>
              <w:rPr>
                <w:rFonts w:hint="eastAsia" w:ascii="仿宋" w:hAnsi="仿宋" w:eastAsia="仿宋" w:cs="仿宋"/>
                <w:b/>
                <w:snapToGrid w:val="0"/>
                <w:color w:val="auto"/>
                <w:kern w:val="2"/>
                <w:sz w:val="20"/>
                <w:szCs w:val="20"/>
                <w:u w:val="single"/>
              </w:rPr>
            </w:pPr>
            <w:r>
              <w:rPr>
                <w:rFonts w:hint="eastAsia" w:ascii="仿宋" w:hAnsi="仿宋" w:eastAsia="仿宋" w:cs="仿宋"/>
                <w:snapToGrid w:val="0"/>
                <w:color w:val="auto"/>
                <w:kern w:val="2"/>
                <w:sz w:val="20"/>
                <w:szCs w:val="20"/>
              </w:rPr>
              <w:t>计划开工日期：</w:t>
            </w:r>
            <w:r>
              <w:rPr>
                <w:rFonts w:hint="eastAsia" w:ascii="仿宋" w:hAnsi="仿宋" w:eastAsia="仿宋" w:cs="仿宋"/>
                <w:b/>
                <w:snapToGrid w:val="0"/>
                <w:color w:val="auto"/>
                <w:kern w:val="2"/>
                <w:sz w:val="20"/>
                <w:szCs w:val="20"/>
                <w:u w:val="single"/>
              </w:rPr>
              <w:t>202</w:t>
            </w:r>
            <w:r>
              <w:rPr>
                <w:rFonts w:hint="eastAsia" w:ascii="仿宋" w:hAnsi="仿宋" w:eastAsia="仿宋" w:cs="仿宋"/>
                <w:b/>
                <w:snapToGrid w:val="0"/>
                <w:color w:val="auto"/>
                <w:kern w:val="2"/>
                <w:sz w:val="20"/>
                <w:szCs w:val="20"/>
                <w:u w:val="single"/>
                <w:lang w:val="en-US" w:eastAsia="zh-CN"/>
              </w:rPr>
              <w:t>1</w:t>
            </w:r>
            <w:r>
              <w:rPr>
                <w:rFonts w:hint="eastAsia" w:ascii="仿宋" w:hAnsi="仿宋" w:eastAsia="仿宋" w:cs="仿宋"/>
                <w:b/>
                <w:snapToGrid w:val="0"/>
                <w:color w:val="auto"/>
                <w:kern w:val="2"/>
                <w:sz w:val="20"/>
                <w:szCs w:val="20"/>
                <w:u w:val="single"/>
              </w:rPr>
              <w:t>年  月  日</w:t>
            </w:r>
          </w:p>
          <w:p>
            <w:pPr>
              <w:pStyle w:val="5"/>
              <w:snapToGrid w:val="0"/>
              <w:ind w:firstLine="0"/>
              <w:jc w:val="left"/>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szCs w:val="20"/>
              </w:rPr>
              <w:t>计划完工日期：</w:t>
            </w:r>
            <w:r>
              <w:rPr>
                <w:rFonts w:hint="eastAsia" w:ascii="仿宋" w:hAnsi="仿宋" w:eastAsia="仿宋" w:cs="仿宋"/>
                <w:b/>
                <w:snapToGrid w:val="0"/>
                <w:color w:val="auto"/>
                <w:kern w:val="2"/>
                <w:sz w:val="20"/>
                <w:szCs w:val="20"/>
                <w:u w:val="single"/>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vAlign w:val="center"/>
          </w:tcPr>
          <w:p>
            <w:pPr>
              <w:tabs>
                <w:tab w:val="left" w:pos="10324"/>
              </w:tabs>
              <w:snapToGrid w:val="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1.3.3</w:t>
            </w:r>
          </w:p>
        </w:tc>
        <w:tc>
          <w:tcPr>
            <w:tcW w:w="2280" w:type="dxa"/>
            <w:vAlign w:val="center"/>
          </w:tcPr>
          <w:p>
            <w:pPr>
              <w:tabs>
                <w:tab w:val="left" w:pos="10324"/>
              </w:tabs>
              <w:snapToGrid w:val="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质量要求</w:t>
            </w:r>
          </w:p>
        </w:tc>
        <w:tc>
          <w:tcPr>
            <w:tcW w:w="6946" w:type="dxa"/>
            <w:vAlign w:val="center"/>
          </w:tcPr>
          <w:p>
            <w:pPr>
              <w:pStyle w:val="5"/>
              <w:snapToGrid w:val="0"/>
              <w:ind w:firstLine="0"/>
              <w:jc w:val="left"/>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合格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876" w:type="dxa"/>
            <w:vAlign w:val="center"/>
          </w:tcPr>
          <w:p>
            <w:pPr>
              <w:tabs>
                <w:tab w:val="left" w:pos="10324"/>
              </w:tabs>
              <w:snapToGrid w:val="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1.4.1</w:t>
            </w:r>
          </w:p>
        </w:tc>
        <w:tc>
          <w:tcPr>
            <w:tcW w:w="2280" w:type="dxa"/>
            <w:vAlign w:val="center"/>
          </w:tcPr>
          <w:p>
            <w:pPr>
              <w:tabs>
                <w:tab w:val="left" w:pos="10324"/>
              </w:tabs>
              <w:snapToGrid w:val="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投标人资质条件、能力和信誉</w:t>
            </w:r>
          </w:p>
        </w:tc>
        <w:tc>
          <w:tcPr>
            <w:tcW w:w="6946" w:type="dxa"/>
          </w:tcPr>
          <w:p>
            <w:pPr>
              <w:tabs>
                <w:tab w:val="left" w:pos="10324"/>
              </w:tabs>
              <w:snapToGrid w:val="0"/>
              <w:jc w:val="left"/>
              <w:rPr>
                <w:rFonts w:hint="eastAsia" w:ascii="仿宋" w:hAnsi="仿宋" w:eastAsia="仿宋" w:cs="仿宋"/>
                <w:color w:val="auto"/>
                <w:kern w:val="2"/>
                <w:sz w:val="20"/>
                <w:szCs w:val="20"/>
              </w:rPr>
            </w:pPr>
            <w:r>
              <w:rPr>
                <w:rFonts w:hint="eastAsia" w:ascii="仿宋" w:hAnsi="仿宋" w:eastAsia="仿宋" w:cs="仿宋"/>
                <w:color w:val="auto"/>
                <w:kern w:val="2"/>
                <w:sz w:val="20"/>
              </w:rPr>
              <w:t>资质条件：</w:t>
            </w:r>
            <w:r>
              <w:rPr>
                <w:rFonts w:hint="eastAsia" w:ascii="仿宋" w:hAnsi="仿宋" w:eastAsia="仿宋" w:cs="仿宋"/>
                <w:color w:val="auto"/>
                <w:kern w:val="2"/>
                <w:sz w:val="20"/>
                <w:szCs w:val="20"/>
              </w:rPr>
              <w:t>投标人应具备</w:t>
            </w:r>
            <w:r>
              <w:rPr>
                <w:rFonts w:hint="eastAsia" w:ascii="仿宋" w:hAnsi="仿宋" w:eastAsia="仿宋" w:cs="仿宋"/>
                <w:color w:val="auto"/>
                <w:kern w:val="2"/>
                <w:sz w:val="20"/>
                <w:szCs w:val="20"/>
                <w:u w:val="single"/>
              </w:rPr>
              <w:t>水利水电工程施工总承包</w:t>
            </w:r>
            <w:r>
              <w:rPr>
                <w:rFonts w:hint="eastAsia" w:ascii="仿宋" w:hAnsi="仿宋" w:eastAsia="仿宋" w:cs="仿宋"/>
                <w:color w:val="auto"/>
                <w:kern w:val="2"/>
                <w:sz w:val="20"/>
                <w:szCs w:val="20"/>
                <w:u w:val="single"/>
                <w:lang w:eastAsia="zh-CN"/>
              </w:rPr>
              <w:t>三</w:t>
            </w:r>
            <w:r>
              <w:rPr>
                <w:rFonts w:hint="eastAsia" w:ascii="仿宋" w:hAnsi="仿宋" w:eastAsia="仿宋" w:cs="仿宋"/>
                <w:color w:val="auto"/>
                <w:kern w:val="2"/>
                <w:sz w:val="20"/>
                <w:szCs w:val="20"/>
                <w:u w:val="single"/>
              </w:rPr>
              <w:t>级及以上资质</w:t>
            </w:r>
            <w:r>
              <w:rPr>
                <w:rFonts w:hint="eastAsia" w:ascii="仿宋" w:hAnsi="仿宋" w:eastAsia="仿宋" w:cs="仿宋"/>
                <w:color w:val="auto"/>
                <w:kern w:val="2"/>
                <w:sz w:val="20"/>
                <w:szCs w:val="20"/>
              </w:rPr>
              <w:t>，并具有有效营业执照和安全生产许可证。</w:t>
            </w:r>
          </w:p>
          <w:p>
            <w:pPr>
              <w:tabs>
                <w:tab w:val="left" w:pos="10324"/>
              </w:tabs>
              <w:snapToGrid w:val="0"/>
              <w:jc w:val="left"/>
              <w:rPr>
                <w:rFonts w:hint="eastAsia" w:ascii="仿宋" w:hAnsi="仿宋" w:eastAsia="仿宋" w:cs="仿宋"/>
                <w:color w:val="auto"/>
                <w:kern w:val="2"/>
                <w:sz w:val="20"/>
              </w:rPr>
            </w:pPr>
            <w:r>
              <w:rPr>
                <w:rFonts w:hint="eastAsia" w:ascii="仿宋" w:hAnsi="仿宋" w:eastAsia="仿宋" w:cs="仿宋"/>
                <w:color w:val="auto"/>
                <w:kern w:val="2"/>
                <w:sz w:val="20"/>
              </w:rPr>
              <w:t>财务要求：拟投入本项目的流动资金不少于/万元。</w:t>
            </w:r>
          </w:p>
          <w:p>
            <w:pPr>
              <w:tabs>
                <w:tab w:val="left" w:pos="10324"/>
              </w:tabs>
              <w:snapToGrid w:val="0"/>
              <w:jc w:val="left"/>
              <w:rPr>
                <w:rFonts w:hint="eastAsia" w:ascii="仿宋" w:hAnsi="仿宋" w:eastAsia="仿宋" w:cs="仿宋"/>
                <w:color w:val="auto"/>
                <w:kern w:val="2"/>
                <w:sz w:val="20"/>
              </w:rPr>
            </w:pPr>
            <w:r>
              <w:rPr>
                <w:rFonts w:hint="eastAsia" w:ascii="仿宋" w:hAnsi="仿宋" w:eastAsia="仿宋" w:cs="仿宋"/>
                <w:color w:val="auto"/>
                <w:kern w:val="2"/>
                <w:sz w:val="20"/>
              </w:rPr>
              <w:t>业绩要求：见招标公告及投标人资格条件要求附表。</w:t>
            </w:r>
          </w:p>
          <w:p>
            <w:pPr>
              <w:tabs>
                <w:tab w:val="left" w:pos="10324"/>
              </w:tabs>
              <w:snapToGrid w:val="0"/>
              <w:jc w:val="left"/>
              <w:rPr>
                <w:rFonts w:hint="eastAsia" w:ascii="仿宋" w:hAnsi="仿宋" w:eastAsia="仿宋" w:cs="仿宋"/>
                <w:color w:val="auto"/>
                <w:kern w:val="2"/>
                <w:sz w:val="20"/>
              </w:rPr>
            </w:pPr>
            <w:r>
              <w:rPr>
                <w:rFonts w:hint="eastAsia" w:ascii="仿宋" w:hAnsi="仿宋" w:eastAsia="仿宋" w:cs="仿宋"/>
                <w:color w:val="auto"/>
                <w:kern w:val="2"/>
                <w:sz w:val="20"/>
              </w:rPr>
              <w:t>信誉要求：见招标公告及投标人资格条件要求附表。</w:t>
            </w:r>
          </w:p>
          <w:p>
            <w:pPr>
              <w:tabs>
                <w:tab w:val="left" w:pos="10324"/>
              </w:tabs>
              <w:snapToGrid w:val="0"/>
              <w:jc w:val="left"/>
              <w:rPr>
                <w:rFonts w:hint="eastAsia" w:ascii="仿宋" w:hAnsi="仿宋" w:eastAsia="仿宋" w:cs="仿宋"/>
                <w:color w:val="auto"/>
                <w:kern w:val="2"/>
                <w:sz w:val="20"/>
              </w:rPr>
            </w:pPr>
            <w:r>
              <w:rPr>
                <w:rFonts w:hint="eastAsia" w:ascii="仿宋" w:hAnsi="仿宋" w:eastAsia="仿宋" w:cs="仿宋"/>
                <w:color w:val="auto"/>
                <w:kern w:val="2"/>
                <w:sz w:val="20"/>
              </w:rPr>
              <w:t>项目负责人资格：详见投标人资格条件要求附表。</w:t>
            </w:r>
          </w:p>
          <w:p>
            <w:pPr>
              <w:tabs>
                <w:tab w:val="left" w:pos="10324"/>
              </w:tabs>
              <w:snapToGrid w:val="0"/>
              <w:jc w:val="left"/>
              <w:rPr>
                <w:rFonts w:hint="eastAsia" w:ascii="仿宋" w:hAnsi="仿宋" w:eastAsia="仿宋" w:cs="仿宋"/>
                <w:color w:val="auto"/>
                <w:kern w:val="2"/>
                <w:sz w:val="20"/>
              </w:rPr>
            </w:pPr>
            <w:r>
              <w:rPr>
                <w:rFonts w:hint="eastAsia" w:ascii="仿宋" w:hAnsi="仿宋" w:eastAsia="仿宋" w:cs="仿宋"/>
                <w:color w:val="auto"/>
                <w:kern w:val="2"/>
                <w:sz w:val="20"/>
              </w:rPr>
              <w:t>项目技术负责人资格：详见投标人资格条件要求附表。</w:t>
            </w:r>
          </w:p>
          <w:p>
            <w:pPr>
              <w:tabs>
                <w:tab w:val="left" w:pos="10324"/>
              </w:tabs>
              <w:snapToGrid w:val="0"/>
              <w:jc w:val="left"/>
              <w:rPr>
                <w:rFonts w:hint="eastAsia" w:ascii="仿宋" w:hAnsi="仿宋" w:eastAsia="仿宋" w:cs="仿宋"/>
                <w:snapToGrid w:val="0"/>
                <w:color w:val="auto"/>
                <w:kern w:val="2"/>
                <w:sz w:val="20"/>
              </w:rPr>
            </w:pPr>
            <w:r>
              <w:rPr>
                <w:rFonts w:hint="eastAsia" w:ascii="仿宋" w:hAnsi="仿宋" w:eastAsia="仿宋" w:cs="仿宋"/>
                <w:color w:val="auto"/>
                <w:kern w:val="2"/>
                <w:sz w:val="20"/>
              </w:rPr>
              <w:t>其他要求：详见投标人资格条件要求附表。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76" w:type="dxa"/>
            <w:vAlign w:val="center"/>
          </w:tcPr>
          <w:p>
            <w:pPr>
              <w:snapToGrid w:val="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1.4.2</w:t>
            </w:r>
          </w:p>
        </w:tc>
        <w:tc>
          <w:tcPr>
            <w:tcW w:w="2280" w:type="dxa"/>
            <w:vAlign w:val="center"/>
          </w:tcPr>
          <w:p>
            <w:pPr>
              <w:snapToGrid w:val="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是否接受联合体投标</w:t>
            </w:r>
          </w:p>
        </w:tc>
        <w:tc>
          <w:tcPr>
            <w:tcW w:w="6946" w:type="dxa"/>
            <w:vAlign w:val="center"/>
          </w:tcPr>
          <w:p>
            <w:pPr>
              <w:autoSpaceDE/>
              <w:autoSpaceDN/>
              <w:adjustRightInd/>
              <w:snapToGrid w:val="0"/>
              <w:textAlignment w:val="auto"/>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sym w:font="Wingdings" w:char="F0FE"/>
            </w:r>
            <w:r>
              <w:rPr>
                <w:rFonts w:hint="eastAsia" w:ascii="仿宋" w:hAnsi="仿宋" w:eastAsia="仿宋" w:cs="仿宋"/>
                <w:snapToGrid w:val="0"/>
                <w:color w:val="auto"/>
                <w:kern w:val="2"/>
                <w:sz w:val="20"/>
              </w:rPr>
              <w:t>不接受</w:t>
            </w:r>
          </w:p>
          <w:p>
            <w:pPr>
              <w:autoSpaceDE/>
              <w:autoSpaceDN/>
              <w:adjustRightInd/>
              <w:snapToGrid w:val="0"/>
              <w:textAlignment w:val="auto"/>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□接受，应满足下列要求：</w:t>
            </w:r>
          </w:p>
          <w:p>
            <w:pPr>
              <w:autoSpaceDE/>
              <w:autoSpaceDN/>
              <w:adjustRightInd/>
              <w:snapToGrid w:val="0"/>
              <w:ind w:firstLine="300" w:firstLineChars="150"/>
              <w:textAlignment w:val="auto"/>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1.联合体所有成员数量不得超过个；</w:t>
            </w:r>
          </w:p>
          <w:p>
            <w:pPr>
              <w:autoSpaceDE/>
              <w:autoSpaceDN/>
              <w:adjustRightInd/>
              <w:snapToGrid w:val="0"/>
              <w:textAlignment w:val="auto"/>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 xml:space="preserve">   2.应以方作为联合体牵头人；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vAlign w:val="center"/>
          </w:tcPr>
          <w:p>
            <w:pPr>
              <w:snapToGrid w:val="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1.9</w:t>
            </w:r>
          </w:p>
        </w:tc>
        <w:tc>
          <w:tcPr>
            <w:tcW w:w="2280" w:type="dxa"/>
            <w:vAlign w:val="center"/>
          </w:tcPr>
          <w:p>
            <w:pPr>
              <w:widowControl/>
              <w:autoSpaceDE/>
              <w:autoSpaceDN/>
              <w:adjustRightInd/>
              <w:jc w:val="center"/>
              <w:textAlignment w:val="auto"/>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踏勘现场</w:t>
            </w:r>
          </w:p>
        </w:tc>
        <w:tc>
          <w:tcPr>
            <w:tcW w:w="6946" w:type="dxa"/>
            <w:vAlign w:val="center"/>
          </w:tcPr>
          <w:p>
            <w:pPr>
              <w:autoSpaceDE/>
              <w:autoSpaceDN/>
              <w:adjustRightInd/>
              <w:snapToGrid w:val="0"/>
              <w:textAlignment w:val="auto"/>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□组织</w:t>
            </w:r>
          </w:p>
          <w:p>
            <w:pPr>
              <w:autoSpaceDE/>
              <w:autoSpaceDN/>
              <w:adjustRightInd/>
              <w:snapToGrid w:val="0"/>
              <w:textAlignment w:val="auto"/>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sym w:font="Wingdings" w:char="F0FE"/>
            </w:r>
            <w:r>
              <w:rPr>
                <w:rFonts w:hint="eastAsia" w:ascii="仿宋" w:hAnsi="仿宋" w:eastAsia="仿宋" w:cs="仿宋"/>
                <w:snapToGrid w:val="0"/>
                <w:color w:val="auto"/>
                <w:kern w:val="2"/>
                <w:sz w:val="20"/>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vAlign w:val="center"/>
          </w:tcPr>
          <w:p>
            <w:pPr>
              <w:snapToGrid w:val="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1.10</w:t>
            </w:r>
          </w:p>
        </w:tc>
        <w:tc>
          <w:tcPr>
            <w:tcW w:w="2280" w:type="dxa"/>
            <w:vAlign w:val="center"/>
          </w:tcPr>
          <w:p>
            <w:pPr>
              <w:widowControl/>
              <w:autoSpaceDE/>
              <w:autoSpaceDN/>
              <w:adjustRightInd/>
              <w:jc w:val="center"/>
              <w:textAlignment w:val="auto"/>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投标预备会</w:t>
            </w:r>
          </w:p>
        </w:tc>
        <w:tc>
          <w:tcPr>
            <w:tcW w:w="6946" w:type="dxa"/>
            <w:vAlign w:val="center"/>
          </w:tcPr>
          <w:p>
            <w:pPr>
              <w:numPr>
                <w:ilvl w:val="0"/>
                <w:numId w:val="5"/>
              </w:numPr>
              <w:autoSpaceDE/>
              <w:autoSpaceDN/>
              <w:adjustRightInd/>
              <w:snapToGrid w:val="0"/>
              <w:textAlignment w:val="auto"/>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召开</w:t>
            </w:r>
          </w:p>
          <w:p>
            <w:pPr>
              <w:autoSpaceDE/>
              <w:autoSpaceDN/>
              <w:adjustRightInd/>
              <w:snapToGrid w:val="0"/>
              <w:textAlignment w:val="auto"/>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sym w:font="Wingdings" w:char="F0FE"/>
            </w:r>
            <w:r>
              <w:rPr>
                <w:rFonts w:hint="eastAsia" w:ascii="仿宋" w:hAnsi="仿宋" w:eastAsia="仿宋" w:cs="仿宋"/>
                <w:snapToGrid w:val="0"/>
                <w:color w:val="auto"/>
                <w:kern w:val="2"/>
                <w:sz w:val="20"/>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1.11</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textAlignment w:val="auto"/>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分包</w:t>
            </w:r>
          </w:p>
        </w:tc>
        <w:tc>
          <w:tcPr>
            <w:tcW w:w="6946" w:type="dxa"/>
            <w:tcBorders>
              <w:top w:val="single" w:color="auto" w:sz="4" w:space="0"/>
              <w:left w:val="single" w:color="auto" w:sz="4" w:space="0"/>
              <w:bottom w:val="single" w:color="auto" w:sz="4" w:space="0"/>
              <w:right w:val="single" w:color="auto" w:sz="8" w:space="0"/>
            </w:tcBorders>
            <w:vAlign w:val="center"/>
          </w:tcPr>
          <w:p>
            <w:pPr>
              <w:numPr>
                <w:ilvl w:val="0"/>
                <w:numId w:val="1"/>
              </w:numPr>
              <w:snapToGrid w:val="0"/>
              <w:rPr>
                <w:rFonts w:hint="eastAsia" w:ascii="仿宋" w:hAnsi="仿宋" w:eastAsia="仿宋" w:cs="仿宋"/>
                <w:b/>
                <w:color w:val="auto"/>
                <w:kern w:val="2"/>
                <w:sz w:val="20"/>
                <w:u w:val="single"/>
              </w:rPr>
            </w:pPr>
            <w:r>
              <w:rPr>
                <w:rFonts w:hint="eastAsia" w:ascii="仿宋" w:hAnsi="仿宋" w:eastAsia="仿宋" w:cs="仿宋"/>
                <w:snapToGrid w:val="0"/>
                <w:color w:val="auto"/>
                <w:kern w:val="2"/>
                <w:sz w:val="20"/>
              </w:rPr>
              <w:t>允许，分包内容要求：</w:t>
            </w:r>
          </w:p>
          <w:p>
            <w:pPr>
              <w:snapToGrid w:val="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分包金额要求：</w:t>
            </w:r>
          </w:p>
          <w:p>
            <w:pPr>
              <w:snapToGrid w:val="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接受分包的第三人资质要求：</w:t>
            </w:r>
          </w:p>
          <w:p>
            <w:pPr>
              <w:snapToGrid w:val="0"/>
              <w:rPr>
                <w:rFonts w:hint="eastAsia" w:ascii="仿宋" w:hAnsi="仿宋" w:eastAsia="仿宋" w:cs="仿宋"/>
                <w:b/>
                <w:color w:val="auto"/>
                <w:kern w:val="2"/>
                <w:sz w:val="20"/>
              </w:rPr>
            </w:pPr>
            <w:r>
              <w:rPr>
                <w:rFonts w:hint="eastAsia" w:ascii="仿宋" w:hAnsi="仿宋" w:eastAsia="仿宋" w:cs="仿宋"/>
                <w:snapToGrid w:val="0"/>
                <w:color w:val="auto"/>
                <w:kern w:val="2"/>
                <w:sz w:val="20"/>
              </w:rPr>
              <w:sym w:font="Wingdings" w:char="F0FE"/>
            </w:r>
            <w:r>
              <w:rPr>
                <w:rFonts w:hint="eastAsia" w:ascii="仿宋" w:hAnsi="仿宋" w:eastAsia="仿宋" w:cs="仿宋"/>
                <w:snapToGrid w:val="0"/>
                <w:color w:val="auto"/>
                <w:kern w:val="2"/>
                <w:sz w:val="20"/>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1.12</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textAlignment w:val="auto"/>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偏离</w:t>
            </w:r>
          </w:p>
        </w:tc>
        <w:tc>
          <w:tcPr>
            <w:tcW w:w="6946" w:type="dxa"/>
            <w:tcBorders>
              <w:top w:val="single" w:color="auto" w:sz="4" w:space="0"/>
              <w:left w:val="single" w:color="auto" w:sz="4" w:space="0"/>
              <w:bottom w:val="single" w:color="auto" w:sz="4" w:space="0"/>
              <w:right w:val="single" w:color="auto" w:sz="8" w:space="0"/>
            </w:tcBorders>
            <w:vAlign w:val="center"/>
          </w:tcPr>
          <w:p>
            <w:pPr>
              <w:snapToGrid w:val="0"/>
              <w:rPr>
                <w:rFonts w:hint="eastAsia" w:ascii="仿宋" w:hAnsi="仿宋" w:eastAsia="仿宋" w:cs="仿宋"/>
                <w:b/>
                <w:color w:val="auto"/>
                <w:kern w:val="2"/>
                <w:sz w:val="20"/>
              </w:rPr>
            </w:pPr>
            <w:r>
              <w:rPr>
                <w:rFonts w:hint="eastAsia" w:ascii="仿宋" w:hAnsi="仿宋" w:eastAsia="仿宋" w:cs="仿宋"/>
                <w:snapToGrid w:val="0"/>
                <w:color w:val="auto"/>
                <w:kern w:val="2"/>
                <w:sz w:val="20"/>
              </w:rPr>
              <w:sym w:font="Wingdings" w:char="F0FE"/>
            </w:r>
            <w:r>
              <w:rPr>
                <w:rFonts w:hint="eastAsia" w:ascii="仿宋" w:hAnsi="仿宋" w:eastAsia="仿宋" w:cs="仿宋"/>
                <w:snapToGrid w:val="0"/>
                <w:color w:val="auto"/>
                <w:kern w:val="2"/>
                <w:sz w:val="20"/>
              </w:rPr>
              <w:t>不允许</w:t>
            </w:r>
          </w:p>
          <w:p>
            <w:pPr>
              <w:snapToGrid w:val="0"/>
              <w:rPr>
                <w:rFonts w:hint="eastAsia" w:ascii="仿宋" w:hAnsi="仿宋" w:eastAsia="仿宋" w:cs="仿宋"/>
                <w:b/>
                <w:color w:val="auto"/>
                <w:kern w:val="2"/>
                <w:sz w:val="20"/>
              </w:rPr>
            </w:pPr>
            <w:r>
              <w:rPr>
                <w:rFonts w:hint="eastAsia" w:ascii="仿宋" w:hAnsi="仿宋" w:eastAsia="仿宋" w:cs="仿宋"/>
                <w:snapToGrid w:val="0"/>
                <w:color w:val="auto"/>
                <w:kern w:val="2"/>
                <w:sz w:val="20"/>
              </w:rPr>
              <w:t>□允许，偏差允许幅度及其处理方法：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textAlignment w:val="auto"/>
              <w:rPr>
                <w:rFonts w:hint="eastAsia" w:ascii="仿宋" w:hAnsi="仿宋" w:eastAsia="仿宋" w:cs="仿宋"/>
                <w:bCs/>
                <w:color w:val="auto"/>
                <w:kern w:val="2"/>
                <w:sz w:val="20"/>
              </w:rPr>
            </w:pPr>
            <w:r>
              <w:rPr>
                <w:rFonts w:hint="eastAsia" w:ascii="仿宋" w:hAnsi="仿宋" w:eastAsia="仿宋" w:cs="仿宋"/>
                <w:bCs/>
                <w:color w:val="auto"/>
                <w:kern w:val="2"/>
                <w:sz w:val="20"/>
              </w:rPr>
              <w:t>2.2.1</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textAlignment w:val="auto"/>
              <w:rPr>
                <w:rFonts w:hint="eastAsia" w:ascii="仿宋" w:hAnsi="仿宋" w:eastAsia="仿宋" w:cs="仿宋"/>
                <w:bCs/>
                <w:color w:val="auto"/>
                <w:kern w:val="2"/>
                <w:sz w:val="20"/>
              </w:rPr>
            </w:pPr>
            <w:r>
              <w:rPr>
                <w:rFonts w:hint="eastAsia" w:ascii="仿宋" w:hAnsi="仿宋" w:eastAsia="仿宋" w:cs="仿宋"/>
                <w:bCs/>
                <w:color w:val="auto"/>
                <w:kern w:val="2"/>
                <w:sz w:val="20"/>
              </w:rPr>
              <w:t>投标人提疑的截止时间</w:t>
            </w:r>
          </w:p>
        </w:tc>
        <w:tc>
          <w:tcPr>
            <w:tcW w:w="6946"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textAlignment w:val="auto"/>
              <w:rPr>
                <w:rFonts w:hint="eastAsia" w:ascii="仿宋" w:hAnsi="仿宋" w:eastAsia="仿宋" w:cs="仿宋"/>
                <w:bCs/>
                <w:color w:val="auto"/>
                <w:kern w:val="2"/>
                <w:sz w:val="20"/>
              </w:rPr>
            </w:pPr>
            <w:permStart w:id="0" w:edGrp="everyone"/>
            <w:r>
              <w:rPr>
                <w:rFonts w:hint="eastAsia" w:ascii="仿宋" w:hAnsi="仿宋" w:eastAsia="仿宋" w:cs="仿宋"/>
                <w:bCs/>
                <w:color w:val="auto"/>
                <w:kern w:val="2"/>
                <w:sz w:val="20"/>
              </w:rPr>
              <w:t xml:space="preserve">  202</w:t>
            </w:r>
            <w:r>
              <w:rPr>
                <w:rFonts w:hint="eastAsia" w:ascii="仿宋" w:hAnsi="仿宋" w:eastAsia="仿宋" w:cs="仿宋"/>
                <w:bCs/>
                <w:color w:val="auto"/>
                <w:kern w:val="2"/>
                <w:sz w:val="20"/>
                <w:lang w:val="en-US" w:eastAsia="zh-CN"/>
              </w:rPr>
              <w:t>1</w:t>
            </w:r>
            <w:permEnd w:id="0"/>
            <w:r>
              <w:rPr>
                <w:rFonts w:hint="eastAsia" w:ascii="仿宋" w:hAnsi="仿宋" w:eastAsia="仿宋" w:cs="仿宋"/>
                <w:bCs/>
                <w:color w:val="auto"/>
                <w:kern w:val="2"/>
                <w:sz w:val="20"/>
              </w:rPr>
              <w:t>年</w:t>
            </w:r>
            <w:r>
              <w:rPr>
                <w:rFonts w:hint="eastAsia" w:ascii="仿宋" w:hAnsi="仿宋" w:eastAsia="仿宋" w:cs="仿宋"/>
                <w:bCs/>
                <w:color w:val="auto"/>
                <w:kern w:val="2"/>
                <w:sz w:val="20"/>
                <w:lang w:val="en-US" w:eastAsia="zh-CN"/>
              </w:rPr>
              <w:t>5</w:t>
            </w:r>
            <w:r>
              <w:rPr>
                <w:rFonts w:hint="eastAsia" w:ascii="仿宋" w:hAnsi="仿宋" w:eastAsia="仿宋" w:cs="仿宋"/>
                <w:bCs/>
                <w:color w:val="auto"/>
                <w:kern w:val="2"/>
                <w:sz w:val="20"/>
              </w:rPr>
              <w:t>月</w:t>
            </w:r>
            <w:r>
              <w:rPr>
                <w:rFonts w:hint="eastAsia" w:ascii="仿宋" w:hAnsi="仿宋" w:eastAsia="仿宋" w:cs="仿宋"/>
                <w:bCs/>
                <w:color w:val="auto"/>
                <w:kern w:val="2"/>
                <w:sz w:val="20"/>
                <w:lang w:val="en-US" w:eastAsia="zh-CN"/>
              </w:rPr>
              <w:t xml:space="preserve">22 </w:t>
            </w:r>
            <w:r>
              <w:rPr>
                <w:rFonts w:hint="eastAsia" w:ascii="仿宋" w:hAnsi="仿宋" w:eastAsia="仿宋" w:cs="仿宋"/>
                <w:bCs/>
                <w:color w:val="auto"/>
                <w:kern w:val="2"/>
                <w:sz w:val="20"/>
              </w:rPr>
              <w:t>日</w:t>
            </w:r>
            <w:permStart w:id="1" w:edGrp="everyone"/>
            <w:r>
              <w:rPr>
                <w:rFonts w:hint="eastAsia" w:ascii="仿宋" w:hAnsi="仿宋" w:eastAsia="仿宋" w:cs="仿宋"/>
                <w:bCs/>
                <w:color w:val="auto"/>
                <w:kern w:val="2"/>
                <w:sz w:val="20"/>
              </w:rPr>
              <w:t xml:space="preserve">23 </w:t>
            </w:r>
            <w:permEnd w:id="1"/>
            <w:r>
              <w:rPr>
                <w:rFonts w:hint="eastAsia" w:ascii="仿宋" w:hAnsi="仿宋" w:eastAsia="仿宋" w:cs="仿宋"/>
                <w:bCs/>
                <w:color w:val="auto"/>
                <w:kern w:val="2"/>
                <w:sz w:val="20"/>
              </w:rPr>
              <w:t>时</w:t>
            </w:r>
            <w:permStart w:id="2" w:edGrp="everyone"/>
            <w:r>
              <w:rPr>
                <w:rFonts w:hint="eastAsia" w:ascii="仿宋" w:hAnsi="仿宋" w:eastAsia="仿宋" w:cs="仿宋"/>
                <w:bCs/>
                <w:color w:val="auto"/>
                <w:kern w:val="2"/>
                <w:sz w:val="20"/>
              </w:rPr>
              <w:t xml:space="preserve"> 59 </w:t>
            </w:r>
            <w:permEnd w:id="2"/>
            <w:r>
              <w:rPr>
                <w:rFonts w:hint="eastAsia" w:ascii="仿宋" w:hAnsi="仿宋" w:eastAsia="仿宋" w:cs="仿宋"/>
                <w:bCs/>
                <w:color w:val="auto"/>
                <w:kern w:val="2"/>
                <w:sz w:val="20"/>
              </w:rPr>
              <w:t>分</w:t>
            </w:r>
            <w:permStart w:id="3" w:edGrp="everyone"/>
            <w:r>
              <w:rPr>
                <w:rFonts w:hint="eastAsia" w:ascii="仿宋" w:hAnsi="仿宋" w:eastAsia="仿宋" w:cs="仿宋"/>
                <w:bCs/>
                <w:color w:val="auto"/>
                <w:kern w:val="2"/>
                <w:sz w:val="20"/>
              </w:rPr>
              <w:t xml:space="preserve">59 </w:t>
            </w:r>
            <w:permEnd w:id="3"/>
            <w:r>
              <w:rPr>
                <w:rFonts w:hint="eastAsia" w:ascii="仿宋" w:hAnsi="仿宋" w:eastAsia="仿宋" w:cs="仿宋"/>
                <w:bCs/>
                <w:color w:val="auto"/>
                <w:kern w:val="2"/>
                <w:sz w:val="20"/>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textAlignment w:val="auto"/>
              <w:rPr>
                <w:rFonts w:hint="eastAsia" w:ascii="仿宋" w:hAnsi="仿宋" w:eastAsia="仿宋" w:cs="仿宋"/>
                <w:bCs/>
                <w:color w:val="auto"/>
                <w:kern w:val="2"/>
                <w:sz w:val="20"/>
              </w:rPr>
            </w:pPr>
            <w:r>
              <w:rPr>
                <w:rFonts w:hint="eastAsia" w:ascii="仿宋" w:hAnsi="仿宋" w:eastAsia="仿宋" w:cs="仿宋"/>
                <w:bCs/>
                <w:color w:val="auto"/>
                <w:kern w:val="2"/>
                <w:sz w:val="20"/>
              </w:rPr>
              <w:t>.2.2</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textAlignment w:val="auto"/>
              <w:rPr>
                <w:rFonts w:hint="eastAsia" w:ascii="仿宋" w:hAnsi="仿宋" w:eastAsia="仿宋" w:cs="仿宋"/>
                <w:bCs/>
                <w:color w:val="auto"/>
                <w:kern w:val="2"/>
                <w:sz w:val="20"/>
              </w:rPr>
            </w:pPr>
            <w:r>
              <w:rPr>
                <w:rFonts w:hint="eastAsia" w:ascii="仿宋" w:hAnsi="仿宋" w:eastAsia="仿宋" w:cs="仿宋"/>
                <w:bCs/>
                <w:color w:val="auto"/>
                <w:kern w:val="2"/>
                <w:sz w:val="20"/>
              </w:rPr>
              <w:t>投标截止时间</w:t>
            </w:r>
          </w:p>
        </w:tc>
        <w:tc>
          <w:tcPr>
            <w:tcW w:w="6946"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textAlignment w:val="auto"/>
              <w:rPr>
                <w:rFonts w:hint="eastAsia" w:ascii="仿宋" w:hAnsi="仿宋" w:eastAsia="仿宋" w:cs="仿宋"/>
                <w:bCs/>
                <w:color w:val="auto"/>
                <w:kern w:val="2"/>
                <w:sz w:val="20"/>
              </w:rPr>
            </w:pPr>
            <w:permStart w:id="4" w:edGrp="everyone"/>
            <w:r>
              <w:rPr>
                <w:rFonts w:hint="eastAsia" w:ascii="仿宋" w:hAnsi="仿宋" w:eastAsia="仿宋" w:cs="仿宋"/>
                <w:bCs/>
                <w:color w:val="auto"/>
                <w:kern w:val="2"/>
                <w:sz w:val="20"/>
              </w:rPr>
              <w:t xml:space="preserve">  202</w:t>
            </w:r>
            <w:r>
              <w:rPr>
                <w:rFonts w:hint="eastAsia" w:ascii="仿宋" w:hAnsi="仿宋" w:eastAsia="仿宋" w:cs="仿宋"/>
                <w:bCs/>
                <w:color w:val="auto"/>
                <w:kern w:val="2"/>
                <w:sz w:val="20"/>
                <w:lang w:val="en-US" w:eastAsia="zh-CN"/>
              </w:rPr>
              <w:t>1</w:t>
            </w:r>
            <w:permEnd w:id="4"/>
            <w:r>
              <w:rPr>
                <w:rFonts w:hint="eastAsia" w:ascii="仿宋" w:hAnsi="仿宋" w:eastAsia="仿宋" w:cs="仿宋"/>
                <w:bCs/>
                <w:color w:val="auto"/>
                <w:kern w:val="2"/>
                <w:sz w:val="20"/>
              </w:rPr>
              <w:t>年</w:t>
            </w:r>
            <w:r>
              <w:rPr>
                <w:rFonts w:hint="eastAsia" w:ascii="仿宋" w:hAnsi="仿宋" w:eastAsia="仿宋" w:cs="仿宋"/>
                <w:bCs/>
                <w:color w:val="auto"/>
                <w:kern w:val="2"/>
                <w:sz w:val="20"/>
                <w:lang w:val="en-US" w:eastAsia="zh-CN"/>
              </w:rPr>
              <w:t>6</w:t>
            </w:r>
            <w:r>
              <w:rPr>
                <w:rFonts w:hint="eastAsia" w:ascii="仿宋" w:hAnsi="仿宋" w:eastAsia="仿宋" w:cs="仿宋"/>
                <w:bCs/>
                <w:color w:val="auto"/>
                <w:kern w:val="2"/>
                <w:sz w:val="20"/>
              </w:rPr>
              <w:t>月</w:t>
            </w:r>
            <w:r>
              <w:rPr>
                <w:rFonts w:hint="eastAsia" w:ascii="仿宋" w:hAnsi="仿宋" w:eastAsia="仿宋" w:cs="仿宋"/>
                <w:bCs/>
                <w:color w:val="auto"/>
                <w:kern w:val="2"/>
                <w:sz w:val="20"/>
                <w:lang w:val="en-US" w:eastAsia="zh-CN"/>
              </w:rPr>
              <w:t>1</w:t>
            </w:r>
            <w:r>
              <w:rPr>
                <w:rFonts w:hint="eastAsia" w:ascii="仿宋" w:hAnsi="仿宋" w:eastAsia="仿宋" w:cs="仿宋"/>
                <w:bCs/>
                <w:color w:val="auto"/>
                <w:kern w:val="2"/>
                <w:sz w:val="20"/>
              </w:rPr>
              <w:t>日</w:t>
            </w:r>
            <w:permStart w:id="5" w:edGrp="everyone"/>
            <w:r>
              <w:rPr>
                <w:rFonts w:hint="eastAsia" w:ascii="仿宋" w:hAnsi="仿宋" w:eastAsia="仿宋" w:cs="仿宋"/>
                <w:bCs/>
                <w:color w:val="auto"/>
                <w:kern w:val="2"/>
                <w:sz w:val="20"/>
              </w:rPr>
              <w:t xml:space="preserve"> </w:t>
            </w:r>
            <w:r>
              <w:rPr>
                <w:rFonts w:hint="eastAsia" w:ascii="仿宋" w:hAnsi="仿宋" w:eastAsia="仿宋" w:cs="仿宋"/>
                <w:bCs/>
                <w:color w:val="auto"/>
                <w:kern w:val="2"/>
                <w:sz w:val="20"/>
                <w:lang w:val="en-US" w:eastAsia="zh-CN"/>
              </w:rPr>
              <w:t xml:space="preserve">9 </w:t>
            </w:r>
            <w:permEnd w:id="5"/>
            <w:r>
              <w:rPr>
                <w:rFonts w:hint="eastAsia" w:ascii="仿宋" w:hAnsi="仿宋" w:eastAsia="仿宋" w:cs="仿宋"/>
                <w:bCs/>
                <w:color w:val="auto"/>
                <w:kern w:val="2"/>
                <w:sz w:val="20"/>
              </w:rPr>
              <w:t>时</w:t>
            </w:r>
            <w:permStart w:id="6" w:edGrp="everyone"/>
            <w:r>
              <w:rPr>
                <w:rFonts w:hint="eastAsia" w:ascii="仿宋" w:hAnsi="仿宋" w:eastAsia="仿宋" w:cs="仿宋"/>
                <w:bCs/>
                <w:color w:val="auto"/>
                <w:kern w:val="2"/>
                <w:sz w:val="20"/>
              </w:rPr>
              <w:t xml:space="preserve"> </w:t>
            </w:r>
            <w:r>
              <w:rPr>
                <w:rFonts w:hint="eastAsia" w:ascii="仿宋" w:hAnsi="仿宋" w:eastAsia="仿宋" w:cs="仿宋"/>
                <w:bCs/>
                <w:color w:val="auto"/>
                <w:kern w:val="2"/>
                <w:sz w:val="20"/>
                <w:lang w:val="en-US" w:eastAsia="zh-CN"/>
              </w:rPr>
              <w:t xml:space="preserve">00 </w:t>
            </w:r>
            <w:permEnd w:id="6"/>
            <w:r>
              <w:rPr>
                <w:rFonts w:hint="eastAsia" w:ascii="仿宋" w:hAnsi="仿宋" w:eastAsia="仿宋" w:cs="仿宋"/>
                <w:bCs/>
                <w:color w:val="auto"/>
                <w:kern w:val="2"/>
                <w:sz w:val="20"/>
              </w:rPr>
              <w:t>分（以电子交易平台时间为准）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2.2.3</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textAlignment w:val="auto"/>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提疑、答疑澄清的方式</w:t>
            </w:r>
          </w:p>
        </w:tc>
        <w:tc>
          <w:tcPr>
            <w:tcW w:w="6946"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textAlignment w:val="auto"/>
              <w:rPr>
                <w:rFonts w:hint="eastAsia" w:ascii="仿宋" w:hAnsi="仿宋" w:eastAsia="仿宋" w:cs="仿宋"/>
                <w:bCs/>
                <w:color w:val="auto"/>
                <w:kern w:val="2"/>
                <w:sz w:val="20"/>
              </w:rPr>
            </w:pPr>
            <w:r>
              <w:rPr>
                <w:rFonts w:hint="eastAsia" w:ascii="仿宋" w:hAnsi="仿宋" w:eastAsia="仿宋" w:cs="仿宋"/>
                <w:b/>
                <w:color w:val="auto"/>
                <w:kern w:val="2"/>
                <w:sz w:val="20"/>
              </w:rPr>
              <w:t>提疑</w:t>
            </w:r>
            <w:r>
              <w:rPr>
                <w:rFonts w:hint="eastAsia" w:ascii="仿宋" w:hAnsi="仿宋" w:eastAsia="仿宋" w:cs="仿宋"/>
                <w:bCs/>
                <w:color w:val="auto"/>
                <w:kern w:val="2"/>
                <w:sz w:val="20"/>
              </w:rPr>
              <w:t>：投标人对招标文件、工程量清单、施工图纸等有任何疑问，应于规定的提疑截止时间前通过</w:t>
            </w:r>
            <w:r>
              <w:rPr>
                <w:rFonts w:hint="eastAsia" w:ascii="仿宋" w:hAnsi="仿宋" w:eastAsia="仿宋" w:cs="仿宋"/>
                <w:bCs/>
                <w:color w:val="auto"/>
                <w:kern w:val="2"/>
                <w:sz w:val="20"/>
                <w:lang w:eastAsia="zh-CN"/>
              </w:rPr>
              <w:t>登录</w:t>
            </w:r>
            <w:r>
              <w:rPr>
                <w:rFonts w:hint="eastAsia" w:ascii="仿宋" w:hAnsi="仿宋" w:eastAsia="仿宋" w:cs="仿宋"/>
                <w:bCs/>
                <w:color w:val="auto"/>
                <w:kern w:val="2"/>
                <w:sz w:val="20"/>
              </w:rPr>
              <w:t>湖州市公共资源交易信息网—交易主体登录—电子交易平台—网上提问，进行提疑；或于规定的提疑截止时间前在湖州市公共资源交易信息网—“水利栏-招标公告”中相应工程的公告中的“提问”区进行提疑；</w:t>
            </w:r>
          </w:p>
          <w:p>
            <w:pPr>
              <w:widowControl/>
              <w:autoSpaceDE/>
              <w:autoSpaceDN/>
              <w:adjustRightInd/>
              <w:textAlignment w:val="auto"/>
              <w:rPr>
                <w:rFonts w:hint="eastAsia" w:ascii="仿宋" w:hAnsi="仿宋" w:eastAsia="仿宋" w:cs="仿宋"/>
                <w:bCs/>
                <w:color w:val="auto"/>
                <w:kern w:val="2"/>
                <w:sz w:val="20"/>
              </w:rPr>
            </w:pPr>
            <w:r>
              <w:rPr>
                <w:rFonts w:hint="eastAsia" w:ascii="仿宋" w:hAnsi="仿宋" w:eastAsia="仿宋" w:cs="仿宋"/>
                <w:b/>
                <w:color w:val="auto"/>
                <w:kern w:val="2"/>
                <w:sz w:val="20"/>
              </w:rPr>
              <w:t>答疑澄清</w:t>
            </w:r>
            <w:r>
              <w:rPr>
                <w:rFonts w:hint="eastAsia" w:ascii="仿宋" w:hAnsi="仿宋" w:eastAsia="仿宋" w:cs="仿宋"/>
                <w:bCs/>
                <w:color w:val="auto"/>
                <w:kern w:val="2"/>
                <w:sz w:val="20"/>
              </w:rPr>
              <w:t>：无论是招标人根据需要主动对招标文件进行必要的澄清，或是根据投标人的对招标文件提交的疑问，招标人都将于规定的修改招标文件截止时间前通过湖州市公共资源交易系统进行发布。</w:t>
            </w:r>
          </w:p>
          <w:p>
            <w:pPr>
              <w:widowControl/>
              <w:autoSpaceDE/>
              <w:autoSpaceDN/>
              <w:adjustRightInd/>
              <w:textAlignment w:val="auto"/>
              <w:rPr>
                <w:rFonts w:hint="eastAsia" w:ascii="仿宋" w:hAnsi="仿宋" w:eastAsia="仿宋" w:cs="仿宋"/>
                <w:bCs/>
                <w:color w:val="auto"/>
                <w:kern w:val="2"/>
                <w:sz w:val="20"/>
              </w:rPr>
            </w:pPr>
            <w:r>
              <w:rPr>
                <w:rFonts w:hint="eastAsia" w:ascii="仿宋" w:hAnsi="仿宋" w:eastAsia="仿宋" w:cs="仿宋"/>
                <w:b/>
                <w:color w:val="auto"/>
                <w:kern w:val="2"/>
                <w:sz w:val="20"/>
              </w:rPr>
              <w:t>查看答疑</w:t>
            </w:r>
            <w:r>
              <w:rPr>
                <w:rFonts w:hint="eastAsia" w:ascii="仿宋" w:hAnsi="仿宋" w:eastAsia="仿宋" w:cs="仿宋"/>
                <w:bCs/>
                <w:color w:val="auto"/>
                <w:kern w:val="2"/>
                <w:sz w:val="20"/>
              </w:rPr>
              <w:t>：投标人应在截标时间前登录湖州市公共资源交易信息网—交易主体-相应工程或在湖州市公共资源交易信息网—“水利栏-招标公告”相应工程公告中的“答疑信息”区随时查看系统中有关该工程的答疑澄清等内容。否则，由此引起的投标损失自负。</w:t>
            </w:r>
          </w:p>
          <w:p>
            <w:pPr>
              <w:widowControl/>
              <w:autoSpaceDE/>
              <w:autoSpaceDN/>
              <w:adjustRightInd/>
              <w:textAlignment w:val="auto"/>
              <w:rPr>
                <w:rFonts w:hint="eastAsia" w:ascii="仿宋" w:hAnsi="仿宋" w:eastAsia="仿宋" w:cs="仿宋"/>
                <w:b/>
                <w:color w:val="auto"/>
                <w:kern w:val="2"/>
                <w:sz w:val="20"/>
              </w:rPr>
            </w:pPr>
            <w:r>
              <w:rPr>
                <w:rFonts w:hint="eastAsia" w:ascii="仿宋" w:hAnsi="仿宋" w:eastAsia="仿宋" w:cs="仿宋"/>
                <w:b/>
                <w:color w:val="auto"/>
                <w:kern w:val="2"/>
                <w:sz w:val="20"/>
              </w:rPr>
              <w:t>查看方式</w:t>
            </w:r>
            <w:r>
              <w:rPr>
                <w:rFonts w:hint="eastAsia" w:ascii="仿宋" w:hAnsi="仿宋" w:eastAsia="仿宋" w:cs="仿宋"/>
                <w:bCs/>
                <w:color w:val="auto"/>
                <w:kern w:val="2"/>
                <w:sz w:val="20"/>
              </w:rPr>
              <w:t>：①通过湖州市公共资源交易信息网—交易主体登录—电子交易平台-进行查看②通过湖州市公共资源交易信息网(http</w:t>
            </w:r>
            <w:r>
              <w:rPr>
                <w:rFonts w:hint="eastAsia" w:ascii="仿宋" w:hAnsi="仿宋" w:eastAsia="仿宋" w:cs="仿宋"/>
                <w:bCs/>
                <w:color w:val="auto"/>
                <w:kern w:val="2"/>
                <w:sz w:val="20"/>
                <w:lang w:val="en-US" w:eastAsia="zh-CN"/>
              </w:rPr>
              <w:t>s</w:t>
            </w:r>
            <w:r>
              <w:rPr>
                <w:rFonts w:hint="eastAsia" w:ascii="仿宋" w:hAnsi="仿宋" w:eastAsia="仿宋" w:cs="仿宋"/>
                <w:bCs/>
                <w:color w:val="auto"/>
                <w:kern w:val="2"/>
                <w:sz w:val="20"/>
              </w:rPr>
              <w:t>://ggzy.huzhou.gov.cn/)—“工程水利栏—招标公告”在本项目公告中的“答疑信息”区查看。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2.3.2</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djustRightInd/>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异议</w:t>
            </w:r>
          </w:p>
        </w:tc>
        <w:tc>
          <w:tcPr>
            <w:tcW w:w="6946" w:type="dxa"/>
            <w:tcBorders>
              <w:top w:val="single" w:color="auto" w:sz="4" w:space="0"/>
              <w:left w:val="single" w:color="auto" w:sz="4" w:space="0"/>
              <w:bottom w:val="single" w:color="auto" w:sz="4" w:space="0"/>
              <w:right w:val="single" w:color="auto" w:sz="8" w:space="0"/>
            </w:tcBorders>
            <w:vAlign w:val="center"/>
          </w:tcPr>
          <w:p>
            <w:pPr>
              <w:widowControl/>
              <w:autoSpaceDE/>
              <w:adjustRightInd/>
              <w:rPr>
                <w:rFonts w:hint="eastAsia" w:ascii="仿宋" w:hAnsi="仿宋" w:eastAsia="仿宋" w:cs="仿宋"/>
                <w:b/>
                <w:color w:val="auto"/>
                <w:kern w:val="2"/>
                <w:sz w:val="20"/>
              </w:rPr>
            </w:pPr>
            <w:r>
              <w:rPr>
                <w:rFonts w:hint="eastAsia" w:ascii="仿宋" w:hAnsi="仿宋" w:eastAsia="仿宋" w:cs="仿宋"/>
                <w:color w:val="auto"/>
                <w:kern w:val="2"/>
                <w:sz w:val="20"/>
              </w:rPr>
              <w:t>潜在投标人或者其他利害关系人对招标文件有异议的，应当在投标截止时间10日前提出。招标人应当自收到异议之日</w:t>
            </w:r>
            <w:r>
              <w:rPr>
                <w:rFonts w:hint="eastAsia" w:ascii="仿宋" w:hAnsi="仿宋" w:eastAsia="仿宋" w:cs="仿宋"/>
                <w:color w:val="auto"/>
                <w:kern w:val="2"/>
                <w:sz w:val="20"/>
                <w:highlight w:val="none"/>
              </w:rPr>
              <w:t>起3日内</w:t>
            </w:r>
            <w:r>
              <w:rPr>
                <w:rFonts w:hint="eastAsia" w:ascii="仿宋" w:hAnsi="仿宋" w:eastAsia="仿宋" w:cs="仿宋"/>
                <w:color w:val="auto"/>
                <w:kern w:val="2"/>
                <w:sz w:val="20"/>
              </w:rPr>
              <w:t>作出答复，作出答复前，应当暂停招标投标活动。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3.1.1</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djustRightInd/>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投标文件成册要求</w:t>
            </w:r>
          </w:p>
        </w:tc>
        <w:tc>
          <w:tcPr>
            <w:tcW w:w="6946" w:type="dxa"/>
            <w:tcBorders>
              <w:top w:val="single" w:color="auto" w:sz="4" w:space="0"/>
              <w:left w:val="single" w:color="auto" w:sz="4" w:space="0"/>
              <w:bottom w:val="single" w:color="auto" w:sz="4" w:space="0"/>
              <w:right w:val="single" w:color="auto" w:sz="8" w:space="0"/>
            </w:tcBorders>
            <w:vAlign w:val="center"/>
          </w:tcPr>
          <w:p>
            <w:pPr>
              <w:snapToGrid w:val="0"/>
              <w:rPr>
                <w:rFonts w:hint="eastAsia" w:ascii="仿宋" w:hAnsi="仿宋" w:eastAsia="仿宋" w:cs="仿宋"/>
                <w:color w:val="auto"/>
                <w:kern w:val="2"/>
                <w:sz w:val="20"/>
              </w:rPr>
            </w:pPr>
            <w:r>
              <w:rPr>
                <w:rFonts w:hint="eastAsia" w:ascii="仿宋" w:hAnsi="仿宋" w:eastAsia="仿宋" w:cs="仿宋"/>
                <w:color w:val="auto"/>
                <w:kern w:val="2"/>
                <w:sz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3.3.1</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textAlignment w:val="auto"/>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投标有效期</w:t>
            </w:r>
          </w:p>
        </w:tc>
        <w:tc>
          <w:tcPr>
            <w:tcW w:w="6946" w:type="dxa"/>
            <w:tcBorders>
              <w:top w:val="single" w:color="auto" w:sz="4" w:space="0"/>
              <w:left w:val="single" w:color="auto" w:sz="4" w:space="0"/>
              <w:bottom w:val="single" w:color="auto" w:sz="4" w:space="0"/>
              <w:right w:val="single" w:color="auto" w:sz="8" w:space="0"/>
            </w:tcBorders>
            <w:vAlign w:val="center"/>
          </w:tcPr>
          <w:p>
            <w:pPr>
              <w:widowControl/>
              <w:autoSpaceDE/>
              <w:adjustRightInd/>
              <w:rPr>
                <w:rFonts w:hint="eastAsia" w:ascii="仿宋" w:hAnsi="仿宋" w:eastAsia="仿宋" w:cs="仿宋"/>
                <w:color w:val="auto"/>
                <w:kern w:val="2"/>
                <w:sz w:val="20"/>
              </w:rPr>
            </w:pPr>
            <w:r>
              <w:rPr>
                <w:rFonts w:hint="eastAsia" w:ascii="仿宋" w:hAnsi="仿宋" w:eastAsia="仿宋" w:cs="仿宋"/>
                <w:color w:val="auto"/>
                <w:kern w:val="2"/>
                <w:sz w:val="20"/>
              </w:rPr>
              <w:t>投标文件自投标截止时间起生效，有效期为90天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76" w:type="dxa"/>
            <w:tcBorders>
              <w:top w:val="single" w:color="auto" w:sz="4" w:space="0"/>
              <w:left w:val="single" w:color="auto" w:sz="8" w:space="0"/>
              <w:right w:val="single" w:color="auto" w:sz="4" w:space="0"/>
            </w:tcBorders>
            <w:vAlign w:val="center"/>
          </w:tcPr>
          <w:p>
            <w:pPr>
              <w:snapToGrid w:val="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3.4.1</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textAlignment w:val="auto"/>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投标保证金</w:t>
            </w:r>
          </w:p>
        </w:tc>
        <w:tc>
          <w:tcPr>
            <w:tcW w:w="6946" w:type="dxa"/>
            <w:tcBorders>
              <w:top w:val="single" w:color="auto" w:sz="4" w:space="0"/>
              <w:left w:val="single" w:color="auto" w:sz="4" w:space="0"/>
              <w:bottom w:val="single" w:color="auto" w:sz="4" w:space="0"/>
              <w:right w:val="single" w:color="auto" w:sz="8" w:space="0"/>
            </w:tcBorders>
            <w:vAlign w:val="center"/>
          </w:tcPr>
          <w:p>
            <w:pPr>
              <w:spacing w:line="340" w:lineRule="exact"/>
              <w:rPr>
                <w:rFonts w:hint="eastAsia" w:ascii="仿宋" w:hAnsi="仿宋" w:eastAsia="仿宋" w:cs="仿宋"/>
                <w:color w:val="auto"/>
                <w:sz w:val="20"/>
                <w:szCs w:val="20"/>
              </w:rPr>
            </w:pPr>
            <w:permStart w:id="7" w:edGrp="everyone"/>
            <w:r>
              <w:rPr>
                <w:rFonts w:hint="eastAsia" w:ascii="仿宋" w:hAnsi="仿宋" w:eastAsia="仿宋" w:cs="仿宋"/>
                <w:color w:val="auto"/>
                <w:sz w:val="20"/>
                <w:szCs w:val="20"/>
              </w:rPr>
              <w:t>□不要求递交投标保证金</w:t>
            </w:r>
          </w:p>
          <w:p>
            <w:pPr>
              <w:spacing w:line="340" w:lineRule="exact"/>
              <w:rPr>
                <w:rFonts w:hint="eastAsia" w:ascii="仿宋" w:hAnsi="仿宋" w:eastAsia="仿宋" w:cs="仿宋"/>
                <w:color w:val="auto"/>
                <w:sz w:val="20"/>
                <w:szCs w:val="20"/>
              </w:rPr>
            </w:pPr>
            <w:r>
              <w:rPr>
                <w:rFonts w:hint="eastAsia" w:ascii="仿宋" w:hAnsi="仿宋" w:eastAsia="仿宋" w:cs="仿宋"/>
                <w:color w:val="auto"/>
                <w:sz w:val="20"/>
                <w:szCs w:val="20"/>
              </w:rPr>
              <w:t>☑要求递交投标保证金</w:t>
            </w:r>
          </w:p>
          <w:permEnd w:id="7"/>
          <w:p>
            <w:pPr>
              <w:spacing w:line="340" w:lineRule="exact"/>
              <w:rPr>
                <w:rFonts w:hint="eastAsia" w:ascii="仿宋" w:hAnsi="仿宋" w:eastAsia="仿宋" w:cs="仿宋"/>
                <w:b/>
                <w:bCs/>
                <w:color w:val="auto"/>
                <w:sz w:val="20"/>
                <w:szCs w:val="20"/>
              </w:rPr>
            </w:pPr>
            <w:permStart w:id="8" w:edGrp="everyone"/>
            <w:r>
              <w:rPr>
                <w:rFonts w:hint="eastAsia" w:ascii="仿宋" w:hAnsi="仿宋" w:eastAsia="仿宋" w:cs="仿宋"/>
                <w:b/>
                <w:bCs/>
                <w:color w:val="auto"/>
                <w:sz w:val="20"/>
                <w:szCs w:val="20"/>
              </w:rPr>
              <w:t>投标保证金的形式：☑网银或电汇 ☑电子保函（☑关联 □不关联）</w:t>
            </w:r>
            <w:permEnd w:id="8"/>
          </w:p>
          <w:p>
            <w:pPr>
              <w:spacing w:line="340" w:lineRule="exact"/>
              <w:rPr>
                <w:rFonts w:hint="eastAsia" w:ascii="仿宋" w:hAnsi="仿宋" w:eastAsia="仿宋" w:cs="仿宋"/>
                <w:bCs/>
                <w:color w:val="auto"/>
                <w:sz w:val="20"/>
                <w:szCs w:val="20"/>
              </w:rPr>
            </w:pPr>
            <w:r>
              <w:rPr>
                <w:rFonts w:hint="eastAsia" w:ascii="仿宋" w:hAnsi="仿宋" w:eastAsia="仿宋" w:cs="仿宋"/>
                <w:bCs/>
                <w:color w:val="auto"/>
                <w:sz w:val="20"/>
                <w:szCs w:val="20"/>
              </w:rPr>
              <w:t>投标保证金的金额</w:t>
            </w:r>
            <w:r>
              <w:rPr>
                <w:rFonts w:hint="eastAsia" w:ascii="仿宋" w:hAnsi="仿宋" w:eastAsia="仿宋" w:cs="仿宋"/>
                <w:color w:val="auto"/>
                <w:sz w:val="20"/>
                <w:szCs w:val="20"/>
              </w:rPr>
              <w:t>：</w:t>
            </w:r>
            <w:permStart w:id="9" w:edGrp="everyone"/>
            <w:r>
              <w:rPr>
                <w:rFonts w:hint="eastAsia" w:ascii="仿宋" w:hAnsi="仿宋" w:eastAsia="仿宋" w:cs="仿宋"/>
                <w:b/>
                <w:color w:val="auto"/>
                <w:sz w:val="20"/>
                <w:szCs w:val="20"/>
              </w:rPr>
              <w:t xml:space="preserve"> </w:t>
            </w:r>
            <w:r>
              <w:rPr>
                <w:rFonts w:hint="eastAsia" w:ascii="仿宋" w:hAnsi="仿宋" w:eastAsia="仿宋" w:cs="仿宋"/>
                <w:b/>
                <w:color w:val="auto"/>
                <w:sz w:val="20"/>
                <w:szCs w:val="20"/>
                <w:lang w:val="en-US" w:eastAsia="zh-CN"/>
              </w:rPr>
              <w:t>90000</w:t>
            </w:r>
            <w:r>
              <w:rPr>
                <w:rFonts w:hint="eastAsia" w:ascii="仿宋" w:hAnsi="仿宋" w:eastAsia="仿宋" w:cs="仿宋"/>
                <w:b/>
                <w:color w:val="auto"/>
                <w:sz w:val="20"/>
                <w:szCs w:val="20"/>
              </w:rPr>
              <w:t>元整</w:t>
            </w:r>
          </w:p>
          <w:permEnd w:id="9"/>
          <w:p>
            <w:pPr>
              <w:rPr>
                <w:rFonts w:hint="eastAsia" w:ascii="仿宋" w:hAnsi="仿宋" w:eastAsia="仿宋" w:cs="仿宋"/>
                <w:color w:val="auto"/>
                <w:kern w:val="2"/>
                <w:sz w:val="20"/>
              </w:rPr>
            </w:pPr>
            <w:r>
              <w:rPr>
                <w:rFonts w:hint="eastAsia" w:ascii="仿宋" w:hAnsi="仿宋" w:eastAsia="仿宋" w:cs="仿宋"/>
                <w:color w:val="auto"/>
                <w:kern w:val="2"/>
                <w:sz w:val="20"/>
              </w:rPr>
              <w:t>注：投标截止前投标保证金必须通过投标人的银行基本账户一次性足额缴纳且确保到达指定帐户。</w:t>
            </w:r>
          </w:p>
          <w:p>
            <w:pPr>
              <w:rPr>
                <w:rFonts w:hint="eastAsia" w:ascii="仿宋" w:hAnsi="仿宋" w:eastAsia="仿宋" w:cs="仿宋"/>
                <w:color w:val="auto"/>
                <w:kern w:val="2"/>
                <w:sz w:val="20"/>
              </w:rPr>
            </w:pPr>
            <w:r>
              <w:rPr>
                <w:rFonts w:hint="eastAsia" w:ascii="仿宋" w:hAnsi="仿宋" w:eastAsia="仿宋" w:cs="仿宋"/>
                <w:color w:val="auto"/>
                <w:kern w:val="2"/>
                <w:sz w:val="20"/>
              </w:rPr>
              <w:t>汇出的投标保证金须与本项目关联。</w:t>
            </w:r>
          </w:p>
          <w:p>
            <w:pPr>
              <w:rPr>
                <w:rFonts w:hint="eastAsia" w:ascii="仿宋" w:hAnsi="仿宋" w:eastAsia="仿宋" w:cs="仿宋"/>
                <w:color w:val="auto"/>
                <w:kern w:val="2"/>
                <w:sz w:val="20"/>
              </w:rPr>
            </w:pPr>
            <w:r>
              <w:rPr>
                <w:rFonts w:hint="eastAsia" w:ascii="仿宋" w:hAnsi="仿宋" w:eastAsia="仿宋" w:cs="仿宋"/>
                <w:color w:val="auto"/>
                <w:kern w:val="2"/>
                <w:sz w:val="20"/>
              </w:rPr>
              <w:t>投标保证金缴纳的帐户名称、帐号、开户银行等信息请登录湖州市公共资源交易系统查看。</w:t>
            </w:r>
          </w:p>
          <w:p>
            <w:pPr>
              <w:rPr>
                <w:rFonts w:hint="eastAsia" w:ascii="仿宋" w:hAnsi="仿宋" w:eastAsia="仿宋" w:cs="仿宋"/>
                <w:color w:val="auto"/>
                <w:kern w:val="2"/>
                <w:sz w:val="20"/>
              </w:rPr>
            </w:pPr>
            <w:r>
              <w:rPr>
                <w:rFonts w:hint="eastAsia" w:ascii="仿宋" w:hAnsi="仿宋" w:eastAsia="仿宋" w:cs="仿宋"/>
                <w:color w:val="auto"/>
                <w:kern w:val="2"/>
                <w:sz w:val="20"/>
              </w:rPr>
              <w:t>采用电子保函的应在指定电子保单平台内申请投标保证金保险，承保金额须大于或等于本项目投标保证金金额并以电子保单的形式与本项目进行关联。</w:t>
            </w:r>
          </w:p>
          <w:p>
            <w:pPr>
              <w:rPr>
                <w:rFonts w:hint="eastAsia" w:ascii="仿宋" w:hAnsi="仿宋" w:eastAsia="仿宋" w:cs="仿宋"/>
                <w:color w:val="auto"/>
                <w:kern w:val="2"/>
                <w:sz w:val="20"/>
              </w:rPr>
            </w:pPr>
            <w:r>
              <w:rPr>
                <w:rFonts w:hint="eastAsia" w:ascii="仿宋" w:hAnsi="仿宋" w:eastAsia="仿宋" w:cs="仿宋"/>
                <w:color w:val="auto"/>
                <w:kern w:val="2"/>
                <w:sz w:val="20"/>
              </w:rPr>
              <w:t>如实际到帐时间与关联时间不一致，以实际到帐时间为准。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3.5.2</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textAlignment w:val="auto"/>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近年财务状况的年份要求</w:t>
            </w:r>
          </w:p>
        </w:tc>
        <w:tc>
          <w:tcPr>
            <w:tcW w:w="6946" w:type="dxa"/>
            <w:tcBorders>
              <w:top w:val="single" w:color="auto" w:sz="4" w:space="0"/>
              <w:left w:val="single" w:color="auto" w:sz="4" w:space="0"/>
              <w:bottom w:val="single" w:color="auto" w:sz="4" w:space="0"/>
              <w:right w:val="single" w:color="auto" w:sz="8" w:space="0"/>
            </w:tcBorders>
            <w:vAlign w:val="center"/>
          </w:tcPr>
          <w:p>
            <w:pPr>
              <w:snapToGrid w:val="0"/>
              <w:rPr>
                <w:rFonts w:hint="eastAsia" w:ascii="仿宋" w:hAnsi="仿宋" w:eastAsia="仿宋" w:cs="仿宋"/>
                <w:b/>
                <w:color w:val="auto"/>
                <w:kern w:val="2"/>
                <w:sz w:val="20"/>
              </w:rPr>
            </w:pPr>
            <w:r>
              <w:rPr>
                <w:rFonts w:hint="eastAsia" w:ascii="仿宋" w:hAnsi="仿宋" w:eastAsia="仿宋" w:cs="仿宋"/>
                <w:color w:val="auto"/>
                <w:kern w:val="2"/>
                <w:sz w:val="20"/>
              </w:rPr>
              <w:t>201</w:t>
            </w:r>
            <w:r>
              <w:rPr>
                <w:rFonts w:hint="eastAsia" w:ascii="仿宋" w:hAnsi="仿宋" w:eastAsia="仿宋" w:cs="仿宋"/>
                <w:color w:val="auto"/>
                <w:kern w:val="2"/>
                <w:sz w:val="20"/>
                <w:lang w:val="en-US" w:eastAsia="zh-CN"/>
              </w:rPr>
              <w:t>8</w:t>
            </w:r>
            <w:r>
              <w:rPr>
                <w:rFonts w:hint="eastAsia" w:ascii="仿宋" w:hAnsi="仿宋" w:eastAsia="仿宋" w:cs="仿宋"/>
                <w:color w:val="auto"/>
                <w:kern w:val="2"/>
                <w:sz w:val="20"/>
              </w:rPr>
              <w:t>年至20</w:t>
            </w:r>
            <w:r>
              <w:rPr>
                <w:rFonts w:hint="eastAsia" w:ascii="仿宋" w:hAnsi="仿宋" w:eastAsia="仿宋" w:cs="仿宋"/>
                <w:color w:val="auto"/>
                <w:kern w:val="2"/>
                <w:sz w:val="20"/>
                <w:lang w:val="en-US" w:eastAsia="zh-CN"/>
              </w:rPr>
              <w:t>20</w:t>
            </w:r>
            <w:r>
              <w:rPr>
                <w:rFonts w:hint="eastAsia" w:ascii="仿宋" w:hAnsi="仿宋" w:eastAsia="仿宋" w:cs="仿宋"/>
                <w:color w:val="auto"/>
                <w:kern w:val="2"/>
                <w:sz w:val="20"/>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3.5.5</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textAlignment w:val="auto"/>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近年发生的诉讼及仲裁情况的年份要求</w:t>
            </w:r>
          </w:p>
        </w:tc>
        <w:tc>
          <w:tcPr>
            <w:tcW w:w="6946" w:type="dxa"/>
            <w:tcBorders>
              <w:top w:val="single" w:color="auto" w:sz="4" w:space="0"/>
              <w:left w:val="single" w:color="auto" w:sz="4" w:space="0"/>
              <w:bottom w:val="single" w:color="auto" w:sz="4" w:space="0"/>
              <w:right w:val="single" w:color="auto" w:sz="8" w:space="0"/>
            </w:tcBorders>
            <w:vAlign w:val="center"/>
          </w:tcPr>
          <w:p>
            <w:pPr>
              <w:snapToGrid w:val="0"/>
              <w:rPr>
                <w:rFonts w:hint="eastAsia" w:ascii="仿宋" w:hAnsi="仿宋" w:eastAsia="仿宋" w:cs="仿宋"/>
                <w:color w:val="auto"/>
                <w:kern w:val="2"/>
                <w:sz w:val="20"/>
              </w:rPr>
            </w:pPr>
            <w:r>
              <w:rPr>
                <w:rFonts w:hint="eastAsia" w:ascii="仿宋" w:hAnsi="仿宋" w:eastAsia="仿宋" w:cs="仿宋"/>
                <w:color w:val="auto"/>
                <w:kern w:val="2"/>
                <w:sz w:val="20"/>
              </w:rPr>
              <w:t>3年（</w:t>
            </w:r>
            <w:r>
              <w:rPr>
                <w:rFonts w:hint="eastAsia" w:ascii="仿宋" w:hAnsi="仿宋" w:eastAsia="仿宋" w:cs="仿宋"/>
                <w:color w:val="auto"/>
                <w:kern w:val="2"/>
                <w:sz w:val="20"/>
                <w:lang w:eastAsia="zh-CN"/>
              </w:rPr>
              <w:t>2018</w:t>
            </w:r>
            <w:r>
              <w:rPr>
                <w:rFonts w:hint="eastAsia" w:ascii="仿宋" w:hAnsi="仿宋" w:eastAsia="仿宋" w:cs="仿宋"/>
                <w:color w:val="auto"/>
                <w:kern w:val="2"/>
                <w:sz w:val="20"/>
              </w:rPr>
              <w:t>年1月1日至投标截止日）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3.7.3</w:t>
            </w: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签字或盖章要求</w:t>
            </w:r>
          </w:p>
        </w:tc>
        <w:tc>
          <w:tcPr>
            <w:tcW w:w="6946" w:type="dxa"/>
            <w:tcBorders>
              <w:top w:val="single" w:color="auto" w:sz="4" w:space="0"/>
              <w:left w:val="single" w:color="auto" w:sz="4" w:space="0"/>
              <w:bottom w:val="single" w:color="auto" w:sz="4" w:space="0"/>
              <w:right w:val="single" w:color="auto" w:sz="8" w:space="0"/>
            </w:tcBorders>
            <w:vAlign w:val="center"/>
          </w:tcPr>
          <w:p>
            <w:pPr>
              <w:snapToGrid w:val="0"/>
              <w:rPr>
                <w:rFonts w:hint="eastAsia" w:ascii="仿宋" w:hAnsi="仿宋" w:eastAsia="仿宋" w:cs="仿宋"/>
                <w:color w:val="auto"/>
                <w:kern w:val="2"/>
                <w:sz w:val="20"/>
              </w:rPr>
            </w:pPr>
            <w:r>
              <w:rPr>
                <w:rFonts w:hint="eastAsia" w:ascii="仿宋" w:hAnsi="仿宋" w:eastAsia="仿宋" w:cs="仿宋"/>
                <w:snapToGrid w:val="0"/>
                <w:color w:val="auto"/>
                <w:kern w:val="2"/>
                <w:sz w:val="20"/>
              </w:rPr>
              <w:t>招标文件提供投标文件格式中有要求签字或盖章（含电子签章）的按要求执行。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3.7.4</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textAlignment w:val="auto"/>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投标文件份数要求</w:t>
            </w:r>
          </w:p>
        </w:tc>
        <w:tc>
          <w:tcPr>
            <w:tcW w:w="6946" w:type="dxa"/>
            <w:tcBorders>
              <w:top w:val="single" w:color="auto" w:sz="4" w:space="0"/>
              <w:left w:val="single" w:color="auto" w:sz="4" w:space="0"/>
              <w:bottom w:val="single" w:color="auto" w:sz="4" w:space="0"/>
              <w:right w:val="single" w:color="auto" w:sz="8" w:space="0"/>
            </w:tcBorders>
            <w:vAlign w:val="center"/>
          </w:tcPr>
          <w:p>
            <w:pPr>
              <w:snapToGrid w:val="0"/>
              <w:rPr>
                <w:rFonts w:hint="eastAsia" w:ascii="仿宋" w:hAnsi="仿宋" w:eastAsia="仿宋" w:cs="仿宋"/>
                <w:b/>
                <w:bCs/>
                <w:color w:val="auto"/>
                <w:kern w:val="2"/>
                <w:sz w:val="20"/>
                <w:shd w:val="clear" w:color="FFFFFF" w:fill="D9D9D9"/>
              </w:rPr>
            </w:pPr>
            <w:r>
              <w:rPr>
                <w:rFonts w:hint="eastAsia" w:ascii="仿宋" w:hAnsi="仿宋" w:eastAsia="仿宋" w:cs="仿宋"/>
                <w:b/>
                <w:bCs/>
                <w:color w:val="auto"/>
                <w:kern w:val="2"/>
                <w:sz w:val="20"/>
                <w:shd w:val="clear" w:color="FFFFFF" w:fill="D9D9D9"/>
              </w:rPr>
              <w:t>加密电子投标文件（.hztf）一份（上传至交易平台），作为投标文件正本；</w:t>
            </w:r>
          </w:p>
          <w:p>
            <w:pPr>
              <w:snapToGrid w:val="0"/>
              <w:rPr>
                <w:rFonts w:hint="eastAsia" w:ascii="仿宋" w:hAnsi="仿宋" w:eastAsia="仿宋" w:cs="仿宋"/>
                <w:snapToGrid w:val="0"/>
                <w:color w:val="auto"/>
                <w:kern w:val="2"/>
                <w:sz w:val="20"/>
              </w:rPr>
            </w:pPr>
            <w:r>
              <w:rPr>
                <w:rFonts w:hint="eastAsia" w:ascii="仿宋" w:hAnsi="仿宋" w:eastAsia="仿宋" w:cs="仿宋"/>
                <w:b/>
                <w:bCs/>
                <w:color w:val="auto"/>
                <w:kern w:val="2"/>
                <w:sz w:val="20"/>
                <w:shd w:val="clear" w:color="FFFFFF" w:fill="D9D9D9"/>
              </w:rPr>
              <w:t>投标人成交后应在签订合同协议书前补交与投标文件正本内容相同的投标文件副本4份及投标文件电子文件1份。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4.1.1</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textAlignment w:val="auto"/>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投标文件的密封要求</w:t>
            </w:r>
          </w:p>
        </w:tc>
        <w:tc>
          <w:tcPr>
            <w:tcW w:w="6946" w:type="dxa"/>
            <w:tcBorders>
              <w:top w:val="single" w:color="auto" w:sz="4" w:space="0"/>
              <w:left w:val="single" w:color="auto" w:sz="4" w:space="0"/>
              <w:bottom w:val="single" w:color="auto" w:sz="4" w:space="0"/>
              <w:right w:val="single" w:color="auto" w:sz="8" w:space="0"/>
            </w:tcBorders>
            <w:vAlign w:val="center"/>
          </w:tcPr>
          <w:p>
            <w:pPr>
              <w:snapToGrid w:val="0"/>
              <w:rPr>
                <w:rFonts w:hint="eastAsia" w:ascii="仿宋" w:hAnsi="仿宋" w:eastAsia="仿宋" w:cs="仿宋"/>
                <w:color w:val="auto"/>
                <w:kern w:val="2"/>
                <w:sz w:val="20"/>
              </w:rPr>
            </w:pPr>
            <w:r>
              <w:rPr>
                <w:rFonts w:hint="eastAsia" w:ascii="仿宋" w:hAnsi="仿宋" w:eastAsia="仿宋" w:cs="仿宋"/>
                <w:color w:val="auto"/>
                <w:kern w:val="2"/>
                <w:sz w:val="20"/>
              </w:rPr>
              <w:t>投标文件（CA加密后的电子投标文件）：在投标截止时间前</w:t>
            </w:r>
            <w:r>
              <w:rPr>
                <w:rFonts w:hint="eastAsia" w:ascii="仿宋" w:hAnsi="仿宋" w:eastAsia="仿宋" w:cs="仿宋"/>
                <w:color w:val="auto"/>
                <w:kern w:val="2"/>
                <w:sz w:val="20"/>
                <w:lang w:eastAsia="zh-CN"/>
              </w:rPr>
              <w:t>登录</w:t>
            </w:r>
            <w:r>
              <w:rPr>
                <w:rFonts w:hint="eastAsia" w:ascii="仿宋" w:hAnsi="仿宋" w:eastAsia="仿宋" w:cs="仿宋"/>
                <w:color w:val="auto"/>
                <w:kern w:val="2"/>
                <w:sz w:val="20"/>
              </w:rPr>
              <w:t>湖州市公共资源交易系统上的投标文件递交模块上传；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4.1.2</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textAlignment w:val="auto"/>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封袋上应载明的信息</w:t>
            </w:r>
          </w:p>
        </w:tc>
        <w:tc>
          <w:tcPr>
            <w:tcW w:w="6946" w:type="dxa"/>
            <w:tcBorders>
              <w:top w:val="single" w:color="auto" w:sz="4" w:space="0"/>
              <w:left w:val="single" w:color="auto" w:sz="4" w:space="0"/>
              <w:bottom w:val="single" w:color="auto" w:sz="4" w:space="0"/>
              <w:right w:val="single" w:color="auto" w:sz="8" w:space="0"/>
            </w:tcBorders>
            <w:vAlign w:val="center"/>
          </w:tcPr>
          <w:p>
            <w:pPr>
              <w:snapToGrid w:val="0"/>
              <w:rPr>
                <w:rFonts w:hint="eastAsia" w:ascii="仿宋" w:hAnsi="仿宋" w:eastAsia="仿宋" w:cs="仿宋"/>
                <w:color w:val="auto"/>
                <w:kern w:val="2"/>
                <w:sz w:val="20"/>
              </w:rPr>
            </w:pPr>
            <w:r>
              <w:rPr>
                <w:rFonts w:hint="eastAsia" w:ascii="仿宋" w:hAnsi="仿宋" w:eastAsia="仿宋" w:cs="仿宋"/>
                <w:color w:val="auto"/>
                <w:kern w:val="2"/>
                <w:sz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4.2.2</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textAlignment w:val="auto"/>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递交投标文件地点</w:t>
            </w:r>
          </w:p>
        </w:tc>
        <w:tc>
          <w:tcPr>
            <w:tcW w:w="6946" w:type="dxa"/>
            <w:tcBorders>
              <w:top w:val="single" w:color="auto" w:sz="4" w:space="0"/>
              <w:left w:val="single" w:color="auto" w:sz="4" w:space="0"/>
              <w:bottom w:val="single" w:color="auto" w:sz="4" w:space="0"/>
              <w:right w:val="single" w:color="auto" w:sz="8" w:space="0"/>
            </w:tcBorders>
            <w:vAlign w:val="center"/>
          </w:tcPr>
          <w:p>
            <w:pPr>
              <w:snapToGrid w:val="0"/>
              <w:rPr>
                <w:rFonts w:hint="eastAsia" w:ascii="仿宋" w:hAnsi="仿宋" w:eastAsia="仿宋" w:cs="仿宋"/>
                <w:b/>
                <w:color w:val="auto"/>
                <w:kern w:val="2"/>
                <w:sz w:val="20"/>
              </w:rPr>
            </w:pPr>
            <w:r>
              <w:rPr>
                <w:rFonts w:hint="eastAsia" w:ascii="仿宋" w:hAnsi="仿宋" w:eastAsia="仿宋" w:cs="仿宋"/>
                <w:b/>
                <w:color w:val="auto"/>
                <w:kern w:val="2"/>
                <w:sz w:val="20"/>
              </w:rPr>
              <w:t>投标文件（CA加密后的电子投标文件）：</w:t>
            </w:r>
            <w:r>
              <w:rPr>
                <w:rFonts w:hint="eastAsia" w:ascii="仿宋" w:hAnsi="仿宋" w:eastAsia="仿宋" w:cs="仿宋"/>
                <w:b/>
                <w:color w:val="auto"/>
                <w:kern w:val="2"/>
                <w:sz w:val="20"/>
                <w:lang w:eastAsia="zh-CN"/>
              </w:rPr>
              <w:t>登录</w:t>
            </w:r>
            <w:r>
              <w:rPr>
                <w:rFonts w:hint="eastAsia" w:ascii="仿宋" w:hAnsi="仿宋" w:eastAsia="仿宋" w:cs="仿宋"/>
                <w:b/>
                <w:color w:val="auto"/>
                <w:kern w:val="2"/>
                <w:sz w:val="20"/>
              </w:rPr>
              <w:t>湖州市公共资源交易系统上传；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5.1</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textAlignment w:val="auto"/>
              <w:rPr>
                <w:rFonts w:hint="eastAsia" w:ascii="仿宋" w:hAnsi="仿宋" w:eastAsia="仿宋" w:cs="仿宋"/>
                <w:b/>
                <w:snapToGrid w:val="0"/>
                <w:color w:val="auto"/>
                <w:kern w:val="2"/>
                <w:sz w:val="20"/>
              </w:rPr>
            </w:pPr>
            <w:r>
              <w:rPr>
                <w:rFonts w:hint="eastAsia" w:ascii="仿宋" w:hAnsi="仿宋" w:eastAsia="仿宋" w:cs="仿宋"/>
                <w:color w:val="auto"/>
                <w:kern w:val="2"/>
                <w:sz w:val="20"/>
              </w:rPr>
              <w:t>投标</w:t>
            </w:r>
            <w:r>
              <w:rPr>
                <w:rFonts w:hint="eastAsia" w:ascii="仿宋" w:hAnsi="仿宋" w:eastAsia="仿宋" w:cs="仿宋"/>
                <w:snapToGrid w:val="0"/>
                <w:color w:val="auto"/>
                <w:kern w:val="2"/>
                <w:sz w:val="20"/>
              </w:rPr>
              <w:t>时间和地点</w:t>
            </w:r>
          </w:p>
        </w:tc>
        <w:tc>
          <w:tcPr>
            <w:tcW w:w="6946" w:type="dxa"/>
            <w:tcBorders>
              <w:top w:val="single" w:color="auto" w:sz="4" w:space="0"/>
              <w:left w:val="single" w:color="auto" w:sz="4" w:space="0"/>
              <w:bottom w:val="single" w:color="auto" w:sz="4" w:space="0"/>
              <w:right w:val="single" w:color="auto" w:sz="8" w:space="0"/>
            </w:tcBorders>
            <w:vAlign w:val="center"/>
          </w:tcPr>
          <w:p>
            <w:pPr>
              <w:pStyle w:val="42"/>
              <w:rPr>
                <w:rFonts w:hint="eastAsia" w:ascii="仿宋" w:hAnsi="仿宋" w:eastAsia="仿宋" w:cs="仿宋"/>
                <w:color w:val="auto"/>
                <w:sz w:val="20"/>
              </w:rPr>
            </w:pPr>
            <w:r>
              <w:rPr>
                <w:rFonts w:hint="eastAsia" w:ascii="仿宋" w:hAnsi="仿宋" w:eastAsia="仿宋" w:cs="仿宋"/>
                <w:color w:val="auto"/>
                <w:sz w:val="20"/>
              </w:rPr>
              <w:t>投标时间：同投标截止时间</w:t>
            </w:r>
          </w:p>
          <w:p>
            <w:pPr>
              <w:pStyle w:val="42"/>
              <w:rPr>
                <w:rFonts w:hint="eastAsia" w:ascii="仿宋" w:hAnsi="仿宋" w:eastAsia="仿宋" w:cs="仿宋"/>
                <w:color w:val="auto"/>
                <w:sz w:val="20"/>
              </w:rPr>
            </w:pPr>
            <w:r>
              <w:rPr>
                <w:rFonts w:hint="eastAsia" w:ascii="仿宋" w:hAnsi="仿宋" w:eastAsia="仿宋" w:cs="仿宋"/>
                <w:color w:val="auto"/>
                <w:sz w:val="20"/>
              </w:rPr>
              <w:t xml:space="preserve">投标地点：网上远程不见面开标大厅 </w:t>
            </w:r>
          </w:p>
          <w:p>
            <w:pPr>
              <w:pStyle w:val="42"/>
              <w:rPr>
                <w:rFonts w:hint="eastAsia" w:ascii="仿宋" w:hAnsi="仿宋" w:eastAsia="仿宋" w:cs="仿宋"/>
                <w:color w:val="auto"/>
                <w:sz w:val="20"/>
              </w:rPr>
            </w:pPr>
            <w:r>
              <w:rPr>
                <w:rFonts w:hint="eastAsia" w:ascii="仿宋" w:hAnsi="仿宋" w:eastAsia="仿宋" w:cs="仿宋"/>
                <w:color w:val="auto"/>
                <w:sz w:val="20"/>
              </w:rPr>
              <w:t>网上不见面开标大厅登录方式：湖州市公共资源交易信息网-选择不见面开标大厅登录即可。</w:t>
            </w:r>
          </w:p>
          <w:p>
            <w:pPr>
              <w:pStyle w:val="42"/>
              <w:rPr>
                <w:rFonts w:hint="eastAsia" w:ascii="仿宋" w:hAnsi="仿宋" w:eastAsia="仿宋" w:cs="仿宋"/>
                <w:color w:val="auto"/>
              </w:rPr>
            </w:pPr>
            <w:r>
              <w:rPr>
                <w:rFonts w:hint="eastAsia" w:ascii="仿宋" w:hAnsi="仿宋" w:eastAsia="仿宋" w:cs="仿宋"/>
                <w:color w:val="auto"/>
                <w:sz w:val="20"/>
              </w:rPr>
              <w:t>网址：http://220.191.216.200:8085/BidOpening/bidopeninghallaction/hall/login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5.2</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textAlignment w:val="auto"/>
              <w:rPr>
                <w:rFonts w:hint="eastAsia" w:ascii="仿宋" w:hAnsi="仿宋" w:eastAsia="仿宋" w:cs="仿宋"/>
                <w:color w:val="auto"/>
                <w:kern w:val="2"/>
                <w:sz w:val="20"/>
              </w:rPr>
            </w:pPr>
            <w:r>
              <w:rPr>
                <w:rFonts w:hint="eastAsia" w:ascii="仿宋" w:hAnsi="仿宋" w:eastAsia="仿宋" w:cs="仿宋"/>
                <w:color w:val="auto"/>
                <w:kern w:val="2"/>
                <w:sz w:val="20"/>
              </w:rPr>
              <w:t>投标程序</w:t>
            </w:r>
          </w:p>
        </w:tc>
        <w:tc>
          <w:tcPr>
            <w:tcW w:w="6946" w:type="dxa"/>
            <w:tcBorders>
              <w:top w:val="single" w:color="auto" w:sz="4" w:space="0"/>
              <w:left w:val="single" w:color="auto" w:sz="4" w:space="0"/>
              <w:bottom w:val="single" w:color="auto" w:sz="4" w:space="0"/>
              <w:right w:val="single" w:color="auto" w:sz="8" w:space="0"/>
            </w:tcBorders>
            <w:vAlign w:val="center"/>
          </w:tcPr>
          <w:p>
            <w:pPr>
              <w:snapToGrid w:val="0"/>
              <w:rPr>
                <w:rFonts w:hint="eastAsia" w:ascii="仿宋" w:hAnsi="仿宋" w:eastAsia="仿宋" w:cs="仿宋"/>
                <w:color w:val="auto"/>
                <w:kern w:val="2"/>
                <w:sz w:val="20"/>
              </w:rPr>
            </w:pPr>
            <w:r>
              <w:rPr>
                <w:rFonts w:hint="eastAsia" w:ascii="仿宋" w:hAnsi="仿宋" w:eastAsia="仿宋" w:cs="仿宋"/>
                <w:color w:val="auto"/>
                <w:kern w:val="2"/>
                <w:sz w:val="20"/>
              </w:rPr>
              <w:t>投标顺序：上传投标文件的先后顺序：</w:t>
            </w:r>
          </w:p>
          <w:p>
            <w:pPr>
              <w:snapToGrid w:val="0"/>
              <w:rPr>
                <w:rFonts w:hint="eastAsia" w:ascii="仿宋" w:hAnsi="仿宋" w:eastAsia="仿宋" w:cs="仿宋"/>
                <w:color w:val="auto"/>
                <w:kern w:val="2"/>
                <w:sz w:val="20"/>
              </w:rPr>
            </w:pPr>
            <w:r>
              <w:rPr>
                <w:rFonts w:hint="eastAsia" w:ascii="仿宋" w:hAnsi="仿宋" w:eastAsia="仿宋" w:cs="仿宋"/>
                <w:color w:val="auto"/>
                <w:kern w:val="2"/>
                <w:sz w:val="20"/>
              </w:rPr>
              <w:t>1、投标截止前30分钟，由招标代理机构登录网上不见面开标大厅系统，做好网上不见面开标准备；</w:t>
            </w:r>
          </w:p>
          <w:p>
            <w:pPr>
              <w:snapToGrid w:val="0"/>
              <w:rPr>
                <w:rFonts w:hint="eastAsia" w:ascii="仿宋" w:hAnsi="仿宋" w:eastAsia="仿宋" w:cs="仿宋"/>
                <w:color w:val="auto"/>
                <w:kern w:val="2"/>
                <w:sz w:val="20"/>
              </w:rPr>
            </w:pPr>
            <w:r>
              <w:rPr>
                <w:rFonts w:hint="eastAsia" w:ascii="仿宋" w:hAnsi="仿宋" w:eastAsia="仿宋" w:cs="仿宋"/>
                <w:color w:val="auto"/>
                <w:kern w:val="2"/>
                <w:sz w:val="20"/>
              </w:rPr>
              <w:t>2、各投标人应于投标截止时间前使用加密锁自行</w:t>
            </w:r>
            <w:r>
              <w:rPr>
                <w:rFonts w:hint="eastAsia" w:ascii="仿宋" w:hAnsi="仿宋" w:eastAsia="仿宋" w:cs="仿宋"/>
                <w:color w:val="auto"/>
                <w:kern w:val="2"/>
                <w:sz w:val="20"/>
                <w:lang w:eastAsia="zh-CN"/>
              </w:rPr>
              <w:t>登录</w:t>
            </w:r>
            <w:r>
              <w:rPr>
                <w:rFonts w:hint="eastAsia" w:ascii="仿宋" w:hAnsi="仿宋" w:eastAsia="仿宋" w:cs="仿宋"/>
                <w:color w:val="auto"/>
                <w:kern w:val="2"/>
                <w:sz w:val="20"/>
              </w:rPr>
              <w:t>不见面开标大厅并完成在线签到，否则视为在线不到场，投标文件开启解密时将被拒绝解密；投标人的在线签到人员必须是投标人的法定代表人或其授权的代理人，如签到人员与投标人的法定代表人或其授权的代理人不一致的，其投标将按无效标处理。</w:t>
            </w:r>
          </w:p>
          <w:p>
            <w:pPr>
              <w:snapToGrid w:val="0"/>
              <w:rPr>
                <w:rFonts w:hint="eastAsia" w:ascii="仿宋" w:hAnsi="仿宋" w:eastAsia="仿宋" w:cs="仿宋"/>
                <w:color w:val="auto"/>
                <w:kern w:val="2"/>
                <w:sz w:val="20"/>
              </w:rPr>
            </w:pPr>
            <w:r>
              <w:rPr>
                <w:rFonts w:hint="eastAsia" w:ascii="仿宋" w:hAnsi="仿宋" w:eastAsia="仿宋" w:cs="仿宋"/>
                <w:color w:val="auto"/>
                <w:kern w:val="2"/>
                <w:sz w:val="20"/>
              </w:rPr>
              <w:t>3、投标截止时间，由招标代理机构公布投标人情况、解密要求、在线公布现场监督、见证人员；</w:t>
            </w:r>
          </w:p>
          <w:p>
            <w:pPr>
              <w:snapToGrid w:val="0"/>
              <w:rPr>
                <w:rFonts w:hint="eastAsia" w:ascii="仿宋" w:hAnsi="仿宋" w:eastAsia="仿宋" w:cs="仿宋"/>
                <w:color w:val="auto"/>
                <w:kern w:val="2"/>
                <w:sz w:val="20"/>
              </w:rPr>
            </w:pPr>
            <w:r>
              <w:rPr>
                <w:rFonts w:hint="eastAsia" w:ascii="仿宋" w:hAnsi="仿宋" w:eastAsia="仿宋" w:cs="仿宋"/>
                <w:color w:val="auto"/>
                <w:kern w:val="2"/>
                <w:sz w:val="20"/>
              </w:rPr>
              <w:t>4、投标人需在系统开启投标文件解密时间后30分钟内对投标文件进行网上在线解密，未在规定时间内完成的，其投标将被拒绝；</w:t>
            </w:r>
          </w:p>
          <w:p>
            <w:pPr>
              <w:snapToGrid w:val="0"/>
              <w:rPr>
                <w:rFonts w:hint="eastAsia" w:ascii="仿宋" w:hAnsi="仿宋" w:eastAsia="仿宋" w:cs="仿宋"/>
                <w:color w:val="auto"/>
                <w:kern w:val="2"/>
                <w:sz w:val="20"/>
              </w:rPr>
            </w:pPr>
            <w:r>
              <w:rPr>
                <w:rFonts w:hint="eastAsia" w:ascii="仿宋" w:hAnsi="仿宋" w:eastAsia="仿宋" w:cs="仿宋"/>
                <w:color w:val="auto"/>
                <w:kern w:val="2"/>
                <w:sz w:val="20"/>
              </w:rPr>
              <w:t>5、招标人在开标现场抽取招标文件中规定的系数；</w:t>
            </w:r>
          </w:p>
          <w:p>
            <w:pPr>
              <w:snapToGrid w:val="0"/>
              <w:rPr>
                <w:rFonts w:hint="eastAsia" w:ascii="仿宋" w:hAnsi="仿宋" w:eastAsia="仿宋" w:cs="仿宋"/>
                <w:color w:val="auto"/>
                <w:kern w:val="2"/>
                <w:sz w:val="20"/>
              </w:rPr>
            </w:pPr>
            <w:r>
              <w:rPr>
                <w:rFonts w:hint="eastAsia" w:ascii="仿宋" w:hAnsi="仿宋" w:eastAsia="仿宋" w:cs="仿宋"/>
                <w:color w:val="auto"/>
                <w:kern w:val="2"/>
                <w:sz w:val="20"/>
              </w:rPr>
              <w:t>6、招标人现场解密、投标文件导入等全程操作；</w:t>
            </w:r>
          </w:p>
          <w:p>
            <w:pPr>
              <w:snapToGrid w:val="0"/>
              <w:rPr>
                <w:rFonts w:hint="eastAsia" w:ascii="仿宋" w:hAnsi="仿宋" w:eastAsia="仿宋" w:cs="仿宋"/>
                <w:color w:val="auto"/>
                <w:kern w:val="2"/>
                <w:sz w:val="20"/>
              </w:rPr>
            </w:pPr>
            <w:r>
              <w:rPr>
                <w:rFonts w:hint="eastAsia" w:ascii="仿宋" w:hAnsi="仿宋" w:eastAsia="仿宋" w:cs="仿宋"/>
                <w:color w:val="auto"/>
                <w:kern w:val="2"/>
                <w:sz w:val="20"/>
              </w:rPr>
              <w:t>7、对网上开标过程有异议的，投标人应当直接在线提疑，同时由招标人在线进行回复；</w:t>
            </w:r>
          </w:p>
          <w:p>
            <w:pPr>
              <w:snapToGrid w:val="0"/>
              <w:rPr>
                <w:rFonts w:hint="eastAsia" w:ascii="仿宋" w:hAnsi="仿宋" w:eastAsia="仿宋" w:cs="仿宋"/>
                <w:color w:val="auto"/>
                <w:kern w:val="2"/>
                <w:sz w:val="20"/>
              </w:rPr>
            </w:pPr>
            <w:r>
              <w:rPr>
                <w:rFonts w:hint="eastAsia" w:ascii="仿宋" w:hAnsi="仿宋" w:eastAsia="仿宋" w:cs="仿宋"/>
                <w:color w:val="auto"/>
                <w:kern w:val="2"/>
                <w:sz w:val="20"/>
              </w:rPr>
              <w:t>8、宣布开标结束。</w:t>
            </w:r>
          </w:p>
          <w:p>
            <w:pPr>
              <w:snapToGrid w:val="0"/>
              <w:rPr>
                <w:rFonts w:hint="eastAsia" w:ascii="仿宋" w:hAnsi="仿宋" w:eastAsia="仿宋" w:cs="仿宋"/>
                <w:color w:val="auto"/>
                <w:kern w:val="2"/>
                <w:sz w:val="20"/>
              </w:rPr>
            </w:pPr>
            <w:r>
              <w:rPr>
                <w:rFonts w:hint="eastAsia" w:ascii="仿宋" w:hAnsi="仿宋" w:eastAsia="仿宋" w:cs="仿宋"/>
                <w:color w:val="auto"/>
                <w:kern w:val="2"/>
                <w:sz w:val="20"/>
              </w:rPr>
              <w:t>注：</w:t>
            </w:r>
          </w:p>
          <w:p>
            <w:pPr>
              <w:numPr>
                <w:ilvl w:val="0"/>
                <w:numId w:val="6"/>
              </w:numPr>
              <w:snapToGrid w:val="0"/>
              <w:rPr>
                <w:rFonts w:hint="eastAsia" w:ascii="仿宋" w:hAnsi="仿宋" w:eastAsia="仿宋" w:cs="仿宋"/>
                <w:color w:val="auto"/>
                <w:kern w:val="2"/>
                <w:sz w:val="20"/>
              </w:rPr>
            </w:pPr>
            <w:r>
              <w:rPr>
                <w:rFonts w:hint="eastAsia" w:ascii="仿宋" w:hAnsi="仿宋" w:eastAsia="仿宋" w:cs="仿宋"/>
                <w:color w:val="auto"/>
                <w:kern w:val="2"/>
                <w:sz w:val="20"/>
              </w:rPr>
              <w:t>在开标过程中招标人及招标代理机构全程操作必须在直播视频中完成，不得随意离开。交易中心见证人员、现场监督人员做好相关工作并签字</w:t>
            </w:r>
            <w:r>
              <w:rPr>
                <w:rFonts w:hint="eastAsia" w:ascii="仿宋" w:hAnsi="仿宋" w:eastAsia="仿宋" w:cs="仿宋"/>
                <w:color w:val="auto"/>
                <w:kern w:val="2"/>
                <w:sz w:val="20"/>
                <w:lang w:eastAsia="zh-CN"/>
              </w:rPr>
              <w:t>。</w:t>
            </w:r>
          </w:p>
          <w:p>
            <w:pPr>
              <w:numPr>
                <w:ilvl w:val="0"/>
                <w:numId w:val="6"/>
              </w:numPr>
              <w:snapToGrid w:val="0"/>
              <w:rPr>
                <w:rFonts w:hint="eastAsia" w:ascii="仿宋" w:hAnsi="仿宋" w:eastAsia="仿宋" w:cs="仿宋"/>
                <w:color w:val="auto"/>
                <w:kern w:val="2"/>
                <w:sz w:val="20"/>
                <w:lang w:eastAsia="zh-CN"/>
              </w:rPr>
            </w:pPr>
            <w:r>
              <w:rPr>
                <w:rFonts w:hint="eastAsia" w:ascii="仿宋" w:hAnsi="仿宋" w:eastAsia="仿宋" w:cs="仿宋"/>
                <w:color w:val="auto"/>
                <w:kern w:val="2"/>
                <w:sz w:val="20"/>
                <w:lang w:eastAsia="zh-CN"/>
              </w:rPr>
              <w:t>电子交易平台遇网络故障、设备故障、断电等意外情况，导致无法正常开标、招标人无法解密等情形，2小时内能够恢复正常，待恢复正常后继续开标，原定解密时间重新计算，2小时内不能恢复正常由招标人确定另行开标时间；</w:t>
            </w:r>
          </w:p>
          <w:p>
            <w:pPr>
              <w:numPr>
                <w:ilvl w:val="0"/>
                <w:numId w:val="6"/>
              </w:numPr>
              <w:snapToGrid w:val="0"/>
              <w:rPr>
                <w:rFonts w:hint="eastAsia" w:ascii="仿宋" w:hAnsi="仿宋" w:eastAsia="仿宋" w:cs="仿宋"/>
                <w:color w:val="auto"/>
                <w:kern w:val="2"/>
                <w:sz w:val="20"/>
                <w:lang w:eastAsia="zh-CN"/>
              </w:rPr>
            </w:pPr>
            <w:r>
              <w:rPr>
                <w:rFonts w:hint="eastAsia" w:ascii="仿宋" w:hAnsi="仿宋" w:eastAsia="仿宋" w:cs="仿宋"/>
                <w:color w:val="auto"/>
                <w:kern w:val="2"/>
                <w:sz w:val="20"/>
                <w:lang w:eastAsia="zh-CN"/>
              </w:rPr>
              <w:t>电子交易平台网络不畅导致投标人不能在规定时间内完成解密，招标人相应延长解密时间，超出相应延长解密时间仍然未解密的，视做撤销投标文件。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6.1.1</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textAlignment w:val="auto"/>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评审委员会的组建</w:t>
            </w:r>
          </w:p>
        </w:tc>
        <w:tc>
          <w:tcPr>
            <w:tcW w:w="6946" w:type="dxa"/>
            <w:tcBorders>
              <w:top w:val="single" w:color="auto" w:sz="4" w:space="0"/>
              <w:left w:val="single" w:color="auto" w:sz="4" w:space="0"/>
              <w:bottom w:val="single" w:color="auto" w:sz="4" w:space="0"/>
              <w:right w:val="single" w:color="auto" w:sz="8" w:space="0"/>
            </w:tcBorders>
            <w:vAlign w:val="center"/>
          </w:tcPr>
          <w:p>
            <w:pPr>
              <w:snapToGrid w:val="0"/>
              <w:rPr>
                <w:rFonts w:hint="eastAsia" w:ascii="仿宋" w:hAnsi="仿宋" w:eastAsia="仿宋" w:cs="仿宋"/>
                <w:b/>
                <w:color w:val="auto"/>
                <w:kern w:val="2"/>
                <w:sz w:val="20"/>
              </w:rPr>
            </w:pPr>
            <w:r>
              <w:rPr>
                <w:rFonts w:hint="eastAsia" w:ascii="仿宋" w:hAnsi="仿宋" w:eastAsia="仿宋" w:cs="仿宋"/>
                <w:b/>
                <w:color w:val="auto"/>
                <w:kern w:val="2"/>
                <w:sz w:val="20"/>
              </w:rPr>
              <w:t>评标委员会由招标人的代表和有关技术、经济等方面的专家组成，成员人数为五人及以上单数，其中技术、经济等方面的专家不得少于成员总数的三分之二。招标人代表不得担任委员会负责人，除招标人代表外其余成员从省综合性评标专家库中随机抽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7.3.1</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textAlignment w:val="auto"/>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履约担保</w:t>
            </w:r>
          </w:p>
        </w:tc>
        <w:tc>
          <w:tcPr>
            <w:tcW w:w="6946" w:type="dxa"/>
            <w:tcBorders>
              <w:top w:val="single" w:color="auto" w:sz="4" w:space="0"/>
              <w:left w:val="single" w:color="auto" w:sz="4" w:space="0"/>
              <w:bottom w:val="single" w:color="auto" w:sz="4" w:space="0"/>
              <w:right w:val="single" w:color="auto" w:sz="8" w:space="0"/>
            </w:tcBorders>
            <w:vAlign w:val="center"/>
          </w:tcPr>
          <w:p>
            <w:pPr>
              <w:snapToGrid w:val="0"/>
              <w:rPr>
                <w:rFonts w:hint="eastAsia" w:ascii="仿宋" w:hAnsi="仿宋" w:eastAsia="仿宋" w:cs="仿宋"/>
                <w:color w:val="auto"/>
                <w:kern w:val="2"/>
                <w:sz w:val="20"/>
              </w:rPr>
            </w:pPr>
            <w:r>
              <w:rPr>
                <w:rFonts w:hint="eastAsia" w:ascii="仿宋" w:hAnsi="仿宋" w:eastAsia="仿宋" w:cs="仿宋"/>
                <w:color w:val="auto"/>
                <w:kern w:val="2"/>
                <w:sz w:val="20"/>
              </w:rPr>
              <w:t>履约担保的形式：☑履约担保金（含现金支票、银行汇票、保兑支票）或☑银行履约保函或☑履约担保书（建设工程完工履约保证保险保单保函）</w:t>
            </w:r>
          </w:p>
          <w:p>
            <w:pPr>
              <w:snapToGrid w:val="0"/>
              <w:rPr>
                <w:rFonts w:hint="eastAsia" w:ascii="仿宋" w:hAnsi="仿宋" w:eastAsia="仿宋" w:cs="仿宋"/>
                <w:color w:val="auto"/>
                <w:kern w:val="2"/>
                <w:sz w:val="20"/>
              </w:rPr>
            </w:pPr>
            <w:r>
              <w:rPr>
                <w:rFonts w:hint="eastAsia" w:ascii="仿宋" w:hAnsi="仿宋" w:eastAsia="仿宋" w:cs="仿宋"/>
                <w:color w:val="auto"/>
                <w:kern w:val="2"/>
                <w:sz w:val="20"/>
              </w:rPr>
              <w:t>履约担保的金额：中标价的2%（其中质量履约保证金：0.8%；工期履约保证金：0.4 %；项目负责人到位率履约保证金：0.4 %；安全无死亡履约保证金：0.2%；文明施工履约保证金：0.2%）。</w:t>
            </w:r>
          </w:p>
          <w:p>
            <w:pPr>
              <w:snapToGrid w:val="0"/>
              <w:rPr>
                <w:rFonts w:hint="eastAsia" w:ascii="仿宋" w:hAnsi="仿宋" w:eastAsia="仿宋" w:cs="仿宋"/>
                <w:b/>
                <w:color w:val="auto"/>
                <w:kern w:val="2"/>
                <w:sz w:val="20"/>
              </w:rPr>
            </w:pPr>
            <w:r>
              <w:rPr>
                <w:rFonts w:hint="eastAsia" w:ascii="仿宋" w:hAnsi="仿宋" w:eastAsia="仿宋" w:cs="仿宋"/>
                <w:color w:val="auto"/>
                <w:kern w:val="2"/>
                <w:sz w:val="20"/>
              </w:rPr>
              <w:t>注：采用建设工程完工履约保证保险保单保函的应符合《湖州市住房和城乡建设局等4部门关于开展建设工程综合保险试点工作的通知》湖建发【2018】211号、《湖州市建设工程综合保险项目共保体中标公示》等文件内容，由首席保险人出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9.5</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textAlignment w:val="auto"/>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投诉</w:t>
            </w:r>
          </w:p>
        </w:tc>
        <w:tc>
          <w:tcPr>
            <w:tcW w:w="6946" w:type="dxa"/>
            <w:tcBorders>
              <w:top w:val="single" w:color="auto" w:sz="4" w:space="0"/>
              <w:left w:val="single" w:color="auto" w:sz="4" w:space="0"/>
              <w:bottom w:val="single" w:color="auto" w:sz="4" w:space="0"/>
              <w:right w:val="single" w:color="auto" w:sz="8" w:space="0"/>
            </w:tcBorders>
            <w:vAlign w:val="center"/>
          </w:tcPr>
          <w:p>
            <w:pPr>
              <w:snapToGrid w:val="0"/>
              <w:rPr>
                <w:rFonts w:hint="eastAsia" w:ascii="仿宋" w:hAnsi="仿宋" w:eastAsia="仿宋" w:cs="仿宋"/>
                <w:color w:val="auto"/>
                <w:kern w:val="2"/>
                <w:sz w:val="20"/>
                <w:lang w:eastAsia="zh-CN"/>
              </w:rPr>
            </w:pPr>
            <w:r>
              <w:rPr>
                <w:rFonts w:hint="eastAsia" w:ascii="仿宋" w:hAnsi="仿宋" w:eastAsia="仿宋" w:cs="仿宋"/>
                <w:color w:val="auto"/>
                <w:kern w:val="2"/>
                <w:sz w:val="20"/>
              </w:rPr>
              <w:t>投诉受理机构：</w:t>
            </w:r>
            <w:r>
              <w:rPr>
                <w:rFonts w:hint="eastAsia" w:ascii="仿宋" w:hAnsi="仿宋" w:eastAsia="仿宋" w:cs="仿宋"/>
                <w:color w:val="auto"/>
                <w:kern w:val="2"/>
                <w:sz w:val="20"/>
                <w:lang w:eastAsia="zh-CN"/>
              </w:rPr>
              <w:t>湖州市吴兴区公共资源交易管理办公室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6" w:type="dxa"/>
            <w:vAlign w:val="center"/>
          </w:tcPr>
          <w:p>
            <w:pPr>
              <w:tabs>
                <w:tab w:val="left" w:pos="10324"/>
              </w:tabs>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10</w:t>
            </w:r>
          </w:p>
        </w:tc>
        <w:tc>
          <w:tcPr>
            <w:tcW w:w="9226" w:type="dxa"/>
            <w:gridSpan w:val="2"/>
            <w:vAlign w:val="center"/>
          </w:tcPr>
          <w:p>
            <w:pPr>
              <w:tabs>
                <w:tab w:val="left" w:pos="10324"/>
              </w:tabs>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76" w:type="dxa"/>
            <w:vAlign w:val="center"/>
          </w:tcPr>
          <w:p>
            <w:pPr>
              <w:widowControl/>
              <w:autoSpaceDE/>
              <w:autoSpaceDN/>
              <w:adjustRightInd/>
              <w:jc w:val="center"/>
              <w:textAlignment w:val="auto"/>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10.1</w:t>
            </w:r>
          </w:p>
        </w:tc>
        <w:tc>
          <w:tcPr>
            <w:tcW w:w="2280" w:type="dxa"/>
            <w:vAlign w:val="center"/>
          </w:tcPr>
          <w:p>
            <w:pPr>
              <w:snapToGrid w:val="0"/>
              <w:jc w:val="center"/>
              <w:rPr>
                <w:rFonts w:hint="eastAsia" w:ascii="仿宋" w:hAnsi="仿宋" w:eastAsia="仿宋" w:cs="仿宋"/>
                <w:color w:val="auto"/>
                <w:kern w:val="2"/>
                <w:sz w:val="20"/>
              </w:rPr>
            </w:pPr>
            <w:r>
              <w:rPr>
                <w:rFonts w:hint="eastAsia" w:ascii="仿宋" w:hAnsi="仿宋" w:eastAsia="仿宋" w:cs="仿宋"/>
                <w:color w:val="auto"/>
                <w:kern w:val="2"/>
                <w:sz w:val="20"/>
              </w:rPr>
              <w:t>类似项目</w:t>
            </w:r>
          </w:p>
        </w:tc>
        <w:tc>
          <w:tcPr>
            <w:tcW w:w="6946" w:type="dxa"/>
            <w:vAlign w:val="center"/>
          </w:tcPr>
          <w:p>
            <w:pPr>
              <w:snapToGrid w:val="0"/>
              <w:rPr>
                <w:rFonts w:hint="eastAsia" w:ascii="仿宋" w:hAnsi="仿宋" w:eastAsia="仿宋" w:cs="仿宋"/>
                <w:color w:val="auto"/>
                <w:kern w:val="2"/>
                <w:sz w:val="20"/>
              </w:rPr>
            </w:pPr>
            <w:r>
              <w:rPr>
                <w:rFonts w:hint="eastAsia" w:ascii="仿宋" w:hAnsi="仿宋" w:eastAsia="仿宋" w:cs="仿宋"/>
                <w:color w:val="auto"/>
                <w:kern w:val="2"/>
                <w:sz w:val="2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76" w:type="dxa"/>
            <w:vAlign w:val="center"/>
          </w:tcPr>
          <w:p>
            <w:pPr>
              <w:widowControl/>
              <w:autoSpaceDE/>
              <w:autoSpaceDN/>
              <w:adjustRightInd/>
              <w:jc w:val="center"/>
              <w:textAlignment w:val="auto"/>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10.2</w:t>
            </w:r>
          </w:p>
        </w:tc>
        <w:tc>
          <w:tcPr>
            <w:tcW w:w="2280" w:type="dxa"/>
            <w:vAlign w:val="center"/>
          </w:tcPr>
          <w:p>
            <w:pPr>
              <w:widowControl/>
              <w:autoSpaceDE/>
              <w:autoSpaceDN/>
              <w:adjustRightInd/>
              <w:jc w:val="center"/>
              <w:textAlignment w:val="auto"/>
              <w:rPr>
                <w:rFonts w:hint="eastAsia" w:ascii="仿宋" w:hAnsi="仿宋" w:eastAsia="仿宋" w:cs="仿宋"/>
                <w:color w:val="auto"/>
                <w:kern w:val="2"/>
                <w:sz w:val="20"/>
              </w:rPr>
            </w:pPr>
            <w:r>
              <w:rPr>
                <w:rFonts w:hint="eastAsia" w:ascii="仿宋" w:hAnsi="仿宋" w:eastAsia="仿宋" w:cs="仿宋"/>
                <w:snapToGrid w:val="0"/>
                <w:color w:val="auto"/>
                <w:kern w:val="2"/>
                <w:sz w:val="20"/>
              </w:rPr>
              <w:t>已标价工程量清单</w:t>
            </w:r>
          </w:p>
        </w:tc>
        <w:tc>
          <w:tcPr>
            <w:tcW w:w="6946" w:type="dxa"/>
            <w:vAlign w:val="center"/>
          </w:tcPr>
          <w:p>
            <w:pPr>
              <w:widowControl/>
              <w:autoSpaceDE/>
              <w:autoSpaceDN/>
              <w:adjustRightInd/>
              <w:textAlignment w:val="auto"/>
              <w:rPr>
                <w:rFonts w:hint="eastAsia" w:ascii="仿宋" w:hAnsi="仿宋" w:eastAsia="仿宋" w:cs="仿宋"/>
                <w:color w:val="auto"/>
                <w:kern w:val="2"/>
                <w:sz w:val="20"/>
              </w:rPr>
            </w:pPr>
            <w:r>
              <w:rPr>
                <w:rFonts w:hint="eastAsia" w:ascii="仿宋" w:hAnsi="仿宋" w:eastAsia="仿宋" w:cs="仿宋"/>
                <w:color w:val="auto"/>
                <w:kern w:val="2"/>
                <w:sz w:val="20"/>
              </w:rPr>
              <w:t>各投标人需上传已标价的工程量清单电子扫描件。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76" w:type="dxa"/>
            <w:vAlign w:val="center"/>
          </w:tcPr>
          <w:p>
            <w:pPr>
              <w:widowControl/>
              <w:autoSpaceDE/>
              <w:autoSpaceDN/>
              <w:adjustRightInd/>
              <w:jc w:val="center"/>
              <w:textAlignment w:val="auto"/>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10.3</w:t>
            </w:r>
          </w:p>
        </w:tc>
        <w:tc>
          <w:tcPr>
            <w:tcW w:w="2280" w:type="dxa"/>
            <w:vAlign w:val="center"/>
          </w:tcPr>
          <w:p>
            <w:pPr>
              <w:jc w:val="center"/>
              <w:rPr>
                <w:rFonts w:hint="eastAsia" w:ascii="仿宋" w:hAnsi="仿宋" w:eastAsia="仿宋" w:cs="仿宋"/>
                <w:color w:val="auto"/>
                <w:kern w:val="2"/>
                <w:sz w:val="20"/>
                <w:lang w:eastAsia="zh-CN"/>
              </w:rPr>
            </w:pPr>
            <w:r>
              <w:rPr>
                <w:rFonts w:hint="eastAsia" w:ascii="仿宋" w:hAnsi="仿宋" w:eastAsia="仿宋" w:cs="仿宋"/>
                <w:snapToGrid w:val="0"/>
                <w:color w:val="auto"/>
                <w:kern w:val="2"/>
                <w:sz w:val="20"/>
                <w:lang w:eastAsia="zh-CN"/>
              </w:rPr>
              <w:t>资格审核资料</w:t>
            </w:r>
          </w:p>
        </w:tc>
        <w:tc>
          <w:tcPr>
            <w:tcW w:w="6946" w:type="dxa"/>
            <w:vAlign w:val="center"/>
          </w:tcPr>
          <w:p>
            <w:pPr>
              <w:snapToGrid w:val="0"/>
              <w:jc w:val="left"/>
              <w:textAlignment w:val="auto"/>
              <w:rPr>
                <w:rFonts w:hint="eastAsia" w:ascii="仿宋" w:hAnsi="仿宋" w:eastAsia="仿宋" w:cs="仿宋"/>
                <w:color w:val="auto"/>
                <w:kern w:val="2"/>
                <w:sz w:val="20"/>
              </w:rPr>
            </w:pPr>
            <w:r>
              <w:rPr>
                <w:rFonts w:hint="eastAsia" w:ascii="仿宋" w:hAnsi="仿宋" w:eastAsia="仿宋" w:cs="仿宋"/>
                <w:snapToGrid w:val="0"/>
                <w:color w:val="auto"/>
                <w:kern w:val="2"/>
                <w:sz w:val="20"/>
              </w:rPr>
              <w:t>扫描上传</w:t>
            </w:r>
            <w:r>
              <w:rPr>
                <w:rFonts w:hint="eastAsia" w:ascii="仿宋" w:hAnsi="仿宋" w:eastAsia="仿宋" w:cs="仿宋"/>
                <w:color w:val="auto"/>
                <w:kern w:val="2"/>
                <w:sz w:val="20"/>
              </w:rPr>
              <w:t>，且应遵守如下规定：</w:t>
            </w:r>
          </w:p>
          <w:p>
            <w:pPr>
              <w:snapToGrid w:val="0"/>
              <w:jc w:val="left"/>
              <w:textAlignment w:val="auto"/>
              <w:rPr>
                <w:rFonts w:hint="eastAsia" w:ascii="仿宋" w:hAnsi="仿宋" w:eastAsia="仿宋" w:cs="仿宋"/>
                <w:color w:val="auto"/>
                <w:kern w:val="2"/>
                <w:sz w:val="20"/>
              </w:rPr>
            </w:pPr>
            <w:r>
              <w:rPr>
                <w:rFonts w:hint="eastAsia" w:ascii="仿宋" w:hAnsi="仿宋" w:eastAsia="仿宋" w:cs="仿宋"/>
                <w:color w:val="auto"/>
                <w:kern w:val="2"/>
                <w:sz w:val="20"/>
              </w:rPr>
              <w:t>1）与评审有关的原件扫描上传，投标人须确保上传原件扫描件的真实性。</w:t>
            </w:r>
          </w:p>
          <w:p>
            <w:pPr>
              <w:snapToGrid w:val="0"/>
              <w:ind w:firstLine="400" w:firstLineChars="200"/>
              <w:jc w:val="left"/>
              <w:textAlignment w:val="auto"/>
              <w:rPr>
                <w:rFonts w:hint="eastAsia" w:ascii="仿宋" w:hAnsi="仿宋" w:eastAsia="仿宋" w:cs="仿宋"/>
                <w:color w:val="auto"/>
                <w:kern w:val="2"/>
                <w:sz w:val="20"/>
              </w:rPr>
            </w:pPr>
            <w:r>
              <w:rPr>
                <w:rFonts w:hint="eastAsia" w:ascii="仿宋" w:hAnsi="仿宋" w:eastAsia="仿宋" w:cs="仿宋"/>
                <w:color w:val="auto"/>
                <w:kern w:val="2"/>
                <w:sz w:val="20"/>
                <w:lang w:eastAsia="zh-CN"/>
              </w:rPr>
              <w:t>资格审核资料</w:t>
            </w:r>
            <w:r>
              <w:rPr>
                <w:rFonts w:hint="eastAsia" w:ascii="仿宋" w:hAnsi="仿宋" w:eastAsia="仿宋" w:cs="仿宋"/>
                <w:color w:val="auto"/>
                <w:kern w:val="2"/>
                <w:sz w:val="20"/>
              </w:rPr>
              <w:t>包括：</w:t>
            </w:r>
          </w:p>
          <w:p>
            <w:pPr>
              <w:ind w:firstLine="400" w:firstLineChars="20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1 企业部分</w:t>
            </w:r>
          </w:p>
          <w:p>
            <w:pPr>
              <w:ind w:firstLine="400" w:firstLineChars="20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(1) 营业执照；</w:t>
            </w:r>
          </w:p>
          <w:p>
            <w:pPr>
              <w:ind w:firstLine="400" w:firstLineChars="20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(2) 安全生产许可证；</w:t>
            </w:r>
          </w:p>
          <w:p>
            <w:pPr>
              <w:ind w:firstLine="400" w:firstLineChars="20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(3) 资质证书；</w:t>
            </w:r>
          </w:p>
          <w:p>
            <w:pPr>
              <w:ind w:firstLine="400" w:firstLineChars="20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(4) 法人代表的安全生产考核合格证书（A证）；</w:t>
            </w:r>
          </w:p>
          <w:p>
            <w:pPr>
              <w:ind w:firstLine="400" w:firstLineChars="20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(5) 总经理的安全生产考核合格证书（A证）；</w:t>
            </w:r>
          </w:p>
          <w:p>
            <w:pPr>
              <w:ind w:firstLine="400" w:firstLineChars="20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(6) 分管安全生产的副总经理安全生产考核合格证书（A证）和任命书；</w:t>
            </w:r>
          </w:p>
          <w:p>
            <w:pPr>
              <w:ind w:firstLine="400" w:firstLineChars="20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(7) 企业技术负责人的安全生产考核合格证书（A证）；</w:t>
            </w:r>
          </w:p>
          <w:p>
            <w:pPr>
              <w:tabs>
                <w:tab w:val="left" w:pos="10324"/>
              </w:tabs>
              <w:ind w:firstLine="394" w:firstLineChars="197"/>
              <w:rPr>
                <w:rFonts w:hint="eastAsia" w:ascii="仿宋" w:hAnsi="仿宋" w:eastAsia="仿宋" w:cs="仿宋"/>
                <w:b/>
                <w:snapToGrid w:val="0"/>
                <w:color w:val="auto"/>
                <w:kern w:val="2"/>
                <w:sz w:val="20"/>
              </w:rPr>
            </w:pPr>
            <w:r>
              <w:rPr>
                <w:rFonts w:hint="eastAsia" w:ascii="仿宋" w:hAnsi="仿宋" w:eastAsia="仿宋" w:cs="仿宋"/>
                <w:snapToGrid w:val="0"/>
                <w:color w:val="auto"/>
                <w:kern w:val="2"/>
                <w:sz w:val="20"/>
              </w:rPr>
              <w:t xml:space="preserve"> (8)经会计师事务所或审计机构审计的财务会计报表，包括资产负债表、现金流量表、利润表和财务情况说明书；</w:t>
            </w:r>
          </w:p>
          <w:p>
            <w:pPr>
              <w:ind w:firstLine="400" w:firstLineChars="20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(9) 投标人在“浙江省水利建设市场信息平台” 公示本企业及拟投入本项目管理班子成员信息及外地进浙施工企业的委托代理人在“浙江省水利建设市场信息平台”上已经公示的授权的代理人的网页打印件（加盖单位公章）应装订在投标文件正本中；评审时应对信息进行复核，以投标截止日“浙江水利建设市场信息平台”公示信息为准；</w:t>
            </w:r>
          </w:p>
          <w:p>
            <w:pPr>
              <w:ind w:firstLine="39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 xml:space="preserve"> (10) 其他资料。</w:t>
            </w:r>
          </w:p>
          <w:p>
            <w:pPr>
              <w:ind w:firstLine="400" w:firstLineChars="20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2 项目部部分</w:t>
            </w:r>
          </w:p>
          <w:p>
            <w:pPr>
              <w:numPr>
                <w:ilvl w:val="0"/>
                <w:numId w:val="7"/>
              </w:numPr>
              <w:ind w:firstLine="400" w:firstLineChars="20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项目负责人的水利水电工程贰级及以上建造师注册证书并在投标截止日不得在其他任何在建合同工程中担任项目负责人。其他在建合同工程的开始时间为合同工程中标通知书发出之日（不通过招标方式的，开始时间为合同签订之日），结束时间为该合同工程通过验收或合同解除之日；</w:t>
            </w:r>
          </w:p>
          <w:p>
            <w:pPr>
              <w:ind w:firstLine="384" w:firstLineChars="200"/>
              <w:rPr>
                <w:rFonts w:hint="eastAsia" w:ascii="仿宋" w:hAnsi="仿宋" w:eastAsia="仿宋" w:cs="仿宋"/>
                <w:snapToGrid w:val="0"/>
                <w:color w:val="auto"/>
                <w:kern w:val="2"/>
                <w:sz w:val="20"/>
              </w:rPr>
            </w:pPr>
            <w:r>
              <w:rPr>
                <w:rFonts w:hint="eastAsia" w:ascii="仿宋" w:hAnsi="仿宋" w:eastAsia="仿宋" w:cs="仿宋"/>
                <w:snapToGrid w:val="0"/>
                <w:color w:val="auto"/>
                <w:spacing w:val="-4"/>
                <w:kern w:val="2"/>
                <w:sz w:val="20"/>
              </w:rPr>
              <w:t>(2) 项目负责人的水利行业主管部门颁发的安全生产考核合格证书(B证)</w:t>
            </w:r>
            <w:r>
              <w:rPr>
                <w:rFonts w:hint="eastAsia" w:ascii="仿宋" w:hAnsi="仿宋" w:eastAsia="仿宋" w:cs="仿宋"/>
                <w:snapToGrid w:val="0"/>
                <w:color w:val="auto"/>
                <w:kern w:val="2"/>
                <w:sz w:val="20"/>
              </w:rPr>
              <w:t>；</w:t>
            </w:r>
          </w:p>
          <w:p>
            <w:pPr>
              <w:ind w:firstLine="384" w:firstLineChars="200"/>
              <w:rPr>
                <w:rFonts w:hint="eastAsia" w:ascii="仿宋" w:hAnsi="仿宋" w:eastAsia="仿宋" w:cs="仿宋"/>
                <w:snapToGrid w:val="0"/>
                <w:color w:val="auto"/>
                <w:kern w:val="2"/>
                <w:sz w:val="20"/>
                <w:lang w:eastAsia="zh-CN"/>
              </w:rPr>
            </w:pPr>
            <w:r>
              <w:rPr>
                <w:rFonts w:hint="eastAsia" w:ascii="仿宋" w:hAnsi="仿宋" w:eastAsia="仿宋" w:cs="仿宋"/>
                <w:snapToGrid w:val="0"/>
                <w:color w:val="auto"/>
                <w:spacing w:val="-4"/>
                <w:kern w:val="2"/>
                <w:sz w:val="20"/>
              </w:rPr>
              <w:t xml:space="preserve">(3) </w:t>
            </w:r>
            <w:r>
              <w:rPr>
                <w:rFonts w:hint="eastAsia" w:ascii="仿宋" w:hAnsi="仿宋" w:eastAsia="仿宋" w:cs="仿宋"/>
                <w:snapToGrid w:val="0"/>
                <w:color w:val="auto"/>
                <w:kern w:val="2"/>
                <w:sz w:val="20"/>
              </w:rPr>
              <w:t>项目技术负责人应持有水利水电工程专业的二级及以上建造师注册证书，且必须具有水利相关专业工程师及以上职称证书；（职称证书未注明专业的，要求提供毕业证书以满足水利类工程师的条件）</w:t>
            </w:r>
            <w:r>
              <w:rPr>
                <w:rFonts w:hint="eastAsia" w:ascii="仿宋" w:hAnsi="仿宋" w:eastAsia="仿宋" w:cs="仿宋"/>
                <w:snapToGrid w:val="0"/>
                <w:color w:val="auto"/>
                <w:kern w:val="2"/>
                <w:sz w:val="20"/>
                <w:lang w:eastAsia="zh-CN"/>
              </w:rPr>
              <w:t>；</w:t>
            </w:r>
          </w:p>
          <w:p>
            <w:pPr>
              <w:ind w:firstLine="400" w:firstLineChars="20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(4) 项目安全员、质量员和施工员必须持有省级及以上水利行政主管部门颁发或认可的上岗证；</w:t>
            </w:r>
          </w:p>
          <w:p>
            <w:pPr>
              <w:ind w:firstLine="400" w:firstLineChars="20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(5) 项目质量负责人的水利水电工程贰级及以上建造师注册证书；</w:t>
            </w:r>
          </w:p>
          <w:p>
            <w:pPr>
              <w:ind w:firstLine="400" w:firstLineChars="20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(6) 项目安全负责人的水利水电工程贰级及以上建造师注册证书；</w:t>
            </w:r>
          </w:p>
          <w:p>
            <w:pPr>
              <w:ind w:firstLine="42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(7) 项目专职安全生产管理人员的省级及以上水利行政主管部门颁发的安全生产考核合格证书(C证)；</w:t>
            </w:r>
          </w:p>
          <w:p>
            <w:pPr>
              <w:ind w:firstLine="42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(8) 委托代理人及拟派本工程的主要人员连续近3个月社保缴费证明；</w:t>
            </w:r>
          </w:p>
          <w:p>
            <w:pPr>
              <w:ind w:firstLine="420"/>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(9) 项目负责人无担任其他工程项目、无限制投标的不良行为记录承诺书；</w:t>
            </w:r>
          </w:p>
          <w:p>
            <w:pPr>
              <w:ind w:firstLine="420"/>
              <w:rPr>
                <w:rFonts w:hint="eastAsia" w:ascii="仿宋" w:hAnsi="仿宋" w:eastAsia="仿宋" w:cs="仿宋"/>
                <w:snapToGrid w:val="0"/>
                <w:color w:val="auto"/>
                <w:kern w:val="2"/>
                <w:sz w:val="20"/>
                <w:szCs w:val="20"/>
              </w:rPr>
            </w:pPr>
            <w:r>
              <w:rPr>
                <w:rFonts w:hint="eastAsia" w:ascii="仿宋" w:hAnsi="仿宋" w:eastAsia="仿宋" w:cs="仿宋"/>
                <w:snapToGrid w:val="0"/>
                <w:color w:val="auto"/>
                <w:kern w:val="2"/>
                <w:sz w:val="20"/>
                <w:szCs w:val="20"/>
              </w:rPr>
              <w:t>(10)无欠薪承诺。</w:t>
            </w:r>
          </w:p>
          <w:p>
            <w:pPr>
              <w:pStyle w:val="59"/>
              <w:jc w:val="both"/>
              <w:rPr>
                <w:rFonts w:hint="eastAsia" w:ascii="仿宋" w:hAnsi="仿宋" w:eastAsia="仿宋" w:cs="仿宋"/>
                <w:b/>
                <w:bCs/>
                <w:color w:val="auto"/>
                <w:kern w:val="2"/>
                <w:sz w:val="20"/>
                <w:szCs w:val="20"/>
                <w:lang w:val="en-US" w:eastAsia="zh-CN"/>
              </w:rPr>
            </w:pPr>
            <w:r>
              <w:rPr>
                <w:rFonts w:hint="eastAsia" w:ascii="仿宋" w:hAnsi="仿宋" w:eastAsia="仿宋" w:cs="仿宋"/>
                <w:b/>
                <w:snapToGrid w:val="0"/>
                <w:color w:val="auto"/>
                <w:kern w:val="2"/>
                <w:sz w:val="20"/>
                <w:szCs w:val="20"/>
              </w:rPr>
              <w:t>备注：</w:t>
            </w:r>
            <w:r>
              <w:rPr>
                <w:rFonts w:hint="eastAsia" w:ascii="仿宋" w:hAnsi="仿宋" w:eastAsia="仿宋" w:cs="仿宋"/>
                <w:b/>
                <w:snapToGrid w:val="0"/>
                <w:color w:val="auto"/>
                <w:kern w:val="2"/>
                <w:sz w:val="20"/>
                <w:szCs w:val="20"/>
                <w:lang w:val="en-US" w:eastAsia="zh-CN"/>
              </w:rPr>
              <w:t>1.</w:t>
            </w:r>
            <w:r>
              <w:rPr>
                <w:rFonts w:hint="eastAsia" w:ascii="仿宋" w:hAnsi="仿宋" w:eastAsia="仿宋" w:cs="仿宋"/>
                <w:b/>
                <w:snapToGrid w:val="0"/>
                <w:color w:val="auto"/>
                <w:kern w:val="2"/>
                <w:sz w:val="20"/>
                <w:szCs w:val="20"/>
              </w:rPr>
              <w:t>如果安全生产许可证和建造师注册证书已用行政主管部门颁发的电子证书代替纸质证书的，可以使用电子证书打印件（加盖单位公章）作为原件。</w:t>
            </w:r>
            <w:r>
              <w:rPr>
                <w:rFonts w:hint="eastAsia" w:ascii="仿宋" w:hAnsi="仿宋" w:eastAsia="仿宋" w:cs="仿宋"/>
                <w:b/>
                <w:snapToGrid w:val="0"/>
                <w:color w:val="auto"/>
                <w:kern w:val="2"/>
                <w:sz w:val="20"/>
                <w:szCs w:val="20"/>
                <w:lang w:val="en-US" w:eastAsia="zh-CN"/>
              </w:rPr>
              <w:t>2.三类人员证书为电子证书，否则视无效标处理。</w:t>
            </w:r>
          </w:p>
          <w:p>
            <w:pPr>
              <w:snapToGrid w:val="0"/>
              <w:jc w:val="left"/>
              <w:textAlignment w:val="auto"/>
              <w:rPr>
                <w:rFonts w:hint="eastAsia" w:ascii="仿宋" w:hAnsi="仿宋" w:eastAsia="仿宋" w:cs="仿宋"/>
                <w:color w:val="auto"/>
                <w:kern w:val="2"/>
                <w:sz w:val="20"/>
              </w:rPr>
            </w:pPr>
            <w:r>
              <w:rPr>
                <w:rFonts w:hint="eastAsia" w:ascii="仿宋" w:hAnsi="仿宋" w:eastAsia="仿宋" w:cs="仿宋"/>
                <w:snapToGrid w:val="0"/>
                <w:color w:val="auto"/>
                <w:kern w:val="2"/>
                <w:sz w:val="20"/>
              </w:rPr>
              <w:t>□不提交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76" w:type="dxa"/>
            <w:tcBorders>
              <w:top w:val="single" w:color="auto" w:sz="4" w:space="0"/>
              <w:left w:val="single" w:color="auto" w:sz="8" w:space="0"/>
              <w:bottom w:val="single" w:color="auto" w:sz="4" w:space="0"/>
              <w:right w:val="single" w:color="auto" w:sz="4" w:space="0"/>
            </w:tcBorders>
            <w:vAlign w:val="center"/>
          </w:tcPr>
          <w:p>
            <w:pPr>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10.5</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招标人最高限价及安全施工费</w:t>
            </w:r>
          </w:p>
        </w:tc>
        <w:tc>
          <w:tcPr>
            <w:tcW w:w="6946" w:type="dxa"/>
            <w:tcBorders>
              <w:top w:val="single" w:color="auto" w:sz="4" w:space="0"/>
              <w:left w:val="single" w:color="auto" w:sz="4" w:space="0"/>
              <w:bottom w:val="single" w:color="auto" w:sz="4" w:space="0"/>
              <w:right w:val="single" w:color="auto" w:sz="8" w:space="0"/>
            </w:tcBorders>
            <w:vAlign w:val="center"/>
          </w:tcPr>
          <w:p>
            <w:pPr>
              <w:pStyle w:val="11"/>
              <w:rPr>
                <w:rFonts w:hint="eastAsia" w:ascii="仿宋" w:hAnsi="仿宋" w:eastAsia="仿宋" w:cs="仿宋"/>
                <w:b/>
                <w:snapToGrid w:val="0"/>
                <w:color w:val="auto"/>
                <w:kern w:val="2"/>
                <w:sz w:val="20"/>
                <w:highlight w:val="yellow"/>
              </w:rPr>
            </w:pPr>
            <w:r>
              <w:rPr>
                <w:rFonts w:hint="eastAsia" w:ascii="仿宋" w:hAnsi="仿宋" w:eastAsia="仿宋" w:cs="仿宋"/>
                <w:b/>
                <w:snapToGrid w:val="0"/>
                <w:color w:val="auto"/>
                <w:kern w:val="2"/>
                <w:sz w:val="20"/>
                <w:highlight w:val="yellow"/>
              </w:rPr>
              <w:t>本项目最高限价为：</w:t>
            </w:r>
            <w:r>
              <w:rPr>
                <w:rFonts w:hint="eastAsia" w:ascii="仿宋" w:hAnsi="仿宋" w:eastAsia="仿宋" w:cs="仿宋"/>
                <w:b/>
                <w:snapToGrid w:val="0"/>
                <w:color w:val="auto"/>
                <w:kern w:val="2"/>
                <w:sz w:val="20"/>
                <w:highlight w:val="yellow"/>
                <w:lang w:val="en-US" w:eastAsia="zh-CN"/>
              </w:rPr>
              <w:t>4924729</w:t>
            </w:r>
            <w:r>
              <w:rPr>
                <w:rFonts w:hint="eastAsia" w:ascii="仿宋" w:hAnsi="仿宋" w:eastAsia="仿宋" w:cs="仿宋"/>
                <w:b/>
                <w:snapToGrid w:val="0"/>
                <w:color w:val="auto"/>
                <w:kern w:val="2"/>
                <w:sz w:val="20"/>
                <w:highlight w:val="yellow"/>
              </w:rPr>
              <w:t>元</w:t>
            </w:r>
            <w:r>
              <w:rPr>
                <w:rFonts w:hint="eastAsia" w:ascii="仿宋" w:hAnsi="仿宋" w:eastAsia="仿宋" w:cs="仿宋"/>
                <w:b/>
                <w:snapToGrid w:val="0"/>
                <w:color w:val="auto"/>
                <w:kern w:val="2"/>
                <w:sz w:val="20"/>
                <w:highlight w:val="yellow"/>
                <w:lang w:eastAsia="zh-CN"/>
              </w:rPr>
              <w:t>，</w:t>
            </w:r>
            <w:r>
              <w:rPr>
                <w:rFonts w:hint="eastAsia" w:ascii="仿宋" w:hAnsi="仿宋" w:eastAsia="仿宋" w:cs="仿宋"/>
                <w:b/>
                <w:snapToGrid w:val="0"/>
                <w:color w:val="auto"/>
                <w:kern w:val="2"/>
                <w:sz w:val="20"/>
                <w:highlight w:val="yellow"/>
              </w:rPr>
              <w:t>安全施工费</w:t>
            </w:r>
            <w:r>
              <w:rPr>
                <w:rFonts w:hint="eastAsia" w:ascii="仿宋" w:hAnsi="仿宋" w:eastAsia="仿宋" w:cs="仿宋"/>
                <w:b/>
                <w:snapToGrid w:val="0"/>
                <w:color w:val="auto"/>
                <w:kern w:val="2"/>
                <w:sz w:val="20"/>
                <w:highlight w:val="yellow"/>
                <w:lang w:eastAsia="zh-CN"/>
              </w:rPr>
              <w:t>为</w:t>
            </w:r>
            <w:r>
              <w:rPr>
                <w:rFonts w:hint="eastAsia" w:ascii="仿宋" w:hAnsi="仿宋" w:eastAsia="仿宋" w:cs="仿宋"/>
                <w:b/>
                <w:snapToGrid w:val="0"/>
                <w:color w:val="auto"/>
                <w:kern w:val="2"/>
                <w:sz w:val="20"/>
                <w:highlight w:val="yellow"/>
                <w:lang w:val="en-US" w:eastAsia="zh-CN"/>
              </w:rPr>
              <w:t>73599</w:t>
            </w:r>
            <w:r>
              <w:rPr>
                <w:rFonts w:hint="eastAsia" w:ascii="仿宋" w:hAnsi="仿宋" w:eastAsia="仿宋" w:cs="仿宋"/>
                <w:b/>
                <w:snapToGrid w:val="0"/>
                <w:color w:val="auto"/>
                <w:kern w:val="2"/>
                <w:sz w:val="20"/>
                <w:highlight w:val="yellow"/>
              </w:rPr>
              <w:t>元，安全施工费不得作为竞争性费用（安全文明施工费统一计入水利工程其他项目的安全施工费中，执行水利工程安全文明施工费的计量支付规则）</w:t>
            </w:r>
            <w:r>
              <w:rPr>
                <w:rFonts w:hint="eastAsia" w:ascii="仿宋" w:hAnsi="仿宋" w:eastAsia="仿宋" w:cs="仿宋"/>
                <w:b/>
                <w:snapToGrid w:val="0"/>
                <w:color w:val="auto"/>
                <w:kern w:val="2"/>
                <w:sz w:val="20"/>
                <w:highlight w:val="yellow"/>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76" w:type="dxa"/>
            <w:tcBorders>
              <w:top w:val="single" w:color="auto" w:sz="4" w:space="0"/>
              <w:left w:val="single" w:color="auto" w:sz="8" w:space="0"/>
              <w:bottom w:val="single" w:color="auto" w:sz="4" w:space="0"/>
              <w:right w:val="single" w:color="auto" w:sz="4" w:space="0"/>
            </w:tcBorders>
            <w:vAlign w:val="center"/>
          </w:tcPr>
          <w:p>
            <w:pPr>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10.6</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napToGrid w:val="0"/>
                <w:color w:val="auto"/>
                <w:kern w:val="2"/>
                <w:sz w:val="20"/>
                <w:szCs w:val="20"/>
              </w:rPr>
            </w:pPr>
            <w:r>
              <w:rPr>
                <w:rFonts w:hint="eastAsia" w:ascii="仿宋" w:hAnsi="仿宋" w:eastAsia="仿宋" w:cs="仿宋"/>
                <w:snapToGrid w:val="0"/>
                <w:color w:val="auto"/>
                <w:kern w:val="2"/>
                <w:sz w:val="20"/>
                <w:szCs w:val="20"/>
              </w:rPr>
              <w:t>行贿犯罪与不良行为档案记录查询</w:t>
            </w:r>
          </w:p>
        </w:tc>
        <w:tc>
          <w:tcPr>
            <w:tcW w:w="6946" w:type="dxa"/>
            <w:tcBorders>
              <w:top w:val="single" w:color="auto" w:sz="4" w:space="0"/>
              <w:left w:val="single" w:color="auto" w:sz="4" w:space="0"/>
              <w:bottom w:val="single" w:color="auto" w:sz="4" w:space="0"/>
              <w:right w:val="single" w:color="auto" w:sz="8" w:space="0"/>
            </w:tcBorders>
            <w:vAlign w:val="center"/>
          </w:tcPr>
          <w:p>
            <w:pPr>
              <w:rPr>
                <w:rFonts w:hint="eastAsia" w:ascii="仿宋" w:hAnsi="仿宋" w:eastAsia="仿宋" w:cs="仿宋"/>
                <w:snapToGrid w:val="0"/>
                <w:color w:val="auto"/>
                <w:kern w:val="2"/>
                <w:sz w:val="20"/>
                <w:szCs w:val="20"/>
              </w:rPr>
            </w:pPr>
            <w:r>
              <w:rPr>
                <w:rFonts w:hint="eastAsia" w:ascii="仿宋" w:hAnsi="仿宋" w:eastAsia="仿宋" w:cs="仿宋"/>
                <w:snapToGrid w:val="0"/>
                <w:color w:val="auto"/>
                <w:kern w:val="2"/>
                <w:sz w:val="20"/>
                <w:szCs w:val="20"/>
              </w:rPr>
              <w:t>由投标人登录中国裁判文书网（http</w:t>
            </w:r>
            <w:r>
              <w:rPr>
                <w:rFonts w:hint="eastAsia" w:ascii="仿宋" w:hAnsi="仿宋" w:eastAsia="仿宋" w:cs="仿宋"/>
                <w:snapToGrid w:val="0"/>
                <w:color w:val="auto"/>
                <w:kern w:val="2"/>
                <w:sz w:val="20"/>
                <w:szCs w:val="20"/>
                <w:lang w:val="en-US" w:eastAsia="zh-CN"/>
              </w:rPr>
              <w:t>s</w:t>
            </w:r>
            <w:r>
              <w:rPr>
                <w:rFonts w:hint="eastAsia" w:ascii="仿宋" w:hAnsi="仿宋" w:eastAsia="仿宋" w:cs="仿宋"/>
                <w:snapToGrid w:val="0"/>
                <w:color w:val="auto"/>
                <w:kern w:val="2"/>
                <w:sz w:val="20"/>
                <w:szCs w:val="20"/>
              </w:rPr>
              <w:t>://wenshu.court.gov.cn/）自行查询行贿犯罪记录及有无被项目所在地区（</w:t>
            </w:r>
            <w:r>
              <w:rPr>
                <w:rFonts w:hint="eastAsia" w:ascii="仿宋" w:hAnsi="仿宋" w:eastAsia="仿宋" w:cs="仿宋"/>
                <w:snapToGrid w:val="0"/>
                <w:color w:val="auto"/>
                <w:kern w:val="2"/>
                <w:sz w:val="20"/>
                <w:szCs w:val="20"/>
                <w:lang w:eastAsia="zh-CN"/>
              </w:rPr>
              <w:t>吴兴区</w:t>
            </w:r>
            <w:r>
              <w:rPr>
                <w:rFonts w:hint="eastAsia" w:ascii="仿宋" w:hAnsi="仿宋" w:eastAsia="仿宋" w:cs="仿宋"/>
                <w:snapToGrid w:val="0"/>
                <w:color w:val="auto"/>
                <w:kern w:val="2"/>
                <w:sz w:val="20"/>
                <w:szCs w:val="20"/>
              </w:rPr>
              <w:t>）水利建设市场限制投标的不良行为档案记录查询。若发现存在水利建设市场主体不良行为档案记录，一律取消其中标资格，并没收投标保证金。</w:t>
            </w:r>
          </w:p>
          <w:p>
            <w:pPr>
              <w:rPr>
                <w:rFonts w:hint="eastAsia" w:ascii="仿宋" w:hAnsi="仿宋" w:eastAsia="仿宋" w:cs="仿宋"/>
                <w:snapToGrid w:val="0"/>
                <w:color w:val="auto"/>
                <w:kern w:val="2"/>
                <w:sz w:val="20"/>
                <w:szCs w:val="20"/>
              </w:rPr>
            </w:pPr>
            <w:r>
              <w:rPr>
                <w:rFonts w:hint="eastAsia" w:ascii="仿宋" w:hAnsi="仿宋" w:eastAsia="仿宋" w:cs="仿宋"/>
                <w:snapToGrid w:val="0"/>
                <w:color w:val="auto"/>
                <w:kern w:val="2"/>
                <w:sz w:val="20"/>
                <w:szCs w:val="20"/>
              </w:rPr>
              <w:t>中标候选人拟派本标段的项目负责人不得在其他任何在建合同工程中担任项目负责人，若发现其有的，一律取消其中标资格，并没收投标保证金。</w:t>
            </w:r>
          </w:p>
          <w:p>
            <w:pPr>
              <w:rPr>
                <w:rFonts w:hint="eastAsia" w:ascii="仿宋" w:hAnsi="仿宋" w:eastAsia="仿宋" w:cs="仿宋"/>
                <w:snapToGrid w:val="0"/>
                <w:color w:val="auto"/>
                <w:kern w:val="2"/>
                <w:sz w:val="20"/>
                <w:szCs w:val="20"/>
              </w:rPr>
            </w:pPr>
            <w:r>
              <w:rPr>
                <w:rFonts w:hint="eastAsia" w:ascii="仿宋" w:hAnsi="仿宋" w:eastAsia="仿宋" w:cs="仿宋"/>
                <w:snapToGrid w:val="0"/>
                <w:color w:val="auto"/>
                <w:kern w:val="2"/>
                <w:sz w:val="20"/>
                <w:szCs w:val="20"/>
              </w:rPr>
              <w:t>评审委员会将在评审过程中对项目负责人在建情况进行查询，有在建的投标人将不予进入下一评审环节，招标人在定标前将对中标候选人拟派项目负责人在建情况做进一步查询。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876" w:type="dxa"/>
            <w:tcBorders>
              <w:top w:val="single" w:color="auto" w:sz="4" w:space="0"/>
              <w:left w:val="single" w:color="auto" w:sz="8" w:space="0"/>
              <w:bottom w:val="single" w:color="auto" w:sz="4" w:space="0"/>
              <w:right w:val="single" w:color="auto" w:sz="4" w:space="0"/>
            </w:tcBorders>
            <w:vAlign w:val="center"/>
          </w:tcPr>
          <w:p>
            <w:pPr>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10.7</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评标结果公示</w:t>
            </w:r>
          </w:p>
        </w:tc>
        <w:tc>
          <w:tcPr>
            <w:tcW w:w="6946" w:type="dxa"/>
            <w:tcBorders>
              <w:top w:val="single" w:color="auto" w:sz="4" w:space="0"/>
              <w:left w:val="single" w:color="auto" w:sz="4" w:space="0"/>
              <w:bottom w:val="single" w:color="auto" w:sz="4" w:space="0"/>
              <w:right w:val="single" w:color="auto" w:sz="8" w:space="0"/>
            </w:tcBorders>
            <w:vAlign w:val="center"/>
          </w:tcPr>
          <w:p>
            <w:pPr>
              <w:rPr>
                <w:rFonts w:hint="eastAsia" w:ascii="仿宋" w:hAnsi="仿宋" w:eastAsia="仿宋" w:cs="仿宋"/>
                <w:snapToGrid w:val="0"/>
                <w:color w:val="auto"/>
                <w:kern w:val="2"/>
                <w:sz w:val="20"/>
              </w:rPr>
            </w:pPr>
            <w:r>
              <w:rPr>
                <w:rFonts w:hint="eastAsia" w:ascii="仿宋" w:hAnsi="仿宋" w:eastAsia="仿宋" w:cs="仿宋"/>
                <w:b/>
                <w:snapToGrid w:val="0"/>
                <w:color w:val="auto"/>
                <w:kern w:val="2"/>
                <w:sz w:val="20"/>
              </w:rPr>
              <w:t>推荐1-3名中标候选人。</w:t>
            </w:r>
            <w:r>
              <w:rPr>
                <w:rFonts w:hint="eastAsia" w:ascii="仿宋" w:hAnsi="仿宋" w:eastAsia="仿宋" w:cs="仿宋"/>
                <w:b/>
                <w:bCs/>
                <w:snapToGrid w:val="0"/>
                <w:color w:val="auto"/>
                <w:kern w:val="2"/>
                <w:sz w:val="20"/>
                <w:lang w:val="zh-TW"/>
              </w:rPr>
              <w:t>评标结束后，将评标结果在原发布招标公告网上公示3天，公示包括推荐中标候选人及其最终报价等。如果发现有弄虚作假的行为，取消中标资格，并建议政府主管部门予以通报</w:t>
            </w:r>
            <w:r>
              <w:rPr>
                <w:rFonts w:hint="eastAsia" w:ascii="仿宋" w:hAnsi="仿宋" w:eastAsia="仿宋" w:cs="仿宋"/>
                <w:snapToGrid w:val="0"/>
                <w:color w:val="auto"/>
                <w:kern w:val="2"/>
                <w:sz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876" w:type="dxa"/>
            <w:tcBorders>
              <w:top w:val="single" w:color="auto" w:sz="4" w:space="0"/>
              <w:left w:val="single" w:color="auto" w:sz="8" w:space="0"/>
              <w:bottom w:val="single" w:color="auto" w:sz="4" w:space="0"/>
              <w:right w:val="single" w:color="auto" w:sz="4" w:space="0"/>
            </w:tcBorders>
            <w:vAlign w:val="center"/>
          </w:tcPr>
          <w:p>
            <w:pPr>
              <w:jc w:val="center"/>
              <w:rPr>
                <w:rFonts w:hint="eastAsia" w:ascii="仿宋" w:hAnsi="仿宋" w:eastAsia="仿宋" w:cs="仿宋"/>
                <w:snapToGrid w:val="0"/>
                <w:color w:val="auto"/>
                <w:kern w:val="2"/>
                <w:sz w:val="20"/>
              </w:rPr>
            </w:pPr>
            <w:r>
              <w:rPr>
                <w:rFonts w:hint="eastAsia" w:ascii="仿宋" w:hAnsi="仿宋" w:eastAsia="仿宋" w:cs="仿宋"/>
                <w:snapToGrid w:val="0"/>
                <w:color w:val="auto"/>
                <w:kern w:val="2"/>
                <w:sz w:val="20"/>
              </w:rPr>
              <w:t>10.8</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napToGrid w:val="0"/>
                <w:color w:val="auto"/>
                <w:kern w:val="2"/>
                <w:sz w:val="20"/>
              </w:rPr>
            </w:pPr>
            <w:r>
              <w:rPr>
                <w:rFonts w:hint="eastAsia" w:ascii="仿宋" w:hAnsi="仿宋" w:eastAsia="仿宋" w:cs="仿宋"/>
                <w:b/>
                <w:bCs/>
                <w:snapToGrid w:val="0"/>
                <w:color w:val="auto"/>
                <w:kern w:val="2"/>
                <w:sz w:val="20"/>
              </w:rPr>
              <w:t>投标人硬件设备要求</w:t>
            </w:r>
          </w:p>
        </w:tc>
        <w:tc>
          <w:tcPr>
            <w:tcW w:w="6946" w:type="dxa"/>
            <w:tcBorders>
              <w:top w:val="single" w:color="auto" w:sz="4" w:space="0"/>
              <w:left w:val="single" w:color="auto" w:sz="4" w:space="0"/>
              <w:bottom w:val="single" w:color="auto" w:sz="4" w:space="0"/>
              <w:right w:val="single" w:color="auto" w:sz="8" w:space="0"/>
            </w:tcBorders>
            <w:vAlign w:val="center"/>
          </w:tcPr>
          <w:p>
            <w:pPr>
              <w:rPr>
                <w:rFonts w:hint="eastAsia" w:ascii="仿宋" w:hAnsi="仿宋" w:eastAsia="仿宋" w:cs="仿宋"/>
                <w:b/>
                <w:bCs/>
                <w:snapToGrid w:val="0"/>
                <w:color w:val="auto"/>
                <w:kern w:val="2"/>
                <w:sz w:val="20"/>
              </w:rPr>
            </w:pPr>
            <w:r>
              <w:rPr>
                <w:rFonts w:hint="eastAsia" w:ascii="仿宋" w:hAnsi="仿宋" w:eastAsia="仿宋" w:cs="仿宋"/>
                <w:b/>
                <w:bCs/>
                <w:snapToGrid w:val="0"/>
                <w:color w:val="auto"/>
                <w:kern w:val="2"/>
                <w:sz w:val="20"/>
              </w:rPr>
              <w:t>各投标人需要保障参与不见面开标的电脑硬件要求符合以下内容：</w:t>
            </w:r>
          </w:p>
          <w:p>
            <w:pPr>
              <w:rPr>
                <w:rFonts w:hint="eastAsia" w:ascii="仿宋" w:hAnsi="仿宋" w:eastAsia="仿宋" w:cs="仿宋"/>
                <w:b/>
                <w:bCs/>
                <w:snapToGrid w:val="0"/>
                <w:color w:val="auto"/>
                <w:kern w:val="2"/>
                <w:sz w:val="20"/>
              </w:rPr>
            </w:pPr>
            <w:r>
              <w:rPr>
                <w:rFonts w:hint="eastAsia" w:ascii="仿宋" w:hAnsi="仿宋" w:eastAsia="仿宋" w:cs="仿宋"/>
                <w:b/>
                <w:bCs/>
                <w:snapToGrid w:val="0"/>
                <w:color w:val="auto"/>
                <w:kern w:val="2"/>
                <w:sz w:val="20"/>
              </w:rPr>
              <w:t>1.具备摄像头与耳麦（用于接收代理公司开标指令）。</w:t>
            </w:r>
          </w:p>
          <w:p>
            <w:pPr>
              <w:rPr>
                <w:rFonts w:hint="eastAsia" w:ascii="仿宋" w:hAnsi="仿宋" w:eastAsia="仿宋" w:cs="仿宋"/>
                <w:b/>
                <w:bCs/>
                <w:snapToGrid w:val="0"/>
                <w:color w:val="auto"/>
                <w:kern w:val="2"/>
                <w:sz w:val="20"/>
              </w:rPr>
            </w:pPr>
            <w:r>
              <w:rPr>
                <w:rFonts w:hint="eastAsia" w:ascii="仿宋" w:hAnsi="仿宋" w:eastAsia="仿宋" w:cs="仿宋"/>
                <w:b/>
                <w:bCs/>
                <w:snapToGrid w:val="0"/>
                <w:color w:val="auto"/>
                <w:kern w:val="2"/>
                <w:sz w:val="20"/>
              </w:rPr>
              <w:t>2.要求使用ie浏览器11及以上版本。</w:t>
            </w:r>
          </w:p>
          <w:p>
            <w:pPr>
              <w:rPr>
                <w:rFonts w:hint="eastAsia" w:ascii="仿宋" w:hAnsi="仿宋" w:eastAsia="仿宋" w:cs="仿宋"/>
                <w:b/>
                <w:bCs/>
                <w:snapToGrid w:val="0"/>
                <w:color w:val="auto"/>
                <w:kern w:val="2"/>
                <w:sz w:val="20"/>
              </w:rPr>
            </w:pPr>
            <w:r>
              <w:rPr>
                <w:rFonts w:hint="eastAsia" w:ascii="仿宋" w:hAnsi="仿宋" w:eastAsia="仿宋" w:cs="仿宋"/>
                <w:b/>
                <w:bCs/>
                <w:snapToGrid w:val="0"/>
                <w:color w:val="auto"/>
                <w:kern w:val="2"/>
                <w:sz w:val="20"/>
              </w:rPr>
              <w:t>3.电脑操作系统要求在win7及以上。</w:t>
            </w:r>
          </w:p>
          <w:p>
            <w:pPr>
              <w:rPr>
                <w:rFonts w:hint="eastAsia" w:ascii="仿宋" w:hAnsi="仿宋" w:eastAsia="仿宋" w:cs="仿宋"/>
                <w:b/>
                <w:bCs/>
                <w:snapToGrid w:val="0"/>
                <w:color w:val="auto"/>
                <w:kern w:val="2"/>
                <w:sz w:val="20"/>
              </w:rPr>
            </w:pPr>
            <w:r>
              <w:rPr>
                <w:rFonts w:hint="eastAsia" w:ascii="仿宋" w:hAnsi="仿宋" w:eastAsia="仿宋" w:cs="仿宋"/>
                <w:b/>
                <w:bCs/>
                <w:snapToGrid w:val="0"/>
                <w:color w:val="auto"/>
                <w:kern w:val="2"/>
                <w:sz w:val="20"/>
              </w:rPr>
              <w:t>4.内存要求在4G以上。</w:t>
            </w:r>
          </w:p>
          <w:p>
            <w:pPr>
              <w:rPr>
                <w:rFonts w:hint="eastAsia" w:ascii="仿宋" w:hAnsi="仿宋" w:eastAsia="仿宋" w:cs="仿宋"/>
                <w:b/>
                <w:bCs/>
                <w:snapToGrid w:val="0"/>
                <w:color w:val="auto"/>
                <w:kern w:val="2"/>
                <w:sz w:val="20"/>
              </w:rPr>
            </w:pPr>
            <w:r>
              <w:rPr>
                <w:rFonts w:hint="eastAsia" w:ascii="仿宋" w:hAnsi="仿宋" w:eastAsia="仿宋" w:cs="仿宋"/>
                <w:b/>
                <w:bCs/>
                <w:snapToGrid w:val="0"/>
                <w:color w:val="auto"/>
                <w:kern w:val="2"/>
                <w:sz w:val="20"/>
              </w:rPr>
              <w:t>5.要求正确安装湖州市电子招投标驱动程序。</w:t>
            </w:r>
          </w:p>
          <w:p>
            <w:pPr>
              <w:rPr>
                <w:rFonts w:hint="eastAsia" w:ascii="仿宋" w:hAnsi="仿宋" w:eastAsia="仿宋" w:cs="仿宋"/>
                <w:b/>
                <w:bCs/>
                <w:snapToGrid w:val="0"/>
                <w:color w:val="auto"/>
                <w:kern w:val="2"/>
                <w:sz w:val="20"/>
              </w:rPr>
            </w:pPr>
            <w:r>
              <w:rPr>
                <w:rFonts w:hint="eastAsia" w:ascii="仿宋" w:hAnsi="仿宋" w:eastAsia="仿宋" w:cs="仿宋"/>
                <w:b/>
                <w:bCs/>
                <w:snapToGrid w:val="0"/>
                <w:color w:val="auto"/>
                <w:kern w:val="2"/>
                <w:sz w:val="20"/>
              </w:rPr>
              <w:t>开标过程中不得随意离开摄像头范围，因投标单位自身原因造成未成功解密的，均按未提交投标文件处理。</w:t>
            </w:r>
          </w:p>
        </w:tc>
      </w:tr>
    </w:tbl>
    <w:p>
      <w:pPr>
        <w:pStyle w:val="7"/>
        <w:snapToGrid w:val="0"/>
        <w:spacing w:line="374" w:lineRule="exact"/>
        <w:jc w:val="both"/>
        <w:rPr>
          <w:rFonts w:hint="eastAsia" w:ascii="仿宋" w:hAnsi="仿宋" w:eastAsia="仿宋" w:cs="仿宋"/>
          <w:snapToGrid w:val="0"/>
          <w:color w:val="auto"/>
          <w:sz w:val="21"/>
          <w:szCs w:val="21"/>
        </w:rPr>
      </w:pPr>
    </w:p>
    <w:p>
      <w:pPr>
        <w:pStyle w:val="7"/>
        <w:snapToGrid w:val="0"/>
        <w:spacing w:line="374" w:lineRule="exact"/>
        <w:jc w:val="both"/>
        <w:rPr>
          <w:rFonts w:hint="eastAsia" w:ascii="仿宋" w:hAnsi="仿宋" w:eastAsia="仿宋" w:cs="仿宋"/>
          <w:snapToGrid w:val="0"/>
          <w:color w:val="auto"/>
          <w:sz w:val="21"/>
          <w:szCs w:val="21"/>
        </w:rPr>
      </w:pPr>
    </w:p>
    <w:p>
      <w:pPr>
        <w:pStyle w:val="7"/>
        <w:snapToGrid w:val="0"/>
        <w:spacing w:line="374" w:lineRule="exact"/>
        <w:jc w:val="both"/>
        <w:rPr>
          <w:rFonts w:hint="eastAsia" w:ascii="仿宋" w:hAnsi="仿宋" w:eastAsia="仿宋" w:cs="仿宋"/>
          <w:snapToGrid w:val="0"/>
          <w:color w:val="auto"/>
          <w:sz w:val="21"/>
          <w:szCs w:val="21"/>
        </w:rPr>
      </w:pPr>
      <w:bookmarkStart w:id="38" w:name="_Toc1190"/>
      <w:r>
        <w:rPr>
          <w:rFonts w:hint="eastAsia" w:ascii="仿宋" w:hAnsi="仿宋" w:eastAsia="仿宋" w:cs="仿宋"/>
          <w:snapToGrid w:val="0"/>
          <w:color w:val="auto"/>
          <w:sz w:val="21"/>
          <w:szCs w:val="21"/>
        </w:rPr>
        <w:t>1总则</w:t>
      </w:r>
      <w:bookmarkEnd w:id="28"/>
      <w:bookmarkEnd w:id="29"/>
      <w:bookmarkEnd w:id="30"/>
      <w:bookmarkEnd w:id="31"/>
      <w:bookmarkEnd w:id="38"/>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1.1 项目概况</w:t>
      </w:r>
    </w:p>
    <w:p>
      <w:pPr>
        <w:snapToGrid w:val="0"/>
        <w:spacing w:line="374" w:lineRule="exact"/>
        <w:ind w:firstLine="420" w:firstLineChars="200"/>
        <w:rPr>
          <w:rFonts w:hint="eastAsia" w:ascii="仿宋" w:hAnsi="仿宋" w:eastAsia="仿宋" w:cs="仿宋"/>
          <w:b/>
          <w:color w:val="auto"/>
          <w:sz w:val="21"/>
          <w:szCs w:val="21"/>
          <w:highlight w:val="magenta"/>
        </w:rPr>
      </w:pPr>
      <w:r>
        <w:rPr>
          <w:rFonts w:hint="eastAsia" w:ascii="仿宋" w:hAnsi="仿宋" w:eastAsia="仿宋" w:cs="仿宋"/>
          <w:color w:val="auto"/>
          <w:sz w:val="21"/>
          <w:szCs w:val="21"/>
        </w:rPr>
        <w:t>1.1.1 根据我市相关文件规定，本招标项目已具备招标条件，现对本标段施工进行招标；</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1.1.2 本招标项目招标人：见投标人须知前附表；</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1.1.3 本标段招标代理机构：见投标人须知前附表；</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1.1.4 本招标项目名称：见投标人须知前附表；</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1.1.5 本标段建设地点：见投标人须知前附表；</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1.1.6 本招标项目现场管理机构：见投标人须知前附表；</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1.1.7 本招标项目设计人：见投标人须知前附表；</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1.1.8 本招标项目监理人：见投标人须知前附表。</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1.2 资金来源和落实情况</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1.2.1 本招标项目的资金来源：见投标人须知前附表；</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1.2.2 本招标项目的出资比例：见投标人须知前附表；</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1.2.3 本招标项目的资金落实情况：见投标人须知前附表。</w:t>
      </w:r>
    </w:p>
    <w:p>
      <w:pPr>
        <w:snapToGrid w:val="0"/>
        <w:spacing w:line="374" w:lineRule="exact"/>
        <w:rPr>
          <w:rFonts w:hint="eastAsia" w:ascii="仿宋" w:hAnsi="仿宋" w:eastAsia="仿宋" w:cs="仿宋"/>
          <w:color w:val="auto"/>
          <w:sz w:val="21"/>
          <w:szCs w:val="21"/>
        </w:rPr>
      </w:pPr>
      <w:r>
        <w:rPr>
          <w:rFonts w:hint="eastAsia" w:ascii="仿宋" w:hAnsi="仿宋" w:eastAsia="仿宋" w:cs="仿宋"/>
          <w:b/>
          <w:color w:val="auto"/>
          <w:sz w:val="21"/>
          <w:szCs w:val="21"/>
        </w:rPr>
        <w:t>1.3 招标范围、计划工期和质量要求</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1.3.1 本次招标范围：见投标人须知前附表；</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1.3.2 本标段的计划工期：见投标人须知前附表；</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1.3.3 本标段的质量要求：见投标人须知前附表。</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1.4 投标人资格要求</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1.4.1 投标人应具备承担本标段施工的资质条件、能力和信誉；</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 资质条件：见投标人须知前附表；</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 财务要求：见投标人须知前附表；</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 业绩要求：见投标人须知前附表；</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(4) 信誉要求：见投标人须知前附表；</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(5) 项目负责人资格：见投标人须知前附表；</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(6) 其他要求：见投标人须知前附表。</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1.4.2 投标人须知前附表规定不接受联合体投标。</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1.4.3 投标人不得存在下列情形之一：</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 为招标人不具有独立法人资格的附属机构（单位）；</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 为本标段前期准备提供设计或咨询服务的，但设计施工总承包的除外；</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 为本标段的监理人；</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(4) 为本标段的代建人；</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(5) 为本标段提供招标代理服务的；</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(6) 与本标段的监理人或代建人或招标代理机构同为一个法定代表人的；</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(7) 与本标段的监理人或代建人或招标代理机构相互控股或参股的；</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(8) 与本标段的监理人或代建人或招标代理机构相互任职或工作的；</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(9) 被责令停业的；</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(10) 被暂停或取消投标资格的；</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(11) 财产被接管或冻结的；</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(12) 在最近3年内有骗取中标或严重违约或重大工程质量问题的；</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(13)与招标人存在利害关系可能影响招标公正性的法人或者其他组织；</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(14)单位负责人为同一人或者存在控股、管理关系的不同单位；</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(15)其它法律法规规定的情形。</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1.5 费用承担</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投标人准备和参加投标活动发生的费用自理。</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1.6 保密</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参与招标投标活动的各方应对招标文件和投标文件中的商业和技术等秘密保密，违者应对由此造成的后果承担法律责任。</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1.7 语言文字</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除专用术语外，与招标投标有关的语言均使用中文。必要时专用术语应附有中文注释。</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1.8 计量单位</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所有计量均采用中华人民共和国法定计量单位。</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1.9 踏勘现场</w:t>
      </w:r>
    </w:p>
    <w:p>
      <w:pPr>
        <w:snapToGrid w:val="0"/>
        <w:spacing w:line="374" w:lineRule="exact"/>
        <w:ind w:firstLine="420" w:firstLineChars="200"/>
        <w:rPr>
          <w:rFonts w:hint="eastAsia" w:ascii="仿宋" w:hAnsi="仿宋" w:eastAsia="仿宋" w:cs="仿宋"/>
          <w:b/>
          <w:snapToGrid w:val="0"/>
          <w:color w:val="auto"/>
          <w:sz w:val="21"/>
          <w:szCs w:val="21"/>
        </w:rPr>
      </w:pPr>
      <w:r>
        <w:rPr>
          <w:rFonts w:hint="eastAsia" w:ascii="仿宋" w:hAnsi="仿宋" w:eastAsia="仿宋" w:cs="仿宋"/>
          <w:snapToGrid w:val="0"/>
          <w:color w:val="auto"/>
          <w:sz w:val="21"/>
          <w:szCs w:val="21"/>
        </w:rPr>
        <w:t>1.9.1不统一组织踏勘现场，投标人自行前往踏勘现场；</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1.9.2 投标人踏勘现场发生的费用自理；</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1.9.3 除招标人的原因外，投标人自行负责在踏勘现场中所发生的人员伤亡和财产损失；</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1.9.4 招标人在踏勘现场中介绍的工程场地和相关的周边环境情况，供投标人在编制投标文件时参考，招标人不对投标人据此作出的判断和决策负责。</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1.10 投标预备会</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 xml:space="preserve">1.10.1 </w:t>
      </w:r>
      <w:r>
        <w:rPr>
          <w:rFonts w:hint="eastAsia" w:ascii="仿宋" w:hAnsi="仿宋" w:eastAsia="仿宋" w:cs="仿宋"/>
          <w:b/>
          <w:snapToGrid w:val="0"/>
          <w:color w:val="auto"/>
          <w:sz w:val="21"/>
          <w:szCs w:val="21"/>
        </w:rPr>
        <w:t>不召开投标预备会</w:t>
      </w:r>
      <w:r>
        <w:rPr>
          <w:rFonts w:hint="eastAsia" w:ascii="仿宋" w:hAnsi="仿宋" w:eastAsia="仿宋" w:cs="仿宋"/>
          <w:snapToGrid w:val="0"/>
          <w:color w:val="auto"/>
          <w:sz w:val="21"/>
          <w:szCs w:val="21"/>
        </w:rPr>
        <w:t>。</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1.11 分包</w:t>
      </w:r>
    </w:p>
    <w:p>
      <w:pPr>
        <w:snapToGrid w:val="0"/>
        <w:spacing w:line="374" w:lineRule="exact"/>
        <w:ind w:firstLine="420" w:firstLineChars="200"/>
        <w:rPr>
          <w:rFonts w:hint="eastAsia" w:ascii="仿宋" w:hAnsi="仿宋" w:eastAsia="仿宋" w:cs="仿宋"/>
          <w:b/>
          <w:snapToGrid w:val="0"/>
          <w:color w:val="auto"/>
          <w:sz w:val="21"/>
          <w:szCs w:val="21"/>
        </w:rPr>
      </w:pPr>
      <w:r>
        <w:rPr>
          <w:rFonts w:hint="eastAsia" w:ascii="仿宋" w:hAnsi="仿宋" w:eastAsia="仿宋" w:cs="仿宋"/>
          <w:b/>
          <w:snapToGrid w:val="0"/>
          <w:color w:val="auto"/>
          <w:sz w:val="21"/>
          <w:szCs w:val="21"/>
        </w:rPr>
        <w:t>不允许分包。</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1.12 偏离</w:t>
      </w:r>
    </w:p>
    <w:p>
      <w:pPr>
        <w:pStyle w:val="5"/>
        <w:rPr>
          <w:rFonts w:hint="eastAsia" w:ascii="仿宋" w:hAnsi="仿宋" w:eastAsia="仿宋" w:cs="仿宋"/>
          <w:snapToGrid w:val="0"/>
          <w:color w:val="auto"/>
          <w:sz w:val="21"/>
          <w:szCs w:val="21"/>
        </w:rPr>
      </w:pPr>
      <w:bookmarkStart w:id="39" w:name="_Toc450405868"/>
      <w:bookmarkStart w:id="40" w:name="_Toc452839259"/>
      <w:bookmarkStart w:id="41" w:name="_Toc271220710"/>
      <w:bookmarkStart w:id="42" w:name="_Toc261333112"/>
      <w:bookmarkStart w:id="43" w:name="_Toc251245629"/>
      <w:bookmarkStart w:id="44" w:name="_Toc259802191"/>
      <w:bookmarkStart w:id="45" w:name="_Toc251597984"/>
      <w:bookmarkStart w:id="46" w:name="_Toc271200544"/>
      <w:r>
        <w:rPr>
          <w:rFonts w:hint="eastAsia" w:ascii="仿宋" w:hAnsi="仿宋" w:eastAsia="仿宋" w:cs="仿宋"/>
          <w:snapToGrid w:val="0"/>
          <w:color w:val="auto"/>
          <w:sz w:val="21"/>
          <w:szCs w:val="21"/>
        </w:rPr>
        <w:t>投标文件不允许偏离招标文件的实质性要求和条件。投标文件偏离招标文件的非实质性要求和条件的，其处理方式见投标人须知前附表。</w:t>
      </w:r>
      <w:bookmarkEnd w:id="39"/>
      <w:bookmarkEnd w:id="40"/>
    </w:p>
    <w:p>
      <w:pPr>
        <w:pStyle w:val="7"/>
        <w:snapToGrid w:val="0"/>
        <w:spacing w:line="374" w:lineRule="exact"/>
        <w:jc w:val="both"/>
        <w:rPr>
          <w:rFonts w:hint="eastAsia" w:ascii="仿宋" w:hAnsi="仿宋" w:eastAsia="仿宋" w:cs="仿宋"/>
          <w:snapToGrid w:val="0"/>
          <w:color w:val="auto"/>
          <w:sz w:val="21"/>
          <w:szCs w:val="21"/>
        </w:rPr>
      </w:pPr>
      <w:bookmarkStart w:id="47" w:name="_Toc4247"/>
      <w:bookmarkStart w:id="48" w:name="_Toc16185"/>
      <w:r>
        <w:rPr>
          <w:rFonts w:hint="eastAsia" w:ascii="仿宋" w:hAnsi="仿宋" w:eastAsia="仿宋" w:cs="仿宋"/>
          <w:snapToGrid w:val="0"/>
          <w:color w:val="auto"/>
          <w:sz w:val="21"/>
          <w:szCs w:val="21"/>
        </w:rPr>
        <w:t>2 招标文件</w:t>
      </w:r>
      <w:bookmarkEnd w:id="41"/>
      <w:bookmarkEnd w:id="42"/>
      <w:bookmarkEnd w:id="43"/>
      <w:bookmarkEnd w:id="44"/>
      <w:bookmarkEnd w:id="45"/>
      <w:bookmarkEnd w:id="46"/>
      <w:bookmarkEnd w:id="47"/>
      <w:bookmarkEnd w:id="48"/>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2.1 招标文件的组成</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本招标文件包括：</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 xml:space="preserve">(1) 招标公告； </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 投标人须知；</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 评审办法；</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(4) 合同条款及格式；</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(5) 工程量清单；</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(6) 图纸；</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(7) 技术标准和要求；</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(8) 投标文件格式；</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(9) 投标人须知前附表规定的其他材料。</w:t>
      </w:r>
    </w:p>
    <w:p>
      <w:pPr>
        <w:snapToGrid w:val="0"/>
        <w:spacing w:line="374" w:lineRule="exact"/>
        <w:ind w:firstLine="404" w:firstLineChars="200"/>
        <w:rPr>
          <w:rFonts w:hint="eastAsia" w:ascii="仿宋" w:hAnsi="仿宋" w:eastAsia="仿宋" w:cs="仿宋"/>
          <w:snapToGrid w:val="0"/>
          <w:color w:val="auto"/>
          <w:spacing w:val="-4"/>
          <w:sz w:val="21"/>
          <w:szCs w:val="21"/>
        </w:rPr>
      </w:pPr>
      <w:r>
        <w:rPr>
          <w:rFonts w:hint="eastAsia" w:ascii="仿宋" w:hAnsi="仿宋" w:eastAsia="仿宋" w:cs="仿宋"/>
          <w:snapToGrid w:val="0"/>
          <w:color w:val="auto"/>
          <w:spacing w:val="-4"/>
          <w:sz w:val="21"/>
          <w:szCs w:val="21"/>
        </w:rPr>
        <w:t>根据本章第1.10款、第2.2款和第2.3款对招标文件所作的澄清、修改，构成招标文件的组成部分。</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2.2 招标文件的澄清</w:t>
      </w:r>
    </w:p>
    <w:p>
      <w:pPr>
        <w:snapToGrid w:val="0"/>
        <w:spacing w:line="374" w:lineRule="exact"/>
        <w:ind w:firstLine="315" w:firstLineChars="15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2.2.1 投标人应仔细阅读和检查招标文件的全部内容。如发现缺页或附件不全，应及时向招标人提出，以便补齐。如有疑问，应在</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"_2.2_招标文件的澄清" </w:instrText>
      </w:r>
      <w:r>
        <w:rPr>
          <w:rFonts w:hint="eastAsia" w:ascii="仿宋" w:hAnsi="仿宋" w:eastAsia="仿宋" w:cs="仿宋"/>
          <w:color w:val="auto"/>
        </w:rPr>
        <w:fldChar w:fldCharType="separate"/>
      </w:r>
      <w:r>
        <w:rPr>
          <w:rFonts w:hint="eastAsia" w:ascii="仿宋" w:hAnsi="仿宋" w:eastAsia="仿宋" w:cs="仿宋"/>
          <w:snapToGrid w:val="0"/>
          <w:color w:val="auto"/>
          <w:sz w:val="21"/>
          <w:szCs w:val="21"/>
          <w:u w:val="single"/>
        </w:rPr>
        <w:t>投标人须知前</w:t>
      </w:r>
      <w:bookmarkStart w:id="49" w:name="_Hlt454279009"/>
      <w:bookmarkStart w:id="50" w:name="_Hlt454279010"/>
      <w:bookmarkStart w:id="51" w:name="_Hlt454279434"/>
      <w:r>
        <w:rPr>
          <w:rFonts w:hint="eastAsia" w:ascii="仿宋" w:hAnsi="仿宋" w:eastAsia="仿宋" w:cs="仿宋"/>
          <w:snapToGrid w:val="0"/>
          <w:color w:val="auto"/>
          <w:sz w:val="21"/>
          <w:szCs w:val="21"/>
          <w:u w:val="single"/>
        </w:rPr>
        <w:t>附</w:t>
      </w:r>
      <w:bookmarkEnd w:id="49"/>
      <w:bookmarkEnd w:id="50"/>
      <w:bookmarkEnd w:id="51"/>
      <w:r>
        <w:rPr>
          <w:rFonts w:hint="eastAsia" w:ascii="仿宋" w:hAnsi="仿宋" w:eastAsia="仿宋" w:cs="仿宋"/>
          <w:snapToGrid w:val="0"/>
          <w:color w:val="auto"/>
          <w:sz w:val="21"/>
          <w:szCs w:val="21"/>
          <w:u w:val="single"/>
        </w:rPr>
        <w:t>表2.2.1</w:t>
      </w:r>
      <w:r>
        <w:rPr>
          <w:rFonts w:hint="eastAsia" w:ascii="仿宋" w:hAnsi="仿宋" w:eastAsia="仿宋" w:cs="仿宋"/>
          <w:snapToGrid w:val="0"/>
          <w:color w:val="auto"/>
          <w:sz w:val="21"/>
          <w:szCs w:val="21"/>
          <w:u w:val="single"/>
        </w:rPr>
        <w:fldChar w:fldCharType="end"/>
      </w:r>
      <w:r>
        <w:rPr>
          <w:rFonts w:hint="eastAsia" w:ascii="仿宋" w:hAnsi="仿宋" w:eastAsia="仿宋" w:cs="仿宋"/>
          <w:snapToGrid w:val="0"/>
          <w:color w:val="auto"/>
          <w:sz w:val="21"/>
          <w:szCs w:val="21"/>
        </w:rPr>
        <w:t>规定的时间前在</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"第二章投标人须知前附表第223项" </w:instrText>
      </w:r>
      <w:r>
        <w:rPr>
          <w:rFonts w:hint="eastAsia" w:ascii="仿宋" w:hAnsi="仿宋" w:eastAsia="仿宋" w:cs="仿宋"/>
          <w:color w:val="auto"/>
        </w:rPr>
        <w:fldChar w:fldCharType="separate"/>
      </w:r>
      <w:r>
        <w:rPr>
          <w:rFonts w:hint="eastAsia" w:ascii="仿宋" w:hAnsi="仿宋" w:eastAsia="仿宋" w:cs="仿宋"/>
          <w:snapToGrid w:val="0"/>
          <w:color w:val="auto"/>
          <w:sz w:val="21"/>
          <w:szCs w:val="21"/>
          <w:u w:val="single"/>
        </w:rPr>
        <w:t>投标人须知前附表2.2.3</w:t>
      </w:r>
      <w:r>
        <w:rPr>
          <w:rFonts w:hint="eastAsia" w:ascii="仿宋" w:hAnsi="仿宋" w:eastAsia="仿宋" w:cs="仿宋"/>
          <w:snapToGrid w:val="0"/>
          <w:color w:val="auto"/>
          <w:sz w:val="21"/>
          <w:szCs w:val="21"/>
          <w:u w:val="single"/>
        </w:rPr>
        <w:fldChar w:fldCharType="end"/>
      </w:r>
      <w:r>
        <w:rPr>
          <w:rFonts w:hint="eastAsia" w:ascii="仿宋" w:hAnsi="仿宋" w:eastAsia="仿宋" w:cs="仿宋"/>
          <w:snapToGrid w:val="0"/>
          <w:color w:val="auto"/>
          <w:sz w:val="21"/>
          <w:szCs w:val="21"/>
        </w:rPr>
        <w:t>规定的方式进行提疑，要求招标人对招标文件予以澄清，超过截止日期的提疑不予受理。</w:t>
      </w:r>
    </w:p>
    <w:p>
      <w:pPr>
        <w:snapToGrid w:val="0"/>
        <w:spacing w:line="374" w:lineRule="exact"/>
        <w:ind w:firstLine="315" w:firstLineChars="150"/>
        <w:rPr>
          <w:rFonts w:hint="eastAsia" w:ascii="仿宋" w:hAnsi="仿宋" w:eastAsia="仿宋" w:cs="仿宋"/>
          <w:snapToGrid w:val="0"/>
          <w:color w:val="auto"/>
          <w:sz w:val="21"/>
          <w:szCs w:val="21"/>
        </w:rPr>
      </w:pPr>
      <w:bookmarkStart w:id="52" w:name="第二章第222项"/>
      <w:r>
        <w:rPr>
          <w:rFonts w:hint="eastAsia" w:ascii="仿宋" w:hAnsi="仿宋" w:eastAsia="仿宋" w:cs="仿宋"/>
          <w:snapToGrid w:val="0"/>
          <w:color w:val="auto"/>
          <w:sz w:val="21"/>
          <w:szCs w:val="21"/>
        </w:rPr>
        <w:t>2.2.2</w:t>
      </w:r>
      <w:bookmarkEnd w:id="52"/>
      <w:r>
        <w:rPr>
          <w:rFonts w:hint="eastAsia" w:ascii="仿宋" w:hAnsi="仿宋" w:eastAsia="仿宋" w:cs="仿宋"/>
          <w:snapToGrid w:val="0"/>
          <w:color w:val="auto"/>
          <w:sz w:val="21"/>
          <w:szCs w:val="21"/>
        </w:rPr>
        <w:t>招标人根据需要主动对招标文件进行必要的澄清，或是根据投标人的对招标文件提交的疑问，招标人都将作出统一解答或予以澄清，并以招标文件补充文件的形式在</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"第二章投标人须知前附表第223项" </w:instrText>
      </w:r>
      <w:r>
        <w:rPr>
          <w:rFonts w:hint="eastAsia" w:ascii="仿宋" w:hAnsi="仿宋" w:eastAsia="仿宋" w:cs="仿宋"/>
          <w:color w:val="auto"/>
        </w:rPr>
        <w:fldChar w:fldCharType="separate"/>
      </w:r>
      <w:r>
        <w:rPr>
          <w:rFonts w:hint="eastAsia" w:ascii="仿宋" w:hAnsi="仿宋" w:eastAsia="仿宋" w:cs="仿宋"/>
          <w:snapToGrid w:val="0"/>
          <w:color w:val="auto"/>
          <w:sz w:val="21"/>
          <w:szCs w:val="21"/>
          <w:u w:val="single"/>
        </w:rPr>
        <w:t>投标人须</w:t>
      </w:r>
      <w:bookmarkStart w:id="53" w:name="_Hlt456020785"/>
      <w:r>
        <w:rPr>
          <w:rFonts w:hint="eastAsia" w:ascii="仿宋" w:hAnsi="仿宋" w:eastAsia="仿宋" w:cs="仿宋"/>
          <w:snapToGrid w:val="0"/>
          <w:color w:val="auto"/>
          <w:sz w:val="21"/>
          <w:szCs w:val="21"/>
          <w:u w:val="single"/>
        </w:rPr>
        <w:t>知</w:t>
      </w:r>
      <w:bookmarkEnd w:id="53"/>
      <w:r>
        <w:rPr>
          <w:rFonts w:hint="eastAsia" w:ascii="仿宋" w:hAnsi="仿宋" w:eastAsia="仿宋" w:cs="仿宋"/>
          <w:snapToGrid w:val="0"/>
          <w:color w:val="auto"/>
          <w:sz w:val="21"/>
          <w:szCs w:val="21"/>
          <w:u w:val="single"/>
        </w:rPr>
        <w:t>前附表2.2.3</w:t>
      </w:r>
      <w:r>
        <w:rPr>
          <w:rFonts w:hint="eastAsia" w:ascii="仿宋" w:hAnsi="仿宋" w:eastAsia="仿宋" w:cs="仿宋"/>
          <w:snapToGrid w:val="0"/>
          <w:color w:val="auto"/>
          <w:sz w:val="21"/>
          <w:szCs w:val="21"/>
          <w:u w:val="single"/>
        </w:rPr>
        <w:fldChar w:fldCharType="end"/>
      </w:r>
      <w:r>
        <w:rPr>
          <w:rFonts w:hint="eastAsia" w:ascii="仿宋" w:hAnsi="仿宋" w:eastAsia="仿宋" w:cs="仿宋"/>
          <w:snapToGrid w:val="0"/>
          <w:color w:val="auto"/>
          <w:sz w:val="21"/>
          <w:szCs w:val="21"/>
        </w:rPr>
        <w:t>规定的方式发布。如果澄清内容影响投标文件编制的，将相应延长投标截止时间。</w:t>
      </w:r>
    </w:p>
    <w:p>
      <w:pPr>
        <w:snapToGrid w:val="0"/>
        <w:spacing w:line="374" w:lineRule="exact"/>
        <w:ind w:firstLine="315" w:firstLineChars="15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2.2.3 提疑、答疑澄清信息将统一按</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"第二章投标人须知前附表第223项" </w:instrText>
      </w:r>
      <w:r>
        <w:rPr>
          <w:rFonts w:hint="eastAsia" w:ascii="仿宋" w:hAnsi="仿宋" w:eastAsia="仿宋" w:cs="仿宋"/>
          <w:color w:val="auto"/>
        </w:rPr>
        <w:fldChar w:fldCharType="separate"/>
      </w:r>
      <w:r>
        <w:rPr>
          <w:rFonts w:hint="eastAsia" w:ascii="仿宋" w:hAnsi="仿宋" w:eastAsia="仿宋" w:cs="仿宋"/>
          <w:snapToGrid w:val="0"/>
          <w:color w:val="auto"/>
          <w:sz w:val="21"/>
          <w:szCs w:val="21"/>
          <w:u w:val="single"/>
        </w:rPr>
        <w:t>投标人须知前附表2.2.3</w:t>
      </w:r>
      <w:r>
        <w:rPr>
          <w:rFonts w:hint="eastAsia" w:ascii="仿宋" w:hAnsi="仿宋" w:eastAsia="仿宋" w:cs="仿宋"/>
          <w:snapToGrid w:val="0"/>
          <w:color w:val="auto"/>
          <w:sz w:val="21"/>
          <w:szCs w:val="21"/>
          <w:u w:val="single"/>
        </w:rPr>
        <w:fldChar w:fldCharType="end"/>
      </w:r>
      <w:r>
        <w:rPr>
          <w:rFonts w:hint="eastAsia" w:ascii="仿宋" w:hAnsi="仿宋" w:eastAsia="仿宋" w:cs="仿宋"/>
          <w:snapToGrid w:val="0"/>
          <w:color w:val="auto"/>
          <w:sz w:val="21"/>
          <w:szCs w:val="21"/>
        </w:rPr>
        <w:t>规定的方式进行发布。</w:t>
      </w:r>
    </w:p>
    <w:p>
      <w:pPr>
        <w:snapToGrid w:val="0"/>
        <w:spacing w:line="374" w:lineRule="exact"/>
        <w:ind w:firstLine="315" w:firstLineChars="15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2.2.4本项目（仅指电子投标）若发布了澄清文件（指招标文件补疑内容或工程量清单），投标人必须选择澄清文件进行投标文件制作，否则其投标文件将无法上传。</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2.3 招标文件的修改</w:t>
      </w:r>
    </w:p>
    <w:p>
      <w:pPr>
        <w:pStyle w:val="7"/>
        <w:snapToGrid w:val="0"/>
        <w:spacing w:line="374" w:lineRule="exact"/>
        <w:ind w:firstLine="420" w:firstLineChars="200"/>
        <w:jc w:val="both"/>
        <w:rPr>
          <w:rFonts w:hint="eastAsia" w:ascii="仿宋" w:hAnsi="仿宋" w:eastAsia="仿宋" w:cs="仿宋"/>
          <w:b w:val="0"/>
          <w:snapToGrid w:val="0"/>
          <w:color w:val="auto"/>
          <w:sz w:val="21"/>
          <w:szCs w:val="21"/>
        </w:rPr>
      </w:pPr>
      <w:bookmarkStart w:id="54" w:name="_Toc4933"/>
      <w:bookmarkStart w:id="55" w:name="_Toc10632"/>
      <w:bookmarkStart w:id="56" w:name="_Toc271220711"/>
      <w:bookmarkStart w:id="57" w:name="_Toc271200545"/>
      <w:bookmarkStart w:id="58" w:name="_Toc259802192"/>
      <w:bookmarkStart w:id="59" w:name="_Toc261333113"/>
      <w:bookmarkStart w:id="60" w:name="_Toc251245630"/>
      <w:bookmarkStart w:id="61" w:name="_Toc251597985"/>
      <w:r>
        <w:rPr>
          <w:rFonts w:hint="eastAsia" w:ascii="仿宋" w:hAnsi="仿宋" w:eastAsia="仿宋" w:cs="仿宋"/>
          <w:b w:val="0"/>
          <w:snapToGrid w:val="0"/>
          <w:color w:val="auto"/>
          <w:sz w:val="21"/>
          <w:szCs w:val="21"/>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 w:hAnsi="仿宋" w:eastAsia="仿宋" w:cs="仿宋"/>
          <w:b w:val="0"/>
          <w:snapToGrid w:val="0"/>
          <w:color w:val="auto"/>
          <w:sz w:val="21"/>
          <w:szCs w:val="21"/>
          <w:lang w:val="en-US" w:eastAsia="zh-CN"/>
        </w:rPr>
        <w:t>1</w:t>
      </w:r>
      <w:r>
        <w:rPr>
          <w:rFonts w:hint="eastAsia" w:ascii="仿宋" w:hAnsi="仿宋" w:eastAsia="仿宋" w:cs="仿宋"/>
          <w:b w:val="0"/>
          <w:snapToGrid w:val="0"/>
          <w:color w:val="auto"/>
          <w:sz w:val="21"/>
          <w:szCs w:val="21"/>
        </w:rPr>
        <w:t>5天，并且修改内容影响投标文件编制的，将相应延长投标截止时间。</w:t>
      </w:r>
      <w:bookmarkEnd w:id="54"/>
      <w:bookmarkEnd w:id="55"/>
    </w:p>
    <w:p>
      <w:pPr>
        <w:pStyle w:val="7"/>
        <w:snapToGrid w:val="0"/>
        <w:spacing w:line="374" w:lineRule="exact"/>
        <w:ind w:firstLine="420" w:firstLineChars="200"/>
        <w:jc w:val="both"/>
        <w:rPr>
          <w:rFonts w:hint="eastAsia" w:ascii="仿宋" w:hAnsi="仿宋" w:eastAsia="仿宋" w:cs="仿宋"/>
          <w:b w:val="0"/>
          <w:snapToGrid w:val="0"/>
          <w:color w:val="auto"/>
          <w:sz w:val="21"/>
          <w:szCs w:val="21"/>
        </w:rPr>
      </w:pPr>
      <w:bookmarkStart w:id="62" w:name="_Toc13084"/>
      <w:bookmarkStart w:id="63" w:name="_Toc19495"/>
      <w:r>
        <w:rPr>
          <w:rFonts w:hint="eastAsia" w:ascii="仿宋" w:hAnsi="仿宋" w:eastAsia="仿宋" w:cs="仿宋"/>
          <w:b w:val="0"/>
          <w:snapToGrid w:val="0"/>
          <w:color w:val="auto"/>
          <w:sz w:val="21"/>
          <w:szCs w:val="21"/>
        </w:rPr>
        <w:t>2.3.2 招标文件的修改将按</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"第二章投标人须知前附表第223项" </w:instrText>
      </w:r>
      <w:r>
        <w:rPr>
          <w:rFonts w:hint="eastAsia" w:ascii="仿宋" w:hAnsi="仿宋" w:eastAsia="仿宋" w:cs="仿宋"/>
          <w:color w:val="auto"/>
        </w:rPr>
        <w:fldChar w:fldCharType="separate"/>
      </w:r>
      <w:r>
        <w:rPr>
          <w:rFonts w:hint="eastAsia" w:ascii="仿宋" w:hAnsi="仿宋" w:eastAsia="仿宋" w:cs="仿宋"/>
          <w:b w:val="0"/>
          <w:snapToGrid w:val="0"/>
          <w:color w:val="auto"/>
          <w:sz w:val="21"/>
          <w:szCs w:val="21"/>
        </w:rPr>
        <w:t>投标人须知前附表2.3.2</w:t>
      </w:r>
      <w:r>
        <w:rPr>
          <w:rFonts w:hint="eastAsia" w:ascii="仿宋" w:hAnsi="仿宋" w:eastAsia="仿宋" w:cs="仿宋"/>
          <w:b w:val="0"/>
          <w:snapToGrid w:val="0"/>
          <w:color w:val="auto"/>
          <w:sz w:val="21"/>
          <w:szCs w:val="21"/>
        </w:rPr>
        <w:fldChar w:fldCharType="end"/>
      </w:r>
      <w:r>
        <w:rPr>
          <w:rFonts w:hint="eastAsia" w:ascii="仿宋" w:hAnsi="仿宋" w:eastAsia="仿宋" w:cs="仿宋"/>
          <w:b w:val="0"/>
          <w:snapToGrid w:val="0"/>
          <w:color w:val="auto"/>
          <w:sz w:val="21"/>
          <w:szCs w:val="21"/>
        </w:rPr>
        <w:t>规定的方式进行发布。</w:t>
      </w:r>
      <w:bookmarkEnd w:id="62"/>
      <w:bookmarkEnd w:id="63"/>
    </w:p>
    <w:p>
      <w:pPr>
        <w:pStyle w:val="7"/>
        <w:snapToGrid w:val="0"/>
        <w:spacing w:line="374" w:lineRule="exact"/>
        <w:jc w:val="both"/>
        <w:rPr>
          <w:rFonts w:hint="eastAsia" w:ascii="仿宋" w:hAnsi="仿宋" w:eastAsia="仿宋" w:cs="仿宋"/>
          <w:snapToGrid w:val="0"/>
          <w:color w:val="auto"/>
          <w:sz w:val="21"/>
          <w:szCs w:val="21"/>
        </w:rPr>
      </w:pPr>
      <w:bookmarkStart w:id="64" w:name="_Toc1438"/>
      <w:bookmarkStart w:id="65" w:name="_Toc14618"/>
      <w:r>
        <w:rPr>
          <w:rFonts w:hint="eastAsia" w:ascii="仿宋" w:hAnsi="仿宋" w:eastAsia="仿宋" w:cs="仿宋"/>
          <w:snapToGrid w:val="0"/>
          <w:color w:val="auto"/>
          <w:sz w:val="21"/>
          <w:szCs w:val="21"/>
        </w:rPr>
        <w:t>3投标文件</w:t>
      </w:r>
      <w:bookmarkEnd w:id="56"/>
      <w:bookmarkEnd w:id="57"/>
      <w:bookmarkEnd w:id="58"/>
      <w:bookmarkEnd w:id="59"/>
      <w:bookmarkEnd w:id="60"/>
      <w:bookmarkEnd w:id="61"/>
      <w:bookmarkEnd w:id="64"/>
      <w:bookmarkEnd w:id="65"/>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3.1 投标文件的组成</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3.1.1投标文件应包括下列内容。</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商务文件包括：</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⑴ 投标函及投标函附录；</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⑵ 已标价的工程量清单；</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(3)其他材料。</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技术文件包括：</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(1)技术文件特征值表；</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(2)法定代表人身份证明或附有法定代表人身份证明的授权委托书；</w:t>
      </w:r>
    </w:p>
    <w:p>
      <w:pPr>
        <w:snapToGrid w:val="0"/>
        <w:spacing w:line="374" w:lineRule="exact"/>
        <w:ind w:firstLine="420" w:firstLineChars="200"/>
        <w:rPr>
          <w:rFonts w:hint="eastAsia" w:ascii="仿宋" w:hAnsi="仿宋" w:eastAsia="仿宋" w:cs="仿宋"/>
          <w:snapToGrid w:val="0"/>
          <w:color w:val="auto"/>
          <w:sz w:val="21"/>
          <w:szCs w:val="21"/>
          <w:lang w:eastAsia="zh-CN"/>
        </w:rPr>
      </w:pPr>
      <w:r>
        <w:rPr>
          <w:rFonts w:hint="eastAsia" w:ascii="仿宋" w:hAnsi="仿宋" w:eastAsia="仿宋" w:cs="仿宋"/>
          <w:snapToGrid w:val="0"/>
          <w:color w:val="auto"/>
          <w:sz w:val="21"/>
          <w:szCs w:val="21"/>
        </w:rPr>
        <w:t>（3）投标保证金</w:t>
      </w:r>
      <w:r>
        <w:rPr>
          <w:rFonts w:hint="eastAsia" w:ascii="仿宋" w:hAnsi="仿宋" w:eastAsia="仿宋" w:cs="仿宋"/>
          <w:snapToGrid w:val="0"/>
          <w:color w:val="auto"/>
          <w:sz w:val="21"/>
          <w:szCs w:val="21"/>
          <w:lang w:eastAsia="zh-CN"/>
        </w:rPr>
        <w:t>；</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(4)施工组织设计；</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(5)项目管理机构；</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(6)资格审查资料；</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(7)原件的扫描件或电子件；</w:t>
      </w:r>
    </w:p>
    <w:p>
      <w:pPr>
        <w:snapToGrid w:val="0"/>
        <w:spacing w:line="374" w:lineRule="exact"/>
        <w:ind w:firstLine="420" w:firstLineChars="200"/>
        <w:rPr>
          <w:rFonts w:hint="eastAsia" w:ascii="仿宋" w:hAnsi="仿宋" w:eastAsia="仿宋" w:cs="仿宋"/>
          <w:color w:val="auto"/>
          <w:lang w:val="en-US" w:eastAsia="zh-CN"/>
        </w:rPr>
      </w:pPr>
      <w:r>
        <w:rPr>
          <w:rFonts w:hint="eastAsia" w:ascii="仿宋" w:hAnsi="仿宋" w:eastAsia="仿宋" w:cs="仿宋"/>
          <w:snapToGrid w:val="0"/>
          <w:color w:val="auto"/>
          <w:sz w:val="21"/>
          <w:szCs w:val="21"/>
        </w:rPr>
        <w:t>(8)其他材料</w:t>
      </w:r>
    </w:p>
    <w:p>
      <w:pPr>
        <w:spacing w:line="500" w:lineRule="exact"/>
        <w:ind w:firstLine="440" w:firstLineChars="200"/>
        <w:rPr>
          <w:rFonts w:hint="eastAsia" w:ascii="仿宋" w:hAnsi="仿宋" w:eastAsia="仿宋" w:cs="仿宋"/>
          <w:b/>
          <w:bCs/>
          <w:color w:val="auto"/>
          <w:sz w:val="22"/>
        </w:rPr>
      </w:pPr>
      <w:r>
        <w:rPr>
          <w:rFonts w:hint="eastAsia" w:ascii="仿宋" w:hAnsi="仿宋" w:eastAsia="仿宋" w:cs="仿宋"/>
          <w:b/>
          <w:bCs/>
          <w:color w:val="auto"/>
          <w:sz w:val="22"/>
        </w:rPr>
        <w:t>注：以上资料由投标人以扫描件形式上传至系统设置的模块中，投标人必须确保提供的扫描件清晰，届时若无法辨认的，由此造成的后果由投标人自行承担。</w:t>
      </w:r>
      <w:r>
        <w:rPr>
          <w:rFonts w:hint="eastAsia" w:ascii="仿宋" w:hAnsi="仿宋" w:eastAsia="仿宋" w:cs="仿宋"/>
          <w:b/>
          <w:bCs/>
          <w:color w:val="auto"/>
          <w:sz w:val="22"/>
          <w:lang w:val="en-US" w:eastAsia="zh-CN"/>
        </w:rPr>
        <w:t>三类人员证书为电子证书，否则视无效标处理。</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3.2 投标报价</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3.2.1 投标人应按第5章“工程量清单”的要求填写相应表格；</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3.2.2 投标人在投标截止时间前修改投标函中的投标总报价，应同时修改第5章“工程量清单”中的相应报价。此修改须符合本章第4.3款的有关要求。</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3.3 投标有效期</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3.3.1 在投标人须知前附表规定的投标有效期内，投标人不得要求撤销或修改其投标文件；</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3.4 投标保证金</w:t>
      </w:r>
    </w:p>
    <w:p>
      <w:pPr>
        <w:snapToGrid w:val="0"/>
        <w:spacing w:line="374" w:lineRule="exact"/>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3.4.1投标人应按投标人须知前附表3.4.1规定数额交纳投标保证金。</w:t>
      </w:r>
    </w:p>
    <w:p>
      <w:pPr>
        <w:snapToGrid w:val="0"/>
        <w:spacing w:line="374" w:lineRule="exact"/>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①网银或电汇形式：投标保证金必须从投标人的银行基本帐户中转出，汇入投标人须知前附表3.4.1规定的账户中，必须确保在投标文件提交截止时间前到帐。如实际到帐时间与关联时间不一致，以实际到帐时间为准。</w:t>
      </w:r>
    </w:p>
    <w:p>
      <w:pPr>
        <w:snapToGrid w:val="0"/>
        <w:spacing w:line="374" w:lineRule="exact"/>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②电子保函：应在指定电子保单平台内申请投标保证金保函，承保金额须大于或等于本项目投标保证金金额。电子保函生成流程：投标人登录湖州市公共资源信息网→交易主体登录→“业务查询”模块点击“保单信息查看”→点击进入电子保函平台（或直接复制保单网址打开）→使用本单位CA锁登录平台→选择电子保函出具机构→点击“我要申请”并选择要投保的项目→确认收费标准并填写经办人相关信息→确认投标电子保函信息→签订协议并加盖电子公章→使用企业基本账户支付相关费用→电子保函生成并推送至交易平台（如有需要可下载PDF电子版）→电子保函信息（其中被保人须为招标人）可查看确认已发放的保单。</w:t>
      </w:r>
    </w:p>
    <w:p>
      <w:pPr>
        <w:snapToGrid w:val="0"/>
        <w:spacing w:line="374" w:lineRule="exact"/>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投标保证金除投标人须知前附表3.4.1规定外，必须与本项目进行关联，如实际到帐时间与关联时间不一致，以实际到帐时间为准。如为联合体投标的应由联合体牵头人提交投标保证金。</w:t>
      </w:r>
    </w:p>
    <w:p>
      <w:pPr>
        <w:snapToGrid w:val="0"/>
        <w:spacing w:line="374" w:lineRule="exact"/>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3.4.2投标保证金是投标文件的一个组成部分。投标人不按本章第3.4.1项要求提交投标保证金的，评标委员会将否决其投标。</w:t>
      </w:r>
    </w:p>
    <w:p>
      <w:pPr>
        <w:snapToGrid w:val="0"/>
        <w:spacing w:line="374" w:lineRule="exact"/>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3.4.3 招标人与中标人签订合同后5日内，向未中标的投标人和中标人退还投标保证金。采用现金转账（网银或电汇）缴纳投标保证金的，支付银行同期存款利息。</w:t>
      </w:r>
    </w:p>
    <w:p>
      <w:pPr>
        <w:snapToGrid w:val="0"/>
        <w:spacing w:line="374" w:lineRule="exact"/>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 xml:space="preserve">3.4.4 有下列情形之一的，投标保证金将不予退还： </w:t>
      </w:r>
    </w:p>
    <w:p>
      <w:pPr>
        <w:snapToGrid w:val="0"/>
        <w:spacing w:line="374" w:lineRule="exact"/>
        <w:ind w:firstLine="210" w:firstLineChars="100"/>
        <w:rPr>
          <w:rFonts w:hint="eastAsia" w:ascii="仿宋" w:hAnsi="仿宋" w:eastAsia="仿宋" w:cs="仿宋"/>
          <w:bCs/>
          <w:color w:val="auto"/>
          <w:sz w:val="21"/>
          <w:szCs w:val="21"/>
        </w:rPr>
      </w:pPr>
      <w:r>
        <w:rPr>
          <w:rFonts w:hint="eastAsia" w:ascii="仿宋" w:hAnsi="仿宋" w:eastAsia="仿宋" w:cs="仿宋"/>
          <w:bCs/>
          <w:color w:val="auto"/>
          <w:sz w:val="21"/>
          <w:szCs w:val="21"/>
        </w:rPr>
        <w:t>（1）投标人在规定的投标有效期内撤销或修改其投标文件；</w:t>
      </w:r>
    </w:p>
    <w:p>
      <w:pPr>
        <w:snapToGrid w:val="0"/>
        <w:spacing w:line="374" w:lineRule="exact"/>
        <w:ind w:firstLine="210" w:firstLineChars="100"/>
        <w:rPr>
          <w:rFonts w:hint="eastAsia" w:ascii="仿宋" w:hAnsi="仿宋" w:eastAsia="仿宋" w:cs="仿宋"/>
          <w:bCs/>
          <w:color w:val="auto"/>
          <w:sz w:val="21"/>
          <w:szCs w:val="21"/>
        </w:rPr>
      </w:pPr>
      <w:r>
        <w:rPr>
          <w:rFonts w:hint="eastAsia" w:ascii="仿宋" w:hAnsi="仿宋" w:eastAsia="仿宋" w:cs="仿宋"/>
          <w:bCs/>
          <w:color w:val="auto"/>
          <w:sz w:val="21"/>
          <w:szCs w:val="21"/>
        </w:rPr>
        <w:t>（2）投标人或项目负责人被项目所在地区（吴兴区）水利建设市场限制投标的。</w:t>
      </w:r>
    </w:p>
    <w:p>
      <w:pPr>
        <w:snapToGrid w:val="0"/>
        <w:spacing w:line="374" w:lineRule="exact"/>
        <w:ind w:firstLine="210" w:firstLineChars="100"/>
        <w:rPr>
          <w:rFonts w:hint="eastAsia" w:ascii="仿宋" w:hAnsi="仿宋" w:eastAsia="仿宋" w:cs="仿宋"/>
          <w:bCs/>
          <w:color w:val="auto"/>
          <w:sz w:val="21"/>
          <w:szCs w:val="21"/>
        </w:rPr>
      </w:pPr>
      <w:r>
        <w:rPr>
          <w:rFonts w:hint="eastAsia" w:ascii="仿宋" w:hAnsi="仿宋" w:eastAsia="仿宋" w:cs="仿宋"/>
          <w:bCs/>
          <w:color w:val="auto"/>
          <w:sz w:val="21"/>
          <w:szCs w:val="21"/>
        </w:rPr>
        <w:t>（3）中标候选人或其法定代表人或拟派项目负责人自20</w:t>
      </w:r>
      <w:r>
        <w:rPr>
          <w:rFonts w:hint="eastAsia" w:ascii="仿宋" w:hAnsi="仿宋" w:eastAsia="仿宋" w:cs="仿宋"/>
          <w:bCs/>
          <w:color w:val="auto"/>
          <w:sz w:val="21"/>
          <w:szCs w:val="21"/>
          <w:lang w:val="en-US" w:eastAsia="zh-CN"/>
        </w:rPr>
        <w:t>18</w:t>
      </w:r>
      <w:r>
        <w:rPr>
          <w:rFonts w:hint="eastAsia" w:ascii="仿宋" w:hAnsi="仿宋" w:eastAsia="仿宋" w:cs="仿宋"/>
          <w:bCs/>
          <w:color w:val="auto"/>
          <w:sz w:val="21"/>
          <w:szCs w:val="21"/>
        </w:rPr>
        <w:t>年0</w:t>
      </w:r>
      <w:r>
        <w:rPr>
          <w:rFonts w:hint="eastAsia" w:ascii="仿宋" w:hAnsi="仿宋" w:eastAsia="仿宋" w:cs="仿宋"/>
          <w:bCs/>
          <w:color w:val="auto"/>
          <w:sz w:val="21"/>
          <w:szCs w:val="21"/>
          <w:lang w:val="en-US" w:eastAsia="zh-CN"/>
        </w:rPr>
        <w:t>1</w:t>
      </w:r>
      <w:r>
        <w:rPr>
          <w:rFonts w:hint="eastAsia" w:ascii="仿宋" w:hAnsi="仿宋" w:eastAsia="仿宋" w:cs="仿宋"/>
          <w:bCs/>
          <w:color w:val="auto"/>
          <w:sz w:val="21"/>
          <w:szCs w:val="21"/>
        </w:rPr>
        <w:t>月01日至查询日有行贿犯罪档案记录的（以中国裁判文书网查询结果为准）。</w:t>
      </w:r>
    </w:p>
    <w:p>
      <w:pPr>
        <w:snapToGrid w:val="0"/>
        <w:spacing w:line="374" w:lineRule="exact"/>
        <w:ind w:firstLine="210" w:firstLineChars="100"/>
        <w:rPr>
          <w:rFonts w:hint="eastAsia" w:ascii="仿宋" w:hAnsi="仿宋" w:eastAsia="仿宋" w:cs="仿宋"/>
          <w:bCs/>
          <w:color w:val="auto"/>
          <w:sz w:val="21"/>
          <w:szCs w:val="21"/>
        </w:rPr>
      </w:pPr>
      <w:r>
        <w:rPr>
          <w:rFonts w:hint="eastAsia" w:ascii="仿宋" w:hAnsi="仿宋" w:eastAsia="仿宋" w:cs="仿宋"/>
          <w:bCs/>
          <w:color w:val="auto"/>
          <w:sz w:val="21"/>
          <w:szCs w:val="21"/>
        </w:rPr>
        <w:t>（4）拟派项目负责人在投标截止日在在建合同工程中担任项目负责人。</w:t>
      </w:r>
    </w:p>
    <w:p>
      <w:pPr>
        <w:snapToGrid w:val="0"/>
        <w:spacing w:line="374" w:lineRule="exact"/>
        <w:ind w:firstLine="210" w:firstLineChars="100"/>
        <w:rPr>
          <w:rFonts w:hint="eastAsia" w:ascii="仿宋" w:hAnsi="仿宋" w:eastAsia="仿宋" w:cs="仿宋"/>
          <w:bCs/>
          <w:color w:val="auto"/>
          <w:sz w:val="21"/>
          <w:szCs w:val="21"/>
        </w:rPr>
      </w:pPr>
      <w:r>
        <w:rPr>
          <w:rFonts w:hint="eastAsia" w:ascii="仿宋" w:hAnsi="仿宋" w:eastAsia="仿宋" w:cs="仿宋"/>
          <w:bCs/>
          <w:color w:val="auto"/>
          <w:sz w:val="21"/>
          <w:szCs w:val="21"/>
        </w:rPr>
        <w:t>（5）中标人在收到中标通知书后，无正当理由拒签合同协议书或未按招标文件规定提交履约担保。</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3.5 资格审查资料（适用于未进行资格预审的）</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3.5.1 “投标人基本情况表”应附投标人营业执照副本、资质证书副本和安全生产许可证等材料的扫描件；</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3.5.2 “近年财务状况””应附流动资金来源证明及经会计师事务所或审计机构审计的财务会计报表，包括资产负债表、现金流量表、利润表和财务情况说明书的扫描件，具体年份要求见投标人须知前附表；</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3.5.3“近年完成的类似项目情况表”、“正在施工和新承接的项目情况表” 应附中标（成交）通知书和（或）合同协议书扫描件。每张表格只填写一个项目，并标明序号；</w:t>
      </w:r>
    </w:p>
    <w:p>
      <w:pPr>
        <w:snapToGrid w:val="0"/>
        <w:spacing w:line="374" w:lineRule="exact"/>
        <w:ind w:firstLine="420" w:firstLineChars="200"/>
        <w:rPr>
          <w:rFonts w:hint="eastAsia" w:ascii="仿宋" w:hAnsi="仿宋" w:eastAsia="仿宋" w:cs="仿宋"/>
          <w:color w:val="auto"/>
          <w:sz w:val="21"/>
          <w:szCs w:val="21"/>
        </w:rPr>
      </w:pPr>
      <w:r>
        <w:rPr>
          <w:rFonts w:hint="eastAsia" w:ascii="仿宋" w:hAnsi="仿宋" w:eastAsia="仿宋" w:cs="仿宋"/>
          <w:snapToGrid w:val="0"/>
          <w:color w:val="auto"/>
          <w:sz w:val="21"/>
          <w:szCs w:val="21"/>
        </w:rPr>
        <w:t>3.5.4 “近年发生的诉讼及仲裁情况表”应说明相关情况，并附法院或仲裁机构作出的判决、裁决等有关法律文书扫描件，</w:t>
      </w:r>
      <w:r>
        <w:rPr>
          <w:rFonts w:hint="eastAsia" w:ascii="仿宋" w:hAnsi="仿宋" w:eastAsia="仿宋" w:cs="仿宋"/>
          <w:color w:val="auto"/>
          <w:sz w:val="21"/>
          <w:szCs w:val="21"/>
        </w:rPr>
        <w:t>具体年份要求见投标人须知前附表；</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color w:val="auto"/>
          <w:sz w:val="21"/>
          <w:szCs w:val="21"/>
        </w:rPr>
        <w:t>3.5.5 投标人须知前附表规定接受联合体投标的，本章第3.5.1项～3.5.4项规定的表格。</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3.6 备选投标方案</w:t>
      </w:r>
    </w:p>
    <w:p>
      <w:pPr>
        <w:pStyle w:val="11"/>
        <w:ind w:firstLine="420" w:firstLineChars="200"/>
        <w:rPr>
          <w:rFonts w:hint="eastAsia" w:ascii="仿宋" w:hAnsi="仿宋" w:eastAsia="仿宋" w:cs="仿宋"/>
          <w:color w:val="auto"/>
        </w:rPr>
      </w:pPr>
      <w:r>
        <w:rPr>
          <w:rFonts w:hint="eastAsia" w:ascii="仿宋" w:hAnsi="仿宋" w:eastAsia="仿宋" w:cs="仿宋"/>
          <w:snapToGrid w:val="0"/>
          <w:color w:val="auto"/>
          <w:sz w:val="21"/>
          <w:szCs w:val="21"/>
        </w:rPr>
        <w:t>投标人不得递交备选投标方案。</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3.7 投标文件的编制</w:t>
      </w:r>
    </w:p>
    <w:p>
      <w:pPr>
        <w:pStyle w:val="59"/>
        <w:spacing w:line="520" w:lineRule="exact"/>
        <w:ind w:firstLine="425"/>
        <w:jc w:val="both"/>
        <w:rPr>
          <w:rFonts w:hint="eastAsia" w:ascii="仿宋" w:hAnsi="仿宋" w:eastAsia="仿宋" w:cs="仿宋"/>
          <w:snapToGrid w:val="0"/>
          <w:color w:val="auto"/>
          <w:sz w:val="21"/>
          <w:szCs w:val="21"/>
        </w:rPr>
      </w:pPr>
      <w:bookmarkStart w:id="66" w:name="_Toc271220712"/>
      <w:bookmarkStart w:id="67" w:name="_Toc261333114"/>
      <w:bookmarkStart w:id="68" w:name="_Toc259802193"/>
      <w:bookmarkStart w:id="69" w:name="_Toc271200546"/>
      <w:bookmarkStart w:id="70" w:name="_Toc251245631"/>
      <w:bookmarkStart w:id="71" w:name="_Toc251597986"/>
      <w:r>
        <w:rPr>
          <w:rFonts w:hint="eastAsia" w:ascii="仿宋" w:hAnsi="仿宋" w:eastAsia="仿宋" w:cs="仿宋"/>
          <w:snapToGrid w:val="0"/>
          <w:color w:val="auto"/>
          <w:sz w:val="21"/>
          <w:szCs w:val="21"/>
        </w:rPr>
        <w:t>3.7.1 CA加密电子投标文件应按第八章“投标文件格式”进行编写，如有必要，可以增加附页，作为投标文件的组成部分。</w:t>
      </w:r>
    </w:p>
    <w:p>
      <w:pPr>
        <w:pStyle w:val="59"/>
        <w:spacing w:line="520" w:lineRule="exact"/>
        <w:ind w:firstLine="425"/>
        <w:jc w:val="both"/>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3.7.2 CA加密电子投标文件应当对招标文件有关工期、投标有效期、质量要求、技术标准和要求、招标范围等实质性内容作出响应。</w:t>
      </w:r>
    </w:p>
    <w:p>
      <w:pPr>
        <w:pStyle w:val="59"/>
        <w:spacing w:line="520" w:lineRule="exact"/>
        <w:ind w:firstLine="425"/>
        <w:jc w:val="both"/>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3.7.3 CA加密电子投标文件应由投标单位进行电子签章盖章确认。</w:t>
      </w:r>
    </w:p>
    <w:p>
      <w:pPr>
        <w:pStyle w:val="59"/>
        <w:spacing w:line="520" w:lineRule="exact"/>
        <w:ind w:firstLine="425"/>
        <w:jc w:val="both"/>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3.7.4投标人编制的CA加密电子投标文件，必须是使用新点投标文件制作软件最新版（系统自带更新系统）生成的后缀名为“.HZTF”的CA加密电子投标文件。未按上述要求加密和数字证书认证的投标文件，将被视为无效投标文件。</w:t>
      </w:r>
    </w:p>
    <w:p>
      <w:pPr>
        <w:pStyle w:val="59"/>
        <w:spacing w:line="520" w:lineRule="exact"/>
        <w:ind w:firstLine="425"/>
        <w:jc w:val="both"/>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3.7.5电子投标流程如下：</w:t>
      </w:r>
    </w:p>
    <w:p>
      <w:pPr>
        <w:pStyle w:val="59"/>
        <w:spacing w:line="520" w:lineRule="exact"/>
        <w:ind w:firstLine="425"/>
        <w:jc w:val="both"/>
        <w:rPr>
          <w:rFonts w:hint="eastAsia" w:ascii="仿宋" w:hAnsi="仿宋" w:eastAsia="仿宋" w:cs="仿宋"/>
          <w:b/>
          <w:color w:val="auto"/>
          <w:sz w:val="21"/>
          <w:szCs w:val="21"/>
        </w:rPr>
      </w:pPr>
      <w:r>
        <w:rPr>
          <w:rFonts w:hint="eastAsia" w:ascii="仿宋" w:hAnsi="仿宋" w:eastAsia="仿宋" w:cs="仿宋"/>
          <w:b/>
          <w:color w:val="auto"/>
          <w:sz w:val="21"/>
          <w:szCs w:val="21"/>
        </w:rPr>
        <w:t>湖州市公共资源交易信息网→交易主体登录→下载招标文件（如果有答疑澄清文件，需要下载答疑澄清文件进行制作）→使用电子投标文件制作工具制作投标文件→系统完善投标信息（网上递交投标保证金并确保与本工程关联）→上传投标文件→点击“模拟解密”按钮→提示解密成功。</w:t>
      </w:r>
    </w:p>
    <w:p>
      <w:pPr>
        <w:pStyle w:val="7"/>
        <w:snapToGrid w:val="0"/>
        <w:spacing w:line="374" w:lineRule="exact"/>
        <w:jc w:val="both"/>
        <w:rPr>
          <w:rFonts w:hint="eastAsia" w:ascii="仿宋" w:hAnsi="仿宋" w:eastAsia="仿宋" w:cs="仿宋"/>
          <w:snapToGrid w:val="0"/>
          <w:color w:val="auto"/>
          <w:sz w:val="21"/>
          <w:szCs w:val="21"/>
        </w:rPr>
      </w:pPr>
      <w:bookmarkStart w:id="72" w:name="_Toc7968"/>
      <w:bookmarkStart w:id="73" w:name="_Toc25432"/>
      <w:r>
        <w:rPr>
          <w:rFonts w:hint="eastAsia" w:ascii="仿宋" w:hAnsi="仿宋" w:eastAsia="仿宋" w:cs="仿宋"/>
          <w:snapToGrid w:val="0"/>
          <w:color w:val="auto"/>
          <w:sz w:val="21"/>
          <w:szCs w:val="21"/>
        </w:rPr>
        <w:t>4</w:t>
      </w:r>
      <w:bookmarkEnd w:id="66"/>
      <w:bookmarkEnd w:id="67"/>
      <w:bookmarkEnd w:id="68"/>
      <w:bookmarkEnd w:id="69"/>
      <w:bookmarkEnd w:id="70"/>
      <w:bookmarkEnd w:id="71"/>
      <w:r>
        <w:rPr>
          <w:rFonts w:hint="eastAsia" w:ascii="仿宋" w:hAnsi="仿宋" w:eastAsia="仿宋" w:cs="仿宋"/>
          <w:snapToGrid w:val="0"/>
          <w:color w:val="auto"/>
          <w:sz w:val="21"/>
          <w:szCs w:val="21"/>
        </w:rPr>
        <w:t>投标</w:t>
      </w:r>
      <w:bookmarkEnd w:id="72"/>
      <w:bookmarkEnd w:id="73"/>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4.1 投标文件的密封和标识</w:t>
      </w:r>
    </w:p>
    <w:p>
      <w:pPr>
        <w:spacing w:line="500" w:lineRule="exact"/>
        <w:ind w:firstLine="420" w:firstLineChars="200"/>
        <w:rPr>
          <w:rFonts w:hint="eastAsia" w:ascii="仿宋" w:hAnsi="仿宋" w:eastAsia="仿宋" w:cs="仿宋"/>
          <w:color w:val="auto"/>
          <w:sz w:val="22"/>
        </w:rPr>
      </w:pPr>
      <w:bookmarkStart w:id="74" w:name="第二章第411项"/>
      <w:r>
        <w:rPr>
          <w:rFonts w:hint="eastAsia" w:ascii="仿宋" w:hAnsi="仿宋" w:eastAsia="仿宋" w:cs="仿宋"/>
          <w:snapToGrid w:val="0"/>
          <w:color w:val="auto"/>
          <w:sz w:val="21"/>
          <w:szCs w:val="21"/>
        </w:rPr>
        <w:t>4.1.1</w:t>
      </w:r>
      <w:bookmarkEnd w:id="74"/>
      <w:r>
        <w:rPr>
          <w:rFonts w:hint="eastAsia" w:ascii="仿宋" w:hAnsi="仿宋" w:eastAsia="仿宋" w:cs="仿宋"/>
          <w:b/>
          <w:color w:val="auto"/>
          <w:sz w:val="21"/>
          <w:szCs w:val="21"/>
        </w:rPr>
        <w:t>投标文件（CA加密后的电子投标文件）</w:t>
      </w:r>
      <w:r>
        <w:rPr>
          <w:rFonts w:hint="eastAsia" w:ascii="仿宋" w:hAnsi="仿宋" w:eastAsia="仿宋" w:cs="仿宋"/>
          <w:snapToGrid w:val="0"/>
          <w:color w:val="auto"/>
          <w:sz w:val="21"/>
          <w:szCs w:val="21"/>
        </w:rPr>
        <w:t>：在投标截止时间前</w:t>
      </w:r>
      <w:r>
        <w:rPr>
          <w:rFonts w:hint="eastAsia" w:ascii="仿宋" w:hAnsi="仿宋" w:eastAsia="仿宋" w:cs="仿宋"/>
          <w:snapToGrid w:val="0"/>
          <w:color w:val="auto"/>
          <w:sz w:val="21"/>
          <w:szCs w:val="21"/>
          <w:lang w:eastAsia="zh-CN"/>
        </w:rPr>
        <w:t>登录</w:t>
      </w:r>
      <w:r>
        <w:rPr>
          <w:rFonts w:hint="eastAsia" w:ascii="仿宋" w:hAnsi="仿宋" w:eastAsia="仿宋" w:cs="仿宋"/>
          <w:snapToGrid w:val="0"/>
          <w:color w:val="auto"/>
          <w:sz w:val="21"/>
          <w:szCs w:val="21"/>
        </w:rPr>
        <w:t>湖州市公共资源交易系统上的投标文件递交模块上传；；</w:t>
      </w:r>
    </w:p>
    <w:p>
      <w:pPr>
        <w:spacing w:line="5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4.1.2 未按</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"第二章第412项" </w:instrText>
      </w:r>
      <w:r>
        <w:rPr>
          <w:rFonts w:hint="eastAsia" w:ascii="仿宋" w:hAnsi="仿宋" w:eastAsia="仿宋" w:cs="仿宋"/>
          <w:color w:val="auto"/>
        </w:rPr>
        <w:fldChar w:fldCharType="separate"/>
      </w:r>
      <w:r>
        <w:rPr>
          <w:rFonts w:hint="eastAsia" w:ascii="仿宋" w:hAnsi="仿宋" w:eastAsia="仿宋" w:cs="仿宋"/>
          <w:snapToGrid w:val="0"/>
          <w:color w:val="auto"/>
          <w:sz w:val="21"/>
          <w:szCs w:val="21"/>
        </w:rPr>
        <w:t>投标人须知前附表4.1.1、4.1.2项</w:t>
      </w:r>
      <w:r>
        <w:rPr>
          <w:rFonts w:hint="eastAsia" w:ascii="仿宋" w:hAnsi="仿宋" w:eastAsia="仿宋" w:cs="仿宋"/>
          <w:snapToGrid w:val="0"/>
          <w:color w:val="auto"/>
          <w:sz w:val="21"/>
          <w:szCs w:val="21"/>
        </w:rPr>
        <w:fldChar w:fldCharType="end"/>
      </w:r>
      <w:r>
        <w:rPr>
          <w:rFonts w:hint="eastAsia" w:ascii="仿宋" w:hAnsi="仿宋" w:eastAsia="仿宋" w:cs="仿宋"/>
          <w:snapToGrid w:val="0"/>
          <w:color w:val="auto"/>
          <w:sz w:val="21"/>
          <w:szCs w:val="21"/>
        </w:rPr>
        <w:t>要求的，招标人应予拒收。</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4.2 投标文件的递交</w:t>
      </w:r>
    </w:p>
    <w:p>
      <w:pPr>
        <w:snapToGrid w:val="0"/>
        <w:spacing w:line="374" w:lineRule="exact"/>
        <w:ind w:firstLine="420" w:firstLineChars="200"/>
        <w:rPr>
          <w:rFonts w:hint="eastAsia" w:ascii="仿宋" w:hAnsi="仿宋" w:eastAsia="仿宋" w:cs="仿宋"/>
          <w:b/>
          <w:color w:val="auto"/>
          <w:sz w:val="21"/>
          <w:szCs w:val="21"/>
        </w:rPr>
      </w:pPr>
      <w:r>
        <w:rPr>
          <w:rFonts w:hint="eastAsia" w:ascii="仿宋" w:hAnsi="仿宋" w:eastAsia="仿宋" w:cs="仿宋"/>
          <w:bCs/>
          <w:color w:val="auto"/>
          <w:sz w:val="21"/>
          <w:szCs w:val="21"/>
        </w:rPr>
        <w:t>4.2.1</w:t>
      </w:r>
      <w:r>
        <w:rPr>
          <w:rFonts w:hint="eastAsia" w:ascii="仿宋" w:hAnsi="仿宋" w:eastAsia="仿宋" w:cs="仿宋"/>
          <w:b/>
          <w:color w:val="auto"/>
          <w:sz w:val="21"/>
          <w:szCs w:val="21"/>
        </w:rPr>
        <w:t>投标文件（CA加密后的电子投标文件）</w:t>
      </w:r>
      <w:r>
        <w:rPr>
          <w:rFonts w:hint="eastAsia" w:ascii="仿宋" w:hAnsi="仿宋" w:eastAsia="仿宋" w:cs="仿宋"/>
          <w:bCs/>
          <w:color w:val="auto"/>
          <w:sz w:val="21"/>
          <w:szCs w:val="21"/>
        </w:rPr>
        <w:t>：投标人应在投标截止时间前</w:t>
      </w:r>
      <w:r>
        <w:rPr>
          <w:rFonts w:hint="eastAsia" w:ascii="仿宋" w:hAnsi="仿宋" w:eastAsia="仿宋" w:cs="仿宋"/>
          <w:bCs/>
          <w:color w:val="auto"/>
          <w:sz w:val="21"/>
          <w:szCs w:val="21"/>
          <w:lang w:eastAsia="zh-CN"/>
        </w:rPr>
        <w:t>登录</w:t>
      </w:r>
      <w:r>
        <w:rPr>
          <w:rFonts w:hint="eastAsia" w:ascii="仿宋" w:hAnsi="仿宋" w:eastAsia="仿宋" w:cs="仿宋"/>
          <w:bCs/>
          <w:color w:val="auto"/>
          <w:sz w:val="21"/>
          <w:szCs w:val="21"/>
        </w:rPr>
        <w:t>湖州市公共资源交易信息网平台上的投标文件递交模块上传CA加密后的电子投标文件；</w:t>
      </w:r>
    </w:p>
    <w:p>
      <w:pPr>
        <w:snapToGrid w:val="0"/>
        <w:spacing w:line="374" w:lineRule="exact"/>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 xml:space="preserve">4.2.2到投标截止时间止，招标人收到的投标文件少于3个的，招标人将依法重新组织招标。 </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4.3 投标文件的修改与撤回</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4.3.1 在投标人须知前附表第2.2项规定的投标截止时间前，投标人可以修改或撤回已递交的投标文件，但应以书面形式通知招标人；</w:t>
      </w:r>
    </w:p>
    <w:p>
      <w:pPr>
        <w:pStyle w:val="7"/>
        <w:snapToGrid w:val="0"/>
        <w:spacing w:line="374" w:lineRule="exact"/>
        <w:jc w:val="both"/>
        <w:rPr>
          <w:rFonts w:hint="eastAsia" w:ascii="仿宋" w:hAnsi="仿宋" w:eastAsia="仿宋" w:cs="仿宋"/>
          <w:snapToGrid w:val="0"/>
          <w:color w:val="auto"/>
          <w:sz w:val="21"/>
          <w:szCs w:val="21"/>
        </w:rPr>
      </w:pPr>
      <w:bookmarkStart w:id="75" w:name="_Toc271220713"/>
      <w:bookmarkStart w:id="76" w:name="_Toc259802194"/>
      <w:bookmarkStart w:id="77" w:name="_Toc18557"/>
      <w:bookmarkStart w:id="78" w:name="_Toc9339"/>
      <w:bookmarkStart w:id="79" w:name="_Toc251245632"/>
      <w:bookmarkStart w:id="80" w:name="_Toc271200547"/>
      <w:bookmarkStart w:id="81" w:name="_Toc261333115"/>
      <w:bookmarkStart w:id="82" w:name="_Toc251597987"/>
      <w:r>
        <w:rPr>
          <w:rFonts w:hint="eastAsia" w:ascii="仿宋" w:hAnsi="仿宋" w:eastAsia="仿宋" w:cs="仿宋"/>
          <w:snapToGrid w:val="0"/>
          <w:color w:val="auto"/>
          <w:sz w:val="21"/>
          <w:szCs w:val="21"/>
        </w:rPr>
        <w:t>5.开标</w:t>
      </w:r>
      <w:bookmarkEnd w:id="75"/>
      <w:bookmarkEnd w:id="76"/>
      <w:bookmarkEnd w:id="77"/>
      <w:bookmarkEnd w:id="78"/>
      <w:bookmarkEnd w:id="79"/>
      <w:bookmarkEnd w:id="80"/>
      <w:bookmarkEnd w:id="81"/>
      <w:bookmarkEnd w:id="82"/>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5.1 开标时间和地点</w:t>
      </w:r>
    </w:p>
    <w:p>
      <w:pPr>
        <w:snapToGrid w:val="0"/>
        <w:spacing w:line="374" w:lineRule="exact"/>
        <w:ind w:firstLine="420" w:firstLineChars="200"/>
        <w:rPr>
          <w:rFonts w:hint="eastAsia" w:ascii="仿宋" w:hAnsi="仿宋" w:eastAsia="仿宋" w:cs="仿宋"/>
          <w:b/>
          <w:color w:val="auto"/>
          <w:sz w:val="21"/>
          <w:szCs w:val="21"/>
        </w:rPr>
      </w:pPr>
      <w:r>
        <w:rPr>
          <w:rFonts w:hint="eastAsia" w:ascii="仿宋" w:hAnsi="仿宋" w:eastAsia="仿宋" w:cs="仿宋"/>
          <w:b/>
          <w:color w:val="auto"/>
          <w:sz w:val="21"/>
          <w:szCs w:val="21"/>
        </w:rPr>
        <w:t>5.1.1招标人在规定的投标截止时间和规定的地点公开开标，所有投标人应在投标截止时间前</w:t>
      </w:r>
      <w:r>
        <w:rPr>
          <w:rFonts w:hint="eastAsia" w:ascii="仿宋" w:hAnsi="仿宋" w:eastAsia="仿宋" w:cs="仿宋"/>
          <w:b/>
          <w:color w:val="auto"/>
          <w:sz w:val="21"/>
          <w:szCs w:val="21"/>
          <w:lang w:eastAsia="zh-CN"/>
        </w:rPr>
        <w:t>登录</w:t>
      </w:r>
      <w:r>
        <w:rPr>
          <w:rFonts w:hint="eastAsia" w:ascii="仿宋" w:hAnsi="仿宋" w:eastAsia="仿宋" w:cs="仿宋"/>
          <w:b/>
          <w:color w:val="auto"/>
          <w:sz w:val="21"/>
          <w:szCs w:val="21"/>
        </w:rPr>
        <w:t>网上开标大厅参加开标，具体要求见投标人须知前附表第5.2项规定。</w:t>
      </w:r>
    </w:p>
    <w:p>
      <w:pPr>
        <w:snapToGrid w:val="0"/>
        <w:spacing w:line="374" w:lineRule="exact"/>
        <w:ind w:firstLine="420" w:firstLineChars="200"/>
        <w:rPr>
          <w:rFonts w:hint="eastAsia" w:ascii="仿宋" w:hAnsi="仿宋" w:eastAsia="仿宋" w:cs="仿宋"/>
          <w:b/>
          <w:color w:val="auto"/>
          <w:sz w:val="21"/>
          <w:szCs w:val="21"/>
        </w:rPr>
      </w:pPr>
      <w:r>
        <w:rPr>
          <w:rFonts w:hint="eastAsia" w:ascii="仿宋" w:hAnsi="仿宋" w:eastAsia="仿宋" w:cs="仿宋"/>
          <w:b/>
          <w:color w:val="auto"/>
          <w:sz w:val="21"/>
          <w:szCs w:val="21"/>
        </w:rPr>
        <w:t>5.1.2投标人应在投标截止时间之前，</w:t>
      </w:r>
      <w:r>
        <w:rPr>
          <w:rFonts w:hint="eastAsia" w:ascii="仿宋" w:hAnsi="仿宋" w:eastAsia="仿宋" w:cs="仿宋"/>
          <w:b/>
          <w:color w:val="auto"/>
          <w:sz w:val="21"/>
          <w:szCs w:val="21"/>
          <w:lang w:eastAsia="zh-CN"/>
        </w:rPr>
        <w:t>登录</w:t>
      </w:r>
      <w:r>
        <w:rPr>
          <w:rFonts w:hint="eastAsia" w:ascii="仿宋" w:hAnsi="仿宋" w:eastAsia="仿宋" w:cs="仿宋"/>
          <w:b/>
          <w:color w:val="auto"/>
          <w:sz w:val="21"/>
          <w:szCs w:val="21"/>
        </w:rPr>
        <w:t>湖州市公共资源交易信息网—交易主体登录—电子招投标交易平台—上传投标文件模块，上传“CA加密后的电子投标文件”</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5.2 开标程序</w:t>
      </w:r>
    </w:p>
    <w:p>
      <w:pPr>
        <w:snapToGrid w:val="0"/>
        <w:spacing w:line="374" w:lineRule="exact"/>
        <w:ind w:firstLine="420" w:firstLineChars="200"/>
        <w:rPr>
          <w:rFonts w:hint="eastAsia" w:ascii="仿宋" w:hAnsi="仿宋" w:eastAsia="仿宋" w:cs="仿宋"/>
          <w:snapToGrid w:val="0"/>
          <w:color w:val="auto"/>
          <w:kern w:val="0"/>
          <w:sz w:val="21"/>
          <w:szCs w:val="21"/>
        </w:rPr>
      </w:pPr>
      <w:r>
        <w:rPr>
          <w:rFonts w:hint="eastAsia" w:ascii="仿宋" w:hAnsi="仿宋" w:eastAsia="仿宋" w:cs="仿宋"/>
          <w:snapToGrid w:val="0"/>
          <w:color w:val="auto"/>
          <w:kern w:val="0"/>
          <w:sz w:val="21"/>
          <w:szCs w:val="21"/>
        </w:rPr>
        <w:t>1、</w:t>
      </w:r>
      <w:bookmarkStart w:id="83" w:name="_Toc271220714"/>
      <w:bookmarkStart w:id="84" w:name="_Toc251597988"/>
      <w:bookmarkStart w:id="85" w:name="_Toc251245633"/>
      <w:bookmarkStart w:id="86" w:name="_Toc259802195"/>
      <w:bookmarkStart w:id="87" w:name="_Toc271200548"/>
      <w:bookmarkStart w:id="88" w:name="_Toc261333116"/>
      <w:r>
        <w:rPr>
          <w:rFonts w:hint="eastAsia" w:ascii="仿宋" w:hAnsi="仿宋" w:eastAsia="仿宋" w:cs="仿宋"/>
          <w:snapToGrid w:val="0"/>
          <w:color w:val="auto"/>
          <w:kern w:val="0"/>
          <w:sz w:val="21"/>
          <w:szCs w:val="21"/>
        </w:rPr>
        <w:t>投标截止前30分钟，由招标代理机构登录网上不见面开标大厅系统，做好网上不见面开标准备；</w:t>
      </w:r>
    </w:p>
    <w:p>
      <w:pPr>
        <w:snapToGrid w:val="0"/>
        <w:spacing w:line="374" w:lineRule="exact"/>
        <w:ind w:firstLine="420" w:firstLineChars="200"/>
        <w:rPr>
          <w:rFonts w:hint="eastAsia" w:ascii="仿宋" w:hAnsi="仿宋" w:eastAsia="仿宋" w:cs="仿宋"/>
          <w:snapToGrid w:val="0"/>
          <w:color w:val="auto"/>
          <w:kern w:val="0"/>
          <w:sz w:val="21"/>
          <w:szCs w:val="21"/>
        </w:rPr>
      </w:pPr>
      <w:r>
        <w:rPr>
          <w:rFonts w:hint="eastAsia" w:ascii="仿宋" w:hAnsi="仿宋" w:eastAsia="仿宋" w:cs="仿宋"/>
          <w:snapToGrid w:val="0"/>
          <w:color w:val="auto"/>
          <w:kern w:val="0"/>
          <w:sz w:val="21"/>
          <w:szCs w:val="21"/>
        </w:rPr>
        <w:t>2、各投标人应于投标截止时间前使用加密锁自行</w:t>
      </w:r>
      <w:r>
        <w:rPr>
          <w:rFonts w:hint="eastAsia" w:ascii="仿宋" w:hAnsi="仿宋" w:eastAsia="仿宋" w:cs="仿宋"/>
          <w:snapToGrid w:val="0"/>
          <w:color w:val="auto"/>
          <w:kern w:val="0"/>
          <w:sz w:val="21"/>
          <w:szCs w:val="21"/>
          <w:lang w:eastAsia="zh-CN"/>
        </w:rPr>
        <w:t>登录</w:t>
      </w:r>
      <w:r>
        <w:rPr>
          <w:rFonts w:hint="eastAsia" w:ascii="仿宋" w:hAnsi="仿宋" w:eastAsia="仿宋" w:cs="仿宋"/>
          <w:snapToGrid w:val="0"/>
          <w:color w:val="auto"/>
          <w:kern w:val="0"/>
          <w:sz w:val="21"/>
          <w:szCs w:val="21"/>
        </w:rPr>
        <w:t>不见面开标大厅并完成在线签到，否则视为在线不到场，投标文件开启解密时将被拒绝解密；投标人的在线签到人员必须是投标人的法定代表人或其授权的代理人，如签到人员与投标人的法定代表人或其授权的代理人不一致的，其投标将按无效标处理。</w:t>
      </w:r>
    </w:p>
    <w:p>
      <w:pPr>
        <w:snapToGrid w:val="0"/>
        <w:spacing w:line="374" w:lineRule="exact"/>
        <w:ind w:firstLine="420" w:firstLineChars="200"/>
        <w:rPr>
          <w:rFonts w:hint="eastAsia" w:ascii="仿宋" w:hAnsi="仿宋" w:eastAsia="仿宋" w:cs="仿宋"/>
          <w:snapToGrid w:val="0"/>
          <w:color w:val="auto"/>
          <w:kern w:val="0"/>
          <w:sz w:val="21"/>
          <w:szCs w:val="21"/>
        </w:rPr>
      </w:pPr>
      <w:r>
        <w:rPr>
          <w:rFonts w:hint="eastAsia" w:ascii="仿宋" w:hAnsi="仿宋" w:eastAsia="仿宋" w:cs="仿宋"/>
          <w:snapToGrid w:val="0"/>
          <w:color w:val="auto"/>
          <w:kern w:val="0"/>
          <w:sz w:val="21"/>
          <w:szCs w:val="21"/>
        </w:rPr>
        <w:t>3、投标截止时间，由招标代理机构公布投标人情况、解密要求、在线公布现场监督、见证人员；</w:t>
      </w:r>
    </w:p>
    <w:p>
      <w:pPr>
        <w:snapToGrid w:val="0"/>
        <w:spacing w:line="374" w:lineRule="exact"/>
        <w:ind w:firstLine="420" w:firstLineChars="200"/>
        <w:rPr>
          <w:rFonts w:hint="eastAsia" w:ascii="仿宋" w:hAnsi="仿宋" w:eastAsia="仿宋" w:cs="仿宋"/>
          <w:snapToGrid w:val="0"/>
          <w:color w:val="auto"/>
          <w:kern w:val="0"/>
          <w:sz w:val="21"/>
          <w:szCs w:val="21"/>
        </w:rPr>
      </w:pPr>
      <w:r>
        <w:rPr>
          <w:rFonts w:hint="eastAsia" w:ascii="仿宋" w:hAnsi="仿宋" w:eastAsia="仿宋" w:cs="仿宋"/>
          <w:snapToGrid w:val="0"/>
          <w:color w:val="auto"/>
          <w:kern w:val="0"/>
          <w:sz w:val="21"/>
          <w:szCs w:val="21"/>
        </w:rPr>
        <w:t>4、投标人需在系统开启投标文件解密时间后30分钟内对投标文件进行网上在线解密，未在规定时间内完成的，其投标将被拒绝；</w:t>
      </w:r>
    </w:p>
    <w:p>
      <w:pPr>
        <w:snapToGrid w:val="0"/>
        <w:spacing w:line="374" w:lineRule="exact"/>
        <w:ind w:firstLine="420" w:firstLineChars="200"/>
        <w:rPr>
          <w:rFonts w:hint="eastAsia" w:ascii="仿宋" w:hAnsi="仿宋" w:eastAsia="仿宋" w:cs="仿宋"/>
          <w:snapToGrid w:val="0"/>
          <w:color w:val="auto"/>
          <w:kern w:val="0"/>
          <w:sz w:val="21"/>
          <w:szCs w:val="21"/>
        </w:rPr>
      </w:pPr>
      <w:r>
        <w:rPr>
          <w:rFonts w:hint="eastAsia" w:ascii="仿宋" w:hAnsi="仿宋" w:eastAsia="仿宋" w:cs="仿宋"/>
          <w:snapToGrid w:val="0"/>
          <w:color w:val="auto"/>
          <w:kern w:val="0"/>
          <w:sz w:val="21"/>
          <w:szCs w:val="21"/>
        </w:rPr>
        <w:t>5、招标人在开标现场抽取招标文件中规定的系数；</w:t>
      </w:r>
    </w:p>
    <w:p>
      <w:pPr>
        <w:snapToGrid w:val="0"/>
        <w:spacing w:line="374" w:lineRule="exact"/>
        <w:ind w:firstLine="420" w:firstLineChars="200"/>
        <w:rPr>
          <w:rFonts w:hint="eastAsia" w:ascii="仿宋" w:hAnsi="仿宋" w:eastAsia="仿宋" w:cs="仿宋"/>
          <w:snapToGrid w:val="0"/>
          <w:color w:val="auto"/>
          <w:kern w:val="0"/>
          <w:sz w:val="21"/>
          <w:szCs w:val="21"/>
        </w:rPr>
      </w:pPr>
      <w:r>
        <w:rPr>
          <w:rFonts w:hint="eastAsia" w:ascii="仿宋" w:hAnsi="仿宋" w:eastAsia="仿宋" w:cs="仿宋"/>
          <w:snapToGrid w:val="0"/>
          <w:color w:val="auto"/>
          <w:kern w:val="0"/>
          <w:sz w:val="21"/>
          <w:szCs w:val="21"/>
        </w:rPr>
        <w:t>6、招标人现场解密、投标文件导入等全程操作；</w:t>
      </w:r>
    </w:p>
    <w:p>
      <w:pPr>
        <w:snapToGrid w:val="0"/>
        <w:spacing w:line="374" w:lineRule="exact"/>
        <w:ind w:firstLine="420" w:firstLineChars="200"/>
        <w:rPr>
          <w:rFonts w:hint="eastAsia" w:ascii="仿宋" w:hAnsi="仿宋" w:eastAsia="仿宋" w:cs="仿宋"/>
          <w:snapToGrid w:val="0"/>
          <w:color w:val="auto"/>
          <w:kern w:val="0"/>
          <w:sz w:val="21"/>
          <w:szCs w:val="21"/>
        </w:rPr>
      </w:pPr>
      <w:r>
        <w:rPr>
          <w:rFonts w:hint="eastAsia" w:ascii="仿宋" w:hAnsi="仿宋" w:eastAsia="仿宋" w:cs="仿宋"/>
          <w:snapToGrid w:val="0"/>
          <w:color w:val="auto"/>
          <w:kern w:val="0"/>
          <w:sz w:val="21"/>
          <w:szCs w:val="21"/>
        </w:rPr>
        <w:t>7、对网上开标过程有异议的，投标人应当直接在线提疑，同时由招标人在线进行回复；</w:t>
      </w:r>
    </w:p>
    <w:p>
      <w:pPr>
        <w:snapToGrid w:val="0"/>
        <w:spacing w:line="374" w:lineRule="exact"/>
        <w:ind w:firstLine="420" w:firstLineChars="200"/>
        <w:rPr>
          <w:rFonts w:hint="eastAsia" w:ascii="仿宋" w:hAnsi="仿宋" w:eastAsia="仿宋" w:cs="仿宋"/>
          <w:snapToGrid w:val="0"/>
          <w:color w:val="auto"/>
          <w:kern w:val="0"/>
          <w:sz w:val="21"/>
          <w:szCs w:val="21"/>
        </w:rPr>
      </w:pPr>
      <w:r>
        <w:rPr>
          <w:rFonts w:hint="eastAsia" w:ascii="仿宋" w:hAnsi="仿宋" w:eastAsia="仿宋" w:cs="仿宋"/>
          <w:snapToGrid w:val="0"/>
          <w:color w:val="auto"/>
          <w:kern w:val="0"/>
          <w:sz w:val="21"/>
          <w:szCs w:val="21"/>
        </w:rPr>
        <w:t>8、宣布开标结束。</w:t>
      </w:r>
    </w:p>
    <w:p>
      <w:pPr>
        <w:snapToGrid w:val="0"/>
        <w:spacing w:line="374" w:lineRule="exact"/>
        <w:ind w:firstLine="210" w:firstLineChars="100"/>
        <w:rPr>
          <w:rFonts w:hint="eastAsia" w:ascii="仿宋" w:hAnsi="仿宋" w:eastAsia="仿宋" w:cs="仿宋"/>
          <w:snapToGrid w:val="0"/>
          <w:color w:val="auto"/>
          <w:kern w:val="0"/>
          <w:sz w:val="21"/>
          <w:szCs w:val="21"/>
        </w:rPr>
      </w:pPr>
      <w:r>
        <w:rPr>
          <w:rFonts w:hint="eastAsia" w:ascii="仿宋" w:hAnsi="仿宋" w:eastAsia="仿宋" w:cs="仿宋"/>
          <w:snapToGrid w:val="0"/>
          <w:color w:val="auto"/>
          <w:kern w:val="0"/>
          <w:sz w:val="21"/>
          <w:szCs w:val="21"/>
        </w:rPr>
        <w:t>注：1.在开标过程中招标人及招标代理机构全程操作必须在直播视频中完成，不得随意离开。交易中心见证人员、现场监督人员做好相关工作并签字。</w:t>
      </w:r>
    </w:p>
    <w:p>
      <w:pPr>
        <w:snapToGrid w:val="0"/>
        <w:spacing w:line="374" w:lineRule="exact"/>
        <w:ind w:firstLine="420" w:firstLineChars="200"/>
        <w:rPr>
          <w:rFonts w:hint="eastAsia" w:ascii="仿宋" w:hAnsi="仿宋" w:eastAsia="仿宋" w:cs="仿宋"/>
          <w:snapToGrid w:val="0"/>
          <w:color w:val="auto"/>
          <w:kern w:val="0"/>
          <w:sz w:val="21"/>
          <w:szCs w:val="21"/>
        </w:rPr>
      </w:pPr>
      <w:r>
        <w:rPr>
          <w:rFonts w:hint="eastAsia" w:ascii="仿宋" w:hAnsi="仿宋" w:eastAsia="仿宋" w:cs="仿宋"/>
          <w:snapToGrid w:val="0"/>
          <w:color w:val="auto"/>
          <w:kern w:val="0"/>
          <w:sz w:val="21"/>
          <w:szCs w:val="21"/>
        </w:rPr>
        <w:t>2.电子交易平台遇网络故障、设备故障、断电等意外情况，导致无法正常开标、招标人无法解密等情形，2小时内能够恢复正常，待恢复正常后继续开标，原定解密时间重新计算，2小时内不能恢复正常由招标人确定另行开标时间；</w:t>
      </w:r>
    </w:p>
    <w:p>
      <w:pPr>
        <w:snapToGrid w:val="0"/>
        <w:spacing w:line="374" w:lineRule="exact"/>
        <w:ind w:firstLine="420" w:firstLineChars="200"/>
        <w:rPr>
          <w:rFonts w:hint="eastAsia" w:ascii="仿宋" w:hAnsi="仿宋" w:eastAsia="仿宋" w:cs="仿宋"/>
          <w:snapToGrid w:val="0"/>
          <w:color w:val="auto"/>
          <w:kern w:val="0"/>
          <w:sz w:val="21"/>
          <w:szCs w:val="21"/>
        </w:rPr>
      </w:pPr>
      <w:r>
        <w:rPr>
          <w:rFonts w:hint="eastAsia" w:ascii="仿宋" w:hAnsi="仿宋" w:eastAsia="仿宋" w:cs="仿宋"/>
          <w:snapToGrid w:val="0"/>
          <w:color w:val="auto"/>
          <w:kern w:val="0"/>
          <w:sz w:val="21"/>
          <w:szCs w:val="21"/>
          <w:lang w:val="en-US" w:eastAsia="zh-CN"/>
        </w:rPr>
        <w:t>3.</w:t>
      </w:r>
      <w:r>
        <w:rPr>
          <w:rFonts w:hint="eastAsia" w:ascii="仿宋" w:hAnsi="仿宋" w:eastAsia="仿宋" w:cs="仿宋"/>
          <w:snapToGrid w:val="0"/>
          <w:color w:val="auto"/>
          <w:kern w:val="0"/>
          <w:sz w:val="21"/>
          <w:szCs w:val="21"/>
        </w:rPr>
        <w:t>电子交易平台网络不畅导致投标人不能在规定时间内完成解密，招标人相应延长解密时间，超出相应延长解密时间仍然未解密的，视做撤销投标文件。</w:t>
      </w:r>
    </w:p>
    <w:p>
      <w:pPr>
        <w:snapToGrid w:val="0"/>
        <w:spacing w:line="374" w:lineRule="exact"/>
        <w:rPr>
          <w:rFonts w:hint="eastAsia" w:ascii="仿宋" w:hAnsi="仿宋" w:eastAsia="仿宋" w:cs="仿宋"/>
          <w:b/>
          <w:snapToGrid w:val="0"/>
          <w:color w:val="auto"/>
          <w:spacing w:val="-2"/>
          <w:sz w:val="21"/>
          <w:szCs w:val="21"/>
        </w:rPr>
      </w:pPr>
      <w:r>
        <w:rPr>
          <w:rFonts w:hint="eastAsia" w:ascii="仿宋" w:hAnsi="仿宋" w:eastAsia="仿宋" w:cs="仿宋"/>
          <w:b/>
          <w:snapToGrid w:val="0"/>
          <w:color w:val="auto"/>
          <w:spacing w:val="-2"/>
          <w:sz w:val="21"/>
          <w:szCs w:val="21"/>
        </w:rPr>
        <w:t>6</w:t>
      </w:r>
      <w:bookmarkEnd w:id="83"/>
      <w:bookmarkEnd w:id="84"/>
      <w:bookmarkEnd w:id="85"/>
      <w:bookmarkEnd w:id="86"/>
      <w:bookmarkEnd w:id="87"/>
      <w:bookmarkEnd w:id="88"/>
      <w:r>
        <w:rPr>
          <w:rFonts w:hint="eastAsia" w:ascii="仿宋" w:hAnsi="仿宋" w:eastAsia="仿宋" w:cs="仿宋"/>
          <w:b/>
          <w:snapToGrid w:val="0"/>
          <w:color w:val="auto"/>
          <w:spacing w:val="-2"/>
          <w:sz w:val="21"/>
          <w:szCs w:val="21"/>
        </w:rPr>
        <w:t>评审</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6.1 评审委员会</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6.1.1 评审由招标人依法组建的评审委员会负责。评审委员会由有关技术、经济等方面的专家组成。评审委员会成员人数以及专家的确定方式见投标人须知前附表；</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6.1.2 评审委员会成员有下列情形之一的，应当回避：</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 招标人或投标人的主要负责人的近亲属；</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 项目主管部门或者行政监督部门的人员；</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 与投标人有经济利益关系，可能影响对投标公正评审的；</w:t>
      </w:r>
    </w:p>
    <w:p>
      <w:pPr>
        <w:snapToGrid w:val="0"/>
        <w:spacing w:line="374" w:lineRule="exact"/>
        <w:ind w:firstLine="412" w:firstLineChars="200"/>
        <w:rPr>
          <w:rFonts w:hint="eastAsia" w:ascii="仿宋" w:hAnsi="仿宋" w:eastAsia="仿宋" w:cs="仿宋"/>
          <w:snapToGrid w:val="0"/>
          <w:color w:val="auto"/>
          <w:spacing w:val="-6"/>
          <w:sz w:val="21"/>
          <w:szCs w:val="21"/>
        </w:rPr>
      </w:pPr>
      <w:r>
        <w:rPr>
          <w:rFonts w:hint="eastAsia" w:ascii="仿宋" w:hAnsi="仿宋" w:eastAsia="仿宋" w:cs="仿宋"/>
          <w:snapToGrid w:val="0"/>
          <w:color w:val="auto"/>
          <w:spacing w:val="-2"/>
          <w:sz w:val="21"/>
          <w:szCs w:val="21"/>
        </w:rPr>
        <w:t xml:space="preserve">(4) </w:t>
      </w:r>
      <w:r>
        <w:rPr>
          <w:rFonts w:hint="eastAsia" w:ascii="仿宋" w:hAnsi="仿宋" w:eastAsia="仿宋" w:cs="仿宋"/>
          <w:snapToGrid w:val="0"/>
          <w:color w:val="auto"/>
          <w:spacing w:val="-6"/>
          <w:sz w:val="21"/>
          <w:szCs w:val="21"/>
        </w:rPr>
        <w:t>曾因在招标、评审以及其他与招标投标有关活动中从事违法行为而受过行政处罚或刑事处罚的；</w:t>
      </w:r>
    </w:p>
    <w:p>
      <w:pPr>
        <w:snapToGrid w:val="0"/>
        <w:spacing w:line="374" w:lineRule="exact"/>
        <w:ind w:firstLine="412" w:firstLineChars="200"/>
        <w:rPr>
          <w:rFonts w:hint="eastAsia" w:ascii="仿宋" w:hAnsi="仿宋" w:eastAsia="仿宋" w:cs="仿宋"/>
          <w:snapToGrid w:val="0"/>
          <w:color w:val="auto"/>
          <w:spacing w:val="-6"/>
          <w:sz w:val="21"/>
          <w:szCs w:val="21"/>
        </w:rPr>
      </w:pPr>
      <w:r>
        <w:rPr>
          <w:rFonts w:hint="eastAsia" w:ascii="仿宋" w:hAnsi="仿宋" w:eastAsia="仿宋" w:cs="仿宋"/>
          <w:snapToGrid w:val="0"/>
          <w:color w:val="auto"/>
          <w:spacing w:val="-2"/>
          <w:sz w:val="21"/>
          <w:szCs w:val="21"/>
        </w:rPr>
        <w:t xml:space="preserve">(5) </w:t>
      </w:r>
      <w:r>
        <w:rPr>
          <w:rFonts w:hint="eastAsia" w:ascii="仿宋" w:hAnsi="仿宋" w:eastAsia="仿宋" w:cs="仿宋"/>
          <w:snapToGrid w:val="0"/>
          <w:color w:val="auto"/>
          <w:spacing w:val="-6"/>
          <w:sz w:val="21"/>
          <w:szCs w:val="21"/>
        </w:rPr>
        <w:t>法律、法规、规章规定应当回避的其他情形。</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6.2 评审原则</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评审活动遵循公平、公正、科学和择优的原则；</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6.3 评审</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评审委员会按照第三章“评审办法”规定的方法、评审因素、标准和程序对投标文件进行评审。第三章“评审办法”没有规定的方法、评审因素和标准，不作为评审依据。</w:t>
      </w:r>
    </w:p>
    <w:p>
      <w:pPr>
        <w:pStyle w:val="7"/>
        <w:snapToGrid w:val="0"/>
        <w:spacing w:line="374" w:lineRule="exact"/>
        <w:jc w:val="both"/>
        <w:rPr>
          <w:rFonts w:hint="eastAsia" w:ascii="仿宋" w:hAnsi="仿宋" w:eastAsia="仿宋" w:cs="仿宋"/>
          <w:snapToGrid w:val="0"/>
          <w:color w:val="auto"/>
          <w:sz w:val="21"/>
          <w:szCs w:val="21"/>
        </w:rPr>
      </w:pPr>
      <w:bookmarkStart w:id="89" w:name="_Toc20435"/>
      <w:bookmarkStart w:id="90" w:name="_Toc259802196"/>
      <w:bookmarkStart w:id="91" w:name="_Toc2056"/>
      <w:bookmarkStart w:id="92" w:name="_Toc271200549"/>
      <w:bookmarkStart w:id="93" w:name="_Toc251597989"/>
      <w:bookmarkStart w:id="94" w:name="_Toc261333117"/>
      <w:bookmarkStart w:id="95" w:name="_Toc271220715"/>
      <w:bookmarkStart w:id="96" w:name="_Toc251245634"/>
      <w:r>
        <w:rPr>
          <w:rFonts w:hint="eastAsia" w:ascii="仿宋" w:hAnsi="仿宋" w:eastAsia="仿宋" w:cs="仿宋"/>
          <w:snapToGrid w:val="0"/>
          <w:color w:val="auto"/>
          <w:sz w:val="21"/>
          <w:szCs w:val="21"/>
        </w:rPr>
        <w:t>7合同授予</w:t>
      </w:r>
      <w:bookmarkEnd w:id="89"/>
      <w:bookmarkEnd w:id="90"/>
      <w:bookmarkEnd w:id="91"/>
      <w:bookmarkEnd w:id="92"/>
      <w:bookmarkEnd w:id="93"/>
      <w:bookmarkEnd w:id="94"/>
      <w:bookmarkEnd w:id="95"/>
      <w:bookmarkEnd w:id="96"/>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7.1 定标方式</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7.1.1招标人依据评标委员会推荐的中标候选人确定中标人。</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7.1.2依法必须招标的项目，中标候选人放弃中标、因不可抗力提出不能履行合同，或者招标文件规定应当提交履约保证金而在规定的期限内未能提交，或者被查实存在影响中标结果的违法行为等情形，不符合中标条件的，取消其中标资格。</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7.1.3 招标人在定标前，应向 “中国裁判文书网”（http</w:t>
      </w:r>
      <w:r>
        <w:rPr>
          <w:rFonts w:hint="eastAsia" w:ascii="仿宋" w:hAnsi="仿宋" w:eastAsia="仿宋" w:cs="仿宋"/>
          <w:snapToGrid w:val="0"/>
          <w:color w:val="auto"/>
          <w:sz w:val="21"/>
          <w:szCs w:val="21"/>
          <w:lang w:val="en-US" w:eastAsia="zh-CN"/>
        </w:rPr>
        <w:t>s</w:t>
      </w:r>
      <w:r>
        <w:rPr>
          <w:rFonts w:hint="eastAsia" w:ascii="仿宋" w:hAnsi="仿宋" w:eastAsia="仿宋" w:cs="仿宋"/>
          <w:snapToGrid w:val="0"/>
          <w:color w:val="auto"/>
          <w:sz w:val="21"/>
          <w:szCs w:val="21"/>
        </w:rPr>
        <w:t>://wenshu.court.gov.cn）查询中标候选人及其拟派项目负责人的行贿犯罪档案，若发现有未如实填报或隐瞒不报情况的，一律取消其中标资格并上报行政主管部门，由行政主管部门列为不良行为记录。</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7.1.4 招标人在定标前，应查询中标候选人及拟派项目负责人的水利建设市场主体限制投标记录，若发现有未如实填报或隐瞒不报情况的，一律取消其中标资格并上报行政主管部门，由行政主管部门列为不良行为记录。</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7.1.5 出现本章7.1.2款～7.1.4款情形被取消中标资格的，招标人应根据7.2.1款实行。</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7.2中标通知</w:t>
      </w:r>
    </w:p>
    <w:p>
      <w:pPr>
        <w:snapToGrid w:val="0"/>
        <w:spacing w:line="374" w:lineRule="exact"/>
        <w:ind w:firstLine="315" w:firstLineChars="15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7.2.1评审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审委员会提出的排名第二的中标候选人为中标人，排名第二的中标候选人因同样原因的，可以确定排名第三的中标候选人为中标人，招标人也可以重新招标。</w:t>
      </w:r>
    </w:p>
    <w:p>
      <w:pPr>
        <w:snapToGrid w:val="0"/>
        <w:spacing w:line="374" w:lineRule="exact"/>
        <w:ind w:firstLine="315" w:firstLineChars="15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7.2.2在本章第3.3条规定的投标有效期内， 招标人将招标投标情况和决标结果报</w:t>
      </w:r>
      <w:r>
        <w:rPr>
          <w:rFonts w:hint="eastAsia" w:ascii="仿宋" w:hAnsi="仿宋" w:eastAsia="仿宋" w:cs="仿宋"/>
          <w:snapToGrid w:val="0"/>
          <w:color w:val="auto"/>
          <w:sz w:val="21"/>
          <w:szCs w:val="21"/>
          <w:u w:val="single"/>
        </w:rPr>
        <w:t>湖州</w:t>
      </w:r>
      <w:r>
        <w:rPr>
          <w:rFonts w:hint="eastAsia" w:ascii="仿宋" w:hAnsi="仿宋" w:eastAsia="仿宋" w:cs="仿宋"/>
          <w:snapToGrid w:val="0"/>
          <w:color w:val="auto"/>
          <w:sz w:val="21"/>
          <w:szCs w:val="21"/>
          <w:u w:val="single"/>
          <w:lang w:eastAsia="zh-CN"/>
        </w:rPr>
        <w:t>吴兴区</w:t>
      </w:r>
      <w:r>
        <w:rPr>
          <w:rFonts w:hint="eastAsia" w:ascii="仿宋" w:hAnsi="仿宋" w:eastAsia="仿宋" w:cs="仿宋"/>
          <w:snapToGrid w:val="0"/>
          <w:color w:val="auto"/>
          <w:sz w:val="21"/>
          <w:szCs w:val="21"/>
          <w:u w:val="single"/>
        </w:rPr>
        <w:t>公共资源交易管理办公室</w:t>
      </w:r>
      <w:r>
        <w:rPr>
          <w:rFonts w:hint="eastAsia" w:ascii="仿宋" w:hAnsi="仿宋" w:eastAsia="仿宋" w:cs="仿宋"/>
          <w:snapToGrid w:val="0"/>
          <w:color w:val="auto"/>
          <w:sz w:val="21"/>
          <w:szCs w:val="21"/>
        </w:rPr>
        <w:t>备案后，以书面形式向中标人发出中标通知书。</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7.3 履约担保</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7.3.1 在签订合同前，中标人应按投标人须知前附表规定的金额、担保形式和招标文件第4章“合同条款及格式”规定的履约担保格式向招标人提交履约担保。联合体中标的，其履约担保由牵头人递交，并应符合投标人须知前附表规定的金额、担保形式和招标文件第4章“合同条款及格式”规定的履约担保格式要求；</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7.3.2 中标人不能按本章第7.3.1项要求提交履约担保的，视为放弃中标，其投标保证金不予退还，给招标人造成的损失超过投标保证金数额的，中标人还应当对超过部分予以赔偿。</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7.4 签订合同</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7.4.2 发出中标通知书后，招标人无正当理由拒签合同的，招标人向中标人退还投标保证金，并按投标保证金双倍的金额补偿投标人损失。</w:t>
      </w:r>
    </w:p>
    <w:p>
      <w:pPr>
        <w:pStyle w:val="7"/>
        <w:snapToGrid w:val="0"/>
        <w:spacing w:line="374" w:lineRule="exact"/>
        <w:jc w:val="both"/>
        <w:rPr>
          <w:rFonts w:hint="eastAsia" w:ascii="仿宋" w:hAnsi="仿宋" w:eastAsia="仿宋" w:cs="仿宋"/>
          <w:snapToGrid w:val="0"/>
          <w:color w:val="auto"/>
          <w:sz w:val="21"/>
          <w:szCs w:val="21"/>
        </w:rPr>
      </w:pPr>
      <w:bookmarkStart w:id="97" w:name="_Toc251597990"/>
      <w:bookmarkStart w:id="98" w:name="_Toc271200550"/>
      <w:bookmarkStart w:id="99" w:name="_Toc259802197"/>
      <w:bookmarkStart w:id="100" w:name="_Toc271220716"/>
      <w:bookmarkStart w:id="101" w:name="_Toc251245635"/>
      <w:bookmarkStart w:id="102" w:name="_Toc261333118"/>
      <w:bookmarkStart w:id="103" w:name="_Toc32421"/>
      <w:bookmarkStart w:id="104" w:name="_Toc13950"/>
      <w:r>
        <w:rPr>
          <w:rFonts w:hint="eastAsia" w:ascii="仿宋" w:hAnsi="仿宋" w:eastAsia="仿宋" w:cs="仿宋"/>
          <w:snapToGrid w:val="0"/>
          <w:color w:val="auto"/>
          <w:sz w:val="21"/>
          <w:szCs w:val="21"/>
        </w:rPr>
        <w:t>8重新招标和不再</w:t>
      </w:r>
      <w:bookmarkEnd w:id="97"/>
      <w:bookmarkEnd w:id="98"/>
      <w:bookmarkEnd w:id="99"/>
      <w:bookmarkEnd w:id="100"/>
      <w:bookmarkEnd w:id="101"/>
      <w:bookmarkEnd w:id="102"/>
      <w:r>
        <w:rPr>
          <w:rFonts w:hint="eastAsia" w:ascii="仿宋" w:hAnsi="仿宋" w:eastAsia="仿宋" w:cs="仿宋"/>
          <w:snapToGrid w:val="0"/>
          <w:color w:val="auto"/>
          <w:sz w:val="21"/>
          <w:szCs w:val="21"/>
        </w:rPr>
        <w:t>公开招标</w:t>
      </w:r>
      <w:bookmarkEnd w:id="103"/>
      <w:bookmarkEnd w:id="104"/>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8.1 重新招标</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有下列情形之一的，招标人将重新招标：</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(1)投标截止时间止，参加投标的潜在投标人少于3个的；或投标截止时间止，投标人少于3个的；</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(2)经评审委员会评审后否决所有投标的；</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(3)评审委员会否决不合格投标或者界定为否决投标后因有效投标不足3个使得投标明显缺乏竞争，评审委员会决定否决全部投标的；</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(4)同意延长投标有效期的投标人少于3个的；</w:t>
      </w:r>
    </w:p>
    <w:p>
      <w:pPr>
        <w:snapToGrid w:val="0"/>
        <w:spacing w:line="374" w:lineRule="exact"/>
        <w:ind w:firstLine="420" w:firstLineChars="200"/>
        <w:rPr>
          <w:rFonts w:hint="eastAsia"/>
          <w:color w:val="auto"/>
        </w:rPr>
      </w:pPr>
      <w:r>
        <w:rPr>
          <w:rFonts w:hint="eastAsia" w:ascii="仿宋" w:hAnsi="仿宋" w:eastAsia="仿宋" w:cs="仿宋"/>
          <w:snapToGrid w:val="0"/>
          <w:color w:val="auto"/>
          <w:sz w:val="21"/>
          <w:szCs w:val="21"/>
        </w:rPr>
        <w:t>(5)中标候选人均未与招标人签订合同的。</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8.2 不再公开招标</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重新招标后，仍出现本章8.1款规定情形之一的，属于必要审批的水利工程建设项目，经行政监督部门批准后不再进行公开招标。</w:t>
      </w:r>
    </w:p>
    <w:p>
      <w:pPr>
        <w:pStyle w:val="7"/>
        <w:snapToGrid w:val="0"/>
        <w:spacing w:line="374" w:lineRule="exact"/>
        <w:jc w:val="both"/>
        <w:rPr>
          <w:rFonts w:hint="eastAsia" w:ascii="仿宋" w:hAnsi="仿宋" w:eastAsia="仿宋" w:cs="仿宋"/>
          <w:snapToGrid w:val="0"/>
          <w:color w:val="auto"/>
          <w:sz w:val="21"/>
          <w:szCs w:val="21"/>
        </w:rPr>
      </w:pPr>
      <w:bookmarkStart w:id="105" w:name="_Toc271220717"/>
      <w:bookmarkStart w:id="106" w:name="_Toc251597991"/>
      <w:bookmarkStart w:id="107" w:name="_Toc251245636"/>
      <w:bookmarkStart w:id="108" w:name="_Toc14230"/>
      <w:bookmarkStart w:id="109" w:name="_Toc261333119"/>
      <w:bookmarkStart w:id="110" w:name="_Toc259802198"/>
      <w:bookmarkStart w:id="111" w:name="_Toc271200551"/>
      <w:bookmarkStart w:id="112" w:name="_Toc13440"/>
      <w:r>
        <w:rPr>
          <w:rFonts w:hint="eastAsia" w:ascii="仿宋" w:hAnsi="仿宋" w:eastAsia="仿宋" w:cs="仿宋"/>
          <w:snapToGrid w:val="0"/>
          <w:color w:val="auto"/>
          <w:sz w:val="21"/>
          <w:szCs w:val="21"/>
        </w:rPr>
        <w:t>9纪律和监督</w:t>
      </w:r>
      <w:bookmarkEnd w:id="105"/>
      <w:bookmarkEnd w:id="106"/>
      <w:bookmarkEnd w:id="107"/>
      <w:bookmarkEnd w:id="108"/>
      <w:bookmarkEnd w:id="109"/>
      <w:bookmarkEnd w:id="110"/>
      <w:bookmarkEnd w:id="111"/>
      <w:bookmarkEnd w:id="112"/>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9.1 对招标人的纪律要求</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招标人不得泄漏招标投标活动中应当保密的情况和资料，不得与投标人串通损害国家利益、社会公共利益或者他人合法权益。</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下列行为均属招标人与投标人串通投标：</w:t>
      </w:r>
    </w:p>
    <w:p>
      <w:pPr>
        <w:snapToGrid w:val="0"/>
        <w:spacing w:line="374" w:lineRule="exact"/>
        <w:ind w:firstLine="42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⑴招标人在开标前开启投标文件并将有关信息泄露给其他投标人；</w:t>
      </w:r>
    </w:p>
    <w:p>
      <w:pPr>
        <w:snapToGrid w:val="0"/>
        <w:spacing w:line="374" w:lineRule="exact"/>
        <w:ind w:firstLine="42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⑵招标人直接或者间接向投标人泄露标底、评审委员会成员等信息；</w:t>
      </w:r>
    </w:p>
    <w:p>
      <w:pPr>
        <w:snapToGrid w:val="0"/>
        <w:spacing w:line="374" w:lineRule="exact"/>
        <w:ind w:firstLine="42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⑶招标人明示或者暗示投标人压低或者抬高投标报价；</w:t>
      </w:r>
    </w:p>
    <w:p>
      <w:pPr>
        <w:snapToGrid w:val="0"/>
        <w:spacing w:line="374" w:lineRule="exact"/>
        <w:ind w:firstLine="42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⑷招标人授意投标人撤换、修改投标文件；</w:t>
      </w:r>
    </w:p>
    <w:p>
      <w:pPr>
        <w:snapToGrid w:val="0"/>
        <w:spacing w:line="374" w:lineRule="exact"/>
        <w:ind w:firstLine="42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⑸招标人明示或者暗示投标人为特定投标人中标提供方便；</w:t>
      </w:r>
    </w:p>
    <w:p>
      <w:pPr>
        <w:snapToGrid w:val="0"/>
        <w:spacing w:line="374" w:lineRule="exact"/>
        <w:ind w:firstLine="42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⑹招标人与投标人为谋求特定投标人中标而采取的其他串通行为。</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9.2 对投标人的纪律要求</w:t>
      </w:r>
    </w:p>
    <w:p>
      <w:pPr>
        <w:snapToGrid w:val="0"/>
        <w:spacing w:line="374" w:lineRule="exact"/>
        <w:ind w:firstLine="396" w:firstLineChars="200"/>
        <w:rPr>
          <w:rFonts w:hint="eastAsia" w:ascii="仿宋" w:hAnsi="仿宋" w:eastAsia="仿宋" w:cs="仿宋"/>
          <w:snapToGrid w:val="0"/>
          <w:color w:val="auto"/>
          <w:spacing w:val="-6"/>
          <w:sz w:val="21"/>
          <w:szCs w:val="21"/>
        </w:rPr>
      </w:pPr>
      <w:r>
        <w:rPr>
          <w:rFonts w:hint="eastAsia" w:ascii="仿宋" w:hAnsi="仿宋" w:eastAsia="仿宋" w:cs="仿宋"/>
          <w:snapToGrid w:val="0"/>
          <w:color w:val="auto"/>
          <w:spacing w:val="-6"/>
          <w:sz w:val="21"/>
          <w:szCs w:val="21"/>
        </w:rPr>
        <w:t>投标人不得相互串通投标或者与招标人串通投标，不得向招标人或者评审委员会成员行贿谋取</w:t>
      </w:r>
      <w:r>
        <w:rPr>
          <w:rFonts w:hint="eastAsia" w:ascii="仿宋" w:hAnsi="仿宋" w:eastAsia="仿宋" w:cs="仿宋"/>
          <w:snapToGrid w:val="0"/>
          <w:color w:val="auto"/>
          <w:sz w:val="21"/>
          <w:szCs w:val="21"/>
        </w:rPr>
        <w:t>中标</w:t>
      </w:r>
      <w:r>
        <w:rPr>
          <w:rFonts w:hint="eastAsia" w:ascii="仿宋" w:hAnsi="仿宋" w:eastAsia="仿宋" w:cs="仿宋"/>
          <w:snapToGrid w:val="0"/>
          <w:color w:val="auto"/>
          <w:spacing w:val="-6"/>
          <w:sz w:val="21"/>
          <w:szCs w:val="21"/>
        </w:rPr>
        <w:t>，不得以他人名义投标或者以其它方式弄虚作假骗取</w:t>
      </w:r>
      <w:r>
        <w:rPr>
          <w:rFonts w:hint="eastAsia" w:ascii="仿宋" w:hAnsi="仿宋" w:eastAsia="仿宋" w:cs="仿宋"/>
          <w:snapToGrid w:val="0"/>
          <w:color w:val="auto"/>
          <w:sz w:val="21"/>
          <w:szCs w:val="21"/>
        </w:rPr>
        <w:t>中标</w:t>
      </w:r>
      <w:r>
        <w:rPr>
          <w:rFonts w:hint="eastAsia" w:ascii="仿宋" w:hAnsi="仿宋" w:eastAsia="仿宋" w:cs="仿宋"/>
          <w:snapToGrid w:val="0"/>
          <w:color w:val="auto"/>
          <w:spacing w:val="-6"/>
          <w:sz w:val="21"/>
          <w:szCs w:val="21"/>
        </w:rPr>
        <w:t>；投标人不得以任何方式干扰、影响评审工作。</w:t>
      </w:r>
    </w:p>
    <w:p>
      <w:pPr>
        <w:snapToGrid w:val="0"/>
        <w:spacing w:line="374" w:lineRule="exact"/>
        <w:ind w:firstLine="420" w:firstLineChars="200"/>
        <w:rPr>
          <w:rFonts w:hint="eastAsia" w:ascii="仿宋" w:hAnsi="仿宋" w:eastAsia="仿宋" w:cs="仿宋"/>
          <w:snapToGrid w:val="0"/>
          <w:color w:val="auto"/>
          <w:spacing w:val="-6"/>
          <w:sz w:val="21"/>
          <w:szCs w:val="21"/>
        </w:rPr>
      </w:pPr>
      <w:r>
        <w:rPr>
          <w:rFonts w:hint="eastAsia" w:ascii="仿宋" w:hAnsi="仿宋" w:eastAsia="仿宋" w:cs="仿宋"/>
          <w:snapToGrid w:val="0"/>
          <w:color w:val="auto"/>
          <w:sz w:val="21"/>
          <w:szCs w:val="21"/>
        </w:rPr>
        <w:t>授权委托人作为被询标人，专家询标时15分钟内不能回复，视为自动放弃。</w:t>
      </w:r>
    </w:p>
    <w:p>
      <w:pPr>
        <w:snapToGrid w:val="0"/>
        <w:spacing w:line="374" w:lineRule="exact"/>
        <w:ind w:firstLine="42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9.2.1 下列行为均属以他人名义投标：</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 投标人挂靠其它施工单位；</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 投标人从其它施工单位通过转让或租借的方式获取资格或资质证书；</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 由其它单位及法定代表在自己编制的投标文件上加盖印章或签字的行为。</w:t>
      </w:r>
    </w:p>
    <w:p>
      <w:pPr>
        <w:snapToGrid w:val="0"/>
        <w:spacing w:line="374" w:lineRule="exact"/>
        <w:ind w:firstLine="42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9.2.2 下列行为，视为允许他人以本单位名义承揽工程：</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 投标人的法定代表人的委托代理人不是投标人本单位人员；</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 投标人拟在施工现场所设项目管理机构的项目负责人、技术负责人、质量负责人、安全负责人、专职安全生产管理人员、施工员、质量员、安全员不是本单位人员。</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投标人本单位人员，必须同时满足以下条件：</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 聘任合同必须由投标人单位与之签订；</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 与投标人单位有合法的工资关系；</w:t>
      </w:r>
    </w:p>
    <w:p>
      <w:pPr>
        <w:snapToGrid w:val="0"/>
        <w:spacing w:line="374" w:lineRule="exact"/>
        <w:ind w:firstLine="420" w:firstLineChars="200"/>
        <w:rPr>
          <w:rFonts w:hint="eastAsia" w:ascii="仿宋" w:hAnsi="仿宋" w:eastAsia="仿宋" w:cs="仿宋"/>
          <w:bCs/>
          <w:snapToGrid w:val="0"/>
          <w:color w:val="auto"/>
          <w:sz w:val="21"/>
          <w:szCs w:val="21"/>
        </w:rPr>
      </w:pPr>
      <w:r>
        <w:rPr>
          <w:rFonts w:hint="eastAsia" w:ascii="仿宋" w:hAnsi="仿宋" w:eastAsia="仿宋" w:cs="仿宋"/>
          <w:bCs/>
          <w:snapToGrid w:val="0"/>
          <w:color w:val="auto"/>
          <w:sz w:val="21"/>
          <w:szCs w:val="21"/>
        </w:rPr>
        <w:t>(3) 投标人单位为其办理社会保险关系，或具有其它有效证明其为本单位人员身份的文件。</w:t>
      </w:r>
    </w:p>
    <w:p>
      <w:pPr>
        <w:snapToGrid w:val="0"/>
        <w:spacing w:line="374" w:lineRule="exact"/>
        <w:ind w:firstLine="42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9.2.3 下列行为均属投标人串通投标报价：</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(1)投标人之间协商投标报价等投标文件的实质性内容；</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(2)投标人之间约定中标人；</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(3)投标人之间约定部分投标人放弃投标或者中标；</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(4)属于同一集团、协会、商会等组织成员的投标人按照该组织要求协同投标；</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(5)投标人之间为谋取中标或者排斥特定投标人而采取的其他联合行动。</w:t>
      </w:r>
    </w:p>
    <w:p>
      <w:pPr>
        <w:snapToGrid w:val="0"/>
        <w:spacing w:line="374" w:lineRule="exact"/>
        <w:ind w:firstLine="42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9.2.4 下列行为均视为投标人相互串通投标：</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(1)不同投标人的投标文件由同一单位或者个人编制；</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(2)不同投标人委托同一单位或者个人办理投标事宜；</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(3)不同投标人的投标文件载明的项目管理成员为同一人；</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(4)不同投标人的投标文件异常一致或者投标报价呈规律性差异；</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(5)不同投标人的投标文件相互混装；</w:t>
      </w:r>
    </w:p>
    <w:p>
      <w:pPr>
        <w:snapToGrid w:val="0"/>
        <w:spacing w:line="374" w:lineRule="exact"/>
        <w:ind w:firstLine="420" w:firstLineChars="200"/>
        <w:rPr>
          <w:rFonts w:hint="eastAsia" w:ascii="仿宋" w:hAnsi="仿宋" w:eastAsia="仿宋" w:cs="仿宋"/>
          <w:snapToGrid w:val="0"/>
          <w:color w:val="auto"/>
          <w:sz w:val="21"/>
          <w:szCs w:val="21"/>
          <w:lang w:eastAsia="zh-CN"/>
        </w:rPr>
      </w:pPr>
      <w:r>
        <w:rPr>
          <w:rFonts w:hint="eastAsia" w:ascii="仿宋" w:hAnsi="仿宋" w:eastAsia="仿宋" w:cs="仿宋"/>
          <w:snapToGrid w:val="0"/>
          <w:color w:val="auto"/>
          <w:sz w:val="21"/>
          <w:szCs w:val="21"/>
        </w:rPr>
        <w:t>(6)不同投标人的投标保证金从同一单位或者个人的账户转出</w:t>
      </w:r>
      <w:r>
        <w:rPr>
          <w:rFonts w:hint="eastAsia" w:ascii="仿宋" w:hAnsi="仿宋" w:eastAsia="仿宋" w:cs="仿宋"/>
          <w:snapToGrid w:val="0"/>
          <w:color w:val="auto"/>
          <w:sz w:val="21"/>
          <w:szCs w:val="21"/>
          <w:lang w:eastAsia="zh-CN"/>
        </w:rPr>
        <w:t>；</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（7）不同投标人的采用同一台电脑进行编制投标文件（如采用同一MAC地址、硬盘号、主板号、CPU号、或同一造价工具加密器等）。</w:t>
      </w:r>
    </w:p>
    <w:p>
      <w:pPr>
        <w:snapToGrid w:val="0"/>
        <w:spacing w:line="374" w:lineRule="exact"/>
        <w:ind w:firstLine="420" w:firstLineChars="200"/>
        <w:rPr>
          <w:rFonts w:hint="eastAsia" w:ascii="仿宋" w:hAnsi="仿宋" w:eastAsia="仿宋" w:cs="仿宋"/>
          <w:snapToGrid w:val="0"/>
          <w:color w:val="auto"/>
          <w:sz w:val="21"/>
          <w:szCs w:val="21"/>
          <w:lang w:val="en-US" w:eastAsia="zh-CN"/>
        </w:rPr>
      </w:pPr>
      <w:r>
        <w:rPr>
          <w:rFonts w:hint="eastAsia" w:ascii="仿宋" w:hAnsi="仿宋" w:eastAsia="仿宋" w:cs="仿宋"/>
          <w:snapToGrid w:val="0"/>
          <w:color w:val="auto"/>
          <w:sz w:val="21"/>
          <w:szCs w:val="21"/>
          <w:lang w:val="en-US" w:eastAsia="zh-CN"/>
        </w:rPr>
        <w:t>（8）不同投标人的电子投标文件的文件制作机器码或文件创建标识码相同的；</w:t>
      </w:r>
    </w:p>
    <w:p>
      <w:pPr>
        <w:snapToGrid w:val="0"/>
        <w:spacing w:line="374" w:lineRule="exact"/>
        <w:ind w:firstLine="420" w:firstLineChars="200"/>
        <w:rPr>
          <w:rFonts w:hint="eastAsia" w:ascii="仿宋" w:hAnsi="仿宋" w:eastAsia="仿宋" w:cs="仿宋"/>
          <w:snapToGrid w:val="0"/>
          <w:color w:val="auto"/>
          <w:sz w:val="21"/>
          <w:szCs w:val="21"/>
          <w:lang w:val="en-US" w:eastAsia="zh-CN"/>
        </w:rPr>
      </w:pPr>
      <w:r>
        <w:rPr>
          <w:rFonts w:hint="eastAsia" w:ascii="仿宋" w:hAnsi="仿宋" w:eastAsia="仿宋" w:cs="仿宋"/>
          <w:snapToGrid w:val="0"/>
          <w:color w:val="auto"/>
          <w:sz w:val="21"/>
          <w:szCs w:val="21"/>
          <w:lang w:val="en-US" w:eastAsia="zh-CN"/>
        </w:rPr>
        <w:t>（9）不同投标人从同一投标单位或同一自然人的ＩＰ地址下载招标文件、上传投标文件、购买电子保函或参加投标活动的人员为同一标段其他投标人的在职人员的；</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lang w:val="en-US" w:eastAsia="zh-CN"/>
        </w:rPr>
        <w:t>（10）不同投标人通过同一单位或者个人账户购买电子保函的</w:t>
      </w:r>
    </w:p>
    <w:p>
      <w:pPr>
        <w:snapToGrid w:val="0"/>
        <w:spacing w:line="374" w:lineRule="exact"/>
        <w:ind w:firstLine="42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9.2.5 下列行为均属于投标人弄虚作假的行为：</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(1)使用伪造、变造的许可证件；</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(2)提供虚假的财务状况或者业绩；</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(3)提供虚假的项目负责人或者主要技术人员简历、劳动关系证明；</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(4)提供虚假的信用状况；</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(5)其他弄虚作假的行为。</w:t>
      </w:r>
    </w:p>
    <w:p>
      <w:pPr>
        <w:snapToGrid w:val="0"/>
        <w:spacing w:line="374" w:lineRule="exact"/>
        <w:ind w:firstLine="42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9.2.6 评审结束后，招标人将有串标嫌疑的投标文件送有关部门进行后续调查，即使最终无法</w:t>
      </w:r>
    </w:p>
    <w:p>
      <w:pPr>
        <w:snapToGrid w:val="0"/>
        <w:spacing w:line="374" w:lineRule="exact"/>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认定串通投标行为成立，也不影响其按无效投标处理的结果。</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9.3 对评审委员会成员的纪律要求</w:t>
      </w:r>
    </w:p>
    <w:p>
      <w:pPr>
        <w:snapToGrid w:val="0"/>
        <w:spacing w:line="374" w:lineRule="exact"/>
        <w:ind w:firstLine="42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评审委员会成员不得私下接触投标人，不得收受投标人给予的财物或者其他好处，不得向招标人征询确定中标人的意向，不得接受任何单位或者个人</w:t>
      </w:r>
      <w:r>
        <w:rPr>
          <w:rFonts w:hint="eastAsia" w:ascii="仿宋" w:hAnsi="仿宋" w:eastAsia="仿宋" w:cs="仿宋"/>
          <w:snapToGrid w:val="0"/>
          <w:color w:val="auto"/>
          <w:sz w:val="21"/>
          <w:szCs w:val="21"/>
          <w:lang w:val="en-US" w:eastAsia="zh-CN"/>
        </w:rPr>
        <w:t xml:space="preserve"> </w:t>
      </w:r>
      <w:r>
        <w:rPr>
          <w:rFonts w:hint="eastAsia" w:ascii="仿宋" w:hAnsi="仿宋" w:eastAsia="仿宋" w:cs="仿宋"/>
          <w:snapToGrid w:val="0"/>
          <w:color w:val="auto"/>
          <w:sz w:val="21"/>
          <w:szCs w:val="21"/>
        </w:rPr>
        <w:t>明示或者暗示提出的倾向或者排斥特定投标人的要求，不得有其他不客观、不公正履行职务的行为；</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9.4 对与评审活动有关的工作人员的纪律要求</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与评审活动有关的工作人员不得收受他人的财物或者其他好处，不得向他人透漏对投标文件的评审和比较、中标候选人的推荐情况以及评审有关的其他情况。在评审活动中，与评审活动有关的工作人员不得擅离职守，影响评审程序正常进行；</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9.5 投诉</w:t>
      </w:r>
    </w:p>
    <w:p>
      <w:pPr>
        <w:pStyle w:val="5"/>
        <w:ind w:firstLine="420" w:firstLineChars="200"/>
        <w:jc w:val="left"/>
        <w:rPr>
          <w:rFonts w:hint="eastAsia" w:ascii="仿宋" w:hAnsi="仿宋" w:eastAsia="仿宋" w:cs="仿宋"/>
          <w:snapToGrid w:val="0"/>
          <w:color w:val="auto"/>
          <w:sz w:val="21"/>
          <w:szCs w:val="21"/>
        </w:rPr>
      </w:pPr>
      <w:bookmarkStart w:id="113" w:name="_Toc251245637"/>
      <w:bookmarkStart w:id="114" w:name="_Toc271200552"/>
      <w:bookmarkStart w:id="115" w:name="_Toc261333120"/>
      <w:bookmarkStart w:id="116" w:name="_Toc259802199"/>
      <w:bookmarkStart w:id="117" w:name="_Toc271220718"/>
      <w:bookmarkStart w:id="118" w:name="_Toc251597992"/>
      <w:r>
        <w:rPr>
          <w:rFonts w:hint="eastAsia" w:ascii="仿宋" w:hAnsi="仿宋" w:eastAsia="仿宋" w:cs="仿宋"/>
          <w:snapToGrid w:val="0"/>
          <w:color w:val="auto"/>
          <w:sz w:val="21"/>
          <w:szCs w:val="21"/>
        </w:rPr>
        <w:t>投标人和其他利害关系人认为本次招标活动违反法律、法规和规章规定的，有权按照《中华人民共和国招标投标法实施条例》等规定提出书面异议和投诉。投诉受理机构见投标人须知前附表。</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10其他内容</w:t>
      </w:r>
      <w:bookmarkEnd w:id="113"/>
      <w:bookmarkEnd w:id="114"/>
      <w:bookmarkEnd w:id="115"/>
      <w:bookmarkEnd w:id="116"/>
      <w:bookmarkEnd w:id="117"/>
      <w:bookmarkEnd w:id="118"/>
    </w:p>
    <w:p>
      <w:pPr>
        <w:pStyle w:val="42"/>
        <w:rPr>
          <w:rFonts w:hint="eastAsia" w:ascii="仿宋" w:hAnsi="仿宋" w:eastAsia="仿宋" w:cs="仿宋"/>
          <w:b/>
          <w:color w:val="auto"/>
          <w:sz w:val="21"/>
          <w:szCs w:val="21"/>
        </w:rPr>
      </w:pPr>
      <w:r>
        <w:rPr>
          <w:rFonts w:hint="eastAsia" w:ascii="仿宋" w:hAnsi="仿宋" w:eastAsia="仿宋" w:cs="仿宋"/>
          <w:b/>
          <w:bCs/>
          <w:snapToGrid w:val="0"/>
          <w:color w:val="auto"/>
          <w:sz w:val="21"/>
          <w:szCs w:val="21"/>
        </w:rPr>
        <w:t>10.2</w:t>
      </w:r>
      <w:r>
        <w:rPr>
          <w:rFonts w:hint="eastAsia" w:ascii="仿宋" w:hAnsi="仿宋" w:eastAsia="仿宋" w:cs="仿宋"/>
          <w:b/>
          <w:color w:val="auto"/>
          <w:sz w:val="21"/>
          <w:szCs w:val="21"/>
        </w:rPr>
        <w:t>已标价工程量清单电子版</w:t>
      </w:r>
    </w:p>
    <w:p>
      <w:pPr>
        <w:snapToGrid w:val="0"/>
        <w:spacing w:line="374" w:lineRule="exact"/>
        <w:ind w:firstLine="505" w:firstLineChars="250"/>
        <w:rPr>
          <w:rFonts w:hint="eastAsia" w:ascii="仿宋" w:hAnsi="仿宋" w:eastAsia="仿宋" w:cs="仿宋"/>
          <w:b/>
          <w:color w:val="auto"/>
          <w:sz w:val="21"/>
          <w:szCs w:val="21"/>
        </w:rPr>
      </w:pPr>
      <w:r>
        <w:rPr>
          <w:rFonts w:hint="eastAsia" w:ascii="仿宋" w:hAnsi="仿宋" w:eastAsia="仿宋" w:cs="仿宋"/>
          <w:snapToGrid w:val="0"/>
          <w:color w:val="auto"/>
          <w:spacing w:val="-4"/>
          <w:sz w:val="21"/>
          <w:szCs w:val="21"/>
        </w:rPr>
        <w:t>各投标人需上传已标价的工程量清单电子扫描件。</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10.3 原件</w:t>
      </w:r>
    </w:p>
    <w:p>
      <w:pPr>
        <w:snapToGrid w:val="0"/>
        <w:spacing w:line="374" w:lineRule="exact"/>
        <w:ind w:firstLine="404" w:firstLineChars="200"/>
        <w:rPr>
          <w:rFonts w:hint="eastAsia" w:ascii="仿宋" w:hAnsi="仿宋" w:eastAsia="仿宋" w:cs="仿宋"/>
          <w:snapToGrid w:val="0"/>
          <w:color w:val="auto"/>
          <w:spacing w:val="-4"/>
          <w:sz w:val="21"/>
          <w:szCs w:val="21"/>
        </w:rPr>
      </w:pPr>
      <w:r>
        <w:rPr>
          <w:rFonts w:hint="eastAsia" w:ascii="仿宋" w:hAnsi="仿宋" w:eastAsia="仿宋" w:cs="仿宋"/>
          <w:snapToGrid w:val="0"/>
          <w:color w:val="auto"/>
          <w:spacing w:val="-4"/>
          <w:sz w:val="21"/>
          <w:szCs w:val="21"/>
        </w:rPr>
        <w:t>投标人应按投标人须知前附表规定，将原件的扫描件上传。</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10.4 中标人的投标文件</w:t>
      </w:r>
    </w:p>
    <w:p>
      <w:pPr>
        <w:snapToGrid w:val="0"/>
        <w:spacing w:line="374" w:lineRule="exact"/>
        <w:ind w:firstLine="420" w:firstLineChars="200"/>
        <w:rPr>
          <w:rFonts w:hint="eastAsia" w:ascii="仿宋" w:hAnsi="仿宋" w:eastAsia="仿宋" w:cs="仿宋"/>
          <w:color w:val="auto"/>
        </w:rPr>
      </w:pPr>
      <w:r>
        <w:rPr>
          <w:rFonts w:hint="eastAsia" w:ascii="仿宋" w:hAnsi="仿宋" w:eastAsia="仿宋" w:cs="仿宋"/>
          <w:snapToGrid w:val="0"/>
          <w:color w:val="auto"/>
          <w:sz w:val="21"/>
          <w:szCs w:val="21"/>
        </w:rPr>
        <w:t>中标人须在签订合同前向招标人另行提交投标人须知前附表规定份数的投标文件；</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10.5 招标人最高限价</w:t>
      </w:r>
    </w:p>
    <w:p>
      <w:pPr>
        <w:snapToGrid w:val="0"/>
        <w:spacing w:line="374" w:lineRule="exact"/>
        <w:ind w:firstLine="420"/>
        <w:rPr>
          <w:rFonts w:hint="eastAsia" w:ascii="仿宋" w:hAnsi="仿宋" w:eastAsia="仿宋" w:cs="仿宋"/>
          <w:b/>
          <w:color w:val="auto"/>
          <w:sz w:val="21"/>
          <w:szCs w:val="21"/>
        </w:rPr>
      </w:pPr>
      <w:r>
        <w:rPr>
          <w:rFonts w:hint="eastAsia" w:ascii="仿宋" w:hAnsi="仿宋" w:eastAsia="仿宋" w:cs="仿宋"/>
          <w:snapToGrid w:val="0"/>
          <w:color w:val="auto"/>
          <w:sz w:val="21"/>
          <w:szCs w:val="21"/>
        </w:rPr>
        <w:t>招标人最高限价见投标人须知前附表；</w:t>
      </w:r>
    </w:p>
    <w:p>
      <w:pPr>
        <w:snapToGrid w:val="0"/>
        <w:spacing w:line="374"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10.6 行贿犯罪与不良行为档案记录查询</w:t>
      </w:r>
    </w:p>
    <w:p>
      <w:pPr>
        <w:pStyle w:val="42"/>
        <w:ind w:firstLine="420" w:firstLineChars="200"/>
        <w:rPr>
          <w:rFonts w:hint="eastAsia" w:ascii="仿宋" w:hAnsi="仿宋" w:eastAsia="仿宋" w:cs="仿宋"/>
          <w:color w:val="auto"/>
        </w:rPr>
      </w:pPr>
      <w:r>
        <w:rPr>
          <w:rFonts w:hint="eastAsia" w:ascii="仿宋" w:hAnsi="仿宋" w:eastAsia="仿宋" w:cs="仿宋"/>
          <w:color w:val="auto"/>
          <w:sz w:val="21"/>
          <w:szCs w:val="21"/>
        </w:rPr>
        <w:t>行贿犯罪与不良行为档案记录查询详见投标人须知前附表；</w:t>
      </w:r>
    </w:p>
    <w:p>
      <w:pPr>
        <w:snapToGrid w:val="0"/>
        <w:spacing w:line="374" w:lineRule="exact"/>
        <w:rPr>
          <w:rFonts w:hint="eastAsia" w:ascii="仿宋" w:hAnsi="仿宋" w:eastAsia="仿宋" w:cs="仿宋"/>
          <w:snapToGrid w:val="0"/>
          <w:color w:val="auto"/>
          <w:sz w:val="21"/>
          <w:szCs w:val="21"/>
        </w:rPr>
      </w:pPr>
      <w:r>
        <w:rPr>
          <w:rFonts w:hint="eastAsia" w:ascii="仿宋" w:hAnsi="仿宋" w:eastAsia="仿宋" w:cs="仿宋"/>
          <w:b/>
          <w:color w:val="auto"/>
          <w:sz w:val="21"/>
          <w:szCs w:val="21"/>
        </w:rPr>
        <w:t>10.7 评审结果公示</w:t>
      </w:r>
    </w:p>
    <w:p>
      <w:pPr>
        <w:snapToGrid w:val="0"/>
        <w:spacing w:line="374"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评审结果公示详见投标人须知前附表。</w:t>
      </w:r>
    </w:p>
    <w:p>
      <w:pPr>
        <w:pStyle w:val="2"/>
        <w:ind w:left="0" w:leftChars="0" w:firstLine="0" w:firstLineChars="0"/>
        <w:rPr>
          <w:rFonts w:hint="eastAsia" w:ascii="仿宋" w:hAnsi="仿宋" w:eastAsia="仿宋" w:cs="仿宋"/>
          <w:b/>
          <w:color w:val="auto"/>
          <w:sz w:val="21"/>
          <w:szCs w:val="21"/>
          <w:lang w:val="en-US" w:eastAsia="zh-CN" w:bidi="ar-SA"/>
        </w:rPr>
      </w:pPr>
      <w:r>
        <w:rPr>
          <w:rFonts w:hint="eastAsia" w:ascii="仿宋" w:hAnsi="仿宋" w:eastAsia="仿宋" w:cs="仿宋"/>
          <w:b/>
          <w:color w:val="auto"/>
          <w:sz w:val="21"/>
          <w:szCs w:val="21"/>
          <w:lang w:val="en-US" w:eastAsia="zh-CN" w:bidi="ar-SA"/>
        </w:rPr>
        <w:t>10.8 需要补充的内容</w:t>
      </w:r>
    </w:p>
    <w:p>
      <w:pPr>
        <w:pStyle w:val="2"/>
        <w:ind w:left="0" w:leftChars="0" w:firstLine="420" w:firstLineChars="200"/>
        <w:rPr>
          <w:rFonts w:hint="eastAsia" w:ascii="仿宋" w:hAnsi="仿宋" w:eastAsia="仿宋" w:cs="仿宋"/>
          <w:snapToGrid w:val="0"/>
          <w:color w:val="auto"/>
          <w:sz w:val="21"/>
          <w:szCs w:val="21"/>
          <w:lang w:val="en-US" w:eastAsia="zh-CN" w:bidi="ar-SA"/>
        </w:rPr>
      </w:pPr>
      <w:r>
        <w:rPr>
          <w:rFonts w:hint="eastAsia" w:ascii="仿宋" w:hAnsi="仿宋" w:eastAsia="仿宋" w:cs="仿宋"/>
          <w:snapToGrid w:val="0"/>
          <w:color w:val="auto"/>
          <w:sz w:val="21"/>
          <w:szCs w:val="21"/>
          <w:lang w:val="en-US" w:eastAsia="zh-CN" w:bidi="ar-SA"/>
        </w:rPr>
        <w:t>1、如项目负责人有在建工程，除取消中标资格外，业主将上报行政主管部门，并建议列入不良行为记录一次。</w:t>
      </w:r>
    </w:p>
    <w:p>
      <w:pPr>
        <w:pStyle w:val="2"/>
        <w:ind w:left="0" w:leftChars="0" w:firstLine="420" w:firstLineChars="200"/>
        <w:rPr>
          <w:rFonts w:hint="eastAsia" w:ascii="仿宋" w:hAnsi="仿宋" w:eastAsia="仿宋" w:cs="仿宋"/>
          <w:b/>
          <w:bCs/>
          <w:snapToGrid w:val="0"/>
          <w:color w:val="auto"/>
          <w:sz w:val="21"/>
          <w:szCs w:val="21"/>
          <w:lang w:val="en-US" w:eastAsia="zh-CN" w:bidi="ar-SA"/>
        </w:rPr>
      </w:pPr>
      <w:r>
        <w:rPr>
          <w:rFonts w:hint="eastAsia" w:ascii="仿宋" w:hAnsi="仿宋" w:eastAsia="仿宋" w:cs="仿宋"/>
          <w:b/>
          <w:bCs/>
          <w:snapToGrid w:val="0"/>
          <w:color w:val="auto"/>
          <w:sz w:val="21"/>
          <w:szCs w:val="21"/>
          <w:lang w:val="en-US" w:eastAsia="zh-CN" w:bidi="ar-SA"/>
        </w:rPr>
        <w:t>2、本项目总工期为180日历天。</w:t>
      </w:r>
    </w:p>
    <w:p>
      <w:pPr>
        <w:pStyle w:val="2"/>
        <w:ind w:left="0" w:leftChars="0" w:firstLine="420" w:firstLineChars="200"/>
        <w:rPr>
          <w:rFonts w:hint="eastAsia" w:ascii="仿宋" w:hAnsi="仿宋" w:eastAsia="仿宋" w:cs="仿宋"/>
          <w:snapToGrid w:val="0"/>
          <w:color w:val="auto"/>
          <w:sz w:val="21"/>
          <w:szCs w:val="21"/>
          <w:lang w:val="en-US" w:eastAsia="zh-CN" w:bidi="ar-SA"/>
        </w:rPr>
      </w:pPr>
      <w:r>
        <w:rPr>
          <w:rFonts w:hint="eastAsia" w:ascii="仿宋" w:hAnsi="仿宋" w:eastAsia="仿宋" w:cs="仿宋"/>
          <w:snapToGrid w:val="0"/>
          <w:color w:val="auto"/>
          <w:sz w:val="21"/>
          <w:szCs w:val="21"/>
          <w:lang w:val="en-US" w:eastAsia="zh-CN" w:bidi="ar-SA"/>
        </w:rPr>
        <w:t>3、根据织政发〔2021〕5号和新投董｛2021｝2号规定，从严控制工程变更费用，累计工程变更比例不超过合同价的20%。</w:t>
      </w:r>
    </w:p>
    <w:p>
      <w:pPr>
        <w:pStyle w:val="2"/>
        <w:ind w:left="0" w:leftChars="0" w:firstLine="420" w:firstLineChars="200"/>
        <w:rPr>
          <w:rFonts w:hint="eastAsia" w:ascii="仿宋" w:hAnsi="仿宋" w:eastAsia="仿宋" w:cs="仿宋"/>
          <w:snapToGrid w:val="0"/>
          <w:color w:val="auto"/>
          <w:sz w:val="21"/>
          <w:szCs w:val="21"/>
          <w:lang w:val="en-US" w:eastAsia="zh-CN" w:bidi="ar-SA"/>
        </w:rPr>
      </w:pPr>
      <w:r>
        <w:rPr>
          <w:rFonts w:hint="eastAsia" w:ascii="仿宋" w:hAnsi="仿宋" w:eastAsia="仿宋" w:cs="仿宋"/>
          <w:snapToGrid w:val="0"/>
          <w:color w:val="auto"/>
          <w:sz w:val="21"/>
          <w:szCs w:val="21"/>
          <w:lang w:val="en-US" w:eastAsia="zh-CN" w:bidi="ar-SA"/>
        </w:rPr>
        <w:t>4、审计后，单次变更联系单的审定价若超过经审批的变更量时，按审批时的变更量结算。</w:t>
      </w:r>
    </w:p>
    <w:p>
      <w:pPr>
        <w:pStyle w:val="2"/>
        <w:ind w:left="0" w:leftChars="0" w:firstLine="420" w:firstLineChars="200"/>
        <w:rPr>
          <w:rFonts w:hint="default" w:ascii="仿宋" w:hAnsi="仿宋" w:eastAsia="仿宋" w:cs="仿宋"/>
          <w:snapToGrid w:val="0"/>
          <w:color w:val="auto"/>
          <w:sz w:val="21"/>
          <w:szCs w:val="21"/>
          <w:lang w:val="en-US" w:eastAsia="zh-CN" w:bidi="ar-SA"/>
        </w:rPr>
      </w:pPr>
      <w:r>
        <w:rPr>
          <w:rFonts w:hint="eastAsia" w:ascii="仿宋" w:hAnsi="仿宋" w:eastAsia="仿宋" w:cs="仿宋"/>
          <w:snapToGrid w:val="0"/>
          <w:color w:val="auto"/>
          <w:sz w:val="21"/>
          <w:szCs w:val="21"/>
          <w:lang w:val="en-US" w:eastAsia="zh-CN" w:bidi="ar-SA"/>
        </w:rPr>
        <w:t>5、招标文件若存在明显错误的，例如计量单位错误等，在发包过程中未及时发现并纠正错误的，在中标单位中标后，招标人有权对错误项在中标交单价不变的情况下进更正</w:t>
      </w:r>
    </w:p>
    <w:p>
      <w:pPr>
        <w:pStyle w:val="4"/>
        <w:jc w:val="both"/>
        <w:rPr>
          <w:rFonts w:hint="eastAsia" w:ascii="仿宋" w:hAnsi="仿宋" w:eastAsia="仿宋" w:cs="仿宋"/>
          <w:b/>
          <w:color w:val="auto"/>
          <w:sz w:val="24"/>
          <w:szCs w:val="24"/>
        </w:rPr>
      </w:pPr>
      <w:bookmarkStart w:id="119" w:name="_Toc1905"/>
      <w:bookmarkStart w:id="120" w:name="_Toc322370057"/>
      <w:bookmarkStart w:id="121" w:name="_Toc405378471"/>
      <w:bookmarkStart w:id="122" w:name="_Toc234382644"/>
      <w:bookmarkStart w:id="123" w:name="_Toc339482446"/>
      <w:bookmarkStart w:id="124" w:name="_Toc22922"/>
      <w:bookmarkStart w:id="125" w:name="_Toc452839268"/>
      <w:bookmarkStart w:id="126" w:name="_Toc319618857"/>
      <w:bookmarkStart w:id="127" w:name="_Toc318751935"/>
      <w:r>
        <w:rPr>
          <w:rFonts w:hint="eastAsia" w:ascii="仿宋" w:hAnsi="仿宋" w:eastAsia="仿宋" w:cs="仿宋"/>
          <w:b/>
          <w:color w:val="auto"/>
          <w:sz w:val="24"/>
          <w:szCs w:val="24"/>
        </w:rPr>
        <w:t>附表一：开标记录表</w:t>
      </w:r>
      <w:bookmarkEnd w:id="119"/>
      <w:bookmarkEnd w:id="120"/>
      <w:bookmarkEnd w:id="121"/>
      <w:bookmarkEnd w:id="122"/>
      <w:bookmarkEnd w:id="123"/>
      <w:bookmarkEnd w:id="124"/>
      <w:bookmarkEnd w:id="125"/>
      <w:bookmarkEnd w:id="126"/>
      <w:bookmarkEnd w:id="127"/>
      <w:bookmarkStart w:id="128" w:name="_Toc319618858"/>
      <w:bookmarkStart w:id="129" w:name="_Toc234382645"/>
      <w:bookmarkStart w:id="130" w:name="_Toc318751936"/>
    </w:p>
    <w:p>
      <w:pPr>
        <w:jc w:val="center"/>
        <w:rPr>
          <w:rFonts w:hint="eastAsia" w:ascii="仿宋" w:hAnsi="仿宋" w:eastAsia="仿宋" w:cs="仿宋"/>
          <w:b/>
          <w:bCs/>
          <w:color w:val="auto"/>
          <w:kern w:val="44"/>
          <w:sz w:val="28"/>
          <w:szCs w:val="28"/>
        </w:rPr>
      </w:pPr>
    </w:p>
    <w:p>
      <w:pPr>
        <w:jc w:val="center"/>
        <w:rPr>
          <w:rFonts w:hint="eastAsia" w:ascii="仿宋" w:hAnsi="仿宋" w:eastAsia="仿宋" w:cs="仿宋"/>
          <w:b/>
          <w:bCs/>
          <w:color w:val="auto"/>
          <w:kern w:val="44"/>
          <w:sz w:val="28"/>
          <w:szCs w:val="28"/>
        </w:rPr>
      </w:pPr>
      <w:r>
        <w:rPr>
          <w:rFonts w:hint="eastAsia" w:ascii="仿宋" w:hAnsi="仿宋" w:eastAsia="仿宋" w:cs="仿宋"/>
          <w:b/>
          <w:bCs/>
          <w:color w:val="auto"/>
          <w:kern w:val="44"/>
          <w:sz w:val="28"/>
          <w:szCs w:val="28"/>
        </w:rPr>
        <w:t>技术文件开标记录</w:t>
      </w:r>
      <w:bookmarkEnd w:id="128"/>
      <w:bookmarkEnd w:id="129"/>
      <w:bookmarkEnd w:id="130"/>
    </w:p>
    <w:p>
      <w:pPr>
        <w:ind w:firstLine="359" w:firstLineChars="171"/>
        <w:rPr>
          <w:rFonts w:hint="eastAsia" w:ascii="仿宋" w:hAnsi="仿宋" w:eastAsia="仿宋" w:cs="仿宋"/>
          <w:color w:val="auto"/>
          <w:sz w:val="21"/>
          <w:szCs w:val="21"/>
        </w:rPr>
      </w:pPr>
      <w:r>
        <w:rPr>
          <w:rFonts w:hint="eastAsia" w:ascii="仿宋" w:hAnsi="仿宋" w:eastAsia="仿宋" w:cs="仿宋"/>
          <w:color w:val="auto"/>
          <w:sz w:val="21"/>
          <w:szCs w:val="21"/>
        </w:rPr>
        <w:t xml:space="preserve">项目名称：                                    开标时间： </w:t>
      </w:r>
    </w:p>
    <w:p>
      <w:pPr>
        <w:ind w:firstLine="359" w:firstLineChars="171"/>
        <w:rPr>
          <w:rFonts w:hint="eastAsia" w:ascii="仿宋" w:hAnsi="仿宋" w:eastAsia="仿宋" w:cs="仿宋"/>
          <w:color w:val="auto"/>
          <w:sz w:val="21"/>
          <w:szCs w:val="21"/>
        </w:rPr>
      </w:pPr>
      <w:r>
        <w:rPr>
          <w:rFonts w:hint="eastAsia" w:ascii="仿宋" w:hAnsi="仿宋" w:eastAsia="仿宋" w:cs="仿宋"/>
          <w:color w:val="auto"/>
          <w:sz w:val="21"/>
          <w:szCs w:val="21"/>
        </w:rPr>
        <w:t xml:space="preserve">招标单位：                                    开标地点： </w:t>
      </w:r>
    </w:p>
    <w:tbl>
      <w:tblPr>
        <w:tblStyle w:val="25"/>
        <w:tblW w:w="9976" w:type="dxa"/>
        <w:jc w:val="center"/>
        <w:tblLayout w:type="fixed"/>
        <w:tblCellMar>
          <w:top w:w="0" w:type="dxa"/>
          <w:left w:w="0" w:type="dxa"/>
          <w:bottom w:w="0" w:type="dxa"/>
          <w:right w:w="0" w:type="dxa"/>
        </w:tblCellMar>
      </w:tblPr>
      <w:tblGrid>
        <w:gridCol w:w="1006"/>
        <w:gridCol w:w="2375"/>
        <w:gridCol w:w="1170"/>
        <w:gridCol w:w="1171"/>
        <w:gridCol w:w="1418"/>
        <w:gridCol w:w="1418"/>
        <w:gridCol w:w="1418"/>
      </w:tblGrid>
      <w:tr>
        <w:tblPrEx>
          <w:tblCellMar>
            <w:top w:w="0" w:type="dxa"/>
            <w:left w:w="0" w:type="dxa"/>
            <w:bottom w:w="0" w:type="dxa"/>
            <w:right w:w="0" w:type="dxa"/>
          </w:tblCellMar>
        </w:tblPrEx>
        <w:trPr>
          <w:trHeight w:val="732" w:hRule="atLeast"/>
          <w:jc w:val="center"/>
        </w:trPr>
        <w:tc>
          <w:tcPr>
            <w:tcW w:w="100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序号</w:t>
            </w:r>
          </w:p>
        </w:tc>
        <w:tc>
          <w:tcPr>
            <w:tcW w:w="237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投标单位名称</w:t>
            </w:r>
          </w:p>
        </w:tc>
        <w:tc>
          <w:tcPr>
            <w:tcW w:w="117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项目负</w:t>
            </w:r>
          </w:p>
          <w:p>
            <w:pPr>
              <w:snapToGrid w:val="0"/>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责人</w:t>
            </w:r>
          </w:p>
        </w:tc>
        <w:tc>
          <w:tcPr>
            <w:tcW w:w="1171" w:type="dxa"/>
            <w:tcBorders>
              <w:top w:val="single" w:color="000000" w:sz="4" w:space="0"/>
              <w:left w:val="single" w:color="auto" w:sz="4" w:space="0"/>
              <w:bottom w:val="single" w:color="000000" w:sz="4" w:space="0"/>
              <w:right w:val="single" w:color="000000" w:sz="4" w:space="0"/>
            </w:tcBorders>
            <w:vAlign w:val="center"/>
          </w:tcPr>
          <w:p>
            <w:pPr>
              <w:snapToGrid w:val="0"/>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工期</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报价</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质量目标</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授权代表</w:t>
            </w:r>
          </w:p>
          <w:p>
            <w:pPr>
              <w:snapToGrid w:val="0"/>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资格</w:t>
            </w:r>
          </w:p>
        </w:tc>
      </w:tr>
      <w:tr>
        <w:tblPrEx>
          <w:tblCellMar>
            <w:top w:w="0" w:type="dxa"/>
            <w:left w:w="0" w:type="dxa"/>
            <w:bottom w:w="0" w:type="dxa"/>
            <w:right w:w="0" w:type="dxa"/>
          </w:tblCellMar>
        </w:tblPrEx>
        <w:trPr>
          <w:trHeight w:val="621" w:hRule="atLeast"/>
          <w:jc w:val="center"/>
        </w:trPr>
        <w:tc>
          <w:tcPr>
            <w:tcW w:w="100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kern w:val="2"/>
                <w:sz w:val="21"/>
                <w:szCs w:val="21"/>
              </w:rPr>
            </w:pPr>
          </w:p>
        </w:tc>
        <w:tc>
          <w:tcPr>
            <w:tcW w:w="237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kern w:val="2"/>
                <w:sz w:val="21"/>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kern w:val="2"/>
                <w:sz w:val="21"/>
                <w:szCs w:val="21"/>
              </w:rPr>
            </w:pPr>
          </w:p>
        </w:tc>
        <w:tc>
          <w:tcPr>
            <w:tcW w:w="1171" w:type="dxa"/>
            <w:tcBorders>
              <w:top w:val="single" w:color="000000" w:sz="4" w:space="0"/>
              <w:left w:val="single" w:color="auto" w:sz="4" w:space="0"/>
              <w:bottom w:val="single" w:color="000000" w:sz="4" w:space="0"/>
              <w:right w:val="single" w:color="000000" w:sz="4" w:space="0"/>
            </w:tcBorders>
            <w:vAlign w:val="center"/>
          </w:tcPr>
          <w:p>
            <w:pPr>
              <w:rPr>
                <w:rFonts w:hint="eastAsia" w:ascii="仿宋" w:hAnsi="仿宋" w:eastAsia="仿宋" w:cs="仿宋"/>
                <w:color w:val="auto"/>
                <w:kern w:val="2"/>
                <w:sz w:val="2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kern w:val="2"/>
                <w:sz w:val="2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kern w:val="2"/>
                <w:sz w:val="2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kern w:val="2"/>
                <w:sz w:val="21"/>
                <w:szCs w:val="21"/>
              </w:rPr>
            </w:pPr>
          </w:p>
        </w:tc>
      </w:tr>
      <w:tr>
        <w:tblPrEx>
          <w:tblCellMar>
            <w:top w:w="0" w:type="dxa"/>
            <w:left w:w="0" w:type="dxa"/>
            <w:bottom w:w="0" w:type="dxa"/>
            <w:right w:w="0" w:type="dxa"/>
          </w:tblCellMar>
        </w:tblPrEx>
        <w:trPr>
          <w:trHeight w:val="621" w:hRule="atLeast"/>
          <w:jc w:val="center"/>
        </w:trPr>
        <w:tc>
          <w:tcPr>
            <w:tcW w:w="100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kern w:val="2"/>
                <w:sz w:val="21"/>
                <w:szCs w:val="21"/>
              </w:rPr>
            </w:pPr>
          </w:p>
        </w:tc>
        <w:tc>
          <w:tcPr>
            <w:tcW w:w="237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kern w:val="2"/>
                <w:sz w:val="21"/>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kern w:val="2"/>
                <w:sz w:val="21"/>
                <w:szCs w:val="21"/>
              </w:rPr>
            </w:pPr>
          </w:p>
        </w:tc>
        <w:tc>
          <w:tcPr>
            <w:tcW w:w="1171" w:type="dxa"/>
            <w:tcBorders>
              <w:top w:val="single" w:color="000000" w:sz="4" w:space="0"/>
              <w:left w:val="single" w:color="auto" w:sz="4" w:space="0"/>
              <w:bottom w:val="single" w:color="000000" w:sz="4" w:space="0"/>
              <w:right w:val="single" w:color="000000" w:sz="4" w:space="0"/>
            </w:tcBorders>
            <w:vAlign w:val="center"/>
          </w:tcPr>
          <w:p>
            <w:pPr>
              <w:rPr>
                <w:rFonts w:hint="eastAsia" w:ascii="仿宋" w:hAnsi="仿宋" w:eastAsia="仿宋" w:cs="仿宋"/>
                <w:color w:val="auto"/>
                <w:kern w:val="2"/>
                <w:sz w:val="2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kern w:val="2"/>
                <w:sz w:val="2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kern w:val="2"/>
                <w:sz w:val="2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kern w:val="2"/>
                <w:sz w:val="21"/>
                <w:szCs w:val="21"/>
              </w:rPr>
            </w:pPr>
          </w:p>
        </w:tc>
      </w:tr>
      <w:tr>
        <w:tblPrEx>
          <w:tblCellMar>
            <w:top w:w="0" w:type="dxa"/>
            <w:left w:w="0" w:type="dxa"/>
            <w:bottom w:w="0" w:type="dxa"/>
            <w:right w:w="0" w:type="dxa"/>
          </w:tblCellMar>
        </w:tblPrEx>
        <w:trPr>
          <w:trHeight w:val="621" w:hRule="atLeast"/>
          <w:jc w:val="center"/>
        </w:trPr>
        <w:tc>
          <w:tcPr>
            <w:tcW w:w="100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kern w:val="2"/>
                <w:sz w:val="21"/>
                <w:szCs w:val="21"/>
              </w:rPr>
            </w:pPr>
          </w:p>
        </w:tc>
        <w:tc>
          <w:tcPr>
            <w:tcW w:w="237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kern w:val="2"/>
                <w:sz w:val="21"/>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kern w:val="2"/>
                <w:sz w:val="21"/>
                <w:szCs w:val="21"/>
              </w:rPr>
            </w:pPr>
          </w:p>
        </w:tc>
        <w:tc>
          <w:tcPr>
            <w:tcW w:w="1171" w:type="dxa"/>
            <w:tcBorders>
              <w:top w:val="single" w:color="000000" w:sz="4" w:space="0"/>
              <w:left w:val="single" w:color="auto" w:sz="4" w:space="0"/>
              <w:bottom w:val="single" w:color="000000" w:sz="4" w:space="0"/>
              <w:right w:val="single" w:color="000000" w:sz="4" w:space="0"/>
            </w:tcBorders>
            <w:vAlign w:val="center"/>
          </w:tcPr>
          <w:p>
            <w:pPr>
              <w:rPr>
                <w:rFonts w:hint="eastAsia" w:ascii="仿宋" w:hAnsi="仿宋" w:eastAsia="仿宋" w:cs="仿宋"/>
                <w:color w:val="auto"/>
                <w:kern w:val="2"/>
                <w:sz w:val="2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kern w:val="2"/>
                <w:sz w:val="2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kern w:val="2"/>
                <w:sz w:val="2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kern w:val="2"/>
                <w:sz w:val="21"/>
                <w:szCs w:val="21"/>
              </w:rPr>
            </w:pPr>
          </w:p>
        </w:tc>
      </w:tr>
      <w:tr>
        <w:tblPrEx>
          <w:tblCellMar>
            <w:top w:w="0" w:type="dxa"/>
            <w:left w:w="0" w:type="dxa"/>
            <w:bottom w:w="0" w:type="dxa"/>
            <w:right w:w="0" w:type="dxa"/>
          </w:tblCellMar>
        </w:tblPrEx>
        <w:trPr>
          <w:trHeight w:val="631" w:hRule="atLeast"/>
          <w:jc w:val="center"/>
        </w:trPr>
        <w:tc>
          <w:tcPr>
            <w:tcW w:w="1006" w:type="dxa"/>
            <w:tcBorders>
              <w:top w:val="single" w:color="000000" w:sz="4" w:space="0"/>
              <w:left w:val="single" w:color="auto" w:sz="4" w:space="0"/>
              <w:bottom w:val="single" w:color="000000" w:sz="4" w:space="0"/>
              <w:right w:val="single" w:color="000000" w:sz="4" w:space="0"/>
            </w:tcBorders>
            <w:vAlign w:val="center"/>
          </w:tcPr>
          <w:p>
            <w:pPr>
              <w:rPr>
                <w:rFonts w:hint="eastAsia" w:ascii="仿宋" w:hAnsi="仿宋" w:eastAsia="仿宋" w:cs="仿宋"/>
                <w:color w:val="auto"/>
                <w:kern w:val="2"/>
                <w:sz w:val="21"/>
                <w:szCs w:val="21"/>
              </w:rPr>
            </w:pPr>
          </w:p>
        </w:tc>
        <w:tc>
          <w:tcPr>
            <w:tcW w:w="237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kern w:val="2"/>
                <w:sz w:val="21"/>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kern w:val="2"/>
                <w:sz w:val="21"/>
                <w:szCs w:val="21"/>
              </w:rPr>
            </w:pPr>
          </w:p>
        </w:tc>
        <w:tc>
          <w:tcPr>
            <w:tcW w:w="1171" w:type="dxa"/>
            <w:tcBorders>
              <w:top w:val="single" w:color="000000" w:sz="4" w:space="0"/>
              <w:left w:val="single" w:color="auto" w:sz="4" w:space="0"/>
              <w:bottom w:val="single" w:color="000000" w:sz="4" w:space="0"/>
              <w:right w:val="single" w:color="000000" w:sz="4" w:space="0"/>
            </w:tcBorders>
            <w:vAlign w:val="center"/>
          </w:tcPr>
          <w:p>
            <w:pPr>
              <w:rPr>
                <w:rFonts w:hint="eastAsia" w:ascii="仿宋" w:hAnsi="仿宋" w:eastAsia="仿宋" w:cs="仿宋"/>
                <w:color w:val="auto"/>
                <w:kern w:val="2"/>
                <w:sz w:val="2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kern w:val="2"/>
                <w:sz w:val="2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kern w:val="2"/>
                <w:sz w:val="2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kern w:val="2"/>
                <w:sz w:val="21"/>
                <w:szCs w:val="21"/>
              </w:rPr>
            </w:pPr>
          </w:p>
        </w:tc>
      </w:tr>
    </w:tbl>
    <w:p>
      <w:pPr>
        <w:snapToGrid w:val="0"/>
        <w:jc w:val="center"/>
        <w:rPr>
          <w:rFonts w:hint="eastAsia" w:ascii="仿宋" w:hAnsi="仿宋" w:eastAsia="仿宋" w:cs="仿宋"/>
          <w:color w:val="auto"/>
          <w:sz w:val="21"/>
          <w:szCs w:val="21"/>
        </w:rPr>
      </w:pPr>
      <w:r>
        <w:rPr>
          <w:rFonts w:hint="eastAsia" w:ascii="仿宋" w:hAnsi="仿宋" w:eastAsia="仿宋" w:cs="仿宋"/>
          <w:color w:val="auto"/>
          <w:sz w:val="21"/>
          <w:szCs w:val="21"/>
        </w:rPr>
        <w:t>开标人：                唱标人：              记录人：</w:t>
      </w:r>
    </w:p>
    <w:p>
      <w:pPr>
        <w:ind w:firstLine="105" w:firstLineChars="50"/>
        <w:rPr>
          <w:rFonts w:hint="eastAsia" w:ascii="仿宋" w:hAnsi="仿宋" w:eastAsia="仿宋" w:cs="仿宋"/>
          <w:color w:val="auto"/>
          <w:sz w:val="21"/>
          <w:szCs w:val="21"/>
        </w:rPr>
      </w:pPr>
    </w:p>
    <w:p>
      <w:pPr>
        <w:jc w:val="center"/>
        <w:rPr>
          <w:rFonts w:hint="eastAsia" w:ascii="仿宋" w:hAnsi="仿宋" w:eastAsia="仿宋" w:cs="仿宋"/>
          <w:b/>
          <w:bCs/>
          <w:color w:val="auto"/>
          <w:kern w:val="44"/>
          <w:sz w:val="28"/>
          <w:szCs w:val="28"/>
        </w:rPr>
      </w:pPr>
    </w:p>
    <w:bookmarkEnd w:id="32"/>
    <w:bookmarkEnd w:id="33"/>
    <w:bookmarkEnd w:id="34"/>
    <w:p>
      <w:pPr>
        <w:pStyle w:val="10"/>
        <w:jc w:val="both"/>
        <w:rPr>
          <w:rFonts w:hint="eastAsia" w:ascii="仿宋" w:hAnsi="仿宋" w:eastAsia="仿宋" w:cs="仿宋"/>
          <w:color w:val="auto"/>
        </w:rPr>
      </w:pPr>
      <w:bookmarkStart w:id="131" w:name="_Toc343003316"/>
      <w:bookmarkStart w:id="132" w:name="_Toc350184878"/>
      <w:bookmarkStart w:id="133" w:name="_Toc350451068"/>
      <w:bookmarkStart w:id="134" w:name="_Toc261333158"/>
      <w:bookmarkStart w:id="135" w:name="_Toc156749830"/>
      <w:bookmarkStart w:id="136" w:name="_Toc271200565"/>
      <w:bookmarkStart w:id="137" w:name="_Toc167677945"/>
      <w:bookmarkStart w:id="138" w:name="_Toc167678238"/>
      <w:bookmarkStart w:id="139" w:name="_Toc156888429"/>
      <w:bookmarkStart w:id="140" w:name="_Toc160351546"/>
      <w:bookmarkStart w:id="141" w:name="_Toc271220731"/>
    </w:p>
    <w:p>
      <w:pPr>
        <w:jc w:val="center"/>
        <w:rPr>
          <w:rFonts w:hint="eastAsia" w:ascii="仿宋" w:hAnsi="仿宋" w:eastAsia="仿宋" w:cs="仿宋"/>
          <w:b/>
          <w:bCs/>
          <w:color w:val="auto"/>
          <w:kern w:val="44"/>
          <w:sz w:val="28"/>
          <w:szCs w:val="28"/>
        </w:rPr>
      </w:pPr>
      <w:r>
        <w:rPr>
          <w:rFonts w:hint="eastAsia" w:ascii="仿宋" w:hAnsi="仿宋" w:eastAsia="仿宋" w:cs="仿宋"/>
          <w:b/>
          <w:bCs/>
          <w:color w:val="auto"/>
          <w:kern w:val="44"/>
          <w:sz w:val="28"/>
          <w:szCs w:val="28"/>
        </w:rPr>
        <w:t>商务标开标记录</w:t>
      </w:r>
    </w:p>
    <w:p>
      <w:pPr>
        <w:ind w:firstLine="359" w:firstLineChars="171"/>
        <w:rPr>
          <w:rFonts w:hint="eastAsia" w:ascii="仿宋" w:hAnsi="仿宋" w:eastAsia="仿宋" w:cs="仿宋"/>
          <w:color w:val="auto"/>
          <w:sz w:val="21"/>
          <w:szCs w:val="21"/>
        </w:rPr>
      </w:pPr>
      <w:r>
        <w:rPr>
          <w:rFonts w:hint="eastAsia" w:ascii="仿宋" w:hAnsi="仿宋" w:eastAsia="仿宋" w:cs="仿宋"/>
          <w:color w:val="auto"/>
          <w:sz w:val="21"/>
          <w:szCs w:val="21"/>
        </w:rPr>
        <w:t>项目名称：                                                    开标时间：</w:t>
      </w:r>
    </w:p>
    <w:p>
      <w:pPr>
        <w:ind w:firstLine="359" w:firstLineChars="171"/>
        <w:rPr>
          <w:rFonts w:hint="eastAsia" w:ascii="仿宋" w:hAnsi="仿宋" w:eastAsia="仿宋" w:cs="仿宋"/>
          <w:color w:val="auto"/>
          <w:sz w:val="21"/>
          <w:szCs w:val="21"/>
        </w:rPr>
      </w:pPr>
      <w:r>
        <w:rPr>
          <w:rFonts w:hint="eastAsia" w:ascii="仿宋" w:hAnsi="仿宋" w:eastAsia="仿宋" w:cs="仿宋"/>
          <w:color w:val="auto"/>
          <w:sz w:val="21"/>
          <w:szCs w:val="21"/>
        </w:rPr>
        <w:t>招标单位：                                                    开标地点：</w:t>
      </w:r>
    </w:p>
    <w:tbl>
      <w:tblPr>
        <w:tblStyle w:val="25"/>
        <w:tblW w:w="10046" w:type="dxa"/>
        <w:jc w:val="center"/>
        <w:tblLayout w:type="fixed"/>
        <w:tblCellMar>
          <w:top w:w="0" w:type="dxa"/>
          <w:left w:w="0" w:type="dxa"/>
          <w:bottom w:w="0" w:type="dxa"/>
          <w:right w:w="0" w:type="dxa"/>
        </w:tblCellMar>
      </w:tblPr>
      <w:tblGrid>
        <w:gridCol w:w="969"/>
        <w:gridCol w:w="4334"/>
        <w:gridCol w:w="2172"/>
        <w:gridCol w:w="2571"/>
      </w:tblGrid>
      <w:tr>
        <w:tblPrEx>
          <w:tblCellMar>
            <w:top w:w="0" w:type="dxa"/>
            <w:left w:w="0" w:type="dxa"/>
            <w:bottom w:w="0" w:type="dxa"/>
            <w:right w:w="0" w:type="dxa"/>
          </w:tblCellMar>
        </w:tblPrEx>
        <w:trPr>
          <w:trHeight w:val="879" w:hRule="atLeast"/>
          <w:jc w:val="center"/>
        </w:trPr>
        <w:tc>
          <w:tcPr>
            <w:tcW w:w="96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序号</w:t>
            </w:r>
          </w:p>
        </w:tc>
        <w:tc>
          <w:tcPr>
            <w:tcW w:w="43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投标单位名称</w:t>
            </w:r>
          </w:p>
        </w:tc>
        <w:tc>
          <w:tcPr>
            <w:tcW w:w="217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投标报价</w:t>
            </w:r>
          </w:p>
          <w:p>
            <w:pPr>
              <w:snapToGrid w:val="0"/>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（万元）</w:t>
            </w:r>
          </w:p>
        </w:tc>
        <w:tc>
          <w:tcPr>
            <w:tcW w:w="257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投标人法定代表人或委托代理人签字</w:t>
            </w:r>
          </w:p>
        </w:tc>
      </w:tr>
      <w:tr>
        <w:tblPrEx>
          <w:tblCellMar>
            <w:top w:w="0" w:type="dxa"/>
            <w:left w:w="0" w:type="dxa"/>
            <w:bottom w:w="0" w:type="dxa"/>
            <w:right w:w="0" w:type="dxa"/>
          </w:tblCellMar>
        </w:tblPrEx>
        <w:trPr>
          <w:trHeight w:val="633" w:hRule="atLeast"/>
          <w:jc w:val="center"/>
        </w:trPr>
        <w:tc>
          <w:tcPr>
            <w:tcW w:w="96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kern w:val="2"/>
                <w:sz w:val="21"/>
                <w:szCs w:val="21"/>
              </w:rPr>
            </w:pPr>
          </w:p>
        </w:tc>
        <w:tc>
          <w:tcPr>
            <w:tcW w:w="4334"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kern w:val="2"/>
                <w:sz w:val="21"/>
                <w:szCs w:val="21"/>
              </w:rPr>
            </w:pPr>
          </w:p>
        </w:tc>
        <w:tc>
          <w:tcPr>
            <w:tcW w:w="217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kern w:val="2"/>
                <w:sz w:val="21"/>
                <w:szCs w:val="21"/>
              </w:rPr>
            </w:pPr>
          </w:p>
        </w:tc>
        <w:tc>
          <w:tcPr>
            <w:tcW w:w="257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kern w:val="2"/>
                <w:sz w:val="21"/>
                <w:szCs w:val="21"/>
              </w:rPr>
            </w:pPr>
          </w:p>
        </w:tc>
      </w:tr>
      <w:tr>
        <w:tblPrEx>
          <w:tblCellMar>
            <w:top w:w="0" w:type="dxa"/>
            <w:left w:w="0" w:type="dxa"/>
            <w:bottom w:w="0" w:type="dxa"/>
            <w:right w:w="0" w:type="dxa"/>
          </w:tblCellMar>
        </w:tblPrEx>
        <w:trPr>
          <w:trHeight w:val="633" w:hRule="atLeast"/>
          <w:jc w:val="center"/>
        </w:trPr>
        <w:tc>
          <w:tcPr>
            <w:tcW w:w="96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kern w:val="2"/>
                <w:sz w:val="21"/>
                <w:szCs w:val="21"/>
              </w:rPr>
            </w:pPr>
          </w:p>
        </w:tc>
        <w:tc>
          <w:tcPr>
            <w:tcW w:w="4334"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kern w:val="2"/>
                <w:sz w:val="21"/>
                <w:szCs w:val="21"/>
              </w:rPr>
            </w:pPr>
          </w:p>
        </w:tc>
        <w:tc>
          <w:tcPr>
            <w:tcW w:w="217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kern w:val="2"/>
                <w:sz w:val="21"/>
                <w:szCs w:val="21"/>
              </w:rPr>
            </w:pPr>
          </w:p>
        </w:tc>
        <w:tc>
          <w:tcPr>
            <w:tcW w:w="257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kern w:val="2"/>
                <w:sz w:val="21"/>
                <w:szCs w:val="21"/>
              </w:rPr>
            </w:pPr>
          </w:p>
        </w:tc>
      </w:tr>
      <w:tr>
        <w:tblPrEx>
          <w:tblCellMar>
            <w:top w:w="0" w:type="dxa"/>
            <w:left w:w="0" w:type="dxa"/>
            <w:bottom w:w="0" w:type="dxa"/>
            <w:right w:w="0" w:type="dxa"/>
          </w:tblCellMar>
        </w:tblPrEx>
        <w:trPr>
          <w:trHeight w:val="633" w:hRule="atLeast"/>
          <w:jc w:val="center"/>
        </w:trPr>
        <w:tc>
          <w:tcPr>
            <w:tcW w:w="96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kern w:val="2"/>
                <w:sz w:val="21"/>
                <w:szCs w:val="21"/>
              </w:rPr>
            </w:pPr>
          </w:p>
        </w:tc>
        <w:tc>
          <w:tcPr>
            <w:tcW w:w="4334"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kern w:val="2"/>
                <w:sz w:val="21"/>
                <w:szCs w:val="21"/>
              </w:rPr>
            </w:pPr>
          </w:p>
        </w:tc>
        <w:tc>
          <w:tcPr>
            <w:tcW w:w="217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kern w:val="2"/>
                <w:sz w:val="21"/>
                <w:szCs w:val="21"/>
              </w:rPr>
            </w:pPr>
          </w:p>
        </w:tc>
        <w:tc>
          <w:tcPr>
            <w:tcW w:w="257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kern w:val="2"/>
                <w:sz w:val="21"/>
                <w:szCs w:val="21"/>
              </w:rPr>
            </w:pPr>
          </w:p>
        </w:tc>
      </w:tr>
      <w:tr>
        <w:tblPrEx>
          <w:tblCellMar>
            <w:top w:w="0" w:type="dxa"/>
            <w:left w:w="0" w:type="dxa"/>
            <w:bottom w:w="0" w:type="dxa"/>
            <w:right w:w="0" w:type="dxa"/>
          </w:tblCellMar>
        </w:tblPrEx>
        <w:trPr>
          <w:trHeight w:val="653" w:hRule="atLeast"/>
          <w:jc w:val="center"/>
        </w:trPr>
        <w:tc>
          <w:tcPr>
            <w:tcW w:w="969" w:type="dxa"/>
            <w:tcBorders>
              <w:top w:val="single" w:color="000000" w:sz="4" w:space="0"/>
              <w:left w:val="single" w:color="auto" w:sz="4" w:space="0"/>
              <w:bottom w:val="single" w:color="000000" w:sz="4" w:space="0"/>
              <w:right w:val="single" w:color="000000" w:sz="4" w:space="0"/>
            </w:tcBorders>
            <w:vAlign w:val="center"/>
          </w:tcPr>
          <w:p>
            <w:pP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最高限价</w:t>
            </w:r>
          </w:p>
        </w:tc>
        <w:tc>
          <w:tcPr>
            <w:tcW w:w="4334"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kern w:val="2"/>
                <w:sz w:val="21"/>
                <w:szCs w:val="21"/>
              </w:rPr>
            </w:pPr>
          </w:p>
        </w:tc>
        <w:tc>
          <w:tcPr>
            <w:tcW w:w="217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下浮系数</w:t>
            </w:r>
          </w:p>
        </w:tc>
        <w:tc>
          <w:tcPr>
            <w:tcW w:w="257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kern w:val="2"/>
                <w:sz w:val="21"/>
                <w:szCs w:val="21"/>
              </w:rPr>
            </w:pPr>
          </w:p>
        </w:tc>
      </w:tr>
    </w:tbl>
    <w:p>
      <w:pPr>
        <w:snapToGrid w:val="0"/>
        <w:jc w:val="center"/>
        <w:rPr>
          <w:rFonts w:hint="eastAsia" w:ascii="仿宋" w:hAnsi="仿宋" w:eastAsia="仿宋" w:cs="仿宋"/>
          <w:color w:val="auto"/>
          <w:sz w:val="21"/>
          <w:szCs w:val="21"/>
        </w:rPr>
      </w:pPr>
      <w:r>
        <w:rPr>
          <w:rFonts w:hint="eastAsia" w:ascii="仿宋" w:hAnsi="仿宋" w:eastAsia="仿宋" w:cs="仿宋"/>
          <w:color w:val="auto"/>
          <w:sz w:val="21"/>
          <w:szCs w:val="21"/>
        </w:rPr>
        <w:t>开标人：                唱标人：              记录人：</w:t>
      </w:r>
    </w:p>
    <w:p>
      <w:pPr>
        <w:snapToGrid w:val="0"/>
        <w:ind w:firstLine="315" w:firstLineChars="150"/>
        <w:rPr>
          <w:rFonts w:hint="eastAsia" w:ascii="仿宋" w:hAnsi="仿宋" w:eastAsia="仿宋" w:cs="仿宋"/>
          <w:color w:val="auto"/>
          <w:sz w:val="21"/>
          <w:szCs w:val="21"/>
        </w:rPr>
      </w:pPr>
    </w:p>
    <w:p>
      <w:pPr>
        <w:rPr>
          <w:rFonts w:hint="eastAsia" w:ascii="仿宋" w:hAnsi="仿宋" w:eastAsia="仿宋" w:cs="仿宋"/>
          <w:color w:val="auto"/>
        </w:rPr>
      </w:pPr>
    </w:p>
    <w:p>
      <w:pPr>
        <w:pStyle w:val="4"/>
        <w:jc w:val="both"/>
        <w:rPr>
          <w:rFonts w:hint="eastAsia" w:ascii="仿宋" w:hAnsi="仿宋" w:eastAsia="仿宋" w:cs="仿宋"/>
          <w:b/>
          <w:color w:val="auto"/>
          <w:sz w:val="24"/>
          <w:szCs w:val="24"/>
        </w:rPr>
      </w:pPr>
      <w:bookmarkStart w:id="142" w:name="_Toc1832"/>
      <w:bookmarkStart w:id="143" w:name="_Toc7048"/>
      <w:r>
        <w:rPr>
          <w:rFonts w:hint="eastAsia" w:ascii="仿宋" w:hAnsi="仿宋" w:eastAsia="仿宋" w:cs="仿宋"/>
          <w:b/>
          <w:color w:val="auto"/>
          <w:sz w:val="24"/>
          <w:szCs w:val="24"/>
        </w:rPr>
        <w:t>附表二：</w:t>
      </w:r>
      <w:r>
        <w:rPr>
          <w:rFonts w:hint="eastAsia" w:ascii="仿宋" w:hAnsi="仿宋" w:eastAsia="仿宋" w:cs="仿宋"/>
          <w:b/>
          <w:color w:val="auto"/>
          <w:sz w:val="24"/>
          <w:szCs w:val="24"/>
          <w:lang w:eastAsia="zh-CN"/>
        </w:rPr>
        <w:t>中标</w:t>
      </w:r>
      <w:r>
        <w:rPr>
          <w:rFonts w:hint="eastAsia" w:ascii="仿宋" w:hAnsi="仿宋" w:eastAsia="仿宋" w:cs="仿宋"/>
          <w:b/>
          <w:color w:val="auto"/>
          <w:sz w:val="24"/>
          <w:szCs w:val="24"/>
        </w:rPr>
        <w:t>通知书</w:t>
      </w:r>
      <w:bookmarkEnd w:id="142"/>
      <w:bookmarkEnd w:id="143"/>
    </w:p>
    <w:p>
      <w:pPr>
        <w:jc w:val="right"/>
        <w:rPr>
          <w:rFonts w:hint="eastAsia" w:ascii="仿宋" w:hAnsi="仿宋" w:eastAsia="仿宋" w:cs="仿宋"/>
          <w:color w:val="auto"/>
        </w:rPr>
      </w:pPr>
      <w:r>
        <w:rPr>
          <w:rFonts w:hint="eastAsia" w:ascii="仿宋" w:hAnsi="仿宋" w:eastAsia="仿宋" w:cs="仿宋"/>
          <w:color w:val="auto"/>
        </w:rPr>
        <w:t>项目编码：</w:t>
      </w:r>
    </w:p>
    <w:p>
      <w:pPr>
        <w:jc w:val="center"/>
        <w:rPr>
          <w:rFonts w:hint="eastAsia" w:ascii="仿宋" w:hAnsi="仿宋" w:eastAsia="仿宋" w:cs="仿宋"/>
          <w:b/>
          <w:bCs/>
          <w:color w:val="auto"/>
          <w:kern w:val="44"/>
          <w:sz w:val="28"/>
          <w:szCs w:val="28"/>
        </w:rPr>
      </w:pPr>
      <w:r>
        <w:rPr>
          <w:rFonts w:hint="eastAsia" w:ascii="仿宋" w:hAnsi="仿宋" w:eastAsia="仿宋" w:cs="仿宋"/>
          <w:b/>
          <w:bCs/>
          <w:color w:val="auto"/>
          <w:kern w:val="44"/>
          <w:sz w:val="28"/>
          <w:szCs w:val="28"/>
        </w:rPr>
        <w:t>中标通知书</w:t>
      </w:r>
    </w:p>
    <w:p>
      <w:pPr>
        <w:rPr>
          <w:rFonts w:hint="eastAsia" w:ascii="仿宋" w:hAnsi="仿宋" w:eastAsia="仿宋" w:cs="仿宋"/>
          <w:color w:val="auto"/>
          <w:kern w:val="2"/>
        </w:rPr>
      </w:pP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（中标人名称）：</w:t>
      </w:r>
    </w:p>
    <w:p>
      <w:pPr>
        <w:spacing w:line="360" w:lineRule="auto"/>
        <w:rPr>
          <w:rFonts w:hint="eastAsia" w:ascii="仿宋" w:hAnsi="仿宋" w:eastAsia="仿宋" w:cs="仿宋"/>
          <w:color w:val="auto"/>
          <w:sz w:val="21"/>
          <w:szCs w:val="21"/>
        </w:rPr>
      </w:pP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你方于</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（投标日期）所递交的</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（项目名称）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标段施工投标文件已被我方接受，并被确定为中标人。</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中标价：</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工期：</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个月。（或日历天）</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工程质量：符合</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 xml:space="preserve">标准。 </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项目负责人：</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（姓名）。</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请你方在接到本通知书后的</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日内到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（详细地址）与我方签订施工中标合同协议书，在此之前按招标文件第二章“投标人须知”第7.3款规定向我方提交履约担保。</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特此通知。</w:t>
      </w:r>
    </w:p>
    <w:p>
      <w:pPr>
        <w:spacing w:line="360" w:lineRule="auto"/>
        <w:rPr>
          <w:rFonts w:hint="eastAsia" w:ascii="仿宋" w:hAnsi="仿宋" w:eastAsia="仿宋" w:cs="仿宋"/>
          <w:color w:val="auto"/>
          <w:sz w:val="21"/>
          <w:szCs w:val="21"/>
        </w:rPr>
      </w:pP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招标人：</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 xml:space="preserve">（盖单位章） </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招标代理：</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（盖单位章）</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日</w:t>
      </w:r>
    </w:p>
    <w:p>
      <w:pPr>
        <w:pStyle w:val="6"/>
        <w:spacing w:line="360" w:lineRule="auto"/>
        <w:jc w:val="center"/>
        <w:rPr>
          <w:rFonts w:hint="eastAsia" w:ascii="仿宋" w:hAnsi="仿宋" w:eastAsia="仿宋" w:cs="仿宋"/>
          <w:color w:val="auto"/>
        </w:rPr>
      </w:pPr>
    </w:p>
    <w:p>
      <w:pPr>
        <w:pStyle w:val="5"/>
        <w:rPr>
          <w:rFonts w:hint="eastAsia" w:ascii="仿宋" w:hAnsi="仿宋" w:eastAsia="仿宋" w:cs="仿宋"/>
          <w:color w:val="auto"/>
        </w:rPr>
      </w:pPr>
    </w:p>
    <w:p>
      <w:pPr>
        <w:pStyle w:val="5"/>
        <w:rPr>
          <w:rFonts w:hint="eastAsia" w:ascii="仿宋" w:hAnsi="仿宋" w:eastAsia="仿宋" w:cs="仿宋"/>
          <w:color w:val="auto"/>
        </w:rPr>
      </w:pPr>
    </w:p>
    <w:bookmarkEnd w:id="131"/>
    <w:bookmarkEnd w:id="132"/>
    <w:bookmarkEnd w:id="133"/>
    <w:p>
      <w:pPr>
        <w:pStyle w:val="6"/>
        <w:spacing w:line="360" w:lineRule="auto"/>
        <w:jc w:val="center"/>
        <w:rPr>
          <w:rFonts w:hint="eastAsia" w:ascii="仿宋" w:hAnsi="仿宋" w:eastAsia="仿宋" w:cs="仿宋"/>
          <w:color w:val="auto"/>
          <w:szCs w:val="30"/>
        </w:rPr>
      </w:pPr>
      <w:bookmarkStart w:id="144" w:name="_Toc16410"/>
      <w:bookmarkStart w:id="145" w:name="_Toc29551"/>
      <w:bookmarkStart w:id="146" w:name="_Toc30214"/>
      <w:bookmarkStart w:id="147" w:name="_Toc243899830"/>
      <w:bookmarkStart w:id="148" w:name="_Toc14665"/>
      <w:bookmarkStart w:id="149" w:name="_Toc292906465"/>
      <w:r>
        <w:rPr>
          <w:rFonts w:hint="eastAsia" w:ascii="仿宋" w:hAnsi="仿宋" w:eastAsia="仿宋" w:cs="仿宋"/>
          <w:color w:val="auto"/>
        </w:rPr>
        <w:t>第三章评审办法及评分标准（技术通过制的综合评估法）</w:t>
      </w:r>
      <w:bookmarkEnd w:id="144"/>
      <w:bookmarkEnd w:id="145"/>
    </w:p>
    <w:p>
      <w:pPr>
        <w:pStyle w:val="7"/>
        <w:snapToGrid w:val="0"/>
        <w:spacing w:line="380" w:lineRule="exact"/>
        <w:ind w:firstLine="480" w:firstLineChars="200"/>
        <w:rPr>
          <w:rFonts w:hint="eastAsia" w:ascii="仿宋" w:hAnsi="仿宋" w:eastAsia="仿宋" w:cs="仿宋"/>
          <w:snapToGrid w:val="0"/>
          <w:color w:val="auto"/>
          <w:szCs w:val="24"/>
        </w:rPr>
      </w:pPr>
      <w:bookmarkStart w:id="150" w:name="_Toc16009"/>
      <w:bookmarkStart w:id="151" w:name="_Toc6962"/>
      <w:r>
        <w:rPr>
          <w:rFonts w:hint="eastAsia" w:ascii="仿宋" w:hAnsi="仿宋" w:eastAsia="仿宋" w:cs="仿宋"/>
          <w:snapToGrid w:val="0"/>
          <w:color w:val="auto"/>
          <w:szCs w:val="24"/>
        </w:rPr>
        <w:t>1  依据</w:t>
      </w:r>
      <w:bookmarkEnd w:id="150"/>
      <w:bookmarkEnd w:id="151"/>
    </w:p>
    <w:p>
      <w:pPr>
        <w:ind w:firstLine="480" w:firstLineChars="200"/>
        <w:rPr>
          <w:rFonts w:hint="eastAsia" w:ascii="仿宋" w:hAnsi="仿宋" w:eastAsia="仿宋" w:cs="仿宋"/>
          <w:snapToGrid w:val="0"/>
          <w:color w:val="auto"/>
          <w:szCs w:val="24"/>
        </w:rPr>
      </w:pPr>
      <w:bookmarkStart w:id="152" w:name="_Toc450405881"/>
      <w:bookmarkStart w:id="153" w:name="_Toc452839272"/>
      <w:bookmarkStart w:id="154" w:name="_Toc312311412"/>
      <w:bookmarkStart w:id="155" w:name="_Toc343003317"/>
      <w:bookmarkStart w:id="156" w:name="_Toc350451069"/>
      <w:bookmarkStart w:id="157" w:name="_Toc309661360"/>
      <w:bookmarkStart w:id="158" w:name="_Toc321759225"/>
      <w:bookmarkStart w:id="159" w:name="_Toc350184879"/>
      <w:r>
        <w:rPr>
          <w:rFonts w:hint="eastAsia" w:ascii="仿宋" w:hAnsi="仿宋" w:eastAsia="仿宋" w:cs="仿宋"/>
          <w:snapToGrid w:val="0"/>
          <w:color w:val="auto"/>
          <w:szCs w:val="24"/>
        </w:rPr>
        <w:t>为规范招标的评标工作，根据《中华人民共和国招标投标法》、《中华人民共和国招标投标法实施条例》、《评标委员会和评标办法暂行规定》（原国家发展计划委员会等七部委令第12号）、《工程建设项目施工招标投标办法》（原国家发展计划委员会等七部委令第30号）、《关于废止和修改部分招标投标规章和规范性文件的决定》（九部委第23号令）、《浙江省招标投标条例》等有关的法律、法规和规章制度规定，制定本评标办法。</w:t>
      </w:r>
      <w:bookmarkEnd w:id="152"/>
      <w:bookmarkEnd w:id="153"/>
    </w:p>
    <w:p>
      <w:pPr>
        <w:pStyle w:val="7"/>
        <w:snapToGrid w:val="0"/>
        <w:spacing w:line="380" w:lineRule="exact"/>
        <w:ind w:firstLine="480" w:firstLineChars="200"/>
        <w:rPr>
          <w:rFonts w:hint="eastAsia" w:ascii="仿宋" w:hAnsi="仿宋" w:eastAsia="仿宋" w:cs="仿宋"/>
          <w:b w:val="0"/>
          <w:color w:val="auto"/>
          <w:szCs w:val="24"/>
        </w:rPr>
      </w:pPr>
      <w:bookmarkStart w:id="160" w:name="_Toc8060"/>
      <w:bookmarkStart w:id="161" w:name="_Toc11661"/>
      <w:r>
        <w:rPr>
          <w:rFonts w:hint="eastAsia" w:ascii="仿宋" w:hAnsi="仿宋" w:eastAsia="仿宋" w:cs="仿宋"/>
          <w:snapToGrid w:val="0"/>
          <w:color w:val="auto"/>
          <w:szCs w:val="24"/>
        </w:rPr>
        <w:t>2  评审原则</w:t>
      </w:r>
      <w:bookmarkEnd w:id="154"/>
      <w:bookmarkEnd w:id="155"/>
      <w:bookmarkEnd w:id="156"/>
      <w:bookmarkEnd w:id="157"/>
      <w:bookmarkEnd w:id="158"/>
      <w:bookmarkEnd w:id="159"/>
      <w:bookmarkEnd w:id="160"/>
      <w:bookmarkEnd w:id="161"/>
    </w:p>
    <w:p>
      <w:pPr>
        <w:snapToGrid w:val="0"/>
        <w:spacing w:line="380" w:lineRule="exact"/>
        <w:ind w:firstLine="480" w:firstLineChars="200"/>
        <w:rPr>
          <w:rFonts w:hint="eastAsia" w:ascii="仿宋" w:hAnsi="仿宋" w:eastAsia="仿宋" w:cs="仿宋"/>
          <w:color w:val="auto"/>
          <w:szCs w:val="24"/>
        </w:rPr>
      </w:pPr>
      <w:r>
        <w:rPr>
          <w:rFonts w:hint="eastAsia" w:ascii="仿宋" w:hAnsi="仿宋" w:eastAsia="仿宋" w:cs="仿宋"/>
          <w:color w:val="auto"/>
          <w:szCs w:val="24"/>
        </w:rPr>
        <w:t>评审应遵循公平、公正、科学、择优的原则。</w:t>
      </w:r>
    </w:p>
    <w:p>
      <w:pPr>
        <w:pStyle w:val="7"/>
        <w:numPr>
          <w:ilvl w:val="0"/>
          <w:numId w:val="8"/>
        </w:numPr>
        <w:snapToGrid w:val="0"/>
        <w:spacing w:line="380" w:lineRule="exact"/>
        <w:rPr>
          <w:rFonts w:hint="eastAsia" w:ascii="仿宋" w:hAnsi="仿宋" w:eastAsia="仿宋" w:cs="仿宋"/>
          <w:snapToGrid w:val="0"/>
          <w:color w:val="auto"/>
          <w:szCs w:val="24"/>
        </w:rPr>
      </w:pPr>
      <w:bookmarkStart w:id="162" w:name="_Toc321759226"/>
      <w:bookmarkStart w:id="163" w:name="_Toc11072"/>
      <w:bookmarkStart w:id="164" w:name="_Toc350184880"/>
      <w:bookmarkStart w:id="165" w:name="_Toc309661361"/>
      <w:bookmarkStart w:id="166" w:name="_Toc350451070"/>
      <w:bookmarkStart w:id="167" w:name="_Toc17866"/>
      <w:bookmarkStart w:id="168" w:name="_Toc343003318"/>
      <w:bookmarkStart w:id="169" w:name="_Toc312311413"/>
      <w:r>
        <w:rPr>
          <w:rFonts w:hint="eastAsia" w:ascii="仿宋" w:hAnsi="仿宋" w:eastAsia="仿宋" w:cs="仿宋"/>
          <w:snapToGrid w:val="0"/>
          <w:color w:val="auto"/>
          <w:szCs w:val="24"/>
        </w:rPr>
        <w:t>评审组织</w:t>
      </w:r>
      <w:bookmarkEnd w:id="162"/>
      <w:bookmarkEnd w:id="163"/>
      <w:bookmarkEnd w:id="164"/>
      <w:bookmarkEnd w:id="165"/>
      <w:bookmarkEnd w:id="166"/>
      <w:bookmarkEnd w:id="167"/>
      <w:bookmarkEnd w:id="168"/>
      <w:bookmarkEnd w:id="169"/>
    </w:p>
    <w:p>
      <w:pPr>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评审工作由招标人依法组建的评审委员会负责，评审委员会的组建办法详见投标人须知前附表。评审委员会组建后报湖州</w:t>
      </w:r>
      <w:r>
        <w:rPr>
          <w:rFonts w:hint="eastAsia" w:ascii="仿宋" w:hAnsi="仿宋" w:eastAsia="仿宋" w:cs="仿宋"/>
          <w:snapToGrid w:val="0"/>
          <w:color w:val="auto"/>
          <w:szCs w:val="24"/>
          <w:lang w:eastAsia="zh-CN"/>
        </w:rPr>
        <w:t>吴兴区</w:t>
      </w:r>
      <w:r>
        <w:rPr>
          <w:rFonts w:hint="eastAsia" w:ascii="仿宋" w:hAnsi="仿宋" w:eastAsia="仿宋" w:cs="仿宋"/>
          <w:snapToGrid w:val="0"/>
          <w:color w:val="auto"/>
          <w:szCs w:val="24"/>
        </w:rPr>
        <w:t>公共资源交易管理办公室备案。</w:t>
      </w:r>
    </w:p>
    <w:p>
      <w:pPr>
        <w:ind w:firstLine="480" w:firstLineChars="200"/>
        <w:rPr>
          <w:rFonts w:hint="eastAsia" w:ascii="仿宋" w:hAnsi="仿宋" w:eastAsia="仿宋" w:cs="仿宋"/>
          <w:b/>
          <w:bCs/>
          <w:snapToGrid w:val="0"/>
          <w:color w:val="auto"/>
          <w:szCs w:val="24"/>
        </w:rPr>
      </w:pPr>
      <w:bookmarkStart w:id="170" w:name="_Toc370459019"/>
      <w:bookmarkStart w:id="171" w:name="_Toc362883245"/>
      <w:r>
        <w:rPr>
          <w:rFonts w:hint="eastAsia" w:ascii="仿宋" w:hAnsi="仿宋" w:eastAsia="仿宋" w:cs="仿宋"/>
          <w:b/>
          <w:bCs/>
          <w:snapToGrid w:val="0"/>
          <w:color w:val="auto"/>
          <w:szCs w:val="24"/>
        </w:rPr>
        <w:t>4 评审程序和内容</w:t>
      </w:r>
      <w:bookmarkEnd w:id="170"/>
      <w:bookmarkEnd w:id="171"/>
    </w:p>
    <w:p>
      <w:pPr>
        <w:pStyle w:val="8"/>
        <w:rPr>
          <w:rStyle w:val="45"/>
          <w:rFonts w:hint="eastAsia" w:ascii="仿宋" w:hAnsi="仿宋" w:eastAsia="仿宋" w:cs="仿宋"/>
          <w:b/>
          <w:color w:val="auto"/>
          <w:szCs w:val="24"/>
        </w:rPr>
      </w:pPr>
      <w:r>
        <w:rPr>
          <w:rStyle w:val="45"/>
          <w:rFonts w:hint="eastAsia" w:ascii="仿宋" w:hAnsi="仿宋" w:eastAsia="仿宋" w:cs="仿宋"/>
          <w:b/>
          <w:color w:val="auto"/>
          <w:szCs w:val="24"/>
        </w:rPr>
        <w:t>4.1 评审的一般程序</w:t>
      </w:r>
    </w:p>
    <w:p>
      <w:pPr>
        <w:ind w:firstLine="549" w:firstLineChars="229"/>
        <w:rPr>
          <w:rFonts w:hint="eastAsia" w:ascii="仿宋" w:hAnsi="仿宋" w:eastAsia="仿宋" w:cs="仿宋"/>
          <w:snapToGrid w:val="0"/>
          <w:color w:val="auto"/>
          <w:szCs w:val="24"/>
        </w:rPr>
      </w:pPr>
      <w:r>
        <w:rPr>
          <w:rFonts w:hint="eastAsia" w:ascii="仿宋" w:hAnsi="仿宋" w:eastAsia="仿宋" w:cs="仿宋"/>
          <w:snapToGrid w:val="0"/>
          <w:color w:val="auto"/>
          <w:szCs w:val="24"/>
        </w:rPr>
        <w:t>⑴ 熟悉招标文件和评审办法；</w:t>
      </w:r>
    </w:p>
    <w:p>
      <w:pPr>
        <w:ind w:firstLine="549" w:firstLineChars="229"/>
        <w:rPr>
          <w:rFonts w:hint="eastAsia" w:ascii="仿宋" w:hAnsi="仿宋" w:eastAsia="仿宋" w:cs="仿宋"/>
          <w:snapToGrid w:val="0"/>
          <w:color w:val="auto"/>
          <w:szCs w:val="24"/>
        </w:rPr>
      </w:pPr>
      <w:r>
        <w:rPr>
          <w:rFonts w:hint="eastAsia" w:ascii="仿宋" w:hAnsi="仿宋" w:eastAsia="仿宋" w:cs="仿宋"/>
          <w:snapToGrid w:val="0"/>
          <w:color w:val="auto"/>
          <w:szCs w:val="24"/>
        </w:rPr>
        <w:t>⑵ 投标文件的符合性及技术审查；</w:t>
      </w:r>
    </w:p>
    <w:p>
      <w:pPr>
        <w:ind w:firstLine="549" w:firstLineChars="229"/>
        <w:rPr>
          <w:rFonts w:hint="eastAsia" w:ascii="仿宋" w:hAnsi="仿宋" w:eastAsia="仿宋" w:cs="仿宋"/>
          <w:snapToGrid w:val="0"/>
          <w:color w:val="auto"/>
          <w:szCs w:val="24"/>
        </w:rPr>
      </w:pPr>
      <w:r>
        <w:rPr>
          <w:rFonts w:hint="eastAsia" w:ascii="仿宋" w:hAnsi="仿宋" w:eastAsia="仿宋" w:cs="仿宋"/>
          <w:snapToGrid w:val="0"/>
          <w:color w:val="auto"/>
          <w:szCs w:val="24"/>
        </w:rPr>
        <w:t>⑶ 投标文件的商务评审；</w:t>
      </w:r>
    </w:p>
    <w:p>
      <w:pPr>
        <w:ind w:firstLine="549" w:firstLineChars="229"/>
        <w:rPr>
          <w:rFonts w:hint="eastAsia" w:ascii="仿宋" w:hAnsi="仿宋" w:eastAsia="仿宋" w:cs="仿宋"/>
          <w:snapToGrid w:val="0"/>
          <w:color w:val="auto"/>
          <w:szCs w:val="24"/>
        </w:rPr>
      </w:pPr>
      <w:r>
        <w:rPr>
          <w:rFonts w:hint="eastAsia" w:ascii="仿宋" w:hAnsi="仿宋" w:eastAsia="仿宋" w:cs="仿宋"/>
          <w:snapToGrid w:val="0"/>
          <w:color w:val="auto"/>
          <w:szCs w:val="24"/>
        </w:rPr>
        <w:t>⑷ 必要时对投标文件中的问题进行询标；</w:t>
      </w:r>
    </w:p>
    <w:p>
      <w:pPr>
        <w:ind w:firstLine="549" w:firstLineChars="229"/>
        <w:rPr>
          <w:rFonts w:hint="eastAsia" w:ascii="仿宋" w:hAnsi="仿宋" w:eastAsia="仿宋" w:cs="仿宋"/>
          <w:snapToGrid w:val="0"/>
          <w:color w:val="auto"/>
          <w:szCs w:val="24"/>
        </w:rPr>
      </w:pPr>
      <w:r>
        <w:rPr>
          <w:rFonts w:hint="eastAsia" w:ascii="仿宋" w:hAnsi="仿宋" w:eastAsia="仿宋" w:cs="仿宋"/>
          <w:snapToGrid w:val="0"/>
          <w:color w:val="auto"/>
          <w:szCs w:val="24"/>
        </w:rPr>
        <w:t>⑸ 根据评审办法对投标文件进行排序；</w:t>
      </w:r>
    </w:p>
    <w:p>
      <w:pPr>
        <w:ind w:firstLine="549" w:firstLineChars="229"/>
        <w:rPr>
          <w:rFonts w:hint="eastAsia" w:ascii="仿宋" w:hAnsi="仿宋" w:eastAsia="仿宋" w:cs="仿宋"/>
          <w:snapToGrid w:val="0"/>
          <w:color w:val="auto"/>
          <w:szCs w:val="24"/>
        </w:rPr>
      </w:pPr>
      <w:r>
        <w:rPr>
          <w:rFonts w:hint="eastAsia" w:ascii="仿宋" w:hAnsi="仿宋" w:eastAsia="仿宋" w:cs="仿宋"/>
          <w:snapToGrid w:val="0"/>
          <w:color w:val="auto"/>
          <w:szCs w:val="24"/>
        </w:rPr>
        <w:t xml:space="preserve">⑹ 完成评审报告，推荐中标候选人。 </w:t>
      </w:r>
    </w:p>
    <w:p>
      <w:pPr>
        <w:pStyle w:val="8"/>
        <w:rPr>
          <w:rStyle w:val="45"/>
          <w:rFonts w:hint="eastAsia" w:ascii="仿宋" w:hAnsi="仿宋" w:eastAsia="仿宋" w:cs="仿宋"/>
          <w:b/>
          <w:color w:val="auto"/>
          <w:szCs w:val="24"/>
        </w:rPr>
      </w:pPr>
      <w:r>
        <w:rPr>
          <w:rStyle w:val="45"/>
          <w:rFonts w:hint="eastAsia" w:ascii="仿宋" w:hAnsi="仿宋" w:eastAsia="仿宋" w:cs="仿宋"/>
          <w:b/>
          <w:color w:val="auto"/>
          <w:szCs w:val="24"/>
        </w:rPr>
        <w:t>4.2 投标文件的符合性审查</w:t>
      </w:r>
    </w:p>
    <w:p>
      <w:pPr>
        <w:ind w:firstLine="549" w:firstLineChars="229"/>
        <w:rPr>
          <w:rFonts w:hint="eastAsia" w:ascii="仿宋" w:hAnsi="仿宋" w:eastAsia="仿宋" w:cs="仿宋"/>
          <w:snapToGrid w:val="0"/>
          <w:color w:val="auto"/>
          <w:szCs w:val="24"/>
        </w:rPr>
      </w:pPr>
      <w:r>
        <w:rPr>
          <w:rFonts w:hint="eastAsia" w:ascii="仿宋" w:hAnsi="仿宋" w:eastAsia="仿宋" w:cs="仿宋"/>
          <w:b/>
          <w:snapToGrid w:val="0"/>
          <w:color w:val="auto"/>
          <w:szCs w:val="24"/>
        </w:rPr>
        <w:t xml:space="preserve">4.2.1 </w:t>
      </w:r>
      <w:r>
        <w:rPr>
          <w:rFonts w:hint="eastAsia" w:ascii="仿宋" w:hAnsi="仿宋" w:eastAsia="仿宋" w:cs="仿宋"/>
          <w:snapToGrid w:val="0"/>
          <w:color w:val="auto"/>
          <w:szCs w:val="24"/>
        </w:rPr>
        <w:t>评审委员会应依照招标文件的要求和规定，首先对投标人的投标资格和投标文件进行符合性审查，符合性审查应包括三个方面内容：投标人资格审查、投标文件实质性格式要求响应性审查、投标文件实质性内容要求响应性审查。符合性审查未通过的投标文件不再进入后续评审。</w:t>
      </w:r>
    </w:p>
    <w:p>
      <w:pPr>
        <w:ind w:firstLine="549" w:firstLineChars="229"/>
        <w:rPr>
          <w:rFonts w:hint="eastAsia" w:ascii="仿宋" w:hAnsi="仿宋" w:eastAsia="仿宋" w:cs="仿宋"/>
          <w:snapToGrid w:val="0"/>
          <w:color w:val="auto"/>
          <w:szCs w:val="24"/>
        </w:rPr>
      </w:pPr>
      <w:r>
        <w:rPr>
          <w:rFonts w:hint="eastAsia" w:ascii="仿宋" w:hAnsi="仿宋" w:eastAsia="仿宋" w:cs="仿宋"/>
          <w:b/>
          <w:snapToGrid w:val="0"/>
          <w:color w:val="auto"/>
          <w:szCs w:val="24"/>
          <w:lang w:val="en-US" w:eastAsia="zh-CN"/>
        </w:rPr>
        <w:t>4.2.2</w:t>
      </w:r>
      <w:r>
        <w:rPr>
          <w:rFonts w:hint="eastAsia" w:ascii="仿宋" w:hAnsi="仿宋" w:eastAsia="仿宋" w:cs="仿宋"/>
          <w:snapToGrid w:val="0"/>
          <w:color w:val="auto"/>
          <w:szCs w:val="24"/>
        </w:rPr>
        <w:t>投标人存在撤销投标文件和无正当理由放弃中标、不与招标人签订书面合同等情形或被行政部门查实存在违法违规行为，招标人重新招标的，招标人可以拒绝投标人再次投标该项目。</w:t>
      </w:r>
    </w:p>
    <w:p>
      <w:pPr>
        <w:pStyle w:val="15"/>
        <w:ind w:firstLine="544" w:firstLineChars="227"/>
        <w:rPr>
          <w:rFonts w:hint="eastAsia" w:ascii="仿宋" w:hAnsi="仿宋" w:eastAsia="仿宋" w:cs="仿宋"/>
          <w:snapToGrid w:val="0"/>
          <w:color w:val="auto"/>
          <w:kern w:val="0"/>
          <w:sz w:val="24"/>
          <w:szCs w:val="24"/>
        </w:rPr>
      </w:pPr>
      <w:r>
        <w:rPr>
          <w:rFonts w:hint="eastAsia" w:ascii="仿宋" w:hAnsi="仿宋" w:eastAsia="仿宋" w:cs="仿宋"/>
          <w:b/>
          <w:snapToGrid w:val="0"/>
          <w:color w:val="auto"/>
          <w:kern w:val="0"/>
          <w:sz w:val="24"/>
          <w:szCs w:val="24"/>
        </w:rPr>
        <w:t>4.2.</w:t>
      </w:r>
      <w:r>
        <w:rPr>
          <w:rFonts w:hint="eastAsia" w:ascii="仿宋" w:hAnsi="仿宋" w:eastAsia="仿宋" w:cs="仿宋"/>
          <w:b/>
          <w:snapToGrid w:val="0"/>
          <w:color w:val="auto"/>
          <w:kern w:val="0"/>
          <w:sz w:val="24"/>
          <w:szCs w:val="24"/>
          <w:lang w:val="en-US" w:eastAsia="zh-CN"/>
        </w:rPr>
        <w:t>3</w:t>
      </w:r>
      <w:r>
        <w:rPr>
          <w:rFonts w:hint="eastAsia" w:ascii="仿宋" w:hAnsi="仿宋" w:eastAsia="仿宋" w:cs="仿宋"/>
          <w:b/>
          <w:snapToGrid w:val="0"/>
          <w:color w:val="auto"/>
          <w:kern w:val="0"/>
          <w:sz w:val="24"/>
          <w:szCs w:val="24"/>
        </w:rPr>
        <w:t xml:space="preserve"> </w:t>
      </w:r>
      <w:r>
        <w:rPr>
          <w:rFonts w:hint="eastAsia" w:ascii="仿宋" w:hAnsi="仿宋" w:eastAsia="仿宋" w:cs="仿宋"/>
          <w:snapToGrid w:val="0"/>
          <w:color w:val="auto"/>
          <w:kern w:val="0"/>
          <w:sz w:val="24"/>
          <w:szCs w:val="24"/>
        </w:rPr>
        <w:t>投标人不得通过补充、修改或撤销投标文件中的内容使其成为实质性响应的投标。投标人在投标截止以后不得提交任何资料作为评审依据。</w:t>
      </w:r>
    </w:p>
    <w:p>
      <w:pPr>
        <w:ind w:firstLine="540"/>
        <w:rPr>
          <w:rFonts w:hint="eastAsia" w:ascii="仿宋" w:hAnsi="仿宋" w:eastAsia="仿宋" w:cs="仿宋"/>
          <w:snapToGrid w:val="0"/>
          <w:color w:val="auto"/>
          <w:szCs w:val="24"/>
        </w:rPr>
      </w:pPr>
      <w:r>
        <w:rPr>
          <w:rFonts w:hint="eastAsia" w:ascii="仿宋" w:hAnsi="仿宋" w:eastAsia="仿宋" w:cs="仿宋"/>
          <w:b/>
          <w:snapToGrid w:val="0"/>
          <w:color w:val="auto"/>
          <w:szCs w:val="24"/>
        </w:rPr>
        <w:t>4.2.</w:t>
      </w:r>
      <w:r>
        <w:rPr>
          <w:rFonts w:hint="eastAsia" w:ascii="仿宋" w:hAnsi="仿宋" w:eastAsia="仿宋" w:cs="仿宋"/>
          <w:b/>
          <w:snapToGrid w:val="0"/>
          <w:color w:val="auto"/>
          <w:szCs w:val="24"/>
          <w:lang w:val="en-US" w:eastAsia="zh-CN"/>
        </w:rPr>
        <w:t>4</w:t>
      </w:r>
      <w:r>
        <w:rPr>
          <w:rFonts w:hint="eastAsia" w:ascii="仿宋" w:hAnsi="仿宋" w:eastAsia="仿宋" w:cs="仿宋"/>
          <w:b/>
          <w:snapToGrid w:val="0"/>
          <w:color w:val="auto"/>
          <w:szCs w:val="24"/>
        </w:rPr>
        <w:t xml:space="preserve"> </w:t>
      </w:r>
      <w:r>
        <w:rPr>
          <w:rFonts w:hint="eastAsia" w:ascii="仿宋" w:hAnsi="仿宋" w:eastAsia="仿宋" w:cs="仿宋"/>
          <w:snapToGrid w:val="0"/>
          <w:color w:val="auto"/>
          <w:szCs w:val="24"/>
        </w:rPr>
        <w:t>投标文件如存在以下情况之一的，由评审委员会全体成员按照少数服从多数的原则记名投票（不得弃权）认定，作为符合性审查未通过予以否决其投标，不再进行商务的评审：</w:t>
      </w:r>
    </w:p>
    <w:p>
      <w:pPr>
        <w:ind w:firstLine="549" w:firstLineChars="229"/>
        <w:rPr>
          <w:rFonts w:hint="eastAsia" w:ascii="仿宋" w:hAnsi="仿宋" w:eastAsia="仿宋" w:cs="仿宋"/>
          <w:snapToGrid w:val="0"/>
          <w:color w:val="auto"/>
          <w:szCs w:val="24"/>
        </w:rPr>
      </w:pPr>
      <w:r>
        <w:rPr>
          <w:rFonts w:hint="eastAsia" w:ascii="仿宋" w:hAnsi="仿宋" w:eastAsia="仿宋" w:cs="仿宋"/>
          <w:snapToGrid w:val="0"/>
          <w:color w:val="auto"/>
          <w:szCs w:val="24"/>
        </w:rPr>
        <w:t>（一）技术文件符合性审查未通过的情形：</w:t>
      </w:r>
    </w:p>
    <w:p>
      <w:pPr>
        <w:ind w:firstLine="549" w:firstLineChars="229"/>
        <w:rPr>
          <w:rFonts w:hint="eastAsia" w:ascii="仿宋" w:hAnsi="仿宋" w:eastAsia="仿宋" w:cs="仿宋"/>
          <w:snapToGrid w:val="0"/>
          <w:color w:val="auto"/>
          <w:szCs w:val="24"/>
        </w:rPr>
      </w:pPr>
      <w:r>
        <w:rPr>
          <w:rFonts w:hint="eastAsia" w:ascii="仿宋" w:hAnsi="仿宋" w:eastAsia="仿宋" w:cs="仿宋"/>
          <w:snapToGrid w:val="0"/>
          <w:color w:val="auto"/>
          <w:szCs w:val="24"/>
        </w:rPr>
        <w:t>⑴投标人未按招标文件要求加盖单位印章或投标人的法定代表人（或其委托代理人）未按招标文件要求签字或盖章（含电子签章）的；</w:t>
      </w:r>
    </w:p>
    <w:p>
      <w:pPr>
        <w:ind w:firstLine="549" w:firstLineChars="229"/>
        <w:rPr>
          <w:rFonts w:hint="eastAsia" w:ascii="仿宋" w:hAnsi="仿宋" w:eastAsia="仿宋" w:cs="仿宋"/>
          <w:snapToGrid w:val="0"/>
          <w:color w:val="auto"/>
          <w:szCs w:val="24"/>
        </w:rPr>
      </w:pPr>
      <w:r>
        <w:rPr>
          <w:rFonts w:hint="eastAsia" w:ascii="仿宋" w:hAnsi="仿宋" w:eastAsia="仿宋" w:cs="仿宋"/>
          <w:snapToGrid w:val="0"/>
          <w:color w:val="auto"/>
          <w:szCs w:val="24"/>
        </w:rPr>
        <w:t>⑵投标人的投标资格不满足国家有关规定或者招标文件载明的强制性要求的；</w:t>
      </w:r>
    </w:p>
    <w:p>
      <w:pPr>
        <w:ind w:firstLine="549" w:firstLineChars="229"/>
        <w:rPr>
          <w:rFonts w:hint="eastAsia" w:ascii="仿宋" w:hAnsi="仿宋" w:eastAsia="仿宋" w:cs="仿宋"/>
          <w:snapToGrid w:val="0"/>
          <w:color w:val="auto"/>
          <w:szCs w:val="24"/>
        </w:rPr>
      </w:pPr>
      <w:r>
        <w:rPr>
          <w:rFonts w:hint="eastAsia" w:ascii="仿宋" w:hAnsi="仿宋" w:eastAsia="仿宋" w:cs="仿宋"/>
          <w:snapToGrid w:val="0"/>
          <w:color w:val="auto"/>
          <w:szCs w:val="24"/>
        </w:rPr>
        <w:t>⑶拟实行分包的，其分包的工作、分包人的资质条件等要求不满招标文件载明的强制性要求的；</w:t>
      </w:r>
    </w:p>
    <w:p>
      <w:pPr>
        <w:ind w:firstLine="549" w:firstLineChars="229"/>
        <w:rPr>
          <w:rFonts w:hint="eastAsia" w:ascii="仿宋" w:hAnsi="仿宋" w:eastAsia="仿宋" w:cs="仿宋"/>
          <w:snapToGrid w:val="0"/>
          <w:color w:val="auto"/>
          <w:szCs w:val="24"/>
        </w:rPr>
      </w:pPr>
      <w:r>
        <w:rPr>
          <w:rFonts w:hint="eastAsia" w:ascii="仿宋" w:hAnsi="仿宋" w:eastAsia="仿宋" w:cs="仿宋"/>
          <w:snapToGrid w:val="0"/>
          <w:color w:val="auto"/>
          <w:szCs w:val="24"/>
        </w:rPr>
        <w:t>⑷同一投标人提交两个以上不同的投标文件未声明哪一个有效的（招标文件要求提交备选投标的除外）；</w:t>
      </w:r>
    </w:p>
    <w:p>
      <w:pPr>
        <w:ind w:firstLine="549" w:firstLineChars="229"/>
        <w:rPr>
          <w:rFonts w:hint="eastAsia" w:ascii="仿宋" w:hAnsi="仿宋" w:eastAsia="仿宋" w:cs="仿宋"/>
          <w:snapToGrid w:val="0"/>
          <w:color w:val="auto"/>
          <w:szCs w:val="24"/>
        </w:rPr>
      </w:pPr>
      <w:r>
        <w:rPr>
          <w:rFonts w:hint="eastAsia" w:ascii="仿宋" w:hAnsi="仿宋" w:eastAsia="仿宋" w:cs="仿宋"/>
          <w:snapToGrid w:val="0"/>
          <w:color w:val="auto"/>
          <w:szCs w:val="24"/>
        </w:rPr>
        <w:t>⑸不响应招标文件规定的实质性要求和条件的；</w:t>
      </w:r>
    </w:p>
    <w:p>
      <w:pPr>
        <w:ind w:firstLine="549" w:firstLineChars="229"/>
        <w:rPr>
          <w:rFonts w:hint="eastAsia" w:ascii="仿宋" w:hAnsi="仿宋" w:eastAsia="仿宋" w:cs="仿宋"/>
          <w:snapToGrid w:val="0"/>
          <w:color w:val="auto"/>
          <w:szCs w:val="24"/>
        </w:rPr>
      </w:pPr>
      <w:r>
        <w:rPr>
          <w:rFonts w:hint="eastAsia" w:ascii="仿宋" w:hAnsi="仿宋" w:eastAsia="仿宋" w:cs="仿宋"/>
          <w:snapToGrid w:val="0"/>
          <w:color w:val="auto"/>
          <w:szCs w:val="24"/>
        </w:rPr>
        <w:t>⑹投标人不以自己的名义或未按招标文件要求提供投标保证金或提供的投标保证金有缺陷而不能接受的；</w:t>
      </w:r>
    </w:p>
    <w:p>
      <w:pPr>
        <w:ind w:firstLine="549" w:firstLineChars="229"/>
        <w:rPr>
          <w:rFonts w:hint="eastAsia" w:ascii="仿宋" w:hAnsi="仿宋" w:eastAsia="仿宋" w:cs="仿宋"/>
          <w:snapToGrid w:val="0"/>
          <w:color w:val="auto"/>
          <w:szCs w:val="24"/>
        </w:rPr>
      </w:pPr>
      <w:r>
        <w:rPr>
          <w:rFonts w:hint="eastAsia" w:ascii="仿宋" w:hAnsi="仿宋" w:eastAsia="仿宋" w:cs="仿宋"/>
          <w:snapToGrid w:val="0"/>
          <w:color w:val="auto"/>
          <w:szCs w:val="24"/>
        </w:rPr>
        <w:t>⑺采用的验收标准或主要技术指标达不到国家强制性标准或招标文件要求的；</w:t>
      </w:r>
    </w:p>
    <w:p>
      <w:pPr>
        <w:ind w:firstLine="549" w:firstLineChars="229"/>
        <w:rPr>
          <w:rFonts w:hint="eastAsia" w:ascii="仿宋" w:hAnsi="仿宋" w:eastAsia="仿宋" w:cs="仿宋"/>
          <w:snapToGrid w:val="0"/>
          <w:color w:val="auto"/>
          <w:szCs w:val="24"/>
        </w:rPr>
      </w:pPr>
      <w:r>
        <w:rPr>
          <w:rFonts w:hint="eastAsia" w:ascii="仿宋" w:hAnsi="仿宋" w:eastAsia="仿宋" w:cs="仿宋"/>
          <w:snapToGrid w:val="0"/>
          <w:color w:val="auto"/>
          <w:szCs w:val="24"/>
        </w:rPr>
        <w:t>⑻采用的施工工艺、方法或质量安全管理措施不能满足国家强制性标准或要求的；</w:t>
      </w:r>
    </w:p>
    <w:p>
      <w:pPr>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（9）投标人未按招标文件要求提供资格审查资料齐全；</w:t>
      </w:r>
    </w:p>
    <w:p>
      <w:pPr>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（10）投标文件未附有招标人不能接受的条件 ；</w:t>
      </w:r>
    </w:p>
    <w:p>
      <w:pPr>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（11）投标文件未按规定的格式填写，内容不全或关键字迹模糊、无法辨认的；</w:t>
      </w:r>
    </w:p>
    <w:p>
      <w:pPr>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（12）投标人及拟派项目负责人（总监）信用信息情况表未如实填写的或未按要求填写的；</w:t>
      </w:r>
    </w:p>
    <w:p>
      <w:pPr>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（13）存在法律、法规、规章规定的其它无效投标情况的；</w:t>
      </w:r>
    </w:p>
    <w:p>
      <w:pPr>
        <w:pStyle w:val="42"/>
        <w:ind w:firstLine="480" w:firstLineChars="200"/>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（14）不同投标人使用同一台电脑制作投标文件；</w:t>
      </w:r>
    </w:p>
    <w:p>
      <w:pPr>
        <w:pStyle w:val="42"/>
        <w:ind w:firstLine="480" w:firstLineChars="200"/>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lang w:eastAsia="zh-CN"/>
        </w:rPr>
        <w:t>（</w:t>
      </w:r>
      <w:r>
        <w:rPr>
          <w:rFonts w:hint="eastAsia" w:ascii="仿宋" w:hAnsi="仿宋" w:eastAsia="仿宋" w:cs="仿宋"/>
          <w:snapToGrid w:val="0"/>
          <w:color w:val="auto"/>
          <w:kern w:val="0"/>
          <w:sz w:val="24"/>
          <w:szCs w:val="24"/>
          <w:lang w:val="en-US" w:eastAsia="zh-CN"/>
        </w:rPr>
        <w:t>15</w:t>
      </w:r>
      <w:r>
        <w:rPr>
          <w:rFonts w:hint="eastAsia" w:ascii="仿宋" w:hAnsi="仿宋" w:eastAsia="仿宋" w:cs="仿宋"/>
          <w:snapToGrid w:val="0"/>
          <w:color w:val="auto"/>
          <w:kern w:val="0"/>
          <w:sz w:val="24"/>
          <w:szCs w:val="24"/>
          <w:lang w:eastAsia="zh-CN"/>
        </w:rPr>
        <w:t>）</w:t>
      </w:r>
      <w:r>
        <w:rPr>
          <w:rFonts w:hint="eastAsia" w:ascii="仿宋" w:hAnsi="仿宋" w:eastAsia="仿宋" w:cs="仿宋"/>
          <w:snapToGrid w:val="0"/>
          <w:color w:val="auto"/>
          <w:kern w:val="0"/>
          <w:sz w:val="24"/>
          <w:szCs w:val="24"/>
        </w:rPr>
        <w:t xml:space="preserve"> 不同投标人投标文件制作机器码或投标文件创建标识码一致的；</w:t>
      </w:r>
    </w:p>
    <w:p>
      <w:pPr>
        <w:ind w:firstLine="549" w:firstLineChars="229"/>
        <w:rPr>
          <w:rFonts w:hint="eastAsia" w:ascii="仿宋" w:hAnsi="仿宋" w:eastAsia="仿宋" w:cs="仿宋"/>
          <w:snapToGrid w:val="0"/>
          <w:color w:val="auto"/>
          <w:szCs w:val="24"/>
        </w:rPr>
      </w:pPr>
      <w:r>
        <w:rPr>
          <w:rFonts w:hint="eastAsia" w:ascii="仿宋" w:hAnsi="仿宋" w:eastAsia="仿宋" w:cs="仿宋"/>
          <w:snapToGrid w:val="0"/>
          <w:color w:val="auto"/>
          <w:szCs w:val="24"/>
        </w:rPr>
        <w:t>（二）商务文件符合性审查未通过的情形：</w:t>
      </w:r>
    </w:p>
    <w:p>
      <w:pPr>
        <w:ind w:firstLine="549" w:firstLineChars="229"/>
        <w:rPr>
          <w:rFonts w:hint="eastAsia" w:ascii="仿宋" w:hAnsi="仿宋" w:eastAsia="仿宋" w:cs="仿宋"/>
          <w:snapToGrid w:val="0"/>
          <w:color w:val="auto"/>
          <w:szCs w:val="24"/>
        </w:rPr>
      </w:pPr>
      <w:r>
        <w:rPr>
          <w:rFonts w:hint="eastAsia" w:ascii="仿宋" w:hAnsi="仿宋" w:eastAsia="仿宋" w:cs="仿宋"/>
          <w:snapToGrid w:val="0"/>
          <w:color w:val="auto"/>
          <w:szCs w:val="24"/>
        </w:rPr>
        <w:t>⑴ 投标人未按招标文件要求加盖单位印章或投标人的法定代表人（或其委托代理人）未按招标文件要求签字或盖章（含电子签章）的；</w:t>
      </w:r>
    </w:p>
    <w:p>
      <w:pPr>
        <w:ind w:firstLine="549" w:firstLineChars="229"/>
        <w:rPr>
          <w:rFonts w:hint="eastAsia" w:ascii="仿宋" w:hAnsi="仿宋" w:eastAsia="仿宋" w:cs="仿宋"/>
          <w:snapToGrid w:val="0"/>
          <w:color w:val="auto"/>
          <w:szCs w:val="24"/>
        </w:rPr>
      </w:pPr>
      <w:r>
        <w:rPr>
          <w:rFonts w:hint="eastAsia" w:ascii="仿宋" w:hAnsi="仿宋" w:eastAsia="仿宋" w:cs="仿宋"/>
          <w:snapToGrid w:val="0"/>
          <w:color w:val="auto"/>
          <w:szCs w:val="24"/>
        </w:rPr>
        <w:t>⑵ 同一投标人提交两个以上不同的投标报价且未声明哪一个有效的（招标文件要求提交备选投标的除外）；</w:t>
      </w:r>
    </w:p>
    <w:p>
      <w:pPr>
        <w:ind w:firstLine="549" w:firstLineChars="229"/>
        <w:rPr>
          <w:rFonts w:hint="eastAsia" w:ascii="仿宋" w:hAnsi="仿宋" w:eastAsia="仿宋" w:cs="仿宋"/>
          <w:snapToGrid w:val="0"/>
          <w:color w:val="auto"/>
          <w:szCs w:val="24"/>
        </w:rPr>
      </w:pPr>
      <w:r>
        <w:rPr>
          <w:rFonts w:hint="eastAsia" w:ascii="仿宋" w:hAnsi="仿宋" w:eastAsia="仿宋" w:cs="仿宋"/>
          <w:snapToGrid w:val="0"/>
          <w:color w:val="auto"/>
          <w:szCs w:val="24"/>
        </w:rPr>
        <w:t>⑶ 投标报价高于或等于招标文件设定的最高限价的；</w:t>
      </w:r>
    </w:p>
    <w:p>
      <w:pPr>
        <w:ind w:firstLine="549" w:firstLineChars="229"/>
        <w:rPr>
          <w:rFonts w:hint="eastAsia" w:ascii="仿宋" w:hAnsi="仿宋" w:eastAsia="仿宋" w:cs="仿宋"/>
          <w:snapToGrid w:val="0"/>
          <w:color w:val="auto"/>
          <w:szCs w:val="24"/>
        </w:rPr>
      </w:pPr>
      <w:r>
        <w:rPr>
          <w:rFonts w:hint="eastAsia" w:ascii="仿宋" w:hAnsi="仿宋" w:eastAsia="仿宋" w:cs="仿宋"/>
          <w:snapToGrid w:val="0"/>
          <w:color w:val="auto"/>
          <w:szCs w:val="24"/>
        </w:rPr>
        <w:t>⑷ 改变招标人提供的工程量清单中的项目编码、项目名称、项目主要特征、计量单位、工程数量、主要技术条款编码、金额等内容的（但按照国家规范所作的修改和招标文件规定的除外）；</w:t>
      </w:r>
    </w:p>
    <w:p>
      <w:pPr>
        <w:ind w:firstLine="549" w:firstLineChars="229"/>
        <w:rPr>
          <w:rFonts w:hint="eastAsia" w:ascii="仿宋" w:hAnsi="仿宋" w:eastAsia="仿宋" w:cs="仿宋"/>
          <w:snapToGrid w:val="0"/>
          <w:color w:val="auto"/>
          <w:szCs w:val="24"/>
        </w:rPr>
      </w:pPr>
      <w:r>
        <w:rPr>
          <w:rFonts w:hint="eastAsia" w:ascii="仿宋" w:hAnsi="仿宋" w:eastAsia="仿宋" w:cs="仿宋"/>
          <w:snapToGrid w:val="0"/>
          <w:color w:val="auto"/>
          <w:szCs w:val="24"/>
        </w:rPr>
        <w:t>⑸ 存在法律、法规、规章规定的其它无效投标情况的。</w:t>
      </w:r>
    </w:p>
    <w:p>
      <w:pPr>
        <w:ind w:firstLine="549" w:firstLineChars="229"/>
        <w:rPr>
          <w:rFonts w:hint="eastAsia" w:ascii="仿宋" w:hAnsi="仿宋" w:eastAsia="仿宋" w:cs="仿宋"/>
          <w:snapToGrid w:val="0"/>
          <w:color w:val="auto"/>
          <w:szCs w:val="24"/>
        </w:rPr>
      </w:pPr>
      <w:r>
        <w:rPr>
          <w:rFonts w:hint="eastAsia" w:ascii="仿宋" w:hAnsi="仿宋" w:eastAsia="仿宋" w:cs="仿宋"/>
          <w:snapToGrid w:val="0"/>
          <w:color w:val="auto"/>
          <w:szCs w:val="24"/>
        </w:rPr>
        <w:t>⑹ 解密后的开标报价记录与投标文件中的投标函所填内容不一致的。</w:t>
      </w:r>
    </w:p>
    <w:p>
      <w:pPr>
        <w:ind w:firstLine="549" w:firstLineChars="229"/>
        <w:rPr>
          <w:rStyle w:val="45"/>
          <w:rFonts w:hint="eastAsia" w:ascii="仿宋" w:hAnsi="仿宋" w:eastAsia="仿宋" w:cs="仿宋"/>
          <w:b/>
          <w:color w:val="auto"/>
          <w:szCs w:val="24"/>
        </w:rPr>
      </w:pPr>
      <w:r>
        <w:rPr>
          <w:rStyle w:val="45"/>
          <w:rFonts w:hint="eastAsia" w:ascii="仿宋" w:hAnsi="仿宋" w:eastAsia="仿宋" w:cs="仿宋"/>
          <w:b/>
          <w:color w:val="auto"/>
          <w:szCs w:val="24"/>
        </w:rPr>
        <w:t>4.3 投标文件的技术</w:t>
      </w:r>
      <w:r>
        <w:rPr>
          <w:rFonts w:hint="eastAsia" w:ascii="仿宋" w:hAnsi="仿宋" w:eastAsia="仿宋" w:cs="仿宋"/>
          <w:snapToGrid w:val="0"/>
          <w:color w:val="auto"/>
          <w:szCs w:val="24"/>
        </w:rPr>
        <w:t>评审</w:t>
      </w:r>
    </w:p>
    <w:p>
      <w:pPr>
        <w:pStyle w:val="15"/>
        <w:ind w:firstLine="544" w:firstLineChars="227"/>
        <w:rPr>
          <w:rFonts w:hint="eastAsia" w:ascii="仿宋" w:hAnsi="仿宋" w:eastAsia="仿宋" w:cs="仿宋"/>
          <w:snapToGrid w:val="0"/>
          <w:color w:val="auto"/>
          <w:kern w:val="0"/>
          <w:sz w:val="24"/>
          <w:szCs w:val="24"/>
        </w:rPr>
      </w:pPr>
      <w:r>
        <w:rPr>
          <w:rFonts w:hint="eastAsia" w:ascii="仿宋" w:hAnsi="仿宋" w:eastAsia="仿宋" w:cs="仿宋"/>
          <w:b/>
          <w:snapToGrid w:val="0"/>
          <w:color w:val="auto"/>
          <w:kern w:val="0"/>
          <w:sz w:val="24"/>
          <w:szCs w:val="24"/>
        </w:rPr>
        <w:t>4.3.1</w:t>
      </w:r>
      <w:r>
        <w:rPr>
          <w:rFonts w:hint="eastAsia" w:ascii="仿宋" w:hAnsi="仿宋" w:eastAsia="仿宋" w:cs="仿宋"/>
          <w:snapToGrid w:val="0"/>
          <w:color w:val="auto"/>
          <w:kern w:val="0"/>
          <w:sz w:val="24"/>
          <w:szCs w:val="24"/>
        </w:rPr>
        <w:t>如投标文件有以下情况之一的，按技术评审不通过处理：</w:t>
      </w:r>
    </w:p>
    <w:p>
      <w:pPr>
        <w:ind w:firstLine="540"/>
        <w:rPr>
          <w:rFonts w:hint="eastAsia" w:ascii="仿宋" w:hAnsi="仿宋" w:eastAsia="仿宋" w:cs="仿宋"/>
          <w:snapToGrid w:val="0"/>
          <w:color w:val="auto"/>
          <w:szCs w:val="24"/>
        </w:rPr>
      </w:pPr>
      <w:r>
        <w:rPr>
          <w:rFonts w:hint="eastAsia" w:ascii="仿宋" w:hAnsi="仿宋" w:eastAsia="仿宋" w:cs="仿宋"/>
          <w:snapToGrid w:val="0"/>
          <w:color w:val="auto"/>
          <w:szCs w:val="24"/>
        </w:rPr>
        <w:t>⑴ 项目负责人、技术负责人不明确的；</w:t>
      </w:r>
    </w:p>
    <w:p>
      <w:pPr>
        <w:ind w:firstLine="540"/>
        <w:rPr>
          <w:rFonts w:hint="eastAsia" w:ascii="仿宋" w:hAnsi="仿宋" w:eastAsia="仿宋" w:cs="仿宋"/>
          <w:snapToGrid w:val="0"/>
          <w:color w:val="auto"/>
          <w:szCs w:val="24"/>
        </w:rPr>
      </w:pPr>
      <w:r>
        <w:rPr>
          <w:rFonts w:hint="eastAsia" w:ascii="仿宋" w:hAnsi="仿宋" w:eastAsia="仿宋" w:cs="仿宋"/>
          <w:snapToGrid w:val="0"/>
          <w:color w:val="auto"/>
          <w:szCs w:val="24"/>
        </w:rPr>
        <w:t>⑵ 主要的施工技术方案或安全保障措施不可行的；</w:t>
      </w:r>
    </w:p>
    <w:p>
      <w:pPr>
        <w:ind w:firstLine="540"/>
        <w:rPr>
          <w:rFonts w:hint="eastAsia" w:ascii="仿宋" w:hAnsi="仿宋" w:eastAsia="仿宋" w:cs="仿宋"/>
          <w:snapToGrid w:val="0"/>
          <w:color w:val="auto"/>
          <w:szCs w:val="24"/>
        </w:rPr>
      </w:pPr>
      <w:r>
        <w:rPr>
          <w:rFonts w:hint="eastAsia" w:ascii="仿宋" w:hAnsi="仿宋" w:eastAsia="仿宋" w:cs="仿宋"/>
          <w:snapToGrid w:val="0"/>
          <w:color w:val="auto"/>
          <w:szCs w:val="24"/>
        </w:rPr>
        <w:t>⑶ 主要施工机械设备不能满足施工需要的；</w:t>
      </w:r>
    </w:p>
    <w:p>
      <w:pPr>
        <w:ind w:firstLine="540"/>
        <w:rPr>
          <w:rFonts w:hint="eastAsia" w:ascii="仿宋" w:hAnsi="仿宋" w:eastAsia="仿宋" w:cs="仿宋"/>
          <w:snapToGrid w:val="0"/>
          <w:color w:val="auto"/>
          <w:szCs w:val="24"/>
        </w:rPr>
      </w:pPr>
      <w:r>
        <w:rPr>
          <w:rFonts w:hint="eastAsia" w:ascii="仿宋" w:hAnsi="仿宋" w:eastAsia="仿宋" w:cs="仿宋"/>
          <w:snapToGrid w:val="0"/>
          <w:color w:val="auto"/>
          <w:szCs w:val="24"/>
        </w:rPr>
        <w:t>⑷ 附有工程无法适用的其他技术和管理条款的。</w:t>
      </w:r>
    </w:p>
    <w:p>
      <w:pPr>
        <w:pStyle w:val="15"/>
        <w:ind w:firstLine="544" w:firstLineChars="227"/>
        <w:rPr>
          <w:rFonts w:hint="eastAsia" w:ascii="仿宋" w:hAnsi="仿宋" w:eastAsia="仿宋" w:cs="仿宋"/>
          <w:snapToGrid w:val="0"/>
          <w:color w:val="auto"/>
          <w:kern w:val="0"/>
          <w:sz w:val="24"/>
          <w:szCs w:val="24"/>
        </w:rPr>
      </w:pPr>
      <w:r>
        <w:rPr>
          <w:rFonts w:hint="eastAsia" w:ascii="仿宋" w:hAnsi="仿宋" w:eastAsia="仿宋" w:cs="仿宋"/>
          <w:b/>
          <w:snapToGrid w:val="0"/>
          <w:color w:val="auto"/>
          <w:kern w:val="0"/>
          <w:sz w:val="24"/>
          <w:szCs w:val="24"/>
        </w:rPr>
        <w:t>4.3.2</w:t>
      </w:r>
      <w:r>
        <w:rPr>
          <w:rFonts w:hint="eastAsia" w:ascii="仿宋" w:hAnsi="仿宋" w:eastAsia="仿宋" w:cs="仿宋"/>
          <w:snapToGrid w:val="0"/>
          <w:color w:val="auto"/>
          <w:kern w:val="0"/>
          <w:sz w:val="24"/>
          <w:szCs w:val="24"/>
        </w:rPr>
        <w:t>技术评审不通过的投标文件不再进入商务评审。</w:t>
      </w:r>
    </w:p>
    <w:p>
      <w:pPr>
        <w:pStyle w:val="8"/>
        <w:rPr>
          <w:rStyle w:val="45"/>
          <w:rFonts w:hint="eastAsia" w:ascii="仿宋" w:hAnsi="仿宋" w:eastAsia="仿宋" w:cs="仿宋"/>
          <w:b/>
          <w:color w:val="auto"/>
          <w:szCs w:val="24"/>
        </w:rPr>
      </w:pPr>
      <w:r>
        <w:rPr>
          <w:rStyle w:val="45"/>
          <w:rFonts w:hint="eastAsia" w:ascii="仿宋" w:hAnsi="仿宋" w:eastAsia="仿宋" w:cs="仿宋"/>
          <w:b/>
          <w:color w:val="auto"/>
          <w:szCs w:val="24"/>
        </w:rPr>
        <w:t>4.4 市场行为信用评分</w:t>
      </w:r>
    </w:p>
    <w:tbl>
      <w:tblPr>
        <w:tblStyle w:val="25"/>
        <w:tblW w:w="1037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016"/>
        <w:gridCol w:w="9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12" w:type="dxa"/>
            <w:gridSpan w:val="2"/>
            <w:vAlign w:val="center"/>
          </w:tcPr>
          <w:p>
            <w:pPr>
              <w:autoSpaceDE/>
              <w:autoSpaceDN/>
              <w:adjustRightInd/>
              <w:spacing w:line="360" w:lineRule="auto"/>
              <w:ind w:firstLine="420" w:firstLineChars="20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信用评分内容</w:t>
            </w:r>
          </w:p>
        </w:tc>
        <w:tc>
          <w:tcPr>
            <w:tcW w:w="967" w:type="dxa"/>
            <w:vAlign w:val="center"/>
          </w:tcPr>
          <w:p>
            <w:pPr>
              <w:autoSpaceDE/>
              <w:autoSpaceDN/>
              <w:adjustRightInd/>
              <w:spacing w:line="360" w:lineRule="auto"/>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396" w:type="dxa"/>
            <w:vMerge w:val="restart"/>
            <w:vAlign w:val="center"/>
          </w:tcPr>
          <w:p>
            <w:pPr>
              <w:autoSpaceDE/>
              <w:autoSpaceDN/>
              <w:adjustRightInd/>
              <w:spacing w:line="400" w:lineRule="exact"/>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投标人信用信息情况</w:t>
            </w:r>
          </w:p>
        </w:tc>
        <w:tc>
          <w:tcPr>
            <w:tcW w:w="8016" w:type="dxa"/>
            <w:vAlign w:val="center"/>
          </w:tcPr>
          <w:p>
            <w:pPr>
              <w:ind w:firstLine="420" w:firstLineChars="200"/>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 xml:space="preserve">投标人有正在被公示与工程建设相关的不良行为记录〔不包括被项目所（ </w:t>
            </w:r>
            <w:r>
              <w:rPr>
                <w:rFonts w:hint="eastAsia" w:ascii="仿宋" w:hAnsi="仿宋" w:eastAsia="仿宋" w:cs="仿宋"/>
                <w:color w:val="auto"/>
                <w:kern w:val="2"/>
                <w:sz w:val="21"/>
                <w:szCs w:val="21"/>
                <w:lang w:eastAsia="zh-CN"/>
              </w:rPr>
              <w:t>吴兴区</w:t>
            </w:r>
            <w:r>
              <w:rPr>
                <w:rFonts w:hint="eastAsia" w:ascii="仿宋" w:hAnsi="仿宋" w:eastAsia="仿宋" w:cs="仿宋"/>
                <w:color w:val="auto"/>
                <w:kern w:val="2"/>
                <w:sz w:val="21"/>
                <w:szCs w:val="21"/>
              </w:rPr>
              <w:t>或湖州市或浙江省〕水利建设市场限制投标的〕。</w:t>
            </w:r>
          </w:p>
        </w:tc>
        <w:tc>
          <w:tcPr>
            <w:tcW w:w="967" w:type="dxa"/>
            <w:vAlign w:val="center"/>
          </w:tcPr>
          <w:p>
            <w:pPr>
              <w:autoSpaceDE/>
              <w:autoSpaceDN/>
              <w:adjustRightInd/>
              <w:spacing w:line="360" w:lineRule="auto"/>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396" w:type="dxa"/>
            <w:vMerge w:val="continue"/>
            <w:vAlign w:val="center"/>
          </w:tcPr>
          <w:p>
            <w:pPr>
              <w:autoSpaceDE/>
              <w:autoSpaceDN/>
              <w:adjustRightInd/>
              <w:textAlignment w:val="auto"/>
              <w:rPr>
                <w:rFonts w:hint="eastAsia" w:ascii="仿宋" w:hAnsi="仿宋" w:eastAsia="仿宋" w:cs="仿宋"/>
                <w:color w:val="auto"/>
                <w:kern w:val="2"/>
                <w:sz w:val="21"/>
                <w:szCs w:val="21"/>
              </w:rPr>
            </w:pPr>
          </w:p>
        </w:tc>
        <w:tc>
          <w:tcPr>
            <w:tcW w:w="8016" w:type="dxa"/>
            <w:vAlign w:val="center"/>
          </w:tcPr>
          <w:p>
            <w:pP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投标截止日前一年内有与工程建设相关的受到行政机关罚款及以上的行政处罚。</w:t>
            </w:r>
          </w:p>
        </w:tc>
        <w:tc>
          <w:tcPr>
            <w:tcW w:w="967" w:type="dxa"/>
            <w:vAlign w:val="center"/>
          </w:tcPr>
          <w:p>
            <w:pPr>
              <w:autoSpaceDE/>
              <w:autoSpaceDN/>
              <w:adjustRightInd/>
              <w:spacing w:line="360" w:lineRule="auto"/>
              <w:jc w:val="center"/>
              <w:textAlignment w:val="auto"/>
              <w:rPr>
                <w:rFonts w:hint="eastAsia" w:ascii="仿宋" w:hAnsi="仿宋" w:eastAsia="仿宋" w:cs="仿宋"/>
                <w:b/>
                <w:color w:val="auto"/>
                <w:kern w:val="2"/>
                <w:sz w:val="21"/>
                <w:szCs w:val="21"/>
              </w:rPr>
            </w:pPr>
            <w:r>
              <w:rPr>
                <w:rFonts w:hint="eastAsia" w:ascii="仿宋" w:hAnsi="仿宋" w:eastAsia="仿宋" w:cs="仿宋"/>
                <w:color w:val="auto"/>
                <w:kern w:val="2"/>
                <w:sz w:val="21"/>
                <w:szCs w:val="21"/>
              </w:rPr>
              <w:t>-0.01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1396" w:type="dxa"/>
            <w:vMerge w:val="restart"/>
            <w:vAlign w:val="center"/>
          </w:tcPr>
          <w:p>
            <w:pPr>
              <w:autoSpaceDE/>
              <w:autoSpaceDN/>
              <w:adjustRightInd/>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拟派项目负责人（总监）信用信息情</w:t>
            </w:r>
          </w:p>
        </w:tc>
        <w:tc>
          <w:tcPr>
            <w:tcW w:w="8016" w:type="dxa"/>
            <w:vAlign w:val="center"/>
          </w:tcPr>
          <w:p>
            <w:pPr>
              <w:ind w:firstLine="420" w:firstLineChars="200"/>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拟派项目负责人（总监）有正在被公示的与工程建设相关的不良行为记录〔不包括被项目所在地区（</w:t>
            </w:r>
            <w:r>
              <w:rPr>
                <w:rFonts w:hint="eastAsia" w:ascii="仿宋" w:hAnsi="仿宋" w:eastAsia="仿宋" w:cs="仿宋"/>
                <w:color w:val="auto"/>
                <w:kern w:val="2"/>
                <w:sz w:val="21"/>
                <w:szCs w:val="21"/>
                <w:lang w:eastAsia="zh-CN"/>
              </w:rPr>
              <w:t>吴兴区</w:t>
            </w:r>
            <w:r>
              <w:rPr>
                <w:rFonts w:hint="eastAsia" w:ascii="仿宋" w:hAnsi="仿宋" w:eastAsia="仿宋" w:cs="仿宋"/>
                <w:color w:val="auto"/>
                <w:kern w:val="2"/>
                <w:sz w:val="21"/>
                <w:szCs w:val="21"/>
              </w:rPr>
              <w:t>或湖州市）水利建设市场限制投标的〕。</w:t>
            </w:r>
          </w:p>
        </w:tc>
        <w:tc>
          <w:tcPr>
            <w:tcW w:w="967" w:type="dxa"/>
            <w:vAlign w:val="center"/>
          </w:tcPr>
          <w:p>
            <w:pPr>
              <w:autoSpaceDE/>
              <w:autoSpaceDN/>
              <w:adjustRightInd/>
              <w:spacing w:line="360" w:lineRule="auto"/>
              <w:jc w:val="center"/>
              <w:textAlignment w:val="auto"/>
              <w:rPr>
                <w:rFonts w:hint="eastAsia" w:ascii="仿宋" w:hAnsi="仿宋" w:eastAsia="仿宋" w:cs="仿宋"/>
                <w:b/>
                <w:color w:val="auto"/>
                <w:kern w:val="2"/>
                <w:sz w:val="21"/>
                <w:szCs w:val="21"/>
              </w:rPr>
            </w:pPr>
            <w:r>
              <w:rPr>
                <w:rFonts w:hint="eastAsia" w:ascii="仿宋" w:hAnsi="仿宋" w:eastAsia="仿宋" w:cs="仿宋"/>
                <w:color w:val="auto"/>
                <w:kern w:val="2"/>
                <w:sz w:val="21"/>
                <w:szCs w:val="21"/>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396" w:type="dxa"/>
            <w:vMerge w:val="continue"/>
            <w:vAlign w:val="center"/>
          </w:tcPr>
          <w:p>
            <w:pPr>
              <w:autoSpaceDE/>
              <w:autoSpaceDN/>
              <w:adjustRightInd/>
              <w:textAlignment w:val="auto"/>
              <w:rPr>
                <w:rFonts w:hint="eastAsia" w:ascii="仿宋" w:hAnsi="仿宋" w:eastAsia="仿宋" w:cs="仿宋"/>
                <w:color w:val="auto"/>
                <w:kern w:val="2"/>
                <w:sz w:val="21"/>
                <w:szCs w:val="21"/>
              </w:rPr>
            </w:pPr>
          </w:p>
        </w:tc>
        <w:tc>
          <w:tcPr>
            <w:tcW w:w="8016" w:type="dxa"/>
            <w:vAlign w:val="center"/>
          </w:tcPr>
          <w:p>
            <w:pP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拟派项目负责人（总监）投标截止日前一年内有与工程建设相关的受到行政机关罚款及以上的行政处罚。</w:t>
            </w:r>
          </w:p>
        </w:tc>
        <w:tc>
          <w:tcPr>
            <w:tcW w:w="967" w:type="dxa"/>
            <w:vAlign w:val="center"/>
          </w:tcPr>
          <w:p>
            <w:pPr>
              <w:autoSpaceDE/>
              <w:autoSpaceDN/>
              <w:adjustRightInd/>
              <w:spacing w:line="360" w:lineRule="auto"/>
              <w:jc w:val="center"/>
              <w:textAlignment w:val="auto"/>
              <w:rPr>
                <w:rFonts w:hint="eastAsia" w:ascii="仿宋" w:hAnsi="仿宋" w:eastAsia="仿宋" w:cs="仿宋"/>
                <w:b/>
                <w:color w:val="auto"/>
                <w:kern w:val="2"/>
                <w:sz w:val="21"/>
                <w:szCs w:val="21"/>
              </w:rPr>
            </w:pPr>
            <w:r>
              <w:rPr>
                <w:rFonts w:hint="eastAsia" w:ascii="仿宋" w:hAnsi="仿宋" w:eastAsia="仿宋" w:cs="仿宋"/>
                <w:color w:val="auto"/>
                <w:kern w:val="2"/>
                <w:sz w:val="21"/>
                <w:szCs w:val="21"/>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412" w:type="dxa"/>
            <w:gridSpan w:val="2"/>
            <w:vAlign w:val="center"/>
          </w:tcPr>
          <w:p>
            <w:pPr>
              <w:autoSpaceDE/>
              <w:autoSpaceDN/>
              <w:adjustRightInd/>
              <w:spacing w:line="360" w:lineRule="auto"/>
              <w:ind w:firstLine="420" w:firstLineChars="20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合  计</w:t>
            </w:r>
          </w:p>
        </w:tc>
        <w:tc>
          <w:tcPr>
            <w:tcW w:w="967" w:type="dxa"/>
            <w:vAlign w:val="center"/>
          </w:tcPr>
          <w:p>
            <w:pPr>
              <w:autoSpaceDE/>
              <w:autoSpaceDN/>
              <w:adjustRightInd/>
              <w:spacing w:line="360" w:lineRule="auto"/>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-0.06</w:t>
            </w:r>
          </w:p>
        </w:tc>
      </w:tr>
    </w:tbl>
    <w:p>
      <w:pPr>
        <w:rPr>
          <w:rFonts w:hint="eastAsia" w:ascii="仿宋" w:hAnsi="仿宋" w:eastAsia="仿宋" w:cs="仿宋"/>
          <w:b/>
          <w:color w:val="auto"/>
          <w:kern w:val="2"/>
          <w:sz w:val="21"/>
          <w:szCs w:val="21"/>
        </w:rPr>
      </w:pPr>
      <w:r>
        <w:rPr>
          <w:rFonts w:hint="eastAsia" w:ascii="仿宋" w:hAnsi="仿宋" w:eastAsia="仿宋" w:cs="仿宋"/>
          <w:b/>
          <w:color w:val="auto"/>
          <w:kern w:val="2"/>
          <w:sz w:val="21"/>
          <w:szCs w:val="21"/>
        </w:rPr>
        <w:t>注：信用信息查询以“湖州市公共资源交易信用信息查询平台”为主，不限于其他渠道经查证属实的信用信息。</w:t>
      </w:r>
    </w:p>
    <w:p>
      <w:pPr>
        <w:pStyle w:val="8"/>
        <w:rPr>
          <w:rStyle w:val="45"/>
          <w:rFonts w:hint="eastAsia" w:ascii="仿宋" w:hAnsi="仿宋" w:eastAsia="仿宋" w:cs="仿宋"/>
          <w:b/>
          <w:color w:val="auto"/>
          <w:szCs w:val="24"/>
        </w:rPr>
      </w:pPr>
      <w:r>
        <w:rPr>
          <w:rStyle w:val="45"/>
          <w:rFonts w:hint="eastAsia" w:ascii="仿宋" w:hAnsi="仿宋" w:eastAsia="仿宋" w:cs="仿宋"/>
          <w:b/>
          <w:color w:val="auto"/>
          <w:szCs w:val="24"/>
        </w:rPr>
        <w:t>4.</w:t>
      </w:r>
      <w:r>
        <w:rPr>
          <w:rStyle w:val="45"/>
          <w:rFonts w:hint="eastAsia" w:ascii="仿宋" w:hAnsi="仿宋" w:eastAsia="仿宋" w:cs="仿宋"/>
          <w:b/>
          <w:color w:val="auto"/>
          <w:szCs w:val="24"/>
          <w:lang w:val="en-US"/>
        </w:rPr>
        <w:t>5</w:t>
      </w:r>
      <w:r>
        <w:rPr>
          <w:rStyle w:val="45"/>
          <w:rFonts w:hint="eastAsia" w:ascii="仿宋" w:hAnsi="仿宋" w:eastAsia="仿宋" w:cs="仿宋"/>
          <w:b/>
          <w:color w:val="auto"/>
          <w:szCs w:val="24"/>
        </w:rPr>
        <w:t>投标文件的商务评审</w:t>
      </w:r>
    </w:p>
    <w:p>
      <w:pPr>
        <w:ind w:firstLine="480" w:firstLineChars="200"/>
        <w:rPr>
          <w:rFonts w:hint="eastAsia" w:ascii="仿宋" w:hAnsi="仿宋" w:eastAsia="仿宋" w:cs="仿宋"/>
          <w:snapToGrid w:val="0"/>
          <w:color w:val="auto"/>
          <w:szCs w:val="24"/>
        </w:rPr>
      </w:pPr>
      <w:r>
        <w:rPr>
          <w:rFonts w:hint="eastAsia" w:ascii="仿宋" w:hAnsi="仿宋" w:eastAsia="仿宋" w:cs="仿宋"/>
          <w:b/>
          <w:snapToGrid w:val="0"/>
          <w:color w:val="auto"/>
          <w:szCs w:val="24"/>
        </w:rPr>
        <w:t>4.</w:t>
      </w:r>
      <w:r>
        <w:rPr>
          <w:rFonts w:hint="eastAsia" w:ascii="仿宋" w:hAnsi="仿宋" w:eastAsia="仿宋" w:cs="仿宋"/>
          <w:b/>
          <w:snapToGrid w:val="0"/>
          <w:color w:val="auto"/>
          <w:szCs w:val="24"/>
          <w:lang w:val="en-US" w:eastAsia="zh-CN"/>
        </w:rPr>
        <w:t>5</w:t>
      </w:r>
      <w:r>
        <w:rPr>
          <w:rFonts w:hint="eastAsia" w:ascii="仿宋" w:hAnsi="仿宋" w:eastAsia="仿宋" w:cs="仿宋"/>
          <w:b/>
          <w:snapToGrid w:val="0"/>
          <w:color w:val="auto"/>
          <w:szCs w:val="24"/>
        </w:rPr>
        <w:t>.1</w:t>
      </w:r>
      <w:r>
        <w:rPr>
          <w:rFonts w:hint="eastAsia" w:ascii="仿宋" w:hAnsi="仿宋" w:eastAsia="仿宋" w:cs="仿宋"/>
          <w:snapToGrid w:val="0"/>
          <w:color w:val="auto"/>
          <w:szCs w:val="24"/>
        </w:rPr>
        <w:t>评审委员会对通过符合性评审、技术评审的投标文件进行商务评审。评审委员会的商务专家应对商务报价的范围、数量、单价、费用组成和总价等进行全面审阅和对比分析，找出报价差异的原因及存在的问题。</w:t>
      </w:r>
    </w:p>
    <w:p>
      <w:pPr>
        <w:ind w:firstLine="480" w:firstLineChars="200"/>
        <w:rPr>
          <w:rFonts w:hint="eastAsia" w:ascii="仿宋" w:hAnsi="仿宋" w:eastAsia="仿宋" w:cs="仿宋"/>
          <w:snapToGrid w:val="0"/>
          <w:color w:val="auto"/>
          <w:szCs w:val="24"/>
        </w:rPr>
      </w:pPr>
      <w:r>
        <w:rPr>
          <w:rFonts w:hint="eastAsia" w:ascii="仿宋" w:hAnsi="仿宋" w:eastAsia="仿宋" w:cs="仿宋"/>
          <w:b/>
          <w:snapToGrid w:val="0"/>
          <w:color w:val="auto"/>
          <w:szCs w:val="24"/>
        </w:rPr>
        <w:t>4.</w:t>
      </w:r>
      <w:r>
        <w:rPr>
          <w:rFonts w:hint="eastAsia" w:ascii="仿宋" w:hAnsi="仿宋" w:eastAsia="仿宋" w:cs="仿宋"/>
          <w:b/>
          <w:snapToGrid w:val="0"/>
          <w:color w:val="auto"/>
          <w:szCs w:val="24"/>
          <w:lang w:val="en-US" w:eastAsia="zh-CN"/>
        </w:rPr>
        <w:t>5</w:t>
      </w:r>
      <w:r>
        <w:rPr>
          <w:rFonts w:hint="eastAsia" w:ascii="仿宋" w:hAnsi="仿宋" w:eastAsia="仿宋" w:cs="仿宋"/>
          <w:b/>
          <w:snapToGrid w:val="0"/>
          <w:color w:val="auto"/>
          <w:szCs w:val="24"/>
        </w:rPr>
        <w:t>.2</w:t>
      </w:r>
      <w:r>
        <w:rPr>
          <w:rFonts w:hint="eastAsia" w:ascii="仿宋" w:hAnsi="仿宋" w:eastAsia="仿宋" w:cs="仿宋"/>
          <w:snapToGrid w:val="0"/>
          <w:color w:val="auto"/>
          <w:szCs w:val="24"/>
        </w:rPr>
        <w:t xml:space="preserve"> 商务评审应以报价口径范围一致的投标评审价为依据。投标评审价应在最终报价的基础上，按照招标文件约定的因素和方法进行计算。凡属招标文件的原因造成报价口径范围不一致的，应调整投标报价。其中算术错误的调整原则为：</w:t>
      </w:r>
    </w:p>
    <w:p>
      <w:pPr>
        <w:ind w:firstLine="540"/>
        <w:rPr>
          <w:rFonts w:hint="eastAsia" w:ascii="仿宋" w:hAnsi="仿宋" w:eastAsia="仿宋" w:cs="仿宋"/>
          <w:snapToGrid w:val="0"/>
          <w:color w:val="auto"/>
          <w:szCs w:val="24"/>
        </w:rPr>
      </w:pPr>
      <w:r>
        <w:rPr>
          <w:rFonts w:hint="eastAsia" w:ascii="仿宋" w:hAnsi="仿宋" w:eastAsia="仿宋" w:cs="仿宋"/>
          <w:snapToGrid w:val="0"/>
          <w:color w:val="auto"/>
          <w:szCs w:val="24"/>
        </w:rPr>
        <w:t>⑴ 用数字表示的金额与文字表示的数额不一致时，以文字数额为准；</w:t>
      </w:r>
    </w:p>
    <w:p>
      <w:pPr>
        <w:ind w:firstLine="540"/>
        <w:rPr>
          <w:rFonts w:hint="eastAsia" w:ascii="仿宋" w:hAnsi="仿宋" w:eastAsia="仿宋" w:cs="仿宋"/>
          <w:snapToGrid w:val="0"/>
          <w:color w:val="auto"/>
          <w:szCs w:val="24"/>
        </w:rPr>
      </w:pPr>
      <w:r>
        <w:rPr>
          <w:rFonts w:hint="eastAsia" w:ascii="仿宋" w:hAnsi="仿宋" w:eastAsia="仿宋" w:cs="仿宋"/>
          <w:snapToGrid w:val="0"/>
          <w:color w:val="auto"/>
          <w:szCs w:val="24"/>
        </w:rPr>
        <w:t>⑵ 凡属投标人自身失误造成多算、少算、漏算的，不调整投标报价。若有算术性差错，均在投标报价不变的前提下按招标人要求调整单价及有关费用，调整后的单价及有关费用对投标人起约束作用，如果投标人不接受修正后的单价及有关费用，则按商务评审不合格处理。</w:t>
      </w:r>
    </w:p>
    <w:p>
      <w:pPr>
        <w:ind w:firstLine="540"/>
        <w:rPr>
          <w:rFonts w:hint="eastAsia" w:ascii="仿宋" w:hAnsi="仿宋" w:eastAsia="仿宋" w:cs="仿宋"/>
          <w:snapToGrid w:val="0"/>
          <w:color w:val="auto"/>
          <w:szCs w:val="24"/>
        </w:rPr>
      </w:pPr>
      <w:r>
        <w:rPr>
          <w:rFonts w:hint="eastAsia" w:ascii="仿宋" w:hAnsi="仿宋" w:eastAsia="仿宋" w:cs="仿宋"/>
          <w:snapToGrid w:val="0"/>
          <w:color w:val="auto"/>
          <w:szCs w:val="24"/>
        </w:rPr>
        <w:t>投标报价中，如有以下情况之一的，按商务评审不合格处理：</w:t>
      </w:r>
    </w:p>
    <w:p>
      <w:pPr>
        <w:ind w:firstLine="540"/>
        <w:rPr>
          <w:rFonts w:hint="eastAsia" w:ascii="仿宋" w:hAnsi="仿宋" w:eastAsia="仿宋" w:cs="仿宋"/>
          <w:snapToGrid w:val="0"/>
          <w:color w:val="auto"/>
          <w:szCs w:val="24"/>
        </w:rPr>
      </w:pPr>
      <w:r>
        <w:rPr>
          <w:rFonts w:hint="eastAsia" w:ascii="仿宋" w:hAnsi="仿宋" w:eastAsia="仿宋" w:cs="仿宋"/>
          <w:snapToGrid w:val="0"/>
          <w:color w:val="auto"/>
          <w:szCs w:val="24"/>
        </w:rPr>
        <w:t>⑴ 投标人未按招标文件实质性规定要求进行报价，拒绝修正不平衡报价，拒绝提供报价分析说明和证明材料的；</w:t>
      </w:r>
    </w:p>
    <w:p>
      <w:pPr>
        <w:ind w:firstLine="540"/>
        <w:rPr>
          <w:rFonts w:hint="eastAsia" w:ascii="仿宋" w:hAnsi="仿宋" w:eastAsia="仿宋" w:cs="仿宋"/>
          <w:snapToGrid w:val="0"/>
          <w:color w:val="auto"/>
          <w:szCs w:val="24"/>
        </w:rPr>
      </w:pPr>
      <w:bookmarkStart w:id="172" w:name="OLE_LINK9"/>
      <w:r>
        <w:rPr>
          <w:rFonts w:hint="eastAsia" w:ascii="仿宋" w:hAnsi="仿宋" w:eastAsia="仿宋" w:cs="仿宋"/>
          <w:snapToGrid w:val="0"/>
          <w:color w:val="auto"/>
          <w:szCs w:val="24"/>
        </w:rPr>
        <w:t>⑵ 因投标人自身多算、少算、错算、漏算而造成的错误金额超过投标总价的3%的；</w:t>
      </w:r>
    </w:p>
    <w:p>
      <w:pPr>
        <w:ind w:firstLine="540"/>
        <w:rPr>
          <w:rFonts w:hint="eastAsia" w:ascii="仿宋" w:hAnsi="仿宋" w:eastAsia="仿宋" w:cs="仿宋"/>
          <w:snapToGrid w:val="0"/>
          <w:color w:val="auto"/>
          <w:szCs w:val="24"/>
        </w:rPr>
      </w:pPr>
      <w:r>
        <w:rPr>
          <w:rFonts w:hint="eastAsia" w:ascii="仿宋" w:hAnsi="仿宋" w:eastAsia="仿宋" w:cs="仿宋"/>
          <w:snapToGrid w:val="0"/>
          <w:color w:val="auto"/>
          <w:szCs w:val="24"/>
        </w:rPr>
        <w:t>⑶安全施工费不符招标文件规定的；</w:t>
      </w:r>
    </w:p>
    <w:p>
      <w:pPr>
        <w:ind w:firstLine="540"/>
        <w:rPr>
          <w:rFonts w:hint="eastAsia" w:ascii="仿宋" w:hAnsi="仿宋" w:eastAsia="仿宋" w:cs="仿宋"/>
          <w:snapToGrid w:val="0"/>
          <w:color w:val="auto"/>
          <w:szCs w:val="24"/>
        </w:rPr>
      </w:pPr>
      <w:r>
        <w:rPr>
          <w:rFonts w:hint="eastAsia" w:ascii="仿宋" w:hAnsi="仿宋" w:eastAsia="仿宋" w:cs="仿宋"/>
          <w:snapToGrid w:val="0"/>
          <w:color w:val="auto"/>
          <w:szCs w:val="24"/>
        </w:rPr>
        <w:t>⑷通过符合性审查、技术评审的最低投标评审价低于通过符合性审查和技术评审的次低投标评审价8%，且经询标投标人对其报价不能充分说明理由，或提供的相关材料无法证明报价不低于其成本价的；</w:t>
      </w:r>
    </w:p>
    <w:p>
      <w:pPr>
        <w:ind w:firstLine="540"/>
        <w:rPr>
          <w:rFonts w:hint="eastAsia" w:ascii="仿宋" w:hAnsi="仿宋" w:eastAsia="仿宋" w:cs="仿宋"/>
          <w:snapToGrid w:val="0"/>
          <w:color w:val="auto"/>
          <w:szCs w:val="24"/>
        </w:rPr>
      </w:pPr>
      <w:r>
        <w:rPr>
          <w:rFonts w:hint="eastAsia" w:ascii="仿宋" w:hAnsi="仿宋" w:eastAsia="仿宋" w:cs="仿宋"/>
          <w:snapToGrid w:val="0"/>
          <w:color w:val="auto"/>
          <w:szCs w:val="24"/>
        </w:rPr>
        <w:t>⑸ 评审委员会认定属投标人自身原因有重大漏项的。</w:t>
      </w:r>
      <w:bookmarkEnd w:id="172"/>
    </w:p>
    <w:p>
      <w:pPr>
        <w:pStyle w:val="11"/>
        <w:ind w:firstLine="520" w:firstLineChars="217"/>
        <w:rPr>
          <w:rFonts w:hint="eastAsia" w:ascii="仿宋" w:hAnsi="仿宋" w:eastAsia="仿宋" w:cs="仿宋"/>
          <w:snapToGrid w:val="0"/>
          <w:color w:val="auto"/>
          <w:szCs w:val="24"/>
        </w:rPr>
      </w:pPr>
      <w:r>
        <w:rPr>
          <w:rFonts w:hint="eastAsia" w:ascii="仿宋" w:hAnsi="仿宋" w:eastAsia="仿宋" w:cs="仿宋"/>
          <w:b/>
          <w:snapToGrid w:val="0"/>
          <w:color w:val="auto"/>
          <w:szCs w:val="24"/>
        </w:rPr>
        <w:t>4.</w:t>
      </w:r>
      <w:r>
        <w:rPr>
          <w:rFonts w:hint="eastAsia" w:ascii="仿宋" w:hAnsi="仿宋" w:eastAsia="仿宋" w:cs="仿宋"/>
          <w:b/>
          <w:snapToGrid w:val="0"/>
          <w:color w:val="auto"/>
          <w:szCs w:val="24"/>
          <w:lang w:val="en-US" w:eastAsia="zh-CN"/>
        </w:rPr>
        <w:t>5</w:t>
      </w:r>
      <w:r>
        <w:rPr>
          <w:rFonts w:hint="eastAsia" w:ascii="仿宋" w:hAnsi="仿宋" w:eastAsia="仿宋" w:cs="仿宋"/>
          <w:b/>
          <w:snapToGrid w:val="0"/>
          <w:color w:val="auto"/>
          <w:szCs w:val="24"/>
        </w:rPr>
        <w:t xml:space="preserve">.3 </w:t>
      </w:r>
      <w:r>
        <w:rPr>
          <w:rFonts w:hint="eastAsia" w:ascii="仿宋" w:hAnsi="仿宋" w:eastAsia="仿宋" w:cs="仿宋"/>
          <w:snapToGrid w:val="0"/>
          <w:color w:val="auto"/>
          <w:szCs w:val="24"/>
        </w:rPr>
        <w:t>商务评审不通过的投标文件不再进入后续评分。</w:t>
      </w:r>
    </w:p>
    <w:p>
      <w:pPr>
        <w:pStyle w:val="5"/>
        <w:ind w:firstLine="480"/>
        <w:rPr>
          <w:rFonts w:hint="eastAsia" w:ascii="仿宋" w:hAnsi="仿宋" w:eastAsia="仿宋" w:cs="仿宋"/>
          <w:color w:val="auto"/>
          <w:szCs w:val="24"/>
        </w:rPr>
      </w:pPr>
      <w:r>
        <w:rPr>
          <w:rFonts w:hint="eastAsia" w:ascii="仿宋" w:hAnsi="仿宋" w:eastAsia="仿宋" w:cs="仿宋"/>
          <w:b/>
          <w:snapToGrid w:val="0"/>
          <w:color w:val="auto"/>
          <w:szCs w:val="24"/>
        </w:rPr>
        <w:t>4.</w:t>
      </w:r>
      <w:r>
        <w:rPr>
          <w:rFonts w:hint="eastAsia" w:ascii="仿宋" w:hAnsi="仿宋" w:eastAsia="仿宋" w:cs="仿宋"/>
          <w:b/>
          <w:snapToGrid w:val="0"/>
          <w:color w:val="auto"/>
          <w:szCs w:val="24"/>
          <w:lang w:val="en-US" w:eastAsia="zh-CN"/>
        </w:rPr>
        <w:t>5</w:t>
      </w:r>
      <w:r>
        <w:rPr>
          <w:rFonts w:hint="eastAsia" w:ascii="仿宋" w:hAnsi="仿宋" w:eastAsia="仿宋" w:cs="仿宋"/>
          <w:b/>
          <w:snapToGrid w:val="0"/>
          <w:color w:val="auto"/>
          <w:szCs w:val="24"/>
        </w:rPr>
        <w:t xml:space="preserve">.4 </w:t>
      </w:r>
      <w:r>
        <w:rPr>
          <w:rFonts w:hint="eastAsia" w:ascii="仿宋" w:hAnsi="仿宋" w:eastAsia="仿宋" w:cs="仿宋"/>
          <w:snapToGrid w:val="0"/>
          <w:color w:val="auto"/>
          <w:szCs w:val="24"/>
        </w:rPr>
        <w:t>商务评分计算办法</w:t>
      </w:r>
    </w:p>
    <w:p>
      <w:pPr>
        <w:snapToGrid w:val="0"/>
        <w:spacing w:line="380" w:lineRule="exact"/>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1）评分基准价的确定</w:t>
      </w:r>
    </w:p>
    <w:p>
      <w:pPr>
        <w:snapToGrid w:val="0"/>
        <w:spacing w:line="380" w:lineRule="exact"/>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若通过商务评审的投标单位≥9家，基准价为通过商务评审的评标价中去除一个最高评标价、一个次高评标价和一个最低评标价、一个次低评标价后的算术平均值下浮X%；若通过商务评审的投标单位≥5家且＜9家，基准价为通过商务评审的评标价中去除一个最高评标价和一个最低评标价后的算术平均值下浮X%；若通过商务评审的投标单位＜5家，基准价为所有通过商务评审的评标价的算术平均值下浮X%的数值。</w:t>
      </w:r>
    </w:p>
    <w:p>
      <w:pPr>
        <w:snapToGrid w:val="0"/>
        <w:spacing w:line="380" w:lineRule="exact"/>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X值在开标时由招标人在2.0、2.5、3.0、3.5、4.0之中随机抽取确定。</w:t>
      </w:r>
    </w:p>
    <w:p>
      <w:pPr>
        <w:snapToGrid w:val="0"/>
        <w:spacing w:line="380" w:lineRule="exact"/>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评标基准价由评标委员会依据上述方法计算，除计算差错外，确认后的评标基准价在本次招标期间保持不变。</w:t>
      </w:r>
    </w:p>
    <w:p>
      <w:pPr>
        <w:snapToGrid w:val="0"/>
        <w:spacing w:line="380" w:lineRule="exact"/>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计算差错，仅限于以下两种情况：（1）纯算术性四则运算差错；（2）未按约定的计算方法，多计或或者少计投标人报价的。由于评标差错，导致否决投标错误，重新评标纠正等其他情况，不属于计算差错。</w:t>
      </w:r>
    </w:p>
    <w:p>
      <w:pPr>
        <w:snapToGrid w:val="0"/>
        <w:spacing w:line="380" w:lineRule="exact"/>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2）报价评分值的计算：以评分基准价为基础，将各投标人的评标价与评分基准价比较，计算出偏离基准价的百分数后，再进行计分。即：</w:t>
      </w:r>
    </w:p>
    <w:p>
      <w:pPr>
        <w:snapToGrid w:val="0"/>
        <w:spacing w:line="380" w:lineRule="exact"/>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a. 投标评标价等于评分基准价时，得满分（</w:t>
      </w:r>
      <w:r>
        <w:rPr>
          <w:rFonts w:hint="eastAsia" w:ascii="仿宋" w:hAnsi="仿宋" w:eastAsia="仿宋" w:cs="仿宋"/>
          <w:snapToGrid w:val="0"/>
          <w:color w:val="auto"/>
          <w:szCs w:val="24"/>
          <w:lang w:val="en-US" w:eastAsia="zh-CN"/>
        </w:rPr>
        <w:t>100</w:t>
      </w:r>
      <w:r>
        <w:rPr>
          <w:rFonts w:hint="eastAsia" w:ascii="仿宋" w:hAnsi="仿宋" w:eastAsia="仿宋" w:cs="仿宋"/>
          <w:snapToGrid w:val="0"/>
          <w:color w:val="auto"/>
          <w:szCs w:val="24"/>
        </w:rPr>
        <w:t>分）；</w:t>
      </w:r>
    </w:p>
    <w:p>
      <w:pPr>
        <w:snapToGrid w:val="0"/>
        <w:spacing w:line="380" w:lineRule="exact"/>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b. 投标评标价每低于评分基准价1个百分点，扣</w:t>
      </w:r>
      <w:r>
        <w:rPr>
          <w:rFonts w:hint="eastAsia" w:ascii="仿宋" w:hAnsi="仿宋" w:eastAsia="仿宋" w:cs="仿宋"/>
          <w:snapToGrid w:val="0"/>
          <w:color w:val="auto"/>
          <w:szCs w:val="24"/>
          <w:lang w:val="en-US" w:eastAsia="zh-CN"/>
        </w:rPr>
        <w:t>0.5</w:t>
      </w:r>
      <w:r>
        <w:rPr>
          <w:rFonts w:hint="eastAsia" w:ascii="仿宋" w:hAnsi="仿宋" w:eastAsia="仿宋" w:cs="仿宋"/>
          <w:snapToGrid w:val="0"/>
          <w:color w:val="auto"/>
          <w:szCs w:val="24"/>
        </w:rPr>
        <w:t>分；</w:t>
      </w:r>
    </w:p>
    <w:p>
      <w:pPr>
        <w:snapToGrid w:val="0"/>
        <w:spacing w:line="380" w:lineRule="exact"/>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c. 投标评标价每高于评分基准价1个百分点，扣</w:t>
      </w:r>
      <w:r>
        <w:rPr>
          <w:rFonts w:hint="eastAsia" w:ascii="仿宋" w:hAnsi="仿宋" w:eastAsia="仿宋" w:cs="仿宋"/>
          <w:snapToGrid w:val="0"/>
          <w:color w:val="auto"/>
          <w:szCs w:val="24"/>
          <w:lang w:val="en-US" w:eastAsia="zh-CN"/>
        </w:rPr>
        <w:t>1</w:t>
      </w:r>
      <w:r>
        <w:rPr>
          <w:rFonts w:hint="eastAsia" w:ascii="仿宋" w:hAnsi="仿宋" w:eastAsia="仿宋" w:cs="仿宋"/>
          <w:snapToGrid w:val="0"/>
          <w:color w:val="auto"/>
          <w:szCs w:val="24"/>
        </w:rPr>
        <w:t>分。</w:t>
      </w:r>
    </w:p>
    <w:p>
      <w:pPr>
        <w:snapToGrid w:val="0"/>
        <w:spacing w:line="380" w:lineRule="exact"/>
        <w:ind w:firstLine="480" w:firstLineChars="200"/>
        <w:rPr>
          <w:rFonts w:hint="eastAsia" w:ascii="仿宋" w:hAnsi="仿宋" w:eastAsia="仿宋" w:cs="仿宋"/>
          <w:color w:val="auto"/>
          <w:szCs w:val="24"/>
        </w:rPr>
      </w:pPr>
      <w:r>
        <w:rPr>
          <w:rFonts w:hint="eastAsia" w:ascii="仿宋" w:hAnsi="仿宋" w:eastAsia="仿宋" w:cs="仿宋"/>
          <w:snapToGrid w:val="0"/>
          <w:color w:val="auto"/>
          <w:szCs w:val="24"/>
        </w:rPr>
        <w:t>商务最终评分保留小数2位，四舍五入；评分不足一个百分点时，使用直线插入法计算。商务报价评分最低分50分</w:t>
      </w:r>
      <w:r>
        <w:rPr>
          <w:rFonts w:hint="eastAsia" w:ascii="仿宋" w:hAnsi="仿宋" w:eastAsia="仿宋" w:cs="仿宋"/>
          <w:color w:val="auto"/>
          <w:szCs w:val="24"/>
        </w:rPr>
        <w:t>。</w:t>
      </w:r>
    </w:p>
    <w:p>
      <w:pPr>
        <w:pStyle w:val="8"/>
        <w:rPr>
          <w:rStyle w:val="45"/>
          <w:rFonts w:hint="eastAsia" w:ascii="仿宋" w:hAnsi="仿宋" w:eastAsia="仿宋" w:cs="仿宋"/>
          <w:b/>
          <w:color w:val="auto"/>
          <w:szCs w:val="24"/>
        </w:rPr>
      </w:pPr>
      <w:r>
        <w:rPr>
          <w:rStyle w:val="45"/>
          <w:rFonts w:hint="eastAsia" w:ascii="仿宋" w:hAnsi="仿宋" w:eastAsia="仿宋" w:cs="仿宋"/>
          <w:b/>
          <w:color w:val="auto"/>
          <w:szCs w:val="24"/>
        </w:rPr>
        <w:t>4.</w:t>
      </w:r>
      <w:r>
        <w:rPr>
          <w:rStyle w:val="45"/>
          <w:rFonts w:hint="eastAsia" w:ascii="仿宋" w:hAnsi="仿宋" w:eastAsia="仿宋" w:cs="仿宋"/>
          <w:b/>
          <w:color w:val="auto"/>
          <w:szCs w:val="24"/>
          <w:lang w:val="en-US"/>
        </w:rPr>
        <w:t>6</w:t>
      </w:r>
      <w:r>
        <w:rPr>
          <w:rStyle w:val="45"/>
          <w:rFonts w:hint="eastAsia" w:ascii="仿宋" w:hAnsi="仿宋" w:eastAsia="仿宋" w:cs="仿宋"/>
          <w:b/>
          <w:color w:val="auto"/>
          <w:szCs w:val="24"/>
        </w:rPr>
        <w:t>投标文件的综合评分</w:t>
      </w:r>
    </w:p>
    <w:p>
      <w:pPr>
        <w:ind w:firstLine="540" w:firstLineChars="225"/>
        <w:rPr>
          <w:rFonts w:hint="eastAsia" w:ascii="仿宋" w:hAnsi="仿宋" w:eastAsia="仿宋" w:cs="仿宋"/>
          <w:snapToGrid w:val="0"/>
          <w:color w:val="auto"/>
          <w:szCs w:val="24"/>
        </w:rPr>
      </w:pPr>
      <w:r>
        <w:rPr>
          <w:rFonts w:hint="eastAsia" w:ascii="仿宋" w:hAnsi="仿宋" w:eastAsia="仿宋" w:cs="仿宋"/>
          <w:snapToGrid w:val="0"/>
          <w:color w:val="auto"/>
          <w:szCs w:val="24"/>
        </w:rPr>
        <w:t>投标文件的综合评分为投标文件的市场行为信用评分、资信评分与投标文件的商务评分之和，满分为100分。</w:t>
      </w:r>
    </w:p>
    <w:p>
      <w:pPr>
        <w:pStyle w:val="8"/>
        <w:rPr>
          <w:rStyle w:val="45"/>
          <w:rFonts w:hint="eastAsia" w:ascii="仿宋" w:hAnsi="仿宋" w:eastAsia="仿宋" w:cs="仿宋"/>
          <w:b/>
          <w:color w:val="auto"/>
          <w:szCs w:val="24"/>
        </w:rPr>
      </w:pPr>
      <w:r>
        <w:rPr>
          <w:rStyle w:val="45"/>
          <w:rFonts w:hint="eastAsia" w:ascii="仿宋" w:hAnsi="仿宋" w:eastAsia="仿宋" w:cs="仿宋"/>
          <w:b/>
          <w:color w:val="auto"/>
          <w:szCs w:val="24"/>
        </w:rPr>
        <w:t>4.</w:t>
      </w:r>
      <w:r>
        <w:rPr>
          <w:rStyle w:val="45"/>
          <w:rFonts w:hint="eastAsia" w:ascii="仿宋" w:hAnsi="仿宋" w:eastAsia="仿宋" w:cs="仿宋"/>
          <w:b/>
          <w:color w:val="auto"/>
          <w:szCs w:val="24"/>
          <w:lang w:val="en-US"/>
        </w:rPr>
        <w:t>7</w:t>
      </w:r>
      <w:r>
        <w:rPr>
          <w:rStyle w:val="45"/>
          <w:rFonts w:hint="eastAsia" w:ascii="仿宋" w:hAnsi="仿宋" w:eastAsia="仿宋" w:cs="仿宋"/>
          <w:b/>
          <w:color w:val="auto"/>
          <w:szCs w:val="24"/>
        </w:rPr>
        <w:t>推荐</w:t>
      </w:r>
      <w:r>
        <w:rPr>
          <w:rFonts w:hint="eastAsia" w:ascii="仿宋" w:hAnsi="仿宋" w:eastAsia="仿宋" w:cs="仿宋"/>
          <w:color w:val="auto"/>
          <w:szCs w:val="24"/>
        </w:rPr>
        <w:t>中标</w:t>
      </w:r>
      <w:r>
        <w:rPr>
          <w:rStyle w:val="45"/>
          <w:rFonts w:hint="eastAsia" w:ascii="仿宋" w:hAnsi="仿宋" w:eastAsia="仿宋" w:cs="仿宋"/>
          <w:b/>
          <w:color w:val="auto"/>
          <w:szCs w:val="24"/>
        </w:rPr>
        <w:t>候选人</w:t>
      </w:r>
    </w:p>
    <w:p>
      <w:pPr>
        <w:ind w:firstLine="540" w:firstLineChars="225"/>
        <w:rPr>
          <w:rFonts w:hint="eastAsia" w:ascii="仿宋" w:hAnsi="仿宋" w:eastAsia="仿宋" w:cs="仿宋"/>
          <w:snapToGrid w:val="0"/>
          <w:color w:val="auto"/>
          <w:szCs w:val="24"/>
        </w:rPr>
      </w:pPr>
      <w:r>
        <w:rPr>
          <w:rFonts w:hint="eastAsia" w:ascii="仿宋" w:hAnsi="仿宋" w:eastAsia="仿宋" w:cs="仿宋"/>
          <w:snapToGrid w:val="0"/>
          <w:color w:val="auto"/>
          <w:szCs w:val="24"/>
        </w:rPr>
        <w:t>评审委员会根据综合评分对通过商务评审的投标文件按照由高到低的顺序进行排序，依次推荐中标候选人。评分相同时，报价低者优先。评分、报价均相同时，由评审委员会全体成员按照少数服从多数的原则记名投票（不得弃权）决定排序。</w:t>
      </w:r>
    </w:p>
    <w:p>
      <w:pPr>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本评审办法未尽事宜由评审委员会集体讨论决定。</w:t>
      </w:r>
    </w:p>
    <w:p>
      <w:pPr>
        <w:pStyle w:val="8"/>
        <w:rPr>
          <w:rFonts w:hint="eastAsia" w:ascii="仿宋" w:hAnsi="仿宋" w:eastAsia="仿宋" w:cs="仿宋"/>
          <w:color w:val="auto"/>
          <w:szCs w:val="24"/>
        </w:rPr>
      </w:pPr>
      <w:r>
        <w:rPr>
          <w:rFonts w:hint="eastAsia" w:ascii="仿宋" w:hAnsi="仿宋" w:eastAsia="仿宋" w:cs="仿宋"/>
          <w:color w:val="auto"/>
          <w:szCs w:val="24"/>
        </w:rPr>
        <w:t>4.</w:t>
      </w:r>
      <w:r>
        <w:rPr>
          <w:rFonts w:hint="eastAsia" w:ascii="仿宋" w:hAnsi="仿宋" w:eastAsia="仿宋" w:cs="仿宋"/>
          <w:color w:val="auto"/>
          <w:szCs w:val="24"/>
          <w:lang w:val="en-US" w:eastAsia="zh-CN"/>
        </w:rPr>
        <w:t>8</w:t>
      </w:r>
      <w:r>
        <w:rPr>
          <w:rFonts w:hint="eastAsia" w:ascii="仿宋" w:hAnsi="仿宋" w:eastAsia="仿宋" w:cs="仿宋"/>
          <w:color w:val="auto"/>
          <w:szCs w:val="24"/>
        </w:rPr>
        <w:t>评审报告</w:t>
      </w:r>
    </w:p>
    <w:p>
      <w:pPr>
        <w:ind w:firstLine="472" w:firstLineChars="197"/>
        <w:rPr>
          <w:rFonts w:hint="eastAsia" w:ascii="仿宋" w:hAnsi="仿宋" w:eastAsia="仿宋" w:cs="仿宋"/>
          <w:snapToGrid w:val="0"/>
          <w:color w:val="auto"/>
          <w:szCs w:val="24"/>
        </w:rPr>
      </w:pPr>
      <w:r>
        <w:rPr>
          <w:rFonts w:hint="eastAsia" w:ascii="仿宋" w:hAnsi="仿宋" w:eastAsia="仿宋" w:cs="仿宋"/>
          <w:b/>
          <w:snapToGrid w:val="0"/>
          <w:color w:val="auto"/>
          <w:szCs w:val="24"/>
        </w:rPr>
        <w:t>4.</w:t>
      </w:r>
      <w:r>
        <w:rPr>
          <w:rFonts w:hint="eastAsia" w:ascii="仿宋" w:hAnsi="仿宋" w:eastAsia="仿宋" w:cs="仿宋"/>
          <w:b/>
          <w:snapToGrid w:val="0"/>
          <w:color w:val="auto"/>
          <w:szCs w:val="24"/>
          <w:lang w:val="en-US" w:eastAsia="zh-CN"/>
        </w:rPr>
        <w:t>8</w:t>
      </w:r>
      <w:r>
        <w:rPr>
          <w:rFonts w:hint="eastAsia" w:ascii="仿宋" w:hAnsi="仿宋" w:eastAsia="仿宋" w:cs="仿宋"/>
          <w:b/>
          <w:snapToGrid w:val="0"/>
          <w:color w:val="auto"/>
          <w:szCs w:val="24"/>
        </w:rPr>
        <w:t>.1</w:t>
      </w:r>
      <w:r>
        <w:rPr>
          <w:rFonts w:hint="eastAsia" w:ascii="仿宋" w:hAnsi="仿宋" w:eastAsia="仿宋" w:cs="仿宋"/>
          <w:snapToGrid w:val="0"/>
          <w:color w:val="auto"/>
          <w:szCs w:val="24"/>
        </w:rPr>
        <w:t>评审委员会对投标文件作出的评审结论，应当符合有关法律、法规、规章和招标文件的规定。</w:t>
      </w:r>
    </w:p>
    <w:p>
      <w:pPr>
        <w:ind w:firstLine="480" w:firstLineChars="200"/>
        <w:rPr>
          <w:rFonts w:hint="eastAsia" w:ascii="仿宋" w:hAnsi="仿宋" w:eastAsia="仿宋" w:cs="仿宋"/>
          <w:snapToGrid w:val="0"/>
          <w:color w:val="auto"/>
          <w:szCs w:val="24"/>
        </w:rPr>
      </w:pPr>
      <w:r>
        <w:rPr>
          <w:rFonts w:hint="eastAsia" w:ascii="仿宋" w:hAnsi="仿宋" w:eastAsia="仿宋" w:cs="仿宋"/>
          <w:b/>
          <w:snapToGrid w:val="0"/>
          <w:color w:val="auto"/>
          <w:szCs w:val="24"/>
        </w:rPr>
        <w:t>4.</w:t>
      </w:r>
      <w:r>
        <w:rPr>
          <w:rFonts w:hint="eastAsia" w:ascii="仿宋" w:hAnsi="仿宋" w:eastAsia="仿宋" w:cs="仿宋"/>
          <w:b/>
          <w:snapToGrid w:val="0"/>
          <w:color w:val="auto"/>
          <w:szCs w:val="24"/>
          <w:lang w:val="en-US" w:eastAsia="zh-CN"/>
        </w:rPr>
        <w:t>8</w:t>
      </w:r>
      <w:r>
        <w:rPr>
          <w:rFonts w:hint="eastAsia" w:ascii="仿宋" w:hAnsi="仿宋" w:eastAsia="仿宋" w:cs="仿宋"/>
          <w:b/>
          <w:snapToGrid w:val="0"/>
          <w:color w:val="auto"/>
          <w:szCs w:val="24"/>
        </w:rPr>
        <w:t>.2</w:t>
      </w:r>
      <w:r>
        <w:rPr>
          <w:rFonts w:hint="eastAsia" w:ascii="仿宋" w:hAnsi="仿宋" w:eastAsia="仿宋" w:cs="仿宋"/>
          <w:snapToGrid w:val="0"/>
          <w:color w:val="auto"/>
          <w:szCs w:val="24"/>
        </w:rPr>
        <w:t>评审委员会应根据评审情况，</w:t>
      </w:r>
      <w:r>
        <w:rPr>
          <w:rFonts w:hint="eastAsia" w:ascii="仿宋" w:hAnsi="仿宋" w:eastAsia="仿宋" w:cs="仿宋"/>
          <w:bCs/>
          <w:snapToGrid w:val="0"/>
          <w:color w:val="auto"/>
          <w:szCs w:val="24"/>
        </w:rPr>
        <w:t>推荐1~3</w:t>
      </w:r>
      <w:r>
        <w:rPr>
          <w:rFonts w:hint="eastAsia" w:ascii="仿宋" w:hAnsi="仿宋" w:eastAsia="仿宋" w:cs="仿宋"/>
          <w:snapToGrid w:val="0"/>
          <w:color w:val="auto"/>
          <w:szCs w:val="24"/>
        </w:rPr>
        <w:t>中标候选人，并向招标人提交评审报告。评审报告由评审委员会成员起草，评审委员会全体成员应在评审报告上签字确认，评审专家如有保留意见可以在评审报告中阐明。</w:t>
      </w:r>
    </w:p>
    <w:p>
      <w:pPr>
        <w:ind w:firstLine="480" w:firstLineChars="200"/>
        <w:rPr>
          <w:rFonts w:hint="eastAsia" w:ascii="仿宋" w:hAnsi="仿宋" w:eastAsia="仿宋" w:cs="仿宋"/>
          <w:snapToGrid w:val="0"/>
          <w:color w:val="auto"/>
          <w:szCs w:val="24"/>
        </w:rPr>
      </w:pPr>
      <w:r>
        <w:rPr>
          <w:rFonts w:hint="eastAsia" w:ascii="仿宋" w:hAnsi="仿宋" w:eastAsia="仿宋" w:cs="仿宋"/>
          <w:b/>
          <w:snapToGrid w:val="0"/>
          <w:color w:val="auto"/>
          <w:szCs w:val="24"/>
        </w:rPr>
        <w:t>4.</w:t>
      </w:r>
      <w:r>
        <w:rPr>
          <w:rFonts w:hint="eastAsia" w:ascii="仿宋" w:hAnsi="仿宋" w:eastAsia="仿宋" w:cs="仿宋"/>
          <w:b/>
          <w:snapToGrid w:val="0"/>
          <w:color w:val="auto"/>
          <w:szCs w:val="24"/>
          <w:lang w:val="en-US" w:eastAsia="zh-CN"/>
        </w:rPr>
        <w:t>8</w:t>
      </w:r>
      <w:r>
        <w:rPr>
          <w:rFonts w:hint="eastAsia" w:ascii="仿宋" w:hAnsi="仿宋" w:eastAsia="仿宋" w:cs="仿宋"/>
          <w:b/>
          <w:snapToGrid w:val="0"/>
          <w:color w:val="auto"/>
          <w:szCs w:val="24"/>
        </w:rPr>
        <w:t xml:space="preserve">.3 </w:t>
      </w:r>
      <w:r>
        <w:rPr>
          <w:rFonts w:hint="eastAsia" w:ascii="仿宋" w:hAnsi="仿宋" w:eastAsia="仿宋" w:cs="仿宋"/>
          <w:snapToGrid w:val="0"/>
          <w:color w:val="auto"/>
          <w:szCs w:val="24"/>
        </w:rPr>
        <w:t>评审报告应包括以下内容：</w:t>
      </w:r>
    </w:p>
    <w:p>
      <w:pPr>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⑴ 开标记录；</w:t>
      </w:r>
    </w:p>
    <w:p>
      <w:pPr>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⑵ 评审内容、过程和结果；</w:t>
      </w:r>
    </w:p>
    <w:p>
      <w:pPr>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⑶ 否决投标情况说明及依据；</w:t>
      </w:r>
    </w:p>
    <w:p>
      <w:pPr>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⑷</w:t>
      </w:r>
      <w:r>
        <w:rPr>
          <w:rFonts w:hint="eastAsia" w:ascii="仿宋" w:hAnsi="仿宋" w:eastAsia="仿宋" w:cs="仿宋"/>
          <w:color w:val="auto"/>
          <w:szCs w:val="24"/>
        </w:rPr>
        <w:t>中标侯选人的优劣对比和存在问题；</w:t>
      </w:r>
    </w:p>
    <w:p>
      <w:pPr>
        <w:ind w:firstLine="480" w:firstLineChars="200"/>
        <w:rPr>
          <w:rFonts w:hint="eastAsia" w:ascii="仿宋" w:hAnsi="仿宋" w:eastAsia="仿宋" w:cs="仿宋"/>
          <w:snapToGrid w:val="0"/>
          <w:color w:val="auto"/>
          <w:szCs w:val="24"/>
        </w:rPr>
      </w:pPr>
      <w:r>
        <w:rPr>
          <w:rFonts w:hint="eastAsia" w:ascii="仿宋" w:hAnsi="仿宋" w:eastAsia="仿宋" w:cs="仿宋"/>
          <w:color w:val="auto"/>
          <w:szCs w:val="24"/>
        </w:rPr>
        <w:t xml:space="preserve">⑸ </w:t>
      </w:r>
      <w:r>
        <w:rPr>
          <w:rFonts w:hint="eastAsia" w:ascii="仿宋" w:hAnsi="仿宋" w:eastAsia="仿宋" w:cs="仿宋"/>
          <w:snapToGrid w:val="0"/>
          <w:color w:val="auto"/>
          <w:szCs w:val="24"/>
        </w:rPr>
        <w:t>其他建议。</w:t>
      </w:r>
    </w:p>
    <w:bookmarkEnd w:id="134"/>
    <w:bookmarkEnd w:id="135"/>
    <w:bookmarkEnd w:id="136"/>
    <w:bookmarkEnd w:id="137"/>
    <w:bookmarkEnd w:id="138"/>
    <w:bookmarkEnd w:id="139"/>
    <w:bookmarkEnd w:id="140"/>
    <w:bookmarkEnd w:id="141"/>
    <w:bookmarkEnd w:id="146"/>
    <w:bookmarkEnd w:id="147"/>
    <w:bookmarkEnd w:id="148"/>
    <w:bookmarkEnd w:id="149"/>
    <w:p>
      <w:pPr>
        <w:pStyle w:val="5"/>
        <w:ind w:left="0" w:leftChars="0" w:firstLine="0" w:firstLineChars="0"/>
        <w:rPr>
          <w:rFonts w:hint="eastAsia" w:ascii="仿宋" w:hAnsi="仿宋" w:eastAsia="仿宋" w:cs="仿宋"/>
          <w:color w:val="auto"/>
          <w:szCs w:val="30"/>
        </w:rPr>
      </w:pPr>
      <w:bookmarkStart w:id="173" w:name="_Toc271200570"/>
      <w:bookmarkStart w:id="174" w:name="_Toc271220736"/>
    </w:p>
    <w:p>
      <w:pPr>
        <w:pStyle w:val="6"/>
        <w:spacing w:line="240" w:lineRule="atLeast"/>
        <w:jc w:val="center"/>
        <w:rPr>
          <w:rFonts w:hint="eastAsia" w:ascii="仿宋" w:hAnsi="仿宋" w:eastAsia="仿宋" w:cs="仿宋"/>
          <w:color w:val="auto"/>
          <w:szCs w:val="30"/>
        </w:rPr>
      </w:pPr>
    </w:p>
    <w:p>
      <w:pPr>
        <w:rPr>
          <w:rFonts w:hint="eastAsia" w:ascii="仿宋" w:hAnsi="仿宋" w:eastAsia="仿宋" w:cs="仿宋"/>
          <w:color w:val="auto"/>
          <w:szCs w:val="30"/>
        </w:rPr>
      </w:pPr>
      <w:bookmarkStart w:id="175" w:name="_Toc29902"/>
      <w:r>
        <w:rPr>
          <w:rFonts w:hint="eastAsia" w:ascii="仿宋" w:hAnsi="仿宋" w:eastAsia="仿宋" w:cs="仿宋"/>
          <w:color w:val="auto"/>
          <w:szCs w:val="30"/>
        </w:rPr>
        <w:br w:type="page"/>
      </w:r>
    </w:p>
    <w:p>
      <w:pPr>
        <w:pStyle w:val="6"/>
        <w:spacing w:line="240" w:lineRule="atLeast"/>
        <w:jc w:val="center"/>
        <w:rPr>
          <w:rFonts w:hint="eastAsia" w:ascii="仿宋" w:hAnsi="仿宋" w:eastAsia="仿宋" w:cs="仿宋"/>
          <w:color w:val="auto"/>
          <w:szCs w:val="30"/>
        </w:rPr>
      </w:pPr>
      <w:r>
        <w:rPr>
          <w:rFonts w:hint="eastAsia" w:ascii="仿宋" w:hAnsi="仿宋" w:eastAsia="仿宋" w:cs="仿宋"/>
          <w:color w:val="auto"/>
          <w:szCs w:val="30"/>
        </w:rPr>
        <w:t>第四章 合同条款及格式</w:t>
      </w:r>
      <w:bookmarkEnd w:id="175"/>
    </w:p>
    <w:p>
      <w:pPr>
        <w:spacing w:line="240" w:lineRule="exact"/>
        <w:rPr>
          <w:rFonts w:hint="eastAsia" w:ascii="仿宋" w:hAnsi="仿宋" w:eastAsia="仿宋" w:cs="仿宋"/>
          <w:b/>
          <w:snapToGrid w:val="0"/>
          <w:color w:val="auto"/>
        </w:rPr>
      </w:pPr>
      <w:bookmarkStart w:id="176" w:name="_Toc93414134"/>
      <w:bookmarkStart w:id="177" w:name="_Toc212607204"/>
      <w:bookmarkStart w:id="178" w:name="_Toc46722401"/>
      <w:bookmarkStart w:id="179" w:name="_Toc140459437"/>
      <w:bookmarkStart w:id="180" w:name="_Toc134275842"/>
      <w:bookmarkStart w:id="181" w:name="_Toc140459351"/>
      <w:bookmarkStart w:id="182" w:name="_Toc51981851"/>
      <w:bookmarkStart w:id="183" w:name="_Toc100454626"/>
      <w:bookmarkStart w:id="184" w:name="_Toc217819036"/>
      <w:bookmarkStart w:id="185" w:name="_Toc114720131"/>
      <w:bookmarkStart w:id="186" w:name="_Toc42486632"/>
    </w:p>
    <w:bookmarkEnd w:id="176"/>
    <w:bookmarkEnd w:id="177"/>
    <w:bookmarkEnd w:id="178"/>
    <w:bookmarkEnd w:id="179"/>
    <w:bookmarkEnd w:id="180"/>
    <w:bookmarkEnd w:id="181"/>
    <w:bookmarkEnd w:id="182"/>
    <w:bookmarkEnd w:id="183"/>
    <w:bookmarkEnd w:id="184"/>
    <w:bookmarkEnd w:id="185"/>
    <w:bookmarkEnd w:id="186"/>
    <w:p>
      <w:pPr>
        <w:pStyle w:val="6"/>
        <w:jc w:val="center"/>
        <w:rPr>
          <w:rFonts w:hint="eastAsia" w:ascii="仿宋" w:hAnsi="仿宋" w:eastAsia="仿宋" w:cs="仿宋"/>
          <w:color w:val="auto"/>
        </w:rPr>
      </w:pPr>
      <w:bookmarkStart w:id="187" w:name="_Toc336325278"/>
      <w:bookmarkStart w:id="188" w:name="_Toc28003"/>
      <w:bookmarkStart w:id="189" w:name="_Toc13152"/>
      <w:r>
        <w:rPr>
          <w:rFonts w:hint="eastAsia" w:ascii="仿宋" w:hAnsi="仿宋" w:eastAsia="仿宋" w:cs="仿宋"/>
          <w:color w:val="auto"/>
        </w:rPr>
        <w:t>第一节通用合同条款</w:t>
      </w:r>
      <w:bookmarkEnd w:id="187"/>
      <w:bookmarkEnd w:id="188"/>
      <w:bookmarkEnd w:id="189"/>
    </w:p>
    <w:p>
      <w:pPr>
        <w:spacing w:line="240" w:lineRule="exact"/>
        <w:rPr>
          <w:rFonts w:hint="eastAsia" w:ascii="仿宋" w:hAnsi="仿宋" w:eastAsia="仿宋" w:cs="仿宋"/>
          <w:b/>
          <w:snapToGrid w:val="0"/>
          <w:color w:val="auto"/>
        </w:rPr>
      </w:pPr>
    </w:p>
    <w:p>
      <w:pPr>
        <w:pStyle w:val="5"/>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通用合同条款全文引用《浙江省水利水电工程施工招标文件示范文本》2014年版的通用合同条款。</w:t>
      </w:r>
    </w:p>
    <w:p>
      <w:pPr>
        <w:pStyle w:val="6"/>
        <w:jc w:val="center"/>
        <w:rPr>
          <w:rFonts w:hint="eastAsia" w:ascii="仿宋" w:hAnsi="仿宋" w:eastAsia="仿宋" w:cs="仿宋"/>
          <w:bCs/>
          <w:color w:val="auto"/>
        </w:rPr>
      </w:pPr>
      <w:bookmarkStart w:id="190" w:name="_Toc217819037"/>
      <w:bookmarkStart w:id="191" w:name="_Toc100454627"/>
      <w:bookmarkStart w:id="192" w:name="_Toc134275843"/>
      <w:bookmarkStart w:id="193" w:name="_Toc24088"/>
      <w:bookmarkStart w:id="194" w:name="_Toc51981852"/>
      <w:bookmarkStart w:id="195" w:name="_Toc350184884"/>
      <w:bookmarkStart w:id="196" w:name="_Toc336325279"/>
      <w:bookmarkStart w:id="197" w:name="_Toc114720132"/>
      <w:bookmarkStart w:id="198" w:name="_Toc46722402"/>
      <w:bookmarkStart w:id="199" w:name="_Toc515133186"/>
      <w:bookmarkStart w:id="200" w:name="_Toc212607205"/>
      <w:bookmarkStart w:id="201" w:name="_Toc27734"/>
      <w:bookmarkStart w:id="202" w:name="_Toc42486633"/>
      <w:bookmarkStart w:id="203" w:name="_Toc140459352"/>
      <w:bookmarkStart w:id="204" w:name="_Toc2003"/>
      <w:bookmarkStart w:id="205" w:name="_Toc93414135"/>
      <w:bookmarkStart w:id="206" w:name="_Toc140459438"/>
      <w:r>
        <w:rPr>
          <w:rFonts w:hint="eastAsia" w:ascii="仿宋" w:hAnsi="仿宋" w:eastAsia="仿宋" w:cs="仿宋"/>
          <w:bCs/>
          <w:color w:val="auto"/>
        </w:rPr>
        <w:t>第二节专用合同条款</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pStyle w:val="5"/>
        <w:rPr>
          <w:rFonts w:hint="eastAsia" w:ascii="仿宋" w:hAnsi="仿宋" w:eastAsia="仿宋" w:cs="仿宋"/>
          <w:snapToGrid w:val="0"/>
          <w:color w:val="auto"/>
          <w:sz w:val="21"/>
          <w:szCs w:val="21"/>
        </w:rPr>
      </w:pPr>
    </w:p>
    <w:p>
      <w:pPr>
        <w:pStyle w:val="5"/>
        <w:ind w:firstLine="0"/>
        <w:jc w:val="center"/>
        <w:rPr>
          <w:rFonts w:hint="eastAsia" w:ascii="仿宋" w:hAnsi="仿宋" w:eastAsia="仿宋" w:cs="仿宋"/>
          <w:b/>
          <w:snapToGrid w:val="0"/>
          <w:color w:val="auto"/>
        </w:rPr>
      </w:pPr>
      <w:r>
        <w:rPr>
          <w:rFonts w:hint="eastAsia" w:ascii="仿宋" w:hAnsi="仿宋" w:eastAsia="仿宋" w:cs="仿宋"/>
          <w:b/>
          <w:snapToGrid w:val="0"/>
          <w:color w:val="auto"/>
        </w:rPr>
        <w:t>前言</w:t>
      </w:r>
    </w:p>
    <w:p>
      <w:pPr>
        <w:pStyle w:val="7"/>
        <w:snapToGrid w:val="0"/>
        <w:spacing w:line="400" w:lineRule="exact"/>
        <w:jc w:val="both"/>
        <w:rPr>
          <w:rFonts w:hint="eastAsia" w:ascii="仿宋" w:hAnsi="仿宋" w:eastAsia="仿宋" w:cs="仿宋"/>
          <w:snapToGrid w:val="0"/>
          <w:color w:val="auto"/>
          <w:sz w:val="21"/>
          <w:szCs w:val="21"/>
        </w:rPr>
      </w:pPr>
      <w:bookmarkStart w:id="207" w:name="_Toc336325280"/>
      <w:bookmarkStart w:id="208" w:name="_Toc370764131"/>
      <w:bookmarkStart w:id="209" w:name="_Toc515133187"/>
      <w:bookmarkStart w:id="210" w:name="_Toc392608320"/>
      <w:bookmarkStart w:id="211" w:name="_Toc30266"/>
      <w:bookmarkStart w:id="212" w:name="_Toc20051"/>
      <w:bookmarkStart w:id="213" w:name="_Toc335853929"/>
      <w:bookmarkStart w:id="214" w:name="_Toc22307"/>
      <w:bookmarkStart w:id="215" w:name="_Toc25866"/>
      <w:bookmarkStart w:id="216" w:name="_Toc184635098"/>
      <w:bookmarkStart w:id="217" w:name="_Toc350184885"/>
      <w:bookmarkStart w:id="218" w:name="_Toc311407684"/>
      <w:bookmarkStart w:id="219" w:name="_Toc27325"/>
      <w:bookmarkStart w:id="220" w:name="_Toc15382"/>
      <w:bookmarkStart w:id="221" w:name="_Toc19750"/>
      <w:bookmarkStart w:id="222" w:name="_Toc217819038"/>
      <w:r>
        <w:rPr>
          <w:rFonts w:hint="eastAsia" w:ascii="仿宋" w:hAnsi="仿宋" w:eastAsia="仿宋" w:cs="仿宋"/>
          <w:snapToGrid w:val="0"/>
          <w:color w:val="auto"/>
          <w:sz w:val="21"/>
          <w:szCs w:val="21"/>
        </w:rPr>
        <w:t>1．一般约定</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1.1 词语定义</w:t>
      </w:r>
    </w:p>
    <w:p>
      <w:pPr>
        <w:pStyle w:val="3"/>
        <w:snapToGrid w:val="0"/>
        <w:spacing w:line="400" w:lineRule="exact"/>
        <w:ind w:right="0"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1.1.2 合同当事人和人员</w:t>
      </w:r>
    </w:p>
    <w:p>
      <w:pPr>
        <w:tabs>
          <w:tab w:val="left" w:pos="360"/>
        </w:tabs>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1.1.2.2 招标人：</w:t>
      </w:r>
      <w:r>
        <w:rPr>
          <w:rFonts w:hint="eastAsia" w:ascii="仿宋" w:hAnsi="仿宋" w:eastAsia="仿宋" w:cs="仿宋"/>
          <w:snapToGrid w:val="0"/>
          <w:color w:val="auto"/>
          <w:sz w:val="21"/>
          <w:szCs w:val="21"/>
          <w:u w:val="single"/>
          <w:lang w:val="en-US" w:eastAsia="zh-CN"/>
        </w:rPr>
        <w:t xml:space="preserve">              </w:t>
      </w:r>
      <w:r>
        <w:rPr>
          <w:rFonts w:hint="eastAsia" w:ascii="仿宋" w:hAnsi="仿宋" w:eastAsia="仿宋" w:cs="仿宋"/>
          <w:snapToGrid w:val="0"/>
          <w:color w:val="auto"/>
          <w:sz w:val="21"/>
          <w:szCs w:val="21"/>
          <w:lang w:val="en-US" w:eastAsia="zh-CN"/>
        </w:rPr>
        <w:t xml:space="preserve"> </w:t>
      </w:r>
      <w:r>
        <w:rPr>
          <w:rFonts w:hint="eastAsia" w:ascii="仿宋" w:hAnsi="仿宋" w:eastAsia="仿宋" w:cs="仿宋"/>
          <w:snapToGrid w:val="0"/>
          <w:color w:val="auto"/>
          <w:sz w:val="21"/>
          <w:szCs w:val="21"/>
        </w:rPr>
        <w:t xml:space="preserve"> 。</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1.1.2.3 中标人：</w:t>
      </w:r>
      <w:r>
        <w:rPr>
          <w:rFonts w:hint="eastAsia" w:ascii="仿宋" w:hAnsi="仿宋" w:eastAsia="仿宋" w:cs="仿宋"/>
          <w:snapToGrid w:val="0"/>
          <w:color w:val="auto"/>
          <w:sz w:val="21"/>
          <w:szCs w:val="21"/>
          <w:u w:val="single"/>
        </w:rPr>
        <w:t>（签约后填入）</w:t>
      </w:r>
      <w:r>
        <w:rPr>
          <w:rFonts w:hint="eastAsia" w:ascii="仿宋" w:hAnsi="仿宋" w:eastAsia="仿宋" w:cs="仿宋"/>
          <w:snapToGrid w:val="0"/>
          <w:color w:val="auto"/>
          <w:sz w:val="21"/>
          <w:szCs w:val="21"/>
        </w:rPr>
        <w:t>。</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1.1.2.5 分包人：</w:t>
      </w:r>
      <w:r>
        <w:rPr>
          <w:rFonts w:hint="eastAsia" w:ascii="仿宋" w:hAnsi="仿宋" w:eastAsia="仿宋" w:cs="仿宋"/>
          <w:snapToGrid w:val="0"/>
          <w:color w:val="auto"/>
          <w:sz w:val="21"/>
          <w:szCs w:val="21"/>
          <w:u w:val="single"/>
        </w:rPr>
        <w:t xml:space="preserve">             /           </w:t>
      </w:r>
      <w:r>
        <w:rPr>
          <w:rFonts w:hint="eastAsia" w:ascii="仿宋" w:hAnsi="仿宋" w:eastAsia="仿宋" w:cs="仿宋"/>
          <w:snapToGrid w:val="0"/>
          <w:color w:val="auto"/>
          <w:sz w:val="21"/>
          <w:szCs w:val="21"/>
        </w:rPr>
        <w:t>（签约后填入）。</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1.1.2.6 监理人：</w:t>
      </w:r>
      <w:r>
        <w:rPr>
          <w:rFonts w:hint="eastAsia" w:ascii="仿宋" w:hAnsi="仿宋" w:eastAsia="仿宋" w:cs="仿宋"/>
          <w:snapToGrid w:val="0"/>
          <w:color w:val="auto"/>
          <w:sz w:val="21"/>
          <w:szCs w:val="21"/>
          <w:u w:val="single"/>
          <w:lang w:val="en-US" w:eastAsia="zh-CN"/>
        </w:rPr>
        <w:t xml:space="preserve">                     </w:t>
      </w:r>
      <w:r>
        <w:rPr>
          <w:rFonts w:hint="eastAsia" w:ascii="仿宋" w:hAnsi="仿宋" w:eastAsia="仿宋" w:cs="仿宋"/>
          <w:snapToGrid w:val="0"/>
          <w:color w:val="auto"/>
          <w:sz w:val="21"/>
          <w:szCs w:val="21"/>
        </w:rPr>
        <w:t>。</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1.1.3.4 单位工程：</w:t>
      </w:r>
      <w:r>
        <w:rPr>
          <w:rFonts w:hint="eastAsia" w:ascii="仿宋" w:hAnsi="仿宋" w:eastAsia="仿宋" w:cs="仿宋"/>
          <w:snapToGrid w:val="0"/>
          <w:color w:val="auto"/>
          <w:sz w:val="21"/>
          <w:szCs w:val="21"/>
          <w:u w:val="single"/>
        </w:rPr>
        <w:t>指经工程质量监督机构确认的工程项目划分表中确定的具有独立发挥作用或独立施工条件的永久建筑物</w:t>
      </w:r>
      <w:r>
        <w:rPr>
          <w:rFonts w:hint="eastAsia" w:ascii="仿宋" w:hAnsi="仿宋" w:eastAsia="仿宋" w:cs="仿宋"/>
          <w:snapToGrid w:val="0"/>
          <w:color w:val="auto"/>
          <w:sz w:val="21"/>
          <w:szCs w:val="21"/>
        </w:rPr>
        <w:t>。</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1.1.4 日期</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1.1.4.5 缺陷责任期（工程质量保修期）为：</w:t>
      </w:r>
      <w:r>
        <w:rPr>
          <w:rFonts w:hint="eastAsia" w:ascii="仿宋" w:hAnsi="仿宋" w:eastAsia="仿宋" w:cs="仿宋"/>
          <w:snapToGrid w:val="0"/>
          <w:color w:val="auto"/>
          <w:sz w:val="21"/>
          <w:szCs w:val="21"/>
          <w:u w:val="single"/>
        </w:rPr>
        <w:t xml:space="preserve"> </w:t>
      </w:r>
      <w:r>
        <w:rPr>
          <w:rFonts w:hint="eastAsia" w:ascii="仿宋" w:hAnsi="仿宋" w:eastAsia="仿宋" w:cs="仿宋"/>
          <w:snapToGrid w:val="0"/>
          <w:color w:val="auto"/>
          <w:sz w:val="21"/>
          <w:szCs w:val="21"/>
          <w:u w:val="single"/>
          <w:lang w:val="en-US" w:eastAsia="zh-CN"/>
        </w:rPr>
        <w:t>1</w:t>
      </w:r>
      <w:r>
        <w:rPr>
          <w:rFonts w:hint="eastAsia" w:ascii="仿宋" w:hAnsi="仿宋" w:eastAsia="仿宋" w:cs="仿宋"/>
          <w:snapToGrid w:val="0"/>
          <w:color w:val="auto"/>
          <w:sz w:val="21"/>
          <w:szCs w:val="21"/>
          <w:u w:val="single"/>
        </w:rPr>
        <w:t xml:space="preserve">  </w:t>
      </w:r>
      <w:r>
        <w:rPr>
          <w:rFonts w:hint="eastAsia" w:ascii="仿宋" w:hAnsi="仿宋" w:eastAsia="仿宋" w:cs="仿宋"/>
          <w:snapToGrid w:val="0"/>
          <w:color w:val="auto"/>
          <w:sz w:val="21"/>
          <w:szCs w:val="21"/>
        </w:rPr>
        <w:t>年。</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1.1.6 其他</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1.1.6.2 完工验收：指《水利水电建设工程验收规程》中的合同工程完工验收。</w:t>
      </w:r>
    </w:p>
    <w:p>
      <w:pPr>
        <w:pStyle w:val="8"/>
        <w:snapToGrid w:val="0"/>
        <w:spacing w:line="400" w:lineRule="exact"/>
        <w:jc w:val="both"/>
        <w:rPr>
          <w:rFonts w:hint="eastAsia" w:ascii="仿宋" w:hAnsi="仿宋" w:eastAsia="仿宋" w:cs="仿宋"/>
          <w:color w:val="auto"/>
          <w:sz w:val="21"/>
          <w:szCs w:val="21"/>
        </w:rPr>
      </w:pPr>
      <w:bookmarkStart w:id="223" w:name="_Toc212607207"/>
      <w:bookmarkStart w:id="224" w:name="_Toc134275845"/>
      <w:bookmarkStart w:id="225" w:name="_Toc113763821"/>
      <w:bookmarkStart w:id="226" w:name="_Toc118022200"/>
      <w:bookmarkStart w:id="227" w:name="_Toc140459354"/>
      <w:bookmarkStart w:id="228" w:name="_Toc140459440"/>
      <w:r>
        <w:rPr>
          <w:rFonts w:hint="eastAsia" w:ascii="仿宋" w:hAnsi="仿宋" w:eastAsia="仿宋" w:cs="仿宋"/>
          <w:color w:val="auto"/>
          <w:sz w:val="21"/>
          <w:szCs w:val="21"/>
        </w:rPr>
        <w:t>1.4 合同文件的优先顺序</w:t>
      </w:r>
      <w:bookmarkEnd w:id="223"/>
      <w:bookmarkEnd w:id="224"/>
      <w:bookmarkEnd w:id="225"/>
      <w:bookmarkEnd w:id="226"/>
      <w:bookmarkEnd w:id="227"/>
      <w:bookmarkEnd w:id="228"/>
    </w:p>
    <w:p>
      <w:pPr>
        <w:pStyle w:val="3"/>
        <w:snapToGrid w:val="0"/>
        <w:spacing w:line="400" w:lineRule="exact"/>
        <w:ind w:right="0" w:firstLine="420" w:firstLineChars="200"/>
        <w:rPr>
          <w:rFonts w:hint="eastAsia" w:ascii="仿宋" w:hAnsi="仿宋" w:eastAsia="仿宋" w:cs="仿宋"/>
          <w:snapToGrid w:val="0"/>
          <w:color w:val="auto"/>
          <w:sz w:val="21"/>
          <w:szCs w:val="21"/>
        </w:rPr>
      </w:pPr>
      <w:bookmarkStart w:id="229" w:name="_Toc184635099"/>
      <w:bookmarkStart w:id="230" w:name="_Toc217819044"/>
      <w:r>
        <w:rPr>
          <w:rFonts w:hint="eastAsia" w:ascii="仿宋" w:hAnsi="仿宋" w:eastAsia="仿宋" w:cs="仿宋"/>
          <w:snapToGrid w:val="0"/>
          <w:color w:val="auto"/>
          <w:sz w:val="21"/>
          <w:szCs w:val="21"/>
        </w:rPr>
        <w:t>除合同另有规定外，解释合同文件的优先顺序如下：</w:t>
      </w:r>
    </w:p>
    <w:p>
      <w:pPr>
        <w:pStyle w:val="3"/>
        <w:snapToGrid w:val="0"/>
        <w:spacing w:line="400" w:lineRule="exact"/>
        <w:ind w:right="0"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 合同协议书（包括补充协议书）；</w:t>
      </w:r>
    </w:p>
    <w:p>
      <w:pPr>
        <w:pStyle w:val="3"/>
        <w:snapToGrid w:val="0"/>
        <w:spacing w:line="400" w:lineRule="exact"/>
        <w:ind w:right="0"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 中标通知书；</w:t>
      </w:r>
    </w:p>
    <w:p>
      <w:pPr>
        <w:pStyle w:val="3"/>
        <w:snapToGrid w:val="0"/>
        <w:spacing w:line="400" w:lineRule="exact"/>
        <w:ind w:right="0"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 投标函；</w:t>
      </w:r>
    </w:p>
    <w:p>
      <w:pPr>
        <w:pStyle w:val="3"/>
        <w:snapToGrid w:val="0"/>
        <w:spacing w:line="400" w:lineRule="exact"/>
        <w:ind w:right="0"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(4) 投标澄清问题、澄清问题的复函、补充通知等相关资料；</w:t>
      </w:r>
    </w:p>
    <w:p>
      <w:pPr>
        <w:pStyle w:val="3"/>
        <w:snapToGrid w:val="0"/>
        <w:spacing w:line="400" w:lineRule="exact"/>
        <w:ind w:right="0"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(5) 专用合同条款；</w:t>
      </w:r>
    </w:p>
    <w:p>
      <w:pPr>
        <w:pStyle w:val="3"/>
        <w:snapToGrid w:val="0"/>
        <w:spacing w:line="400" w:lineRule="exact"/>
        <w:ind w:right="0"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(6) 通用合同条款；</w:t>
      </w:r>
    </w:p>
    <w:p>
      <w:pPr>
        <w:pStyle w:val="3"/>
        <w:snapToGrid w:val="0"/>
        <w:spacing w:line="400" w:lineRule="exact"/>
        <w:ind w:right="0"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(7) 技术标准和要求；</w:t>
      </w:r>
    </w:p>
    <w:p>
      <w:pPr>
        <w:pStyle w:val="3"/>
        <w:snapToGrid w:val="0"/>
        <w:spacing w:line="400" w:lineRule="exact"/>
        <w:ind w:right="0"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(8) 图纸；</w:t>
      </w:r>
    </w:p>
    <w:p>
      <w:pPr>
        <w:pStyle w:val="3"/>
        <w:snapToGrid w:val="0"/>
        <w:spacing w:line="400" w:lineRule="exact"/>
        <w:ind w:right="0"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(9) 已标价的工程量清单；</w:t>
      </w:r>
    </w:p>
    <w:p>
      <w:pPr>
        <w:pStyle w:val="3"/>
        <w:snapToGrid w:val="0"/>
        <w:spacing w:line="400" w:lineRule="exact"/>
        <w:ind w:right="0"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 xml:space="preserve">(10) 经双方确认进入合同的其他文件 </w:t>
      </w:r>
    </w:p>
    <w:p>
      <w:pPr>
        <w:pStyle w:val="3"/>
        <w:snapToGrid w:val="0"/>
        <w:spacing w:line="400" w:lineRule="exact"/>
        <w:ind w:right="0"/>
        <w:rPr>
          <w:rFonts w:hint="eastAsia" w:ascii="仿宋" w:hAnsi="仿宋" w:eastAsia="仿宋" w:cs="仿宋"/>
          <w:color w:val="auto"/>
          <w:sz w:val="21"/>
          <w:szCs w:val="21"/>
        </w:rPr>
      </w:pPr>
      <w:r>
        <w:rPr>
          <w:rFonts w:hint="eastAsia" w:ascii="仿宋" w:hAnsi="仿宋" w:eastAsia="仿宋" w:cs="仿宋"/>
          <w:color w:val="auto"/>
          <w:sz w:val="21"/>
          <w:szCs w:val="21"/>
        </w:rPr>
        <w:t>1.7联络</w:t>
      </w:r>
    </w:p>
    <w:p>
      <w:pPr>
        <w:pStyle w:val="3"/>
        <w:snapToGrid w:val="0"/>
        <w:spacing w:line="400" w:lineRule="exact"/>
        <w:ind w:right="0" w:firstLine="420" w:firstLineChars="200"/>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rPr>
        <w:t>1.7.2 来往函件均应按技术标准和要求（合同技术条款）约定的期限送达</w:t>
      </w:r>
      <w:bookmarkStart w:id="231" w:name="_Toc311407685"/>
      <w:bookmarkStart w:id="232" w:name="_Toc336325281"/>
      <w:bookmarkStart w:id="233" w:name="_Toc335853930"/>
      <w:r>
        <w:rPr>
          <w:rFonts w:hint="eastAsia" w:ascii="仿宋" w:hAnsi="仿宋" w:eastAsia="仿宋" w:cs="仿宋"/>
          <w:snapToGrid w:val="0"/>
          <w:color w:val="auto"/>
          <w:sz w:val="21"/>
          <w:szCs w:val="21"/>
          <w:u w:val="single"/>
        </w:rPr>
        <w:t>招标人</w:t>
      </w:r>
    </w:p>
    <w:p>
      <w:pPr>
        <w:pStyle w:val="3"/>
        <w:snapToGrid w:val="0"/>
        <w:spacing w:line="400" w:lineRule="exact"/>
        <w:ind w:right="0"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2．招标人义务</w:t>
      </w:r>
      <w:bookmarkEnd w:id="229"/>
      <w:bookmarkEnd w:id="230"/>
      <w:bookmarkEnd w:id="231"/>
      <w:bookmarkEnd w:id="232"/>
      <w:bookmarkEnd w:id="233"/>
    </w:p>
    <w:p>
      <w:pPr>
        <w:pStyle w:val="8"/>
        <w:snapToGrid w:val="0"/>
        <w:spacing w:line="400" w:lineRule="exact"/>
        <w:jc w:val="both"/>
        <w:rPr>
          <w:rFonts w:hint="eastAsia" w:ascii="仿宋" w:hAnsi="仿宋" w:eastAsia="仿宋" w:cs="仿宋"/>
          <w:color w:val="auto"/>
          <w:sz w:val="21"/>
          <w:szCs w:val="21"/>
        </w:rPr>
      </w:pPr>
      <w:bookmarkStart w:id="234" w:name="_Toc211414960"/>
      <w:r>
        <w:rPr>
          <w:rFonts w:hint="eastAsia" w:ascii="仿宋" w:hAnsi="仿宋" w:eastAsia="仿宋" w:cs="仿宋"/>
          <w:color w:val="auto"/>
          <w:sz w:val="21"/>
          <w:szCs w:val="21"/>
        </w:rPr>
        <w:t>2.3 提供施工场地</w:t>
      </w:r>
    </w:p>
    <w:bookmarkEnd w:id="234"/>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删去本款全文，并代之以：</w:t>
      </w:r>
    </w:p>
    <w:p>
      <w:pPr>
        <w:pStyle w:val="3"/>
        <w:snapToGrid w:val="0"/>
        <w:spacing w:line="400" w:lineRule="exact"/>
        <w:ind w:right="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招标人提供的施工场地范围为：</w:t>
      </w:r>
      <w:r>
        <w:rPr>
          <w:rFonts w:hint="eastAsia" w:ascii="仿宋" w:hAnsi="仿宋" w:eastAsia="仿宋" w:cs="仿宋"/>
          <w:snapToGrid w:val="0"/>
          <w:color w:val="auto"/>
          <w:sz w:val="21"/>
          <w:szCs w:val="21"/>
          <w:u w:val="single"/>
        </w:rPr>
        <w:t>本工程管理范围内</w:t>
      </w:r>
      <w:r>
        <w:rPr>
          <w:rFonts w:hint="eastAsia" w:ascii="仿宋" w:hAnsi="仿宋" w:eastAsia="仿宋" w:cs="仿宋"/>
          <w:color w:val="auto"/>
          <w:sz w:val="21"/>
          <w:szCs w:val="21"/>
          <w:u w:val="single"/>
        </w:rPr>
        <w:t>，超出上述范围需要使用的场地，均由中标人自行解决</w:t>
      </w:r>
      <w:r>
        <w:rPr>
          <w:rFonts w:hint="eastAsia" w:ascii="仿宋" w:hAnsi="仿宋" w:eastAsia="仿宋" w:cs="仿宋"/>
          <w:color w:val="auto"/>
          <w:sz w:val="21"/>
          <w:szCs w:val="21"/>
        </w:rPr>
        <w:t>。</w:t>
      </w:r>
    </w:p>
    <w:p>
      <w:pPr>
        <w:pStyle w:val="7"/>
        <w:snapToGrid w:val="0"/>
        <w:spacing w:line="400" w:lineRule="exact"/>
        <w:jc w:val="both"/>
        <w:rPr>
          <w:rFonts w:hint="eastAsia" w:ascii="仿宋" w:hAnsi="仿宋" w:eastAsia="仿宋" w:cs="仿宋"/>
          <w:snapToGrid w:val="0"/>
          <w:color w:val="auto"/>
          <w:sz w:val="21"/>
          <w:szCs w:val="21"/>
        </w:rPr>
      </w:pPr>
      <w:bookmarkStart w:id="235" w:name="_Toc11211"/>
      <w:bookmarkStart w:id="236" w:name="_Toc350184886"/>
      <w:bookmarkStart w:id="237" w:name="_Toc335853931"/>
      <w:bookmarkStart w:id="238" w:name="_Toc515133188"/>
      <w:bookmarkStart w:id="239" w:name="_Toc15243"/>
      <w:bookmarkStart w:id="240" w:name="_Toc25967"/>
      <w:bookmarkStart w:id="241" w:name="_Toc217819045"/>
      <w:bookmarkStart w:id="242" w:name="_Toc2334"/>
      <w:bookmarkStart w:id="243" w:name="_Toc311407686"/>
      <w:bookmarkStart w:id="244" w:name="_Toc370764132"/>
      <w:bookmarkStart w:id="245" w:name="_Toc336325282"/>
      <w:bookmarkStart w:id="246" w:name="_Toc30738"/>
      <w:bookmarkStart w:id="247" w:name="_Toc392608321"/>
      <w:bookmarkStart w:id="248" w:name="_Toc22386"/>
      <w:bookmarkStart w:id="249" w:name="_Toc4857"/>
      <w:r>
        <w:rPr>
          <w:rFonts w:hint="eastAsia" w:ascii="仿宋" w:hAnsi="仿宋" w:eastAsia="仿宋" w:cs="仿宋"/>
          <w:snapToGrid w:val="0"/>
          <w:color w:val="auto"/>
          <w:sz w:val="21"/>
          <w:szCs w:val="21"/>
        </w:rPr>
        <w:t>3监理人</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pStyle w:val="8"/>
        <w:snapToGrid w:val="0"/>
        <w:spacing w:line="400" w:lineRule="exact"/>
        <w:jc w:val="both"/>
        <w:rPr>
          <w:rFonts w:hint="eastAsia" w:ascii="仿宋" w:hAnsi="仿宋" w:eastAsia="仿宋" w:cs="仿宋"/>
          <w:color w:val="auto"/>
          <w:sz w:val="21"/>
          <w:szCs w:val="21"/>
        </w:rPr>
      </w:pPr>
      <w:bookmarkStart w:id="250" w:name="_Toc113763826"/>
      <w:bookmarkStart w:id="251" w:name="_Toc134275850"/>
      <w:bookmarkStart w:id="252" w:name="_Toc140459359"/>
      <w:bookmarkStart w:id="253" w:name="_Toc118022205"/>
      <w:bookmarkStart w:id="254" w:name="_Toc140459445"/>
      <w:bookmarkStart w:id="255" w:name="_Toc211414965"/>
      <w:r>
        <w:rPr>
          <w:rFonts w:hint="eastAsia" w:ascii="仿宋" w:hAnsi="仿宋" w:eastAsia="仿宋" w:cs="仿宋"/>
          <w:color w:val="auto"/>
          <w:sz w:val="21"/>
          <w:szCs w:val="21"/>
        </w:rPr>
        <w:t xml:space="preserve">3.1 </w:t>
      </w:r>
      <w:bookmarkEnd w:id="250"/>
      <w:bookmarkEnd w:id="251"/>
      <w:bookmarkEnd w:id="252"/>
      <w:bookmarkEnd w:id="253"/>
      <w:bookmarkEnd w:id="254"/>
      <w:bookmarkEnd w:id="255"/>
      <w:bookmarkStart w:id="256" w:name="_Toc118022206"/>
      <w:bookmarkStart w:id="257" w:name="_Toc113763827"/>
      <w:r>
        <w:rPr>
          <w:rFonts w:hint="eastAsia" w:ascii="仿宋" w:hAnsi="仿宋" w:eastAsia="仿宋" w:cs="仿宋"/>
          <w:color w:val="auto"/>
          <w:sz w:val="21"/>
          <w:szCs w:val="21"/>
        </w:rPr>
        <w:t>监理人的职责和权力</w:t>
      </w:r>
      <w:bookmarkEnd w:id="256"/>
      <w:bookmarkEnd w:id="257"/>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3.1.1 监理人须根据招标人事先批准的权力范围行使权力，招标人批准的权利范围。</w:t>
      </w:r>
    </w:p>
    <w:p>
      <w:pPr>
        <w:pStyle w:val="67"/>
        <w:numPr>
          <w:ilvl w:val="0"/>
          <w:numId w:val="9"/>
        </w:numPr>
        <w:snapToGrid w:val="0"/>
        <w:spacing w:line="400" w:lineRule="exact"/>
        <w:ind w:left="360" w:firstLine="0" w:firstLineChars="0"/>
        <w:rPr>
          <w:rFonts w:hint="eastAsia" w:ascii="仿宋" w:hAnsi="仿宋" w:eastAsia="仿宋" w:cs="仿宋"/>
          <w:color w:val="auto"/>
          <w:szCs w:val="21"/>
        </w:rPr>
      </w:pPr>
      <w:r>
        <w:rPr>
          <w:rFonts w:hint="eastAsia" w:ascii="仿宋" w:hAnsi="仿宋" w:eastAsia="仿宋" w:cs="仿宋"/>
          <w:color w:val="auto"/>
          <w:szCs w:val="21"/>
        </w:rPr>
        <w:t>按第4.3款约定，批准工程的分包；</w:t>
      </w:r>
    </w:p>
    <w:p>
      <w:pPr>
        <w:pStyle w:val="67"/>
        <w:numPr>
          <w:ilvl w:val="0"/>
          <w:numId w:val="9"/>
        </w:numPr>
        <w:snapToGrid w:val="0"/>
        <w:spacing w:line="400" w:lineRule="exact"/>
        <w:ind w:left="360" w:firstLine="0" w:firstLineChars="0"/>
        <w:rPr>
          <w:rFonts w:hint="eastAsia" w:ascii="仿宋" w:hAnsi="仿宋" w:eastAsia="仿宋" w:cs="仿宋"/>
          <w:color w:val="auto"/>
          <w:szCs w:val="21"/>
        </w:rPr>
      </w:pPr>
      <w:r>
        <w:rPr>
          <w:rFonts w:hint="eastAsia" w:ascii="仿宋" w:hAnsi="仿宋" w:eastAsia="仿宋" w:cs="仿宋"/>
          <w:color w:val="auto"/>
          <w:szCs w:val="21"/>
        </w:rPr>
        <w:t>按第11.3款约定，确定延长完工期限；</w:t>
      </w:r>
    </w:p>
    <w:p>
      <w:pPr>
        <w:pStyle w:val="67"/>
        <w:numPr>
          <w:ilvl w:val="0"/>
          <w:numId w:val="9"/>
        </w:numPr>
        <w:snapToGrid w:val="0"/>
        <w:spacing w:line="400" w:lineRule="exact"/>
        <w:ind w:left="360" w:firstLine="0" w:firstLineChars="0"/>
        <w:rPr>
          <w:rFonts w:hint="eastAsia" w:ascii="仿宋" w:hAnsi="仿宋" w:eastAsia="仿宋" w:cs="仿宋"/>
          <w:color w:val="auto"/>
          <w:szCs w:val="21"/>
        </w:rPr>
      </w:pPr>
      <w:r>
        <w:rPr>
          <w:rFonts w:hint="eastAsia" w:ascii="仿宋" w:hAnsi="仿宋" w:eastAsia="仿宋" w:cs="仿宋"/>
          <w:color w:val="auto"/>
          <w:szCs w:val="21"/>
        </w:rPr>
        <w:t>按第15.6款约定，批准暂列金额的使用；</w:t>
      </w:r>
    </w:p>
    <w:p>
      <w:pPr>
        <w:pStyle w:val="7"/>
        <w:snapToGrid w:val="0"/>
        <w:spacing w:line="400" w:lineRule="exact"/>
        <w:jc w:val="both"/>
        <w:rPr>
          <w:rFonts w:hint="eastAsia" w:ascii="仿宋" w:hAnsi="仿宋" w:eastAsia="仿宋" w:cs="仿宋"/>
          <w:snapToGrid w:val="0"/>
          <w:color w:val="auto"/>
          <w:sz w:val="21"/>
          <w:szCs w:val="21"/>
        </w:rPr>
      </w:pPr>
      <w:bookmarkStart w:id="258" w:name="_Toc23515"/>
      <w:bookmarkStart w:id="259" w:name="_Toc350184887"/>
      <w:bookmarkStart w:id="260" w:name="_Toc336325283"/>
      <w:bookmarkStart w:id="261" w:name="_Toc370764133"/>
      <w:bookmarkStart w:id="262" w:name="_Toc335853932"/>
      <w:bookmarkStart w:id="263" w:name="_Toc25849"/>
      <w:bookmarkStart w:id="264" w:name="_Toc5729"/>
      <w:bookmarkStart w:id="265" w:name="_Toc30749"/>
      <w:bookmarkStart w:id="266" w:name="_Toc311407687"/>
      <w:bookmarkStart w:id="267" w:name="_Toc22356"/>
      <w:bookmarkStart w:id="268" w:name="_Toc259451999"/>
      <w:bookmarkStart w:id="269" w:name="_Toc30213"/>
      <w:bookmarkStart w:id="270" w:name="_Toc515133189"/>
      <w:bookmarkStart w:id="271" w:name="_Toc259456738"/>
      <w:bookmarkStart w:id="272" w:name="_Toc18948"/>
      <w:bookmarkStart w:id="273" w:name="_Toc392608322"/>
      <w:bookmarkStart w:id="274" w:name="_Toc184635101"/>
      <w:r>
        <w:rPr>
          <w:rFonts w:hint="eastAsia" w:ascii="仿宋" w:hAnsi="仿宋" w:eastAsia="仿宋" w:cs="仿宋"/>
          <w:snapToGrid w:val="0"/>
          <w:color w:val="auto"/>
          <w:sz w:val="21"/>
          <w:szCs w:val="21"/>
        </w:rPr>
        <w:t>4中标人</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4.1中标人一般义务</w:t>
      </w:r>
    </w:p>
    <w:p>
      <w:pPr>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4.1.10  其他义务</w:t>
      </w:r>
    </w:p>
    <w:p>
      <w:pPr>
        <w:pStyle w:val="3"/>
        <w:spacing w:line="400" w:lineRule="exact"/>
        <w:ind w:right="0" w:firstLine="420" w:firstLineChars="200"/>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u w:val="single"/>
        </w:rPr>
        <w:t>（1）中标人应按有关规定自行落实为完成本工程需临时占用征地红线范围以外的土地（包括弃渣场、进出场道路、临时设施等），并办理相关手续，所发生的的费用由中标人自行承担，并包括在相应项目的报价中（招标人不另行列项支付），招标人提供必要的协调，但招标人的协调并不减轻或免除中标人的义务。临时占地退还前，中标人应自费恢复到临时占地使用前（或占地使用协议规定）的状况。如因中标人撤离后未按要求对临时占地进行恢复或虽进行了恢复但未达到使用标准的，将由招标人委托第三方对其恢复，所发生的费用将从应付给中标人的任何款项内扣除。</w:t>
      </w:r>
    </w:p>
    <w:p>
      <w:pPr>
        <w:pStyle w:val="3"/>
        <w:spacing w:line="400" w:lineRule="exact"/>
        <w:ind w:right="0" w:firstLine="420" w:firstLineChars="200"/>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u w:val="single"/>
        </w:rPr>
        <w:t>（2）中标人应在接到进场通知后14天内按进度计划要求及时进场组织施工，并组织项目管理人员和施工所需施工船舶、机械、设备按照合同约定进场到位。</w:t>
      </w:r>
    </w:p>
    <w:p>
      <w:pPr>
        <w:pStyle w:val="3"/>
        <w:spacing w:line="400" w:lineRule="exact"/>
        <w:ind w:right="0" w:firstLine="420" w:firstLineChars="200"/>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u w:val="single"/>
        </w:rPr>
        <w:t>（3）中标人按照批准的临时设施总平面布置图及相关生活配套设施，负责施工现场的布置和临时设施的施工。</w:t>
      </w:r>
    </w:p>
    <w:p>
      <w:pPr>
        <w:pStyle w:val="3"/>
        <w:spacing w:line="400" w:lineRule="exact"/>
        <w:ind w:right="0" w:firstLine="420" w:firstLineChars="200"/>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u w:val="single"/>
        </w:rPr>
        <w:t>（4）中标人应妥善处理好与工程其他中标人的配合关系，发生交叉施工时，中标人和工程其他中标人应相互配合，友好协作，并服从监理人的统一协调。</w:t>
      </w:r>
    </w:p>
    <w:p>
      <w:pPr>
        <w:pStyle w:val="3"/>
        <w:spacing w:line="400" w:lineRule="exact"/>
        <w:ind w:right="0" w:firstLine="420" w:firstLineChars="200"/>
        <w:rPr>
          <w:rFonts w:hint="eastAsia" w:ascii="仿宋" w:hAnsi="仿宋" w:eastAsia="仿宋" w:cs="仿宋"/>
          <w:color w:val="auto"/>
          <w:sz w:val="11"/>
          <w:szCs w:val="11"/>
        </w:rPr>
      </w:pPr>
      <w:r>
        <w:rPr>
          <w:rFonts w:hint="eastAsia" w:ascii="仿宋" w:hAnsi="仿宋" w:eastAsia="仿宋" w:cs="仿宋"/>
          <w:snapToGrid w:val="0"/>
          <w:color w:val="auto"/>
          <w:sz w:val="21"/>
          <w:szCs w:val="21"/>
          <w:u w:val="single"/>
        </w:rPr>
        <w:t>（5）中标人应根据工程施工情况及监理人的指令，及时向监理人提交开工报告、测量报告、试验检测报告、隐蔽工程验收通知、工程质量自检报告、竣工验收申请报告及工程事故报告。</w:t>
      </w:r>
    </w:p>
    <w:p>
      <w:pPr>
        <w:pStyle w:val="3"/>
        <w:spacing w:line="400" w:lineRule="exact"/>
        <w:ind w:right="0" w:firstLine="420" w:firstLineChars="200"/>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u w:val="single"/>
        </w:rPr>
        <w:t>（6）中标人如采用水上施工，按港航等部门要求取得相关的施工许可及到港船舶检验等有关证件所需的费用应进入报价，招标人不另行列项支付，并负责办理应由中标人办理的施工所需各种证件、批件和其他审批手续。</w:t>
      </w:r>
    </w:p>
    <w:p>
      <w:pPr>
        <w:pStyle w:val="3"/>
        <w:spacing w:line="400" w:lineRule="exact"/>
        <w:ind w:right="0" w:firstLine="420" w:firstLineChars="200"/>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u w:val="single"/>
        </w:rPr>
        <w:t>（7）中标人应解决施工船舶的临时停泊设施并不得阻塞航道、妨碍进出港船舶航行及安全，保证船舶在施工水域内航行安全和畅通。</w:t>
      </w:r>
      <w:r>
        <w:rPr>
          <w:rFonts w:hint="eastAsia" w:ascii="仿宋" w:hAnsi="仿宋" w:eastAsia="仿宋" w:cs="仿宋"/>
          <w:snapToGrid w:val="0"/>
          <w:color w:val="auto"/>
          <w:sz w:val="21"/>
          <w:szCs w:val="21"/>
          <w:u w:val="single"/>
        </w:rPr>
        <w:tab/>
      </w:r>
    </w:p>
    <w:p>
      <w:pPr>
        <w:pStyle w:val="3"/>
        <w:spacing w:line="400" w:lineRule="exact"/>
        <w:ind w:right="0" w:firstLine="420" w:firstLineChars="200"/>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u w:val="single"/>
        </w:rPr>
        <w:t>（8）中标人应采取一切措施，防止施工船舶、机械、设备及材料的沉没。若发生沉没，应立即向有关部门报告，并及时通知招标人、监理人。中标人应采取得当措施，及时设置浮标或障碍指示灯，直至打捞工作完成为止。</w:t>
      </w:r>
      <w:r>
        <w:rPr>
          <w:rFonts w:hint="eastAsia" w:ascii="仿宋" w:hAnsi="仿宋" w:eastAsia="仿宋" w:cs="仿宋"/>
          <w:snapToGrid w:val="0"/>
          <w:color w:val="auto"/>
          <w:sz w:val="21"/>
          <w:szCs w:val="21"/>
          <w:u w:val="single"/>
        </w:rPr>
        <w:tab/>
      </w:r>
    </w:p>
    <w:p>
      <w:pPr>
        <w:pStyle w:val="3"/>
        <w:spacing w:line="400" w:lineRule="exact"/>
        <w:ind w:right="0" w:firstLine="420" w:firstLineChars="200"/>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u w:val="single"/>
        </w:rPr>
        <w:t>（9）中标人应充分考虑到施工现场所有的设备、临时建筑等防火安全，配备足够的防火灭火设备。</w:t>
      </w:r>
    </w:p>
    <w:p>
      <w:pPr>
        <w:pStyle w:val="3"/>
        <w:spacing w:line="400" w:lineRule="exact"/>
        <w:ind w:right="0" w:firstLine="420" w:firstLineChars="200"/>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u w:val="single"/>
        </w:rPr>
        <w:t>（10）中标人应在施工过程中对民房等毗邻建筑物及已完工程建筑物进行监测，并承担相应费用。</w:t>
      </w:r>
      <w:r>
        <w:rPr>
          <w:rFonts w:hint="eastAsia" w:ascii="仿宋" w:hAnsi="仿宋" w:eastAsia="仿宋" w:cs="仿宋"/>
          <w:snapToGrid w:val="0"/>
          <w:color w:val="auto"/>
          <w:sz w:val="21"/>
          <w:szCs w:val="21"/>
          <w:u w:val="single"/>
        </w:rPr>
        <w:tab/>
      </w:r>
    </w:p>
    <w:p>
      <w:pPr>
        <w:pStyle w:val="3"/>
        <w:spacing w:line="400" w:lineRule="exact"/>
        <w:ind w:right="0" w:firstLine="420" w:firstLineChars="200"/>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u w:val="single"/>
        </w:rPr>
        <w:t>（11）中标人进驻施工现场后3天内应根据本条款要求制定工地规则并报监理人审查批准，告示全体工作人员在工程实施过程中切实遵守。</w:t>
      </w:r>
    </w:p>
    <w:p>
      <w:pPr>
        <w:pStyle w:val="3"/>
        <w:spacing w:line="400" w:lineRule="exact"/>
        <w:ind w:right="0" w:firstLine="420" w:firstLineChars="200"/>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u w:val="single"/>
        </w:rPr>
        <w:t>工地规则应包括但不限于下列内容：</w:t>
      </w:r>
    </w:p>
    <w:p>
      <w:pPr>
        <w:pStyle w:val="3"/>
        <w:spacing w:line="400" w:lineRule="exact"/>
        <w:ind w:right="0" w:firstLine="420" w:firstLineChars="200"/>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u w:val="single"/>
        </w:rPr>
        <w:t>a 安全保卫制度；</w:t>
      </w:r>
    </w:p>
    <w:p>
      <w:pPr>
        <w:pStyle w:val="3"/>
        <w:spacing w:line="400" w:lineRule="exact"/>
        <w:ind w:right="0" w:firstLine="420" w:firstLineChars="200"/>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u w:val="single"/>
        </w:rPr>
        <w:t>b  施工安全制度；</w:t>
      </w:r>
    </w:p>
    <w:p>
      <w:pPr>
        <w:pStyle w:val="3"/>
        <w:spacing w:line="400" w:lineRule="exact"/>
        <w:ind w:right="0" w:firstLine="420" w:firstLineChars="200"/>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u w:val="single"/>
        </w:rPr>
        <w:t>c 工地出入管理制度；</w:t>
      </w:r>
    </w:p>
    <w:p>
      <w:pPr>
        <w:pStyle w:val="3"/>
        <w:spacing w:line="400" w:lineRule="exact"/>
        <w:ind w:right="0" w:firstLine="420" w:firstLineChars="200"/>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u w:val="single"/>
        </w:rPr>
        <w:t>d  环境卫生制度；</w:t>
      </w:r>
    </w:p>
    <w:p>
      <w:pPr>
        <w:pStyle w:val="3"/>
        <w:spacing w:line="400" w:lineRule="exact"/>
        <w:ind w:right="0" w:firstLine="420" w:firstLineChars="200"/>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u w:val="single"/>
        </w:rPr>
        <w:t>e 防火、防爆制度；</w:t>
      </w:r>
    </w:p>
    <w:p>
      <w:pPr>
        <w:pStyle w:val="3"/>
        <w:spacing w:line="400" w:lineRule="exact"/>
        <w:ind w:right="0" w:firstLine="420" w:firstLineChars="200"/>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u w:val="single"/>
        </w:rPr>
        <w:t>f 周围及邻近环境保护规则；</w:t>
      </w:r>
    </w:p>
    <w:p>
      <w:pPr>
        <w:pStyle w:val="3"/>
        <w:spacing w:line="400" w:lineRule="exact"/>
        <w:ind w:right="0" w:firstLine="420" w:firstLineChars="200"/>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u w:val="single"/>
        </w:rPr>
        <w:t>g  农民工管理制度（含维护农民工权益制度）；</w:t>
      </w:r>
    </w:p>
    <w:p>
      <w:pPr>
        <w:pStyle w:val="3"/>
        <w:spacing w:line="400" w:lineRule="exact"/>
        <w:ind w:right="0" w:firstLine="420" w:firstLineChars="200"/>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u w:val="single"/>
        </w:rPr>
        <w:t>h  社会治安、计划生育管理制度。在整个施工过程中对中标人采取的安全、保卫和环境保护措施，招标人和监理人有权监督，并向中标人提出整改要求。如果由于中标人未能对其负责的上述事项采取各种必要的措施而导致或发生与此有关的人身伤亡、罚款、索赔、损失补偿、诉讼费用及其他一切责任应由中标人负责。</w:t>
      </w:r>
    </w:p>
    <w:p>
      <w:pPr>
        <w:pStyle w:val="3"/>
        <w:spacing w:line="400" w:lineRule="exact"/>
        <w:ind w:right="0" w:firstLine="420" w:firstLineChars="200"/>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u w:val="single"/>
        </w:rPr>
        <w:t>（12）中标人应实施严格的各类安全防护措施，切实做好安民告示，设置必要的施工警戒标志，线杆保护措施，制定各项安全保证措施，做好施工照明、看守和警卫工作，有毒气体防护措施和电源电线安全保护措施，并对工程施工现场的安全负责，接受招标人和监理单位的现场代表对安全措施的监督。</w:t>
      </w:r>
    </w:p>
    <w:p>
      <w:pPr>
        <w:pStyle w:val="3"/>
        <w:spacing w:line="400" w:lineRule="exact"/>
        <w:ind w:right="0" w:firstLine="420" w:firstLineChars="200"/>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u w:val="single"/>
        </w:rPr>
        <w:t>（13）本工程完工验收通过后15日内，中标人应自行拆除施工临时设施，撤退施工机械设备并清理场地，修复场内的交通道路，撤离所有施工人员。</w:t>
      </w:r>
    </w:p>
    <w:p>
      <w:pPr>
        <w:pStyle w:val="3"/>
        <w:spacing w:line="400" w:lineRule="exact"/>
        <w:ind w:right="0" w:firstLine="420" w:firstLineChars="200"/>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u w:val="single"/>
        </w:rPr>
        <w:t>（14）中标人应严格遵守国家有关解决拖欠工程款和民工工资的法律、法规，及时支付工程中的材料、设备货款及民工工资等费用。中标人不得以任何借口拖欠材料、</w:t>
      </w:r>
    </w:p>
    <w:p>
      <w:pPr>
        <w:pStyle w:val="3"/>
        <w:spacing w:line="400" w:lineRule="exact"/>
        <w:ind w:right="0" w:firstLine="420" w:firstLineChars="200"/>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u w:val="single"/>
        </w:rPr>
        <w:t>设备货款及民工工资等费用，如果出现此种现象，招标人有权代为支付其拖欠的材料、设备货款及民工工资，并从应付给中标人的工程款中扣除相应款项。</w:t>
      </w:r>
    </w:p>
    <w:p>
      <w:pPr>
        <w:pStyle w:val="3"/>
        <w:spacing w:line="400" w:lineRule="exact"/>
        <w:ind w:right="0" w:firstLine="420" w:firstLineChars="200"/>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u w:val="single"/>
        </w:rPr>
        <w:t>中标人的项目经理部是民工工资支付行为的主体，中标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pStyle w:val="3"/>
        <w:spacing w:line="400" w:lineRule="exact"/>
        <w:ind w:right="0" w:firstLine="420" w:firstLineChars="200"/>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u w:val="single"/>
        </w:rPr>
        <w:t>（15）中标人在使用地方道路过程中，必须采取一切措施确保车辆正常通行，做到施工、通车两不误。中标人应针对通车路段的施工特点，提出通车路段的施工维护方案，报监理人批准，并认真组织实施。</w:t>
      </w:r>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4.3分包</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4.3.2 允许中标人分包的工程项目、工作内容与分包金额为：</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 工程项目：</w:t>
      </w:r>
      <w:r>
        <w:rPr>
          <w:rFonts w:hint="eastAsia" w:ascii="仿宋" w:hAnsi="仿宋" w:eastAsia="仿宋" w:cs="仿宋"/>
          <w:snapToGrid w:val="0"/>
          <w:color w:val="auto"/>
          <w:sz w:val="21"/>
          <w:szCs w:val="21"/>
          <w:u w:val="single"/>
        </w:rPr>
        <w:t xml:space="preserve">  /   </w:t>
      </w:r>
      <w:r>
        <w:rPr>
          <w:rFonts w:hint="eastAsia" w:ascii="仿宋" w:hAnsi="仿宋" w:eastAsia="仿宋" w:cs="仿宋"/>
          <w:snapToGrid w:val="0"/>
          <w:color w:val="auto"/>
          <w:sz w:val="21"/>
          <w:szCs w:val="21"/>
        </w:rPr>
        <w:t>。</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 工作内容：</w:t>
      </w:r>
      <w:r>
        <w:rPr>
          <w:rFonts w:hint="eastAsia" w:ascii="仿宋" w:hAnsi="仿宋" w:eastAsia="仿宋" w:cs="仿宋"/>
          <w:snapToGrid w:val="0"/>
          <w:color w:val="auto"/>
          <w:sz w:val="21"/>
          <w:szCs w:val="21"/>
          <w:u w:val="single"/>
        </w:rPr>
        <w:t xml:space="preserve">  /   </w:t>
      </w:r>
      <w:r>
        <w:rPr>
          <w:rFonts w:hint="eastAsia" w:ascii="仿宋" w:hAnsi="仿宋" w:eastAsia="仿宋" w:cs="仿宋"/>
          <w:snapToGrid w:val="0"/>
          <w:color w:val="auto"/>
          <w:sz w:val="21"/>
          <w:szCs w:val="21"/>
        </w:rPr>
        <w:t>。</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 分包金额：</w:t>
      </w:r>
      <w:r>
        <w:rPr>
          <w:rFonts w:hint="eastAsia" w:ascii="仿宋" w:hAnsi="仿宋" w:eastAsia="仿宋" w:cs="仿宋"/>
          <w:snapToGrid w:val="0"/>
          <w:color w:val="auto"/>
          <w:sz w:val="21"/>
          <w:szCs w:val="21"/>
          <w:u w:val="single"/>
        </w:rPr>
        <w:t xml:space="preserve">  /   </w:t>
      </w:r>
      <w:r>
        <w:rPr>
          <w:rFonts w:hint="eastAsia" w:ascii="仿宋" w:hAnsi="仿宋" w:eastAsia="仿宋" w:cs="仿宋"/>
          <w:snapToGrid w:val="0"/>
          <w:color w:val="auto"/>
          <w:sz w:val="21"/>
          <w:szCs w:val="21"/>
        </w:rPr>
        <w:t>。</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4.3.10 分包人项目管理机构的设立：</w:t>
      </w:r>
      <w:r>
        <w:rPr>
          <w:rFonts w:hint="eastAsia" w:ascii="仿宋" w:hAnsi="仿宋" w:eastAsia="仿宋" w:cs="仿宋"/>
          <w:snapToGrid w:val="0"/>
          <w:color w:val="auto"/>
          <w:sz w:val="21"/>
          <w:szCs w:val="21"/>
          <w:u w:val="single"/>
        </w:rPr>
        <w:t xml:space="preserve">  /   </w:t>
      </w:r>
      <w:r>
        <w:rPr>
          <w:rFonts w:hint="eastAsia" w:ascii="仿宋" w:hAnsi="仿宋" w:eastAsia="仿宋" w:cs="仿宋"/>
          <w:snapToGrid w:val="0"/>
          <w:color w:val="auto"/>
          <w:sz w:val="21"/>
          <w:szCs w:val="21"/>
        </w:rPr>
        <w:t>。</w:t>
      </w:r>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4.5 中标人项目负责人</w:t>
      </w:r>
    </w:p>
    <w:p>
      <w:pPr>
        <w:pStyle w:val="5"/>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本章4.5.5 款补充：</w:t>
      </w:r>
    </w:p>
    <w:p>
      <w:pPr>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项目负责人每月驻工地的天数不少于</w:t>
      </w:r>
      <w:r>
        <w:rPr>
          <w:rFonts w:hint="eastAsia" w:ascii="仿宋" w:hAnsi="仿宋" w:eastAsia="仿宋" w:cs="仿宋"/>
          <w:snapToGrid w:val="0"/>
          <w:color w:val="auto"/>
          <w:sz w:val="21"/>
          <w:szCs w:val="21"/>
          <w:u w:val="single"/>
        </w:rPr>
        <w:t>22</w:t>
      </w:r>
      <w:r>
        <w:rPr>
          <w:rFonts w:hint="eastAsia" w:ascii="仿宋" w:hAnsi="仿宋" w:eastAsia="仿宋" w:cs="仿宋"/>
          <w:snapToGrid w:val="0"/>
          <w:color w:val="auto"/>
          <w:sz w:val="21"/>
          <w:szCs w:val="21"/>
        </w:rPr>
        <w:t>天，每少一天支付违约金</w:t>
      </w:r>
      <w:r>
        <w:rPr>
          <w:rFonts w:hint="eastAsia" w:ascii="仿宋" w:hAnsi="仿宋" w:eastAsia="仿宋" w:cs="仿宋"/>
          <w:snapToGrid w:val="0"/>
          <w:color w:val="auto"/>
          <w:sz w:val="21"/>
          <w:szCs w:val="21"/>
          <w:u w:val="single"/>
        </w:rPr>
        <w:t>2000</w:t>
      </w:r>
      <w:r>
        <w:rPr>
          <w:rFonts w:hint="eastAsia" w:ascii="仿宋" w:hAnsi="仿宋" w:eastAsia="仿宋" w:cs="仿宋"/>
          <w:snapToGrid w:val="0"/>
          <w:color w:val="auto"/>
          <w:sz w:val="21"/>
          <w:szCs w:val="21"/>
        </w:rPr>
        <w:t>元，但扣款最终的累计总金额不应超过合同价的2%。</w:t>
      </w:r>
    </w:p>
    <w:p>
      <w:pPr>
        <w:pStyle w:val="3"/>
        <w:spacing w:line="400" w:lineRule="exact"/>
        <w:ind w:right="0"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上述违约金在当月工程进度款中直接扣除，在工地工作天数按监理人实际考勤记录为准。</w:t>
      </w:r>
    </w:p>
    <w:p>
      <w:pPr>
        <w:pStyle w:val="5"/>
        <w:spacing w:line="400" w:lineRule="exact"/>
        <w:rPr>
          <w:rFonts w:hint="eastAsia" w:ascii="仿宋" w:hAnsi="仿宋" w:eastAsia="仿宋" w:cs="仿宋"/>
          <w:color w:val="auto"/>
          <w:sz w:val="21"/>
          <w:szCs w:val="21"/>
        </w:rPr>
      </w:pPr>
      <w:r>
        <w:rPr>
          <w:rFonts w:hint="eastAsia" w:ascii="仿宋" w:hAnsi="仿宋" w:eastAsia="仿宋" w:cs="仿宋"/>
          <w:snapToGrid w:val="0"/>
          <w:color w:val="auto"/>
          <w:sz w:val="21"/>
          <w:szCs w:val="21"/>
        </w:rPr>
        <w:t>中标人的项目负责人连续</w:t>
      </w:r>
      <w:r>
        <w:rPr>
          <w:rFonts w:hint="eastAsia" w:ascii="仿宋" w:hAnsi="仿宋" w:eastAsia="仿宋" w:cs="仿宋"/>
          <w:snapToGrid w:val="0"/>
          <w:color w:val="auto"/>
          <w:sz w:val="21"/>
          <w:szCs w:val="21"/>
          <w:u w:val="single"/>
        </w:rPr>
        <w:t>3</w:t>
      </w:r>
      <w:r>
        <w:rPr>
          <w:rFonts w:hint="eastAsia" w:ascii="仿宋" w:hAnsi="仿宋" w:eastAsia="仿宋" w:cs="仿宋"/>
          <w:snapToGrid w:val="0"/>
          <w:color w:val="auto"/>
          <w:sz w:val="21"/>
          <w:szCs w:val="21"/>
        </w:rPr>
        <w:t>个月及以上每月驻工地的天数少于</w:t>
      </w:r>
      <w:r>
        <w:rPr>
          <w:rFonts w:hint="eastAsia" w:ascii="仿宋" w:hAnsi="仿宋" w:eastAsia="仿宋" w:cs="仿宋"/>
          <w:snapToGrid w:val="0"/>
          <w:color w:val="auto"/>
          <w:sz w:val="21"/>
          <w:szCs w:val="21"/>
          <w:u w:val="single"/>
        </w:rPr>
        <w:t>15</w:t>
      </w:r>
      <w:r>
        <w:rPr>
          <w:rFonts w:hint="eastAsia" w:ascii="仿宋" w:hAnsi="仿宋" w:eastAsia="仿宋" w:cs="仿宋"/>
          <w:snapToGrid w:val="0"/>
          <w:color w:val="auto"/>
          <w:sz w:val="21"/>
          <w:szCs w:val="21"/>
        </w:rPr>
        <w:t>天，招标人有权解除合同。</w:t>
      </w:r>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4.6 中标人人员的管理</w:t>
      </w:r>
    </w:p>
    <w:p>
      <w:pPr>
        <w:pStyle w:val="3"/>
        <w:spacing w:line="400" w:lineRule="exact"/>
        <w:ind w:right="0"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补充4.6.3款：</w:t>
      </w:r>
    </w:p>
    <w:p>
      <w:pPr>
        <w:pStyle w:val="3"/>
        <w:spacing w:line="400" w:lineRule="exact"/>
        <w:ind w:right="0"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项目技术负责人每月驻工地的天数不少于22天，每少一天支付违约金</w:t>
      </w:r>
      <w:r>
        <w:rPr>
          <w:rFonts w:hint="eastAsia" w:ascii="仿宋" w:hAnsi="仿宋" w:eastAsia="仿宋" w:cs="仿宋"/>
          <w:snapToGrid w:val="0"/>
          <w:color w:val="auto"/>
          <w:kern w:val="0"/>
          <w:sz w:val="21"/>
          <w:szCs w:val="21"/>
          <w:u w:val="single"/>
        </w:rPr>
        <w:t>2000</w:t>
      </w:r>
      <w:r>
        <w:rPr>
          <w:rFonts w:hint="eastAsia" w:ascii="仿宋" w:hAnsi="仿宋" w:eastAsia="仿宋" w:cs="仿宋"/>
          <w:snapToGrid w:val="0"/>
          <w:color w:val="auto"/>
          <w:sz w:val="21"/>
          <w:szCs w:val="21"/>
        </w:rPr>
        <w:t>元，但扣款最终的累计总金额不应超过合同价的2%。</w:t>
      </w:r>
    </w:p>
    <w:p>
      <w:pPr>
        <w:pStyle w:val="3"/>
        <w:spacing w:line="400" w:lineRule="exact"/>
        <w:ind w:right="0"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上述违约金在当月工程进度款中直接扣除，在工地工作天数按监理人实际考勤记录为准。</w:t>
      </w:r>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4.11不利物质条件</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4.11.1 不利物质条件的范围：</w:t>
      </w:r>
      <w:r>
        <w:rPr>
          <w:rFonts w:hint="eastAsia" w:ascii="仿宋" w:hAnsi="仿宋" w:eastAsia="仿宋" w:cs="仿宋"/>
          <w:snapToGrid w:val="0"/>
          <w:color w:val="auto"/>
          <w:sz w:val="21"/>
          <w:szCs w:val="21"/>
          <w:u w:val="single"/>
        </w:rPr>
        <w:t>施工中遇到文物或古迹</w:t>
      </w:r>
      <w:r>
        <w:rPr>
          <w:rFonts w:hint="eastAsia" w:ascii="仿宋" w:hAnsi="仿宋" w:eastAsia="仿宋" w:cs="仿宋"/>
          <w:snapToGrid w:val="0"/>
          <w:color w:val="auto"/>
          <w:sz w:val="21"/>
          <w:szCs w:val="21"/>
        </w:rPr>
        <w:t>。</w:t>
      </w:r>
    </w:p>
    <w:p>
      <w:pPr>
        <w:pStyle w:val="7"/>
        <w:snapToGrid w:val="0"/>
        <w:spacing w:line="400" w:lineRule="exact"/>
        <w:jc w:val="both"/>
        <w:rPr>
          <w:rFonts w:hint="eastAsia" w:ascii="仿宋" w:hAnsi="仿宋" w:eastAsia="仿宋" w:cs="仿宋"/>
          <w:snapToGrid w:val="0"/>
          <w:color w:val="auto"/>
          <w:sz w:val="21"/>
          <w:szCs w:val="21"/>
        </w:rPr>
      </w:pPr>
      <w:bookmarkStart w:id="275" w:name="_Toc16973"/>
      <w:bookmarkStart w:id="276" w:name="_Toc335853933"/>
      <w:bookmarkStart w:id="277" w:name="_Toc15764"/>
      <w:bookmarkStart w:id="278" w:name="_Toc24739"/>
      <w:bookmarkStart w:id="279" w:name="_Toc350184888"/>
      <w:bookmarkStart w:id="280" w:name="_Toc20561"/>
      <w:bookmarkStart w:id="281" w:name="_Toc311407688"/>
      <w:bookmarkStart w:id="282" w:name="_Toc12627"/>
      <w:bookmarkStart w:id="283" w:name="_Toc8539"/>
      <w:bookmarkStart w:id="284" w:name="_Toc4005"/>
      <w:bookmarkStart w:id="285" w:name="_Toc370764134"/>
      <w:bookmarkStart w:id="286" w:name="_Toc515133190"/>
      <w:bookmarkStart w:id="287" w:name="_Toc336325284"/>
      <w:bookmarkStart w:id="288" w:name="_Toc392608323"/>
      <w:bookmarkStart w:id="289" w:name="_Toc217819047"/>
      <w:bookmarkStart w:id="290" w:name="_Toc241374751"/>
      <w:bookmarkStart w:id="291" w:name="_Toc335853934"/>
      <w:bookmarkStart w:id="292" w:name="_Toc370764135"/>
      <w:bookmarkStart w:id="293" w:name="_Toc392608324"/>
      <w:bookmarkStart w:id="294" w:name="_Toc311407689"/>
      <w:bookmarkStart w:id="295" w:name="_Toc336325285"/>
      <w:bookmarkStart w:id="296" w:name="_Toc350184889"/>
      <w:bookmarkStart w:id="297" w:name="_Toc25635"/>
      <w:bookmarkStart w:id="298" w:name="_Toc30977"/>
      <w:bookmarkStart w:id="299" w:name="_Toc28774"/>
      <w:bookmarkStart w:id="300" w:name="_Toc18641"/>
      <w:bookmarkStart w:id="301" w:name="_Toc184635103"/>
      <w:bookmarkStart w:id="302" w:name="_Toc6453"/>
      <w:bookmarkStart w:id="303" w:name="_Toc19309"/>
      <w:r>
        <w:rPr>
          <w:rFonts w:hint="eastAsia" w:ascii="仿宋" w:hAnsi="仿宋" w:eastAsia="仿宋" w:cs="仿宋"/>
          <w:snapToGrid w:val="0"/>
          <w:color w:val="auto"/>
          <w:sz w:val="21"/>
          <w:szCs w:val="21"/>
        </w:rPr>
        <w:t>5材料和工程设备</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pPr>
        <w:pStyle w:val="3"/>
        <w:spacing w:line="400" w:lineRule="exact"/>
        <w:ind w:right="0"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5.2.1招标人提供的材料和工程设备：</w:t>
      </w:r>
      <w:r>
        <w:rPr>
          <w:rFonts w:hint="eastAsia" w:ascii="仿宋" w:hAnsi="仿宋" w:eastAsia="仿宋" w:cs="仿宋"/>
          <w:snapToGrid w:val="0"/>
          <w:color w:val="auto"/>
          <w:sz w:val="21"/>
          <w:szCs w:val="21"/>
          <w:u w:val="single"/>
        </w:rPr>
        <w:t xml:space="preserve">  /</w:t>
      </w:r>
      <w:r>
        <w:rPr>
          <w:rFonts w:hint="eastAsia" w:ascii="仿宋" w:hAnsi="仿宋" w:eastAsia="仿宋" w:cs="仿宋"/>
          <w:snapToGrid w:val="0"/>
          <w:color w:val="auto"/>
          <w:sz w:val="21"/>
          <w:szCs w:val="21"/>
          <w:u w:val="single"/>
        </w:rPr>
        <w:tab/>
      </w:r>
      <w:r>
        <w:rPr>
          <w:rFonts w:hint="eastAsia" w:ascii="仿宋" w:hAnsi="仿宋" w:eastAsia="仿宋" w:cs="仿宋"/>
          <w:snapToGrid w:val="0"/>
          <w:color w:val="auto"/>
          <w:sz w:val="21"/>
          <w:szCs w:val="21"/>
        </w:rPr>
        <w:t>。</w:t>
      </w:r>
    </w:p>
    <w:p>
      <w:pPr>
        <w:pStyle w:val="5"/>
        <w:spacing w:line="400" w:lineRule="exact"/>
        <w:ind w:firstLine="420" w:firstLineChars="200"/>
        <w:rPr>
          <w:rFonts w:hint="eastAsia" w:ascii="仿宋" w:hAnsi="仿宋" w:eastAsia="仿宋" w:cs="仿宋"/>
          <w:b/>
          <w:bCs/>
          <w:snapToGrid w:val="0"/>
          <w:color w:val="auto"/>
          <w:sz w:val="21"/>
          <w:szCs w:val="21"/>
        </w:rPr>
      </w:pPr>
      <w:r>
        <w:rPr>
          <w:rFonts w:hint="eastAsia" w:ascii="仿宋" w:hAnsi="仿宋" w:eastAsia="仿宋" w:cs="仿宋"/>
          <w:color w:val="auto"/>
          <w:sz w:val="21"/>
        </w:rPr>
        <w:t>5.2.2所有材料和工程设备采购前需经业主审核同意后方可执行。</w:t>
      </w:r>
    </w:p>
    <w:p>
      <w:pPr>
        <w:pStyle w:val="7"/>
        <w:snapToGrid w:val="0"/>
        <w:spacing w:line="400" w:lineRule="exact"/>
        <w:jc w:val="both"/>
        <w:rPr>
          <w:rFonts w:hint="eastAsia" w:ascii="仿宋" w:hAnsi="仿宋" w:eastAsia="仿宋" w:cs="仿宋"/>
          <w:snapToGrid w:val="0"/>
          <w:color w:val="auto"/>
          <w:sz w:val="21"/>
          <w:szCs w:val="21"/>
        </w:rPr>
      </w:pPr>
      <w:bookmarkStart w:id="304" w:name="_Toc515133191"/>
      <w:bookmarkStart w:id="305" w:name="_Toc7954"/>
      <w:r>
        <w:rPr>
          <w:rFonts w:hint="eastAsia" w:ascii="仿宋" w:hAnsi="仿宋" w:eastAsia="仿宋" w:cs="仿宋"/>
          <w:snapToGrid w:val="0"/>
          <w:color w:val="auto"/>
          <w:sz w:val="21"/>
          <w:szCs w:val="21"/>
        </w:rPr>
        <w:t>6施工设备和临时设施</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6.2 招标人提供的施工设备和临时设施</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招标人不提供其他施工设备或临时设施。</w:t>
      </w:r>
    </w:p>
    <w:p>
      <w:pPr>
        <w:pStyle w:val="7"/>
        <w:snapToGrid w:val="0"/>
        <w:spacing w:line="400" w:lineRule="exact"/>
        <w:jc w:val="both"/>
        <w:rPr>
          <w:rFonts w:hint="eastAsia" w:ascii="仿宋" w:hAnsi="仿宋" w:eastAsia="仿宋" w:cs="仿宋"/>
          <w:snapToGrid w:val="0"/>
          <w:color w:val="auto"/>
          <w:sz w:val="21"/>
          <w:szCs w:val="21"/>
        </w:rPr>
      </w:pPr>
      <w:bookmarkStart w:id="306" w:name="_Toc336325286"/>
      <w:bookmarkStart w:id="307" w:name="_Toc370764136"/>
      <w:bookmarkStart w:id="308" w:name="_Toc25875"/>
      <w:bookmarkStart w:id="309" w:name="_Toc21050"/>
      <w:bookmarkStart w:id="310" w:name="_Toc6243"/>
      <w:bookmarkStart w:id="311" w:name="_Toc16563"/>
      <w:bookmarkStart w:id="312" w:name="_Toc241374752"/>
      <w:bookmarkStart w:id="313" w:name="_Toc311407690"/>
      <w:bookmarkStart w:id="314" w:name="_Toc23607"/>
      <w:bookmarkStart w:id="315" w:name="_Toc23256"/>
      <w:bookmarkStart w:id="316" w:name="_Toc335853935"/>
      <w:bookmarkStart w:id="317" w:name="_Toc515133192"/>
      <w:bookmarkStart w:id="318" w:name="_Toc18840"/>
      <w:bookmarkStart w:id="319" w:name="_Toc350184890"/>
      <w:bookmarkStart w:id="320" w:name="_Toc392608325"/>
      <w:r>
        <w:rPr>
          <w:rFonts w:hint="eastAsia" w:ascii="仿宋" w:hAnsi="仿宋" w:eastAsia="仿宋" w:cs="仿宋"/>
          <w:snapToGrid w:val="0"/>
          <w:color w:val="auto"/>
          <w:sz w:val="21"/>
          <w:szCs w:val="21"/>
        </w:rPr>
        <w:t>7交通运输</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 xml:space="preserve">7.1道路通行权和场外设施 </w:t>
      </w:r>
    </w:p>
    <w:p>
      <w:pPr>
        <w:pStyle w:val="5"/>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道路通行权和场外设施的约定：</w:t>
      </w:r>
    </w:p>
    <w:p>
      <w:pPr>
        <w:pStyle w:val="5"/>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1、中标人自行协调场外道路及设施，并负责由于中标人原因造成的道路破损的维修；</w:t>
      </w:r>
    </w:p>
    <w:p>
      <w:pPr>
        <w:pStyle w:val="5"/>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2、中标方负责场内过境车辆、居民和行人的协调和分流工作；</w:t>
      </w:r>
    </w:p>
    <w:p>
      <w:pPr>
        <w:pStyle w:val="5"/>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3、本条1～2款相关费用计入其他临时工程费，不再另行计费。</w:t>
      </w:r>
    </w:p>
    <w:p>
      <w:pPr>
        <w:pStyle w:val="7"/>
        <w:snapToGrid w:val="0"/>
        <w:spacing w:line="400" w:lineRule="exact"/>
        <w:jc w:val="both"/>
        <w:rPr>
          <w:rFonts w:hint="eastAsia" w:ascii="仿宋" w:hAnsi="仿宋" w:eastAsia="仿宋" w:cs="仿宋"/>
          <w:snapToGrid w:val="0"/>
          <w:color w:val="auto"/>
          <w:sz w:val="21"/>
          <w:szCs w:val="21"/>
        </w:rPr>
      </w:pPr>
      <w:bookmarkStart w:id="321" w:name="_Toc31361"/>
      <w:bookmarkStart w:id="322" w:name="_Toc139938722"/>
      <w:bookmarkStart w:id="323" w:name="_Toc335853936"/>
      <w:bookmarkStart w:id="324" w:name="_Toc18429"/>
      <w:bookmarkStart w:id="325" w:name="_Toc217819050"/>
      <w:bookmarkStart w:id="326" w:name="_Toc392608326"/>
      <w:bookmarkStart w:id="327" w:name="_Toc140637786"/>
      <w:bookmarkStart w:id="328" w:name="_Toc211414973"/>
      <w:bookmarkStart w:id="329" w:name="_Toc42486664"/>
      <w:bookmarkStart w:id="330" w:name="_Toc350184891"/>
      <w:bookmarkStart w:id="331" w:name="_Toc311407691"/>
      <w:bookmarkStart w:id="332" w:name="_Toc205630997"/>
      <w:bookmarkStart w:id="333" w:name="_Toc9726"/>
      <w:bookmarkStart w:id="334" w:name="_Toc9577"/>
      <w:bookmarkStart w:id="335" w:name="_Toc370764137"/>
      <w:bookmarkStart w:id="336" w:name="_Toc336325287"/>
      <w:bookmarkStart w:id="337" w:name="_Toc3849"/>
      <w:bookmarkStart w:id="338" w:name="_Toc10676"/>
      <w:bookmarkStart w:id="339" w:name="_Toc45083852"/>
      <w:bookmarkStart w:id="340" w:name="_Toc515133193"/>
      <w:bookmarkStart w:id="341" w:name="_Toc10033"/>
      <w:bookmarkStart w:id="342" w:name="_Toc180571570"/>
      <w:r>
        <w:rPr>
          <w:rFonts w:hint="eastAsia" w:ascii="仿宋" w:hAnsi="仿宋" w:eastAsia="仿宋" w:cs="仿宋"/>
          <w:snapToGrid w:val="0"/>
          <w:color w:val="auto"/>
          <w:sz w:val="21"/>
          <w:szCs w:val="21"/>
        </w:rPr>
        <w:t>8测量放线</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pPr>
        <w:pStyle w:val="8"/>
        <w:snapToGrid w:val="0"/>
        <w:spacing w:line="400" w:lineRule="exact"/>
        <w:jc w:val="both"/>
        <w:rPr>
          <w:rFonts w:hint="eastAsia" w:ascii="仿宋" w:hAnsi="仿宋" w:eastAsia="仿宋" w:cs="仿宋"/>
          <w:color w:val="auto"/>
          <w:sz w:val="21"/>
          <w:szCs w:val="21"/>
        </w:rPr>
      </w:pPr>
      <w:bookmarkStart w:id="343" w:name="_Toc180571571"/>
      <w:bookmarkStart w:id="344" w:name="_Toc42486665"/>
      <w:bookmarkStart w:id="345" w:name="_Toc45083853"/>
      <w:bookmarkStart w:id="346" w:name="_Toc140637787"/>
      <w:bookmarkStart w:id="347" w:name="_Toc139938723"/>
      <w:r>
        <w:rPr>
          <w:rFonts w:hint="eastAsia" w:ascii="仿宋" w:hAnsi="仿宋" w:eastAsia="仿宋" w:cs="仿宋"/>
          <w:color w:val="auto"/>
          <w:sz w:val="21"/>
          <w:szCs w:val="21"/>
        </w:rPr>
        <w:t>8.1 施工控制网</w:t>
      </w:r>
      <w:bookmarkEnd w:id="343"/>
      <w:bookmarkEnd w:id="344"/>
      <w:bookmarkEnd w:id="345"/>
      <w:bookmarkEnd w:id="346"/>
      <w:bookmarkEnd w:id="347"/>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8.1.1施工控制网的约定：招标人应在协议书签订后</w:t>
      </w:r>
      <w:r>
        <w:rPr>
          <w:rFonts w:hint="eastAsia" w:ascii="仿宋" w:hAnsi="仿宋" w:eastAsia="仿宋" w:cs="仿宋"/>
          <w:snapToGrid w:val="0"/>
          <w:color w:val="auto"/>
          <w:sz w:val="21"/>
          <w:szCs w:val="21"/>
          <w:u w:val="single"/>
        </w:rPr>
        <w:t>14</w:t>
      </w:r>
      <w:r>
        <w:rPr>
          <w:rFonts w:hint="eastAsia" w:ascii="仿宋" w:hAnsi="仿宋" w:eastAsia="仿宋" w:cs="仿宋"/>
          <w:snapToGrid w:val="0"/>
          <w:color w:val="auto"/>
          <w:sz w:val="21"/>
          <w:szCs w:val="21"/>
        </w:rPr>
        <w:t>天内，招标人通过监理人向中标人提供测量基准点布置图、基准线和水准点及其书面资料。中标人在接到测量基准点布置图后</w:t>
      </w:r>
      <w:r>
        <w:rPr>
          <w:rFonts w:hint="eastAsia" w:ascii="仿宋" w:hAnsi="仿宋" w:eastAsia="仿宋" w:cs="仿宋"/>
          <w:snapToGrid w:val="0"/>
          <w:color w:val="auto"/>
          <w:sz w:val="21"/>
          <w:szCs w:val="21"/>
          <w:u w:val="single"/>
        </w:rPr>
        <w:t>14</w:t>
      </w:r>
      <w:r>
        <w:rPr>
          <w:rFonts w:hint="eastAsia" w:ascii="仿宋" w:hAnsi="仿宋" w:eastAsia="仿宋" w:cs="仿宋"/>
          <w:snapToGrid w:val="0"/>
          <w:color w:val="auto"/>
          <w:sz w:val="21"/>
          <w:szCs w:val="21"/>
        </w:rPr>
        <w:t>天内完成施工控制网布设，并将施工控制网资料报送监理人审批。</w:t>
      </w:r>
    </w:p>
    <w:p>
      <w:pPr>
        <w:pStyle w:val="7"/>
        <w:snapToGrid w:val="0"/>
        <w:spacing w:line="400" w:lineRule="exact"/>
        <w:jc w:val="both"/>
        <w:rPr>
          <w:rFonts w:hint="eastAsia" w:ascii="仿宋" w:hAnsi="仿宋" w:eastAsia="仿宋" w:cs="仿宋"/>
          <w:snapToGrid w:val="0"/>
          <w:color w:val="auto"/>
          <w:sz w:val="21"/>
          <w:szCs w:val="21"/>
        </w:rPr>
      </w:pPr>
      <w:bookmarkStart w:id="348" w:name="_Toc259802231"/>
      <w:bookmarkStart w:id="349" w:name="_Toc350184892"/>
      <w:bookmarkStart w:id="350" w:name="_Toc392608327"/>
      <w:bookmarkStart w:id="351" w:name="_Toc15337"/>
      <w:bookmarkStart w:id="352" w:name="_Toc7058"/>
      <w:bookmarkStart w:id="353" w:name="_Toc370764138"/>
      <w:bookmarkStart w:id="354" w:name="_Toc515133194"/>
      <w:bookmarkStart w:id="355" w:name="_Toc13282"/>
      <w:bookmarkStart w:id="356" w:name="_Toc12525"/>
      <w:bookmarkStart w:id="357" w:name="_Toc29399"/>
      <w:bookmarkStart w:id="358" w:name="_Toc10377"/>
      <w:bookmarkStart w:id="359" w:name="_Toc335853937"/>
      <w:bookmarkStart w:id="360" w:name="_Toc19514"/>
      <w:bookmarkStart w:id="361" w:name="_Toc311407692"/>
      <w:bookmarkStart w:id="362" w:name="_Toc336325288"/>
      <w:r>
        <w:rPr>
          <w:rFonts w:hint="eastAsia" w:ascii="仿宋" w:hAnsi="仿宋" w:eastAsia="仿宋" w:cs="仿宋"/>
          <w:snapToGrid w:val="0"/>
          <w:color w:val="auto"/>
          <w:sz w:val="21"/>
          <w:szCs w:val="21"/>
        </w:rPr>
        <w:t>9 施工安全、治安保卫和环境保护</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9.1 招标人的施工安全责任</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9.1.4 招标人提供</w:t>
      </w:r>
      <w:r>
        <w:rPr>
          <w:rFonts w:hint="eastAsia" w:ascii="仿宋" w:hAnsi="仿宋" w:eastAsia="仿宋" w:cs="仿宋"/>
          <w:snapToGrid w:val="0"/>
          <w:color w:val="auto"/>
          <w:sz w:val="21"/>
          <w:szCs w:val="21"/>
          <w:u w:val="single"/>
        </w:rPr>
        <w:t xml:space="preserve">  /  </w:t>
      </w:r>
      <w:r>
        <w:rPr>
          <w:rFonts w:hint="eastAsia" w:ascii="仿宋" w:hAnsi="仿宋" w:eastAsia="仿宋" w:cs="仿宋"/>
          <w:snapToGrid w:val="0"/>
          <w:color w:val="auto"/>
          <w:sz w:val="21"/>
          <w:szCs w:val="21"/>
        </w:rPr>
        <w:t>资料，其余资料由中标人负责收集。</w:t>
      </w:r>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9.2中标人的施工安全责任</w:t>
      </w:r>
    </w:p>
    <w:p>
      <w:pPr>
        <w:pStyle w:val="8"/>
        <w:snapToGrid w:val="0"/>
        <w:spacing w:line="400" w:lineRule="exact"/>
        <w:jc w:val="both"/>
        <w:rPr>
          <w:rFonts w:hint="eastAsia" w:ascii="仿宋" w:hAnsi="仿宋" w:eastAsia="仿宋" w:cs="仿宋"/>
          <w:bCs/>
          <w:color w:val="auto"/>
          <w:sz w:val="21"/>
          <w:szCs w:val="21"/>
        </w:rPr>
      </w:pPr>
      <w:r>
        <w:rPr>
          <w:rFonts w:hint="eastAsia" w:ascii="仿宋" w:hAnsi="仿宋" w:eastAsia="仿宋" w:cs="仿宋"/>
          <w:bCs/>
          <w:color w:val="auto"/>
          <w:sz w:val="21"/>
          <w:szCs w:val="21"/>
        </w:rPr>
        <w:t xml:space="preserve">9.4 环境保护 </w:t>
      </w:r>
    </w:p>
    <w:p>
      <w:pPr>
        <w:pStyle w:val="8"/>
        <w:snapToGrid w:val="0"/>
        <w:spacing w:line="400" w:lineRule="exact"/>
        <w:jc w:val="both"/>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   补充以下条款：</w:t>
      </w:r>
    </w:p>
    <w:p>
      <w:pPr>
        <w:pStyle w:val="3"/>
        <w:spacing w:line="400" w:lineRule="exact"/>
        <w:ind w:right="0" w:firstLine="420" w:firstLineChars="200"/>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u w:val="single"/>
        </w:rPr>
        <w:t>9.4.7 中标人应严格执行国家有关水域环境生态保护的规定，合理选择施工船机和施工工艺，采取有效措施，减少施工对周边水域的影响</w:t>
      </w:r>
      <w:r>
        <w:rPr>
          <w:rFonts w:hint="eastAsia" w:ascii="仿宋" w:hAnsi="仿宋" w:eastAsia="仿宋" w:cs="仿宋"/>
          <w:snapToGrid w:val="0"/>
          <w:color w:val="auto"/>
          <w:sz w:val="21"/>
          <w:szCs w:val="21"/>
        </w:rPr>
        <w:t>。</w:t>
      </w:r>
    </w:p>
    <w:p>
      <w:pPr>
        <w:pStyle w:val="3"/>
        <w:spacing w:line="400" w:lineRule="exact"/>
        <w:ind w:right="0" w:firstLine="420" w:firstLineChars="200"/>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u w:val="single"/>
        </w:rPr>
        <w:t>9.4.8 中标人应做好施工期各项水质保护措施，各类污水需执行分治外排原则，禁止排入饮用水水源保护区。特别加强对排泥场尾水的处理措施，确保达标排放。取土场、弃渣场及施工临时占地应尽量远离引用水水源保护区</w:t>
      </w:r>
      <w:r>
        <w:rPr>
          <w:rFonts w:hint="eastAsia" w:ascii="仿宋" w:hAnsi="仿宋" w:eastAsia="仿宋" w:cs="仿宋"/>
          <w:snapToGrid w:val="0"/>
          <w:color w:val="auto"/>
          <w:sz w:val="21"/>
          <w:szCs w:val="21"/>
        </w:rPr>
        <w:t>。</w:t>
      </w:r>
    </w:p>
    <w:p>
      <w:pPr>
        <w:pStyle w:val="3"/>
        <w:spacing w:line="400" w:lineRule="exact"/>
        <w:ind w:right="0" w:firstLine="420" w:firstLineChars="200"/>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u w:val="single"/>
        </w:rPr>
        <w:t>9.4.9 中标人应尽可能优化施工方案，严格限定施工活动范围，合理安排好施工时段和施工方式。加强水土流失防治，落实相应的工程措施、植物措施和临时措施。进一步优化工程取土、弃渣处置方案，禁止在环境敏感区范围内设置工程取土弃渣场。施工期注意收集表层土壤，施工结束应立即开展对弃渣场及临时占地的复植、复耕等生态修复工作</w:t>
      </w:r>
      <w:r>
        <w:rPr>
          <w:rFonts w:hint="eastAsia" w:ascii="仿宋" w:hAnsi="仿宋" w:eastAsia="仿宋" w:cs="仿宋"/>
          <w:snapToGrid w:val="0"/>
          <w:color w:val="auto"/>
          <w:sz w:val="21"/>
          <w:szCs w:val="21"/>
        </w:rPr>
        <w:t>。</w:t>
      </w:r>
    </w:p>
    <w:p>
      <w:pPr>
        <w:pStyle w:val="5"/>
        <w:spacing w:line="400" w:lineRule="exact"/>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u w:val="single"/>
        </w:rPr>
        <w:t>9.4.10 中标人应做好施工区附近和施工公路沿线居民点的噪声和扬尘污染防治工作。选用低噪声设备，合理安排施工作业时间。建筑垃圾及施工人员生活垃圾须及时清运并妥善处理，禁止随意抛弃、排入水体。</w:t>
      </w:r>
    </w:p>
    <w:p>
      <w:pPr>
        <w:pStyle w:val="8"/>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9.6 水土保持</w:t>
      </w:r>
    </w:p>
    <w:p>
      <w:pPr>
        <w:pStyle w:val="3"/>
        <w:spacing w:line="400" w:lineRule="exact"/>
        <w:ind w:right="0" w:firstLine="420" w:firstLineChars="200"/>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u w:val="single"/>
        </w:rPr>
        <w:t>增加以下条款：</w:t>
      </w:r>
    </w:p>
    <w:p>
      <w:pPr>
        <w:pStyle w:val="3"/>
        <w:spacing w:line="400" w:lineRule="exact"/>
        <w:ind w:right="0" w:firstLine="420" w:firstLineChars="200"/>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u w:val="single"/>
        </w:rPr>
        <w:t>9.6.4 中标人的各类施工活动要严格限定在用地范围内，严禁随意占压、扰动和破坏地表植被；做好表土的剥离、集中堆放、拦挡、排水、苫盖及回覆等；施工过程中产生的弃土（渣）要及时清运至指定地点堆放并进行防护，禁止随意倾倒或在河道里堆弃。施工结束后要及时进行迹地整治、复耕或恢复植被。加强施工组织管理和临时防护措施，合理安排施工时序，严格控制施工期间可能造成的水土流失。</w:t>
      </w:r>
    </w:p>
    <w:p>
      <w:pPr>
        <w:pStyle w:val="5"/>
        <w:spacing w:line="400" w:lineRule="exact"/>
        <w:rPr>
          <w:rFonts w:hint="eastAsia" w:ascii="仿宋" w:hAnsi="仿宋" w:eastAsia="仿宋" w:cs="仿宋"/>
          <w:color w:val="auto"/>
        </w:rPr>
      </w:pPr>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9.7文明工地</w:t>
      </w:r>
    </w:p>
    <w:p>
      <w:pPr>
        <w:snapToGrid w:val="0"/>
        <w:spacing w:line="400" w:lineRule="exact"/>
        <w:ind w:firstLine="420" w:firstLineChars="200"/>
        <w:jc w:val="left"/>
        <w:rPr>
          <w:rFonts w:hint="eastAsia" w:ascii="仿宋" w:hAnsi="仿宋" w:eastAsia="仿宋" w:cs="仿宋"/>
          <w:snapToGrid w:val="0"/>
          <w:color w:val="auto"/>
          <w:szCs w:val="24"/>
        </w:rPr>
      </w:pPr>
      <w:r>
        <w:rPr>
          <w:rFonts w:hint="eastAsia" w:ascii="仿宋" w:hAnsi="仿宋" w:eastAsia="仿宋" w:cs="仿宋"/>
          <w:snapToGrid w:val="0"/>
          <w:color w:val="auto"/>
          <w:kern w:val="2"/>
          <w:sz w:val="21"/>
          <w:szCs w:val="21"/>
          <w:u w:val="single"/>
        </w:rPr>
        <w:t>9.7.1 招标人应按安全文明施工标准化工地的约定，负责建立创建文明建设工地的组织机构，制定创建文明建设工地的规划和办法</w:t>
      </w:r>
      <w:r>
        <w:rPr>
          <w:rFonts w:hint="eastAsia" w:ascii="仿宋" w:hAnsi="仿宋" w:eastAsia="仿宋" w:cs="仿宋"/>
          <w:snapToGrid w:val="0"/>
          <w:color w:val="auto"/>
          <w:szCs w:val="24"/>
        </w:rPr>
        <w:t>。</w:t>
      </w:r>
    </w:p>
    <w:p>
      <w:pPr>
        <w:snapToGrid w:val="0"/>
        <w:spacing w:line="400" w:lineRule="exact"/>
        <w:ind w:firstLine="420" w:firstLineChars="200"/>
        <w:jc w:val="left"/>
        <w:rPr>
          <w:rFonts w:hint="eastAsia" w:ascii="仿宋" w:hAnsi="仿宋" w:eastAsia="仿宋" w:cs="仿宋"/>
          <w:snapToGrid w:val="0"/>
          <w:color w:val="auto"/>
          <w:kern w:val="2"/>
          <w:sz w:val="21"/>
          <w:szCs w:val="21"/>
          <w:u w:val="single"/>
        </w:rPr>
      </w:pPr>
      <w:r>
        <w:rPr>
          <w:rFonts w:hint="eastAsia" w:ascii="仿宋" w:hAnsi="仿宋" w:eastAsia="仿宋" w:cs="仿宋"/>
          <w:snapToGrid w:val="0"/>
          <w:color w:val="auto"/>
          <w:kern w:val="2"/>
          <w:sz w:val="21"/>
          <w:szCs w:val="21"/>
          <w:u w:val="single"/>
        </w:rPr>
        <w:t>9.7.2 中标人应按创建文明建设工地的规划和办法，履行职责，承担相应责任。本工程标化工地建设方案需报招标人审核后实施。标化工地建设费用应含在安全文明施工措施中 ，招标人不再另行支付。</w:t>
      </w:r>
    </w:p>
    <w:p>
      <w:pPr>
        <w:pStyle w:val="7"/>
        <w:snapToGrid w:val="0"/>
        <w:spacing w:line="400" w:lineRule="exact"/>
        <w:jc w:val="both"/>
        <w:rPr>
          <w:rFonts w:hint="eastAsia" w:ascii="仿宋" w:hAnsi="仿宋" w:eastAsia="仿宋" w:cs="仿宋"/>
          <w:snapToGrid w:val="0"/>
          <w:color w:val="auto"/>
          <w:sz w:val="21"/>
          <w:szCs w:val="21"/>
        </w:rPr>
      </w:pPr>
      <w:bookmarkStart w:id="363" w:name="_Toc217819051"/>
      <w:bookmarkStart w:id="364" w:name="_Toc184635108"/>
      <w:bookmarkStart w:id="365" w:name="_Toc24397"/>
      <w:bookmarkStart w:id="366" w:name="_Toc392608328"/>
      <w:bookmarkStart w:id="367" w:name="_Toc515133195"/>
      <w:bookmarkStart w:id="368" w:name="_Toc441"/>
      <w:bookmarkStart w:id="369" w:name="_Toc311407694"/>
      <w:bookmarkStart w:id="370" w:name="_Toc335853938"/>
      <w:bookmarkStart w:id="371" w:name="_Toc1585"/>
      <w:bookmarkStart w:id="372" w:name="_Toc23272"/>
      <w:bookmarkStart w:id="373" w:name="_Toc336325289"/>
      <w:bookmarkStart w:id="374" w:name="_Toc8650"/>
      <w:bookmarkStart w:id="375" w:name="_Toc370764139"/>
      <w:bookmarkStart w:id="376" w:name="_Toc20973"/>
      <w:bookmarkStart w:id="377" w:name="_Toc350184893"/>
      <w:bookmarkStart w:id="378" w:name="_Toc29165"/>
      <w:r>
        <w:rPr>
          <w:rFonts w:hint="eastAsia" w:ascii="仿宋" w:hAnsi="仿宋" w:eastAsia="仿宋" w:cs="仿宋"/>
          <w:snapToGrid w:val="0"/>
          <w:color w:val="auto"/>
          <w:sz w:val="21"/>
          <w:szCs w:val="21"/>
        </w:rPr>
        <w:t>11开工和竣工（完工</w:t>
      </w:r>
      <w:bookmarkEnd w:id="363"/>
      <w:bookmarkEnd w:id="364"/>
      <w:r>
        <w:rPr>
          <w:rFonts w:hint="eastAsia" w:ascii="仿宋" w:hAnsi="仿宋" w:eastAsia="仿宋" w:cs="仿宋"/>
          <w:snapToGrid w:val="0"/>
          <w:color w:val="auto"/>
          <w:sz w:val="21"/>
          <w:szCs w:val="21"/>
        </w:rPr>
        <w:t>）</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pPr>
        <w:snapToGrid w:val="0"/>
        <w:spacing w:line="400"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11.4  异常恶劣的气候条件</w:t>
      </w:r>
    </w:p>
    <w:p>
      <w:pPr>
        <w:snapToGrid w:val="0"/>
        <w:spacing w:line="400" w:lineRule="exact"/>
        <w:ind w:firstLine="405"/>
        <w:rPr>
          <w:rFonts w:hint="eastAsia" w:ascii="仿宋" w:hAnsi="仿宋" w:eastAsia="仿宋" w:cs="仿宋"/>
          <w:color w:val="auto"/>
          <w:sz w:val="21"/>
          <w:szCs w:val="21"/>
        </w:rPr>
      </w:pPr>
      <w:r>
        <w:rPr>
          <w:rFonts w:hint="eastAsia" w:ascii="仿宋" w:hAnsi="仿宋" w:eastAsia="仿宋" w:cs="仿宋"/>
          <w:b/>
          <w:color w:val="auto"/>
          <w:sz w:val="21"/>
          <w:szCs w:val="21"/>
        </w:rPr>
        <w:t xml:space="preserve">11.4.3  </w:t>
      </w:r>
      <w:r>
        <w:rPr>
          <w:rFonts w:hint="eastAsia" w:ascii="仿宋" w:hAnsi="仿宋" w:eastAsia="仿宋" w:cs="仿宋"/>
          <w:color w:val="auto"/>
          <w:sz w:val="21"/>
          <w:szCs w:val="21"/>
        </w:rPr>
        <w:t>本合同工程届定异常恶劣气候条件的范围为：</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 日降雨量大于</w:t>
      </w:r>
      <w:r>
        <w:rPr>
          <w:rFonts w:hint="eastAsia" w:ascii="仿宋" w:hAnsi="仿宋" w:eastAsia="仿宋" w:cs="仿宋"/>
          <w:b/>
          <w:snapToGrid w:val="0"/>
          <w:color w:val="auto"/>
          <w:sz w:val="21"/>
          <w:szCs w:val="21"/>
          <w:u w:val="single"/>
        </w:rPr>
        <w:t xml:space="preserve"> 50 </w:t>
      </w:r>
      <w:r>
        <w:rPr>
          <w:rFonts w:hint="eastAsia" w:ascii="仿宋" w:hAnsi="仿宋" w:eastAsia="仿宋" w:cs="仿宋"/>
          <w:snapToGrid w:val="0"/>
          <w:color w:val="auto"/>
          <w:sz w:val="21"/>
          <w:szCs w:val="21"/>
        </w:rPr>
        <w:t>mm的雨日</w:t>
      </w:r>
      <w:r>
        <w:rPr>
          <w:rFonts w:hint="eastAsia" w:ascii="仿宋" w:hAnsi="仿宋" w:eastAsia="仿宋" w:cs="仿宋"/>
          <w:b/>
          <w:snapToGrid w:val="0"/>
          <w:color w:val="auto"/>
          <w:sz w:val="21"/>
          <w:szCs w:val="21"/>
        </w:rPr>
        <w:t>连续</w:t>
      </w:r>
      <w:r>
        <w:rPr>
          <w:rFonts w:hint="eastAsia" w:ascii="仿宋" w:hAnsi="仿宋" w:eastAsia="仿宋" w:cs="仿宋"/>
          <w:snapToGrid w:val="0"/>
          <w:color w:val="auto"/>
          <w:sz w:val="21"/>
          <w:szCs w:val="21"/>
        </w:rPr>
        <w:t>超过</w:t>
      </w:r>
      <w:r>
        <w:rPr>
          <w:rFonts w:hint="eastAsia" w:ascii="仿宋" w:hAnsi="仿宋" w:eastAsia="仿宋" w:cs="仿宋"/>
          <w:snapToGrid w:val="0"/>
          <w:color w:val="auto"/>
          <w:sz w:val="21"/>
          <w:szCs w:val="21"/>
          <w:u w:val="single"/>
        </w:rPr>
        <w:t xml:space="preserve"> 5 </w:t>
      </w:r>
      <w:r>
        <w:rPr>
          <w:rFonts w:hint="eastAsia" w:ascii="仿宋" w:hAnsi="仿宋" w:eastAsia="仿宋" w:cs="仿宋"/>
          <w:snapToGrid w:val="0"/>
          <w:color w:val="auto"/>
          <w:sz w:val="21"/>
          <w:szCs w:val="21"/>
        </w:rPr>
        <w:t>天；</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 风速大于</w:t>
      </w:r>
      <w:r>
        <w:rPr>
          <w:rFonts w:hint="eastAsia" w:ascii="仿宋" w:hAnsi="仿宋" w:eastAsia="仿宋" w:cs="仿宋"/>
          <w:snapToGrid w:val="0"/>
          <w:color w:val="auto"/>
          <w:sz w:val="21"/>
          <w:szCs w:val="21"/>
          <w:u w:val="single"/>
        </w:rPr>
        <w:t xml:space="preserve"> 14  </w:t>
      </w:r>
      <w:r>
        <w:rPr>
          <w:rFonts w:hint="eastAsia" w:ascii="仿宋" w:hAnsi="仿宋" w:eastAsia="仿宋" w:cs="仿宋"/>
          <w:snapToGrid w:val="0"/>
          <w:color w:val="auto"/>
          <w:sz w:val="21"/>
          <w:szCs w:val="21"/>
        </w:rPr>
        <w:t>m/s的</w:t>
      </w:r>
      <w:r>
        <w:rPr>
          <w:rFonts w:hint="eastAsia" w:ascii="仿宋" w:hAnsi="仿宋" w:eastAsia="仿宋" w:cs="仿宋"/>
          <w:snapToGrid w:val="0"/>
          <w:color w:val="auto"/>
          <w:sz w:val="21"/>
          <w:szCs w:val="21"/>
          <w:u w:val="single"/>
        </w:rPr>
        <w:t xml:space="preserve"> 7 </w:t>
      </w:r>
      <w:r>
        <w:rPr>
          <w:rFonts w:hint="eastAsia" w:ascii="仿宋" w:hAnsi="仿宋" w:eastAsia="仿宋" w:cs="仿宋"/>
          <w:snapToGrid w:val="0"/>
          <w:color w:val="auto"/>
          <w:sz w:val="21"/>
          <w:szCs w:val="21"/>
        </w:rPr>
        <w:t>级以上台风灾害；</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 日气温超过</w:t>
      </w:r>
      <w:r>
        <w:rPr>
          <w:rFonts w:hint="eastAsia" w:ascii="仿宋" w:hAnsi="仿宋" w:eastAsia="仿宋" w:cs="仿宋"/>
          <w:snapToGrid w:val="0"/>
          <w:color w:val="auto"/>
          <w:sz w:val="21"/>
          <w:szCs w:val="21"/>
          <w:u w:val="single"/>
        </w:rPr>
        <w:t xml:space="preserve"> 40 </w:t>
      </w:r>
      <w:r>
        <w:rPr>
          <w:rFonts w:hint="eastAsia" w:ascii="仿宋" w:hAnsi="仿宋" w:eastAsia="仿宋" w:cs="仿宋"/>
          <w:snapToGrid w:val="0"/>
          <w:color w:val="auto"/>
          <w:sz w:val="21"/>
          <w:szCs w:val="21"/>
        </w:rPr>
        <w:t>℃的高温大于</w:t>
      </w:r>
      <w:r>
        <w:rPr>
          <w:rFonts w:hint="eastAsia" w:ascii="仿宋" w:hAnsi="仿宋" w:eastAsia="仿宋" w:cs="仿宋"/>
          <w:snapToGrid w:val="0"/>
          <w:color w:val="auto"/>
          <w:sz w:val="21"/>
          <w:szCs w:val="21"/>
          <w:u w:val="single"/>
        </w:rPr>
        <w:t xml:space="preserve"> 3 </w:t>
      </w:r>
      <w:r>
        <w:rPr>
          <w:rFonts w:hint="eastAsia" w:ascii="仿宋" w:hAnsi="仿宋" w:eastAsia="仿宋" w:cs="仿宋"/>
          <w:snapToGrid w:val="0"/>
          <w:color w:val="auto"/>
          <w:sz w:val="21"/>
          <w:szCs w:val="21"/>
        </w:rPr>
        <w:t>天；</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(4) 日气温低于</w:t>
      </w:r>
      <w:r>
        <w:rPr>
          <w:rFonts w:hint="eastAsia" w:ascii="仿宋" w:hAnsi="仿宋" w:eastAsia="仿宋" w:cs="仿宋"/>
          <w:snapToGrid w:val="0"/>
          <w:color w:val="auto"/>
          <w:sz w:val="21"/>
          <w:szCs w:val="21"/>
          <w:u w:val="single"/>
        </w:rPr>
        <w:t xml:space="preserve"> -5 </w:t>
      </w:r>
      <w:r>
        <w:rPr>
          <w:rFonts w:hint="eastAsia" w:ascii="仿宋" w:hAnsi="仿宋" w:eastAsia="仿宋" w:cs="仿宋"/>
          <w:snapToGrid w:val="0"/>
          <w:color w:val="auto"/>
          <w:sz w:val="21"/>
          <w:szCs w:val="21"/>
        </w:rPr>
        <w:t>℃的严寒大于</w:t>
      </w:r>
      <w:r>
        <w:rPr>
          <w:rFonts w:hint="eastAsia" w:ascii="仿宋" w:hAnsi="仿宋" w:eastAsia="仿宋" w:cs="仿宋"/>
          <w:snapToGrid w:val="0"/>
          <w:color w:val="auto"/>
          <w:sz w:val="21"/>
          <w:szCs w:val="21"/>
          <w:u w:val="single"/>
        </w:rPr>
        <w:t xml:space="preserve"> 3 </w:t>
      </w:r>
      <w:r>
        <w:rPr>
          <w:rFonts w:hint="eastAsia" w:ascii="仿宋" w:hAnsi="仿宋" w:eastAsia="仿宋" w:cs="仿宋"/>
          <w:snapToGrid w:val="0"/>
          <w:color w:val="auto"/>
          <w:sz w:val="21"/>
          <w:szCs w:val="21"/>
        </w:rPr>
        <w:t>天；</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(5) 造成工程损失的冰雹和大雪灾害：冰雹天气或日降雪量超过10mm以上的天气大于10天；</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(6) 其它异常恶劣气候灾害。</w:t>
      </w:r>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11.5 中标人的工期延误</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 逾期完工违约金表</w:t>
      </w:r>
    </w:p>
    <w:p>
      <w:pPr>
        <w:snapToGrid w:val="0"/>
        <w:spacing w:line="400" w:lineRule="exact"/>
        <w:jc w:val="center"/>
        <w:rPr>
          <w:rFonts w:hint="eastAsia" w:ascii="仿宋" w:hAnsi="仿宋" w:eastAsia="仿宋" w:cs="仿宋"/>
          <w:b/>
          <w:snapToGrid w:val="0"/>
          <w:color w:val="auto"/>
          <w:sz w:val="21"/>
          <w:szCs w:val="21"/>
        </w:rPr>
      </w:pPr>
      <w:r>
        <w:rPr>
          <w:rFonts w:hint="eastAsia" w:ascii="仿宋" w:hAnsi="仿宋" w:eastAsia="仿宋" w:cs="仿宋"/>
          <w:b/>
          <w:snapToGrid w:val="0"/>
          <w:color w:val="auto"/>
          <w:sz w:val="21"/>
          <w:szCs w:val="21"/>
        </w:rPr>
        <w:t>逾期完工违约金表</w:t>
      </w:r>
    </w:p>
    <w:tbl>
      <w:tblPr>
        <w:tblStyle w:val="25"/>
        <w:tblW w:w="9977" w:type="dxa"/>
        <w:tblInd w:w="2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814"/>
        <w:gridCol w:w="2577"/>
        <w:gridCol w:w="3328"/>
        <w:gridCol w:w="32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5" w:hRule="atLeast"/>
        </w:trPr>
        <w:tc>
          <w:tcPr>
            <w:tcW w:w="814" w:type="dxa"/>
            <w:vAlign w:val="center"/>
          </w:tcPr>
          <w:p>
            <w:pPr>
              <w:snapToGrid w:val="0"/>
              <w:spacing w:line="400" w:lineRule="exact"/>
              <w:jc w:val="center"/>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序号</w:t>
            </w:r>
          </w:p>
        </w:tc>
        <w:tc>
          <w:tcPr>
            <w:tcW w:w="2577" w:type="dxa"/>
            <w:vAlign w:val="center"/>
          </w:tcPr>
          <w:p>
            <w:pPr>
              <w:snapToGrid w:val="0"/>
              <w:spacing w:line="400" w:lineRule="exact"/>
              <w:jc w:val="center"/>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项目及其说明</w:t>
            </w:r>
          </w:p>
        </w:tc>
        <w:tc>
          <w:tcPr>
            <w:tcW w:w="3328" w:type="dxa"/>
            <w:vAlign w:val="center"/>
          </w:tcPr>
          <w:p>
            <w:pPr>
              <w:snapToGrid w:val="0"/>
              <w:spacing w:line="400" w:lineRule="exact"/>
              <w:jc w:val="center"/>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要求完工日期</w:t>
            </w:r>
          </w:p>
        </w:tc>
        <w:tc>
          <w:tcPr>
            <w:tcW w:w="3258" w:type="dxa"/>
            <w:vAlign w:val="center"/>
          </w:tcPr>
          <w:p>
            <w:pPr>
              <w:snapToGrid w:val="0"/>
              <w:spacing w:line="400" w:lineRule="exact"/>
              <w:jc w:val="center"/>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逾期完工违约金（元/天）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81" w:hRule="atLeast"/>
        </w:trPr>
        <w:tc>
          <w:tcPr>
            <w:tcW w:w="814" w:type="dxa"/>
            <w:vAlign w:val="center"/>
          </w:tcPr>
          <w:p>
            <w:pPr>
              <w:snapToGrid w:val="0"/>
              <w:spacing w:line="400" w:lineRule="exact"/>
              <w:jc w:val="center"/>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w:t>
            </w:r>
          </w:p>
        </w:tc>
        <w:tc>
          <w:tcPr>
            <w:tcW w:w="2577" w:type="dxa"/>
            <w:vAlign w:val="center"/>
          </w:tcPr>
          <w:p>
            <w:pPr>
              <w:snapToGrid w:val="0"/>
              <w:spacing w:line="400" w:lineRule="exact"/>
              <w:jc w:val="center"/>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全部工程</w:t>
            </w:r>
          </w:p>
        </w:tc>
        <w:tc>
          <w:tcPr>
            <w:tcW w:w="3328" w:type="dxa"/>
            <w:vAlign w:val="center"/>
          </w:tcPr>
          <w:p>
            <w:pPr>
              <w:snapToGrid w:val="0"/>
              <w:spacing w:line="400" w:lineRule="exact"/>
              <w:jc w:val="center"/>
              <w:rPr>
                <w:rFonts w:hint="default" w:ascii="仿宋" w:hAnsi="仿宋" w:eastAsia="仿宋" w:cs="仿宋"/>
                <w:snapToGrid w:val="0"/>
                <w:color w:val="auto"/>
                <w:sz w:val="21"/>
                <w:szCs w:val="21"/>
                <w:lang w:val="en-US" w:eastAsia="zh-CN"/>
              </w:rPr>
            </w:pPr>
            <w:r>
              <w:rPr>
                <w:rFonts w:hint="eastAsia" w:ascii="仿宋" w:hAnsi="仿宋" w:eastAsia="仿宋" w:cs="仿宋"/>
                <w:snapToGrid w:val="0"/>
                <w:color w:val="auto"/>
                <w:sz w:val="21"/>
                <w:szCs w:val="21"/>
              </w:rPr>
              <w:t>监理人签发的开工通知中约定的开工日期后</w:t>
            </w:r>
            <w:r>
              <w:rPr>
                <w:rFonts w:hint="eastAsia" w:ascii="仿宋" w:hAnsi="仿宋" w:eastAsia="仿宋" w:cs="仿宋"/>
                <w:snapToGrid w:val="0"/>
                <w:color w:val="auto"/>
                <w:sz w:val="21"/>
                <w:szCs w:val="21"/>
                <w:lang w:val="en-US" w:eastAsia="zh-CN"/>
              </w:rPr>
              <w:t>180日历天</w:t>
            </w:r>
          </w:p>
        </w:tc>
        <w:tc>
          <w:tcPr>
            <w:tcW w:w="3258" w:type="dxa"/>
            <w:vAlign w:val="center"/>
          </w:tcPr>
          <w:p>
            <w:pPr>
              <w:snapToGrid w:val="0"/>
              <w:spacing w:line="400" w:lineRule="exact"/>
              <w:ind w:left="21" w:hanging="21" w:hangingChars="10"/>
              <w:jc w:val="center"/>
              <w:rPr>
                <w:rFonts w:hint="eastAsia" w:ascii="仿宋" w:hAnsi="仿宋" w:eastAsia="仿宋" w:cs="仿宋"/>
                <w:snapToGrid w:val="0"/>
                <w:color w:val="auto"/>
                <w:sz w:val="21"/>
                <w:szCs w:val="21"/>
                <w:lang w:val="en-US" w:eastAsia="zh-CN"/>
              </w:rPr>
            </w:pPr>
            <w:r>
              <w:rPr>
                <w:rFonts w:hint="eastAsia" w:ascii="仿宋" w:hAnsi="仿宋" w:eastAsia="仿宋" w:cs="仿宋"/>
                <w:snapToGrid w:val="0"/>
                <w:color w:val="auto"/>
                <w:sz w:val="21"/>
                <w:szCs w:val="21"/>
                <w:lang w:val="en-US" w:eastAsia="zh-CN"/>
              </w:rPr>
              <w:t>2000</w:t>
            </w:r>
          </w:p>
        </w:tc>
      </w:tr>
    </w:tbl>
    <w:p>
      <w:pPr>
        <w:pStyle w:val="15"/>
        <w:snapToGrid w:val="0"/>
        <w:spacing w:line="400" w:lineRule="exact"/>
        <w:ind w:firstLine="420" w:firstLineChars="200"/>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 xml:space="preserve"> (2) 全部逾期完工违约金的总限额为不超过签约合同价的2%。</w:t>
      </w:r>
    </w:p>
    <w:p>
      <w:pPr>
        <w:snapToGrid w:val="0"/>
        <w:spacing w:line="400" w:lineRule="exact"/>
        <w:rPr>
          <w:rFonts w:hint="eastAsia" w:ascii="仿宋" w:hAnsi="仿宋" w:eastAsia="仿宋" w:cs="仿宋"/>
          <w:color w:val="auto"/>
          <w:sz w:val="21"/>
          <w:szCs w:val="21"/>
        </w:rPr>
      </w:pPr>
      <w:r>
        <w:rPr>
          <w:rFonts w:hint="eastAsia" w:ascii="仿宋" w:hAnsi="仿宋" w:eastAsia="仿宋" w:cs="仿宋"/>
          <w:b/>
          <w:color w:val="auto"/>
          <w:sz w:val="21"/>
          <w:szCs w:val="21"/>
        </w:rPr>
        <w:t>11.6  工期提前</w:t>
      </w:r>
    </w:p>
    <w:p>
      <w:pPr>
        <w:snapToGrid w:val="0"/>
        <w:spacing w:line="400" w:lineRule="exact"/>
        <w:rPr>
          <w:rFonts w:hint="eastAsia" w:ascii="仿宋" w:hAnsi="仿宋" w:eastAsia="仿宋" w:cs="仿宋"/>
          <w:snapToGrid w:val="0"/>
          <w:color w:val="auto"/>
          <w:sz w:val="21"/>
          <w:szCs w:val="21"/>
          <w:u w:val="single"/>
        </w:rPr>
      </w:pPr>
      <w:r>
        <w:rPr>
          <w:rFonts w:hint="eastAsia" w:ascii="仿宋" w:hAnsi="仿宋" w:eastAsia="仿宋" w:cs="仿宋"/>
          <w:color w:val="auto"/>
          <w:sz w:val="21"/>
          <w:szCs w:val="21"/>
        </w:rPr>
        <w:t xml:space="preserve">     工期提前的奖金约定</w:t>
      </w:r>
      <w:r>
        <w:rPr>
          <w:rFonts w:hint="eastAsia" w:ascii="仿宋" w:hAnsi="仿宋" w:eastAsia="仿宋" w:cs="仿宋"/>
          <w:snapToGrid w:val="0"/>
          <w:color w:val="auto"/>
          <w:sz w:val="21"/>
          <w:szCs w:val="21"/>
          <w:u w:val="single"/>
        </w:rPr>
        <w:t>：/</w:t>
      </w:r>
    </w:p>
    <w:p>
      <w:pPr>
        <w:pStyle w:val="7"/>
        <w:snapToGrid w:val="0"/>
        <w:spacing w:line="400" w:lineRule="exact"/>
        <w:jc w:val="both"/>
        <w:rPr>
          <w:rFonts w:hint="eastAsia" w:ascii="仿宋" w:hAnsi="仿宋" w:eastAsia="仿宋" w:cs="仿宋"/>
          <w:snapToGrid w:val="0"/>
          <w:color w:val="auto"/>
          <w:sz w:val="21"/>
          <w:szCs w:val="21"/>
        </w:rPr>
      </w:pPr>
      <w:bookmarkStart w:id="379" w:name="_Toc10997"/>
      <w:bookmarkStart w:id="380" w:name="_Toc1068"/>
      <w:bookmarkStart w:id="381" w:name="_Toc259802233"/>
      <w:bookmarkStart w:id="382" w:name="_Toc11408"/>
      <w:bookmarkStart w:id="383" w:name="_Toc31172"/>
      <w:bookmarkStart w:id="384" w:name="_Toc311407696"/>
      <w:bookmarkStart w:id="385" w:name="_Toc350184894"/>
      <w:bookmarkStart w:id="386" w:name="_Toc336325290"/>
      <w:bookmarkStart w:id="387" w:name="_Toc22212"/>
      <w:bookmarkStart w:id="388" w:name="_Toc515133196"/>
      <w:bookmarkStart w:id="389" w:name="_Toc370764140"/>
      <w:bookmarkStart w:id="390" w:name="_Toc21840"/>
      <w:bookmarkStart w:id="391" w:name="_Toc18042"/>
      <w:bookmarkStart w:id="392" w:name="_Toc392608329"/>
      <w:bookmarkStart w:id="393" w:name="_Toc335853940"/>
      <w:bookmarkStart w:id="394" w:name="_Toc184635110"/>
      <w:bookmarkStart w:id="395" w:name="_Toc217819052"/>
      <w:r>
        <w:rPr>
          <w:rFonts w:hint="eastAsia" w:ascii="仿宋" w:hAnsi="仿宋" w:eastAsia="仿宋" w:cs="仿宋"/>
          <w:snapToGrid w:val="0"/>
          <w:color w:val="auto"/>
          <w:sz w:val="21"/>
          <w:szCs w:val="21"/>
        </w:rPr>
        <w:t>12 暂停施工</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12.1中标人暂停施工的责任</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(5) 中标人承担暂停施工责任的其他情形：</w:t>
      </w:r>
      <w:r>
        <w:rPr>
          <w:rFonts w:hint="eastAsia" w:ascii="仿宋" w:hAnsi="仿宋" w:eastAsia="仿宋" w:cs="仿宋"/>
          <w:snapToGrid w:val="0"/>
          <w:color w:val="auto"/>
          <w:sz w:val="21"/>
          <w:szCs w:val="21"/>
          <w:u w:val="single"/>
        </w:rPr>
        <w:t xml:space="preserve">    /    </w:t>
      </w:r>
      <w:r>
        <w:rPr>
          <w:rFonts w:hint="eastAsia" w:ascii="仿宋" w:hAnsi="仿宋" w:eastAsia="仿宋" w:cs="仿宋"/>
          <w:snapToGrid w:val="0"/>
          <w:color w:val="auto"/>
          <w:sz w:val="21"/>
          <w:szCs w:val="21"/>
        </w:rPr>
        <w:t>。</w:t>
      </w:r>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12.2招标人暂停施工的责任</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 招标人承担暂停施工责任的其他情形：</w:t>
      </w:r>
      <w:r>
        <w:rPr>
          <w:rFonts w:hint="eastAsia" w:ascii="仿宋" w:hAnsi="仿宋" w:eastAsia="仿宋" w:cs="仿宋"/>
          <w:snapToGrid w:val="0"/>
          <w:color w:val="auto"/>
          <w:sz w:val="21"/>
          <w:szCs w:val="21"/>
          <w:u w:val="single"/>
        </w:rPr>
        <w:t xml:space="preserve">    /    </w:t>
      </w:r>
      <w:r>
        <w:rPr>
          <w:rFonts w:hint="eastAsia" w:ascii="仿宋" w:hAnsi="仿宋" w:eastAsia="仿宋" w:cs="仿宋"/>
          <w:snapToGrid w:val="0"/>
          <w:color w:val="auto"/>
          <w:sz w:val="21"/>
          <w:szCs w:val="21"/>
        </w:rPr>
        <w:t>。</w:t>
      </w:r>
    </w:p>
    <w:p>
      <w:pPr>
        <w:pStyle w:val="7"/>
        <w:snapToGrid w:val="0"/>
        <w:spacing w:line="400" w:lineRule="exact"/>
        <w:jc w:val="both"/>
        <w:rPr>
          <w:rFonts w:hint="eastAsia" w:ascii="仿宋" w:hAnsi="仿宋" w:eastAsia="仿宋" w:cs="仿宋"/>
          <w:snapToGrid w:val="0"/>
          <w:color w:val="auto"/>
          <w:sz w:val="21"/>
          <w:szCs w:val="21"/>
        </w:rPr>
      </w:pPr>
      <w:bookmarkStart w:id="396" w:name="_Toc350184895"/>
      <w:bookmarkStart w:id="397" w:name="_Toc653"/>
      <w:bookmarkStart w:id="398" w:name="_Toc10753"/>
      <w:bookmarkStart w:id="399" w:name="_Toc370764141"/>
      <w:bookmarkStart w:id="400" w:name="_Toc15876"/>
      <w:bookmarkStart w:id="401" w:name="_Toc20840"/>
      <w:bookmarkStart w:id="402" w:name="_Toc336325291"/>
      <w:bookmarkStart w:id="403" w:name="_Toc515133197"/>
      <w:bookmarkStart w:id="404" w:name="_Toc311407697"/>
      <w:bookmarkStart w:id="405" w:name="_Toc5919"/>
      <w:bookmarkStart w:id="406" w:name="_Toc392608330"/>
      <w:bookmarkStart w:id="407" w:name="_Toc335853941"/>
      <w:bookmarkStart w:id="408" w:name="_Toc27396"/>
      <w:bookmarkStart w:id="409" w:name="_Toc2906"/>
      <w:r>
        <w:rPr>
          <w:rFonts w:hint="eastAsia" w:ascii="仿宋" w:hAnsi="仿宋" w:eastAsia="仿宋" w:cs="仿宋"/>
          <w:snapToGrid w:val="0"/>
          <w:color w:val="auto"/>
          <w:sz w:val="21"/>
          <w:szCs w:val="21"/>
        </w:rPr>
        <w:t>13．工程质量</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13.1 工程质量要求</w:t>
      </w:r>
    </w:p>
    <w:p>
      <w:pPr>
        <w:pStyle w:val="8"/>
        <w:snapToGrid w:val="0"/>
        <w:spacing w:line="400" w:lineRule="exact"/>
        <w:jc w:val="both"/>
        <w:rPr>
          <w:rFonts w:hint="eastAsia" w:ascii="仿宋" w:hAnsi="仿宋" w:eastAsia="仿宋" w:cs="仿宋"/>
          <w:color w:val="auto"/>
          <w:sz w:val="21"/>
          <w:szCs w:val="21"/>
        </w:rPr>
      </w:pPr>
      <w:bookmarkStart w:id="410" w:name="_Toc184635112"/>
      <w:bookmarkStart w:id="411" w:name="_Toc217819053"/>
      <w:r>
        <w:rPr>
          <w:rFonts w:hint="eastAsia" w:ascii="仿宋" w:hAnsi="仿宋" w:eastAsia="仿宋" w:cs="仿宋"/>
          <w:color w:val="auto"/>
          <w:sz w:val="21"/>
          <w:szCs w:val="21"/>
        </w:rPr>
        <w:t>13.7 质量评定</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b/>
          <w:color w:val="auto"/>
          <w:sz w:val="21"/>
          <w:szCs w:val="21"/>
        </w:rPr>
        <w:t xml:space="preserve">13.7.7  </w:t>
      </w:r>
      <w:r>
        <w:rPr>
          <w:rFonts w:hint="eastAsia" w:ascii="仿宋" w:hAnsi="仿宋" w:eastAsia="仿宋" w:cs="仿宋"/>
          <w:color w:val="auto"/>
          <w:sz w:val="21"/>
          <w:szCs w:val="21"/>
        </w:rPr>
        <w:t>工程质量等级标准为：</w:t>
      </w:r>
      <w:r>
        <w:rPr>
          <w:rFonts w:hint="eastAsia" w:ascii="仿宋" w:hAnsi="仿宋" w:eastAsia="仿宋" w:cs="仿宋"/>
          <w:b/>
          <w:snapToGrid w:val="0"/>
          <w:color w:val="auto"/>
          <w:sz w:val="21"/>
          <w:szCs w:val="21"/>
          <w:u w:val="single"/>
        </w:rPr>
        <w:t>合格</w:t>
      </w:r>
      <w:r>
        <w:rPr>
          <w:rFonts w:hint="eastAsia" w:ascii="仿宋" w:hAnsi="仿宋" w:eastAsia="仿宋" w:cs="仿宋"/>
          <w:color w:val="auto"/>
          <w:sz w:val="21"/>
          <w:szCs w:val="21"/>
        </w:rPr>
        <w:t>；</w:t>
      </w:r>
    </w:p>
    <w:p>
      <w:pPr>
        <w:pStyle w:val="7"/>
        <w:snapToGrid w:val="0"/>
        <w:spacing w:line="400" w:lineRule="exact"/>
        <w:jc w:val="both"/>
        <w:rPr>
          <w:rFonts w:hint="eastAsia" w:ascii="仿宋" w:hAnsi="仿宋" w:eastAsia="仿宋" w:cs="仿宋"/>
          <w:snapToGrid w:val="0"/>
          <w:color w:val="auto"/>
          <w:sz w:val="21"/>
          <w:szCs w:val="21"/>
        </w:rPr>
      </w:pPr>
      <w:bookmarkStart w:id="412" w:name="_Toc515133198"/>
      <w:bookmarkStart w:id="413" w:name="_Toc27457"/>
      <w:bookmarkStart w:id="414" w:name="_Toc19956"/>
      <w:bookmarkStart w:id="415" w:name="_Toc14304"/>
      <w:bookmarkStart w:id="416" w:name="_Toc84"/>
      <w:bookmarkStart w:id="417" w:name="_Toc392608331"/>
      <w:bookmarkStart w:id="418" w:name="_Toc336325292"/>
      <w:bookmarkStart w:id="419" w:name="_Toc3410"/>
      <w:bookmarkStart w:id="420" w:name="_Toc350184896"/>
      <w:bookmarkStart w:id="421" w:name="_Toc259802235"/>
      <w:bookmarkStart w:id="422" w:name="_Toc31266"/>
      <w:bookmarkStart w:id="423" w:name="_Toc335853942"/>
      <w:bookmarkStart w:id="424" w:name="_Toc13367"/>
      <w:bookmarkStart w:id="425" w:name="_Toc370764142"/>
      <w:bookmarkStart w:id="426" w:name="_Toc311407698"/>
      <w:r>
        <w:rPr>
          <w:rFonts w:hint="eastAsia" w:ascii="仿宋" w:hAnsi="仿宋" w:eastAsia="仿宋" w:cs="仿宋"/>
          <w:snapToGrid w:val="0"/>
          <w:color w:val="auto"/>
          <w:sz w:val="21"/>
          <w:szCs w:val="21"/>
        </w:rPr>
        <w:t>14 验收和检验</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14.1材料、工程设备和工程的试验和检验</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14.1.6 本工程实行见证取样的试块、试件及有关材料：</w:t>
      </w:r>
      <w:r>
        <w:rPr>
          <w:rFonts w:hint="eastAsia" w:ascii="仿宋" w:hAnsi="仿宋" w:eastAsia="仿宋" w:cs="仿宋"/>
          <w:snapToGrid w:val="0"/>
          <w:color w:val="auto"/>
          <w:sz w:val="21"/>
          <w:szCs w:val="21"/>
          <w:u w:val="single"/>
          <w:shd w:val="clear" w:color="auto" w:fill="FFFFFF"/>
        </w:rPr>
        <w:t>具体按监理人的要求</w:t>
      </w:r>
      <w:r>
        <w:rPr>
          <w:rFonts w:hint="eastAsia" w:ascii="仿宋" w:hAnsi="仿宋" w:eastAsia="仿宋" w:cs="仿宋"/>
          <w:snapToGrid w:val="0"/>
          <w:color w:val="auto"/>
          <w:sz w:val="21"/>
          <w:szCs w:val="21"/>
        </w:rPr>
        <w:t>。</w:t>
      </w:r>
    </w:p>
    <w:p>
      <w:pPr>
        <w:pStyle w:val="7"/>
        <w:snapToGrid w:val="0"/>
        <w:spacing w:line="400" w:lineRule="exact"/>
        <w:jc w:val="both"/>
        <w:rPr>
          <w:rFonts w:hint="eastAsia" w:ascii="仿宋" w:hAnsi="仿宋" w:eastAsia="仿宋" w:cs="仿宋"/>
          <w:snapToGrid w:val="0"/>
          <w:color w:val="auto"/>
          <w:sz w:val="21"/>
          <w:szCs w:val="21"/>
        </w:rPr>
      </w:pPr>
      <w:bookmarkStart w:id="427" w:name="_Toc3348"/>
      <w:bookmarkStart w:id="428" w:name="_Toc335853943"/>
      <w:bookmarkStart w:id="429" w:name="_Toc311407699"/>
      <w:bookmarkStart w:id="430" w:name="_Toc13246"/>
      <w:bookmarkStart w:id="431" w:name="_Toc370764143"/>
      <w:bookmarkStart w:id="432" w:name="_Toc12760"/>
      <w:bookmarkStart w:id="433" w:name="_Toc336325293"/>
      <w:bookmarkStart w:id="434" w:name="_Toc28552"/>
      <w:bookmarkStart w:id="435" w:name="_Toc15124"/>
      <w:bookmarkStart w:id="436" w:name="_Toc392608332"/>
      <w:bookmarkStart w:id="437" w:name="_Toc350184897"/>
      <w:bookmarkStart w:id="438" w:name="_Toc562"/>
      <w:bookmarkStart w:id="439" w:name="_Toc16170"/>
      <w:bookmarkStart w:id="440" w:name="_Toc515133199"/>
      <w:r>
        <w:rPr>
          <w:rFonts w:hint="eastAsia" w:ascii="仿宋" w:hAnsi="仿宋" w:eastAsia="仿宋" w:cs="仿宋"/>
          <w:snapToGrid w:val="0"/>
          <w:color w:val="auto"/>
          <w:sz w:val="21"/>
          <w:szCs w:val="21"/>
        </w:rPr>
        <w:t>15变更</w:t>
      </w:r>
      <w:bookmarkEnd w:id="410"/>
      <w:bookmarkEnd w:id="411"/>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15.1 变更的范围和内容</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关于变更的范围的约定：本工程实施过程中发生的工程变更应遵守《吴兴区政府性建设工程概算调整和工程变更管理办法》，未按此办法要求进行工程变更报批的不予认可。</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凡合价金额占签约合同总价2%及以上的分类分项清单项目其工程量增加或减少超过本项目工程数量15%及以上时，或合价金额占签约合同总价不到2%的分类分项清单项目但其工程量增加或减少超过本项目工程数量25%及以上时，增加部分工程量或减少后剩余部分工程量的相应单价由中标人按15.4.3款的原则提出合适的变更单价，并需经监理人审核。变更单价与合同单价相比，上下浮动超过</w:t>
      </w:r>
      <w:r>
        <w:rPr>
          <w:rFonts w:hint="eastAsia" w:ascii="仿宋" w:hAnsi="仿宋" w:eastAsia="仿宋" w:cs="仿宋"/>
          <w:snapToGrid w:val="0"/>
          <w:color w:val="auto"/>
          <w:sz w:val="21"/>
          <w:szCs w:val="21"/>
          <w:u w:val="single"/>
        </w:rPr>
        <w:t xml:space="preserve">    %</w:t>
      </w:r>
      <w:r>
        <w:rPr>
          <w:rFonts w:hint="eastAsia" w:ascii="仿宋" w:hAnsi="仿宋" w:eastAsia="仿宋" w:cs="仿宋"/>
          <w:snapToGrid w:val="0"/>
          <w:color w:val="auto"/>
          <w:sz w:val="21"/>
          <w:szCs w:val="21"/>
        </w:rPr>
        <w:t>（10%~20%）时，按变更单价调整合同单价，发包人同意后进入工程结算。</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由于分类分项清单项目其工程量大幅减少，并造成承包人费用损失的，由承包人提出，监理人审核，发包人同意后进入工程结算。。</w:t>
      </w:r>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15.4 变更的估价原则</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15.4.3 细化为：本合同在实施过程中，如遇到设计变更出现新增或变更项目时，则该新增或变更项目的单价由中标人按以下原则提出变更单价，监理人审核，招标人同意后进入工程结算，支付方式执行原合同约定的支付条款。</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（1）人工预算单价采用投标期浙江省现行水利行业人工预算单价；</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（2）材料预算价格采用投标期基价（投标文件截止日前一个月项目所在地造价管理部门发布的信息价），如无信息价，则根据项目实施时的材料市场价由相关部门组织询价确定材料预算价格；</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（3）机械台班单价按投标期浙江省现行水利水电工程施工机械台班定额和有关规定计算；</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（4）定额采用投标期浙江省现行水利水电工程定额和有关规定，如浙江省水利工程定额不能满足计价，可采用水利部颁布水利定额及其他相关行业定额的定额含量计价；</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（5）取费费率采用投标期浙江省现行水利行业取费标准按工程类别选取费率，对各项弹性区间费率取中间值；</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（6）上述单价按以下计算的综合优惠率进行优惠。</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综合优惠率=[1-（投标人投标价-安全施工费）/（本标段最高投标限价-安全施工费）]*100%。</w:t>
      </w:r>
    </w:p>
    <w:p>
      <w:pPr>
        <w:snapToGrid w:val="0"/>
        <w:spacing w:line="400" w:lineRule="exact"/>
        <w:rPr>
          <w:rFonts w:hint="eastAsia" w:ascii="仿宋" w:hAnsi="仿宋" w:eastAsia="仿宋" w:cs="仿宋"/>
          <w:snapToGrid w:val="0"/>
          <w:color w:val="auto"/>
          <w:sz w:val="21"/>
          <w:szCs w:val="21"/>
          <w:highlight w:val="yellow"/>
        </w:rPr>
      </w:pPr>
      <w:r>
        <w:rPr>
          <w:rFonts w:hint="eastAsia" w:ascii="仿宋" w:hAnsi="仿宋" w:eastAsia="仿宋" w:cs="仿宋"/>
          <w:snapToGrid w:val="0"/>
          <w:color w:val="auto"/>
          <w:sz w:val="21"/>
          <w:szCs w:val="21"/>
        </w:rPr>
        <w:t xml:space="preserve">    （7）按照上述仍无法组价的，根据市场招标或询价确定。</w:t>
      </w:r>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15.5中标人的合理化建议</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15.5.2 中标人实现合理化建议的奖励金额为：</w:t>
      </w:r>
      <w:r>
        <w:rPr>
          <w:rFonts w:hint="eastAsia" w:ascii="仿宋" w:hAnsi="仿宋" w:eastAsia="仿宋" w:cs="仿宋"/>
          <w:snapToGrid w:val="0"/>
          <w:color w:val="auto"/>
          <w:sz w:val="21"/>
          <w:szCs w:val="21"/>
          <w:u w:val="single"/>
        </w:rPr>
        <w:t xml:space="preserve">   /    </w:t>
      </w:r>
      <w:r>
        <w:rPr>
          <w:rFonts w:hint="eastAsia" w:ascii="仿宋" w:hAnsi="仿宋" w:eastAsia="仿宋" w:cs="仿宋"/>
          <w:snapToGrid w:val="0"/>
          <w:color w:val="auto"/>
          <w:sz w:val="21"/>
          <w:szCs w:val="21"/>
        </w:rPr>
        <w:t>。</w:t>
      </w:r>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15.8暂估价</w:t>
      </w:r>
    </w:p>
    <w:p>
      <w:pPr>
        <w:snapToGrid w:val="0"/>
        <w:spacing w:line="400" w:lineRule="exact"/>
        <w:ind w:firstLine="420" w:firstLineChars="200"/>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rPr>
        <w:t>15.8.1 （1）招标人和中标人组织招标的暂估价项目：</w:t>
      </w:r>
      <w:r>
        <w:rPr>
          <w:rFonts w:hint="eastAsia" w:ascii="仿宋" w:hAnsi="仿宋" w:eastAsia="仿宋" w:cs="仿宋"/>
          <w:snapToGrid w:val="0"/>
          <w:color w:val="auto"/>
          <w:sz w:val="21"/>
          <w:szCs w:val="21"/>
          <w:u w:val="single"/>
        </w:rPr>
        <w:t xml:space="preserve"> /   </w:t>
      </w:r>
      <w:r>
        <w:rPr>
          <w:rFonts w:hint="eastAsia" w:ascii="仿宋" w:hAnsi="仿宋" w:eastAsia="仿宋" w:cs="仿宋"/>
          <w:snapToGrid w:val="0"/>
          <w:color w:val="auto"/>
          <w:sz w:val="21"/>
          <w:szCs w:val="21"/>
        </w:rPr>
        <w:t>；招标人组织招标的暂估价项目</w:t>
      </w:r>
      <w:r>
        <w:rPr>
          <w:rFonts w:hint="eastAsia" w:ascii="仿宋" w:hAnsi="仿宋" w:eastAsia="仿宋" w:cs="仿宋"/>
          <w:snapToGrid w:val="0"/>
          <w:color w:val="auto"/>
          <w:sz w:val="21"/>
          <w:szCs w:val="21"/>
          <w:u w:val="single"/>
        </w:rPr>
        <w:t xml:space="preserve">/ </w:t>
      </w:r>
      <w:r>
        <w:rPr>
          <w:rFonts w:hint="eastAsia" w:ascii="仿宋" w:hAnsi="仿宋" w:eastAsia="仿宋" w:cs="仿宋"/>
          <w:snapToGrid w:val="0"/>
          <w:color w:val="auto"/>
          <w:sz w:val="21"/>
          <w:szCs w:val="21"/>
        </w:rPr>
        <w:t>。</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 招标人和中标人以招标方式选择暂估价项目供应商或分包人时，双方的权利义务系：</w:t>
      </w:r>
      <w:r>
        <w:rPr>
          <w:rFonts w:hint="eastAsia" w:ascii="仿宋" w:hAnsi="仿宋" w:eastAsia="仿宋" w:cs="仿宋"/>
          <w:snapToGrid w:val="0"/>
          <w:color w:val="auto"/>
          <w:sz w:val="21"/>
          <w:szCs w:val="21"/>
          <w:u w:val="single"/>
        </w:rPr>
        <w:t xml:space="preserve">/    </w:t>
      </w:r>
      <w:r>
        <w:rPr>
          <w:rFonts w:hint="eastAsia" w:ascii="仿宋" w:hAnsi="仿宋" w:eastAsia="仿宋" w:cs="仿宋"/>
          <w:snapToGrid w:val="0"/>
          <w:color w:val="auto"/>
          <w:sz w:val="21"/>
          <w:szCs w:val="21"/>
        </w:rPr>
        <w:t>。</w:t>
      </w:r>
    </w:p>
    <w:p>
      <w:pPr>
        <w:pStyle w:val="7"/>
        <w:snapToGrid w:val="0"/>
        <w:spacing w:line="400" w:lineRule="exact"/>
        <w:jc w:val="both"/>
        <w:rPr>
          <w:rFonts w:hint="eastAsia" w:ascii="仿宋" w:hAnsi="仿宋" w:eastAsia="仿宋" w:cs="仿宋"/>
          <w:snapToGrid w:val="0"/>
          <w:color w:val="auto"/>
          <w:sz w:val="21"/>
          <w:szCs w:val="21"/>
        </w:rPr>
      </w:pPr>
      <w:bookmarkStart w:id="441" w:name="_Toc184635113"/>
      <w:bookmarkStart w:id="442" w:name="_Toc217819054"/>
      <w:bookmarkStart w:id="443" w:name="_Toc7057"/>
      <w:bookmarkStart w:id="444" w:name="_Toc311407700"/>
      <w:bookmarkStart w:id="445" w:name="_Toc515133200"/>
      <w:bookmarkStart w:id="446" w:name="_Toc350184898"/>
      <w:bookmarkStart w:id="447" w:name="_Toc5249"/>
      <w:bookmarkStart w:id="448" w:name="_Toc21528"/>
      <w:bookmarkStart w:id="449" w:name="_Toc30397"/>
      <w:bookmarkStart w:id="450" w:name="_Toc22142"/>
      <w:bookmarkStart w:id="451" w:name="_Toc392608333"/>
      <w:bookmarkStart w:id="452" w:name="_Toc8858"/>
      <w:bookmarkStart w:id="453" w:name="_Toc336325294"/>
      <w:bookmarkStart w:id="454" w:name="_Toc370764144"/>
      <w:bookmarkStart w:id="455" w:name="_Toc335853944"/>
      <w:bookmarkStart w:id="456" w:name="_Toc17370"/>
      <w:bookmarkStart w:id="457" w:name="_Toc370764145"/>
      <w:bookmarkStart w:id="458" w:name="_Toc241374758"/>
      <w:bookmarkStart w:id="459" w:name="_Toc350184899"/>
      <w:bookmarkStart w:id="460" w:name="_Toc335853945"/>
      <w:bookmarkStart w:id="461" w:name="_Toc336325295"/>
      <w:bookmarkStart w:id="462" w:name="_Toc311407701"/>
      <w:r>
        <w:rPr>
          <w:rFonts w:hint="eastAsia" w:ascii="仿宋" w:hAnsi="仿宋" w:eastAsia="仿宋" w:cs="仿宋"/>
          <w:snapToGrid w:val="0"/>
          <w:color w:val="auto"/>
          <w:sz w:val="21"/>
          <w:szCs w:val="21"/>
        </w:rPr>
        <w:t>16价格调整</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pPr>
        <w:pStyle w:val="7"/>
        <w:snapToGrid w:val="0"/>
        <w:spacing w:line="400" w:lineRule="exact"/>
        <w:jc w:val="both"/>
        <w:rPr>
          <w:rFonts w:hint="eastAsia" w:ascii="仿宋" w:hAnsi="仿宋" w:eastAsia="仿宋" w:cs="仿宋"/>
          <w:snapToGrid w:val="0"/>
          <w:color w:val="auto"/>
          <w:sz w:val="21"/>
          <w:szCs w:val="21"/>
        </w:rPr>
      </w:pPr>
      <w:bookmarkStart w:id="463" w:name="_Toc515133201"/>
      <w:bookmarkStart w:id="464" w:name="_Toc2382"/>
      <w:bookmarkStart w:id="465" w:name="_Toc931"/>
      <w:bookmarkStart w:id="466" w:name="_Toc9082"/>
      <w:bookmarkStart w:id="467" w:name="_Toc4039"/>
      <w:bookmarkStart w:id="468" w:name="_Toc3217"/>
      <w:bookmarkStart w:id="469" w:name="_Toc25251"/>
      <w:bookmarkStart w:id="470" w:name="_Toc392608334"/>
      <w:bookmarkStart w:id="471" w:name="_Toc21281"/>
      <w:bookmarkStart w:id="472" w:name="_Toc12370"/>
      <w:bookmarkStart w:id="473" w:name="_Toc4950"/>
      <w:r>
        <w:rPr>
          <w:rFonts w:hint="eastAsia" w:ascii="仿宋" w:hAnsi="仿宋" w:eastAsia="仿宋" w:cs="仿宋"/>
          <w:snapToGrid w:val="0"/>
          <w:color w:val="auto"/>
          <w:sz w:val="21"/>
          <w:szCs w:val="21"/>
        </w:rPr>
        <w:t>16.1 物价波动引起的价格调整</w:t>
      </w:r>
      <w:bookmarkEnd w:id="463"/>
      <w:bookmarkEnd w:id="464"/>
      <w:bookmarkEnd w:id="465"/>
      <w:bookmarkEnd w:id="466"/>
    </w:p>
    <w:p>
      <w:pPr>
        <w:pStyle w:val="2"/>
        <w:keepNext w:val="0"/>
        <w:pageBreakBefore w:val="0"/>
        <w:kinsoku/>
        <w:wordWrap/>
        <w:overflowPunct/>
        <w:topLinePunct w:val="0"/>
        <w:bidi w:val="0"/>
        <w:spacing w:line="400" w:lineRule="exact"/>
        <w:rPr>
          <w:rFonts w:hint="eastAsia" w:ascii="仿宋" w:hAnsi="仿宋" w:eastAsia="仿宋" w:cs="仿宋"/>
          <w:b w:val="0"/>
          <w:snapToGrid w:val="0"/>
          <w:color w:val="auto"/>
          <w:sz w:val="21"/>
          <w:szCs w:val="21"/>
          <w:highlight w:val="none"/>
          <w:lang w:val="en-US" w:eastAsia="zh-CN"/>
        </w:rPr>
      </w:pPr>
      <w:bookmarkStart w:id="474" w:name="_Toc515133210"/>
      <w:bookmarkStart w:id="475" w:name="_Toc30836"/>
      <w:r>
        <w:rPr>
          <w:rFonts w:hint="eastAsia" w:ascii="仿宋" w:hAnsi="仿宋" w:eastAsia="仿宋" w:cs="仿宋"/>
          <w:b w:val="0"/>
          <w:snapToGrid w:val="0"/>
          <w:color w:val="auto"/>
          <w:sz w:val="21"/>
          <w:szCs w:val="21"/>
          <w:highlight w:val="none"/>
          <w:lang w:val="en-US" w:eastAsia="zh-CN"/>
        </w:rPr>
        <w:t>16.1.1约定为：所有材料价格按当前的市场价考虑风险系数进入单价，在合同执行期内不作调整，价格风险由中标人自负。</w:t>
      </w:r>
    </w:p>
    <w:p>
      <w:pPr>
        <w:pStyle w:val="7"/>
        <w:snapToGrid w:val="0"/>
        <w:spacing w:line="400" w:lineRule="exact"/>
        <w:jc w:val="both"/>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17计量与支付</w:t>
      </w:r>
      <w:bookmarkEnd w:id="457"/>
      <w:bookmarkEnd w:id="458"/>
      <w:bookmarkEnd w:id="459"/>
      <w:bookmarkEnd w:id="460"/>
      <w:bookmarkEnd w:id="461"/>
      <w:bookmarkEnd w:id="462"/>
      <w:bookmarkEnd w:id="467"/>
      <w:bookmarkEnd w:id="468"/>
      <w:bookmarkEnd w:id="469"/>
      <w:bookmarkEnd w:id="470"/>
      <w:bookmarkEnd w:id="471"/>
      <w:bookmarkEnd w:id="472"/>
      <w:bookmarkEnd w:id="473"/>
      <w:bookmarkEnd w:id="474"/>
      <w:bookmarkEnd w:id="475"/>
    </w:p>
    <w:p>
      <w:pPr>
        <w:snapToGrid w:val="0"/>
        <w:spacing w:line="400"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17.2 预付款</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 xml:space="preserve">(1) 工程预付款的总金额为签约合同价(扣除暂列金后)的 10 %  </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预付款的支付额度和付款时间为：在合同协议书订后，中标人的主要设备进入工地后，由中标人提出书面申请，经监理人出具付款证书报送招标人批准后 14 天内予以支付。</w:t>
      </w:r>
    </w:p>
    <w:p>
      <w:pPr>
        <w:spacing w:line="400" w:lineRule="exact"/>
        <w:ind w:firstLine="440" w:firstLineChars="200"/>
        <w:rPr>
          <w:rFonts w:hint="eastAsia" w:ascii="仿宋" w:hAnsi="仿宋" w:eastAsia="仿宋" w:cs="仿宋"/>
          <w:snapToGrid w:val="0"/>
          <w:color w:val="auto"/>
          <w:sz w:val="22"/>
        </w:rPr>
      </w:pPr>
      <w:r>
        <w:rPr>
          <w:rFonts w:hint="eastAsia" w:ascii="仿宋" w:hAnsi="仿宋" w:eastAsia="仿宋" w:cs="仿宋"/>
          <w:snapToGrid w:val="0"/>
          <w:color w:val="auto"/>
          <w:sz w:val="22"/>
        </w:rPr>
        <w:t>(2) 工程材料预付款的额度和预付办法约定为：</w:t>
      </w:r>
      <w:r>
        <w:rPr>
          <w:rFonts w:hint="eastAsia" w:ascii="仿宋" w:hAnsi="仿宋" w:eastAsia="仿宋" w:cs="仿宋"/>
          <w:snapToGrid w:val="0"/>
          <w:color w:val="auto"/>
          <w:sz w:val="22"/>
          <w:u w:val="single"/>
        </w:rPr>
        <w:t xml:space="preserve">   /   </w:t>
      </w:r>
      <w:r>
        <w:rPr>
          <w:rFonts w:hint="eastAsia" w:ascii="仿宋" w:hAnsi="仿宋" w:eastAsia="仿宋" w:cs="仿宋"/>
          <w:snapToGrid w:val="0"/>
          <w:color w:val="auto"/>
          <w:sz w:val="22"/>
        </w:rPr>
        <w:t>。</w:t>
      </w:r>
    </w:p>
    <w:p>
      <w:pPr>
        <w:spacing w:line="400" w:lineRule="exact"/>
        <w:ind w:firstLine="440" w:firstLineChars="200"/>
        <w:rPr>
          <w:rFonts w:hint="eastAsia" w:ascii="仿宋" w:hAnsi="仿宋" w:eastAsia="仿宋" w:cs="仿宋"/>
          <w:snapToGrid w:val="0"/>
          <w:color w:val="auto"/>
          <w:sz w:val="22"/>
        </w:rPr>
      </w:pPr>
      <w:r>
        <w:rPr>
          <w:rFonts w:hint="eastAsia" w:ascii="仿宋" w:hAnsi="仿宋" w:eastAsia="仿宋" w:cs="仿宋"/>
          <w:snapToGrid w:val="0"/>
          <w:color w:val="auto"/>
          <w:sz w:val="22"/>
        </w:rPr>
        <w:t>17.2. 2 预付款保函（担保）</w:t>
      </w:r>
    </w:p>
    <w:p>
      <w:pPr>
        <w:spacing w:line="400" w:lineRule="exact"/>
        <w:ind w:firstLine="440" w:firstLineChars="200"/>
        <w:rPr>
          <w:rFonts w:hint="eastAsia" w:ascii="仿宋" w:hAnsi="仿宋" w:eastAsia="仿宋" w:cs="仿宋"/>
          <w:snapToGrid w:val="0"/>
          <w:color w:val="auto"/>
          <w:sz w:val="22"/>
          <w:lang w:eastAsia="zh-CN"/>
        </w:rPr>
      </w:pPr>
      <w:r>
        <w:rPr>
          <w:rFonts w:hint="eastAsia" w:ascii="仿宋" w:hAnsi="仿宋" w:eastAsia="仿宋" w:cs="仿宋"/>
          <w:snapToGrid w:val="0"/>
          <w:color w:val="auto"/>
          <w:sz w:val="22"/>
          <w:lang w:eastAsia="zh-CN"/>
        </w:rPr>
        <w:t>（</w:t>
      </w:r>
      <w:r>
        <w:rPr>
          <w:rFonts w:hint="eastAsia" w:ascii="仿宋" w:hAnsi="仿宋" w:eastAsia="仿宋" w:cs="仿宋"/>
          <w:snapToGrid w:val="0"/>
          <w:color w:val="auto"/>
          <w:sz w:val="22"/>
          <w:lang w:val="en-US" w:eastAsia="zh-CN"/>
        </w:rPr>
        <w:t>1</w:t>
      </w:r>
      <w:r>
        <w:rPr>
          <w:rFonts w:hint="eastAsia" w:ascii="仿宋" w:hAnsi="仿宋" w:eastAsia="仿宋" w:cs="仿宋"/>
          <w:snapToGrid w:val="0"/>
          <w:color w:val="auto"/>
          <w:sz w:val="22"/>
          <w:lang w:eastAsia="zh-CN"/>
        </w:rPr>
        <w:t>）除专用合同条款另有约定外，承包人应在收到预付款的同时向招标人提交预付款保函，预付款保函的担保金额应与预付款金额相同。保函的担保金额可根据预付款扣回的金额相应递减。</w:t>
      </w:r>
    </w:p>
    <w:p>
      <w:pPr>
        <w:spacing w:line="400" w:lineRule="exact"/>
        <w:ind w:firstLine="660" w:firstLineChars="300"/>
        <w:rPr>
          <w:rFonts w:hint="eastAsia" w:ascii="仿宋" w:hAnsi="仿宋" w:eastAsia="仿宋" w:cs="仿宋"/>
          <w:snapToGrid w:val="0"/>
          <w:color w:val="auto"/>
          <w:sz w:val="22"/>
        </w:rPr>
      </w:pPr>
      <w:r>
        <w:rPr>
          <w:rFonts w:hint="eastAsia" w:ascii="仿宋" w:hAnsi="仿宋" w:eastAsia="仿宋" w:cs="仿宋"/>
          <w:snapToGrid w:val="0"/>
          <w:color w:val="auto"/>
          <w:sz w:val="22"/>
        </w:rPr>
        <w:t>17.2.3 预付款的扣回与还清</w:t>
      </w:r>
    </w:p>
    <w:p>
      <w:pPr>
        <w:spacing w:line="400" w:lineRule="exact"/>
        <w:ind w:firstLine="440" w:firstLineChars="200"/>
        <w:rPr>
          <w:rFonts w:hint="eastAsia" w:ascii="仿宋" w:hAnsi="仿宋" w:eastAsia="仿宋" w:cs="仿宋"/>
          <w:snapToGrid w:val="0"/>
          <w:color w:val="auto"/>
          <w:sz w:val="22"/>
        </w:rPr>
      </w:pPr>
      <w:r>
        <w:rPr>
          <w:rFonts w:hint="eastAsia" w:ascii="仿宋" w:hAnsi="仿宋" w:eastAsia="仿宋" w:cs="仿宋"/>
          <w:snapToGrid w:val="0"/>
          <w:color w:val="auto"/>
          <w:sz w:val="22"/>
        </w:rPr>
        <w:t>(1) 工程预付款在合同累计完成金额达到签约合同价的</w:t>
      </w:r>
      <w:r>
        <w:rPr>
          <w:rFonts w:hint="eastAsia" w:ascii="仿宋" w:hAnsi="仿宋" w:eastAsia="仿宋" w:cs="仿宋"/>
          <w:snapToGrid w:val="0"/>
          <w:color w:val="auto"/>
          <w:sz w:val="22"/>
          <w:u w:val="single"/>
        </w:rPr>
        <w:t>20</w:t>
      </w:r>
      <w:r>
        <w:rPr>
          <w:rFonts w:hint="eastAsia" w:ascii="仿宋" w:hAnsi="仿宋" w:eastAsia="仿宋" w:cs="仿宋"/>
          <w:snapToGrid w:val="0"/>
          <w:color w:val="auto"/>
          <w:sz w:val="22"/>
        </w:rPr>
        <w:t>%时开始扣款，直至合同累计完成金额达到签约合同价的</w:t>
      </w:r>
      <w:r>
        <w:rPr>
          <w:rFonts w:hint="eastAsia" w:ascii="仿宋" w:hAnsi="仿宋" w:eastAsia="仿宋" w:cs="仿宋"/>
          <w:snapToGrid w:val="0"/>
          <w:color w:val="auto"/>
          <w:sz w:val="22"/>
          <w:u w:val="single"/>
        </w:rPr>
        <w:t>50</w:t>
      </w:r>
      <w:r>
        <w:rPr>
          <w:rFonts w:hint="eastAsia" w:ascii="仿宋" w:hAnsi="仿宋" w:eastAsia="仿宋" w:cs="仿宋"/>
          <w:snapToGrid w:val="0"/>
          <w:color w:val="auto"/>
          <w:sz w:val="22"/>
        </w:rPr>
        <w:t>%时全部扣清。</w:t>
      </w:r>
    </w:p>
    <w:p>
      <w:pPr>
        <w:spacing w:line="400" w:lineRule="exact"/>
        <w:ind w:firstLine="440" w:firstLineChars="200"/>
        <w:rPr>
          <w:rFonts w:hint="eastAsia" w:ascii="仿宋" w:hAnsi="仿宋" w:eastAsia="仿宋" w:cs="仿宋"/>
          <w:color w:val="auto"/>
          <w:sz w:val="20"/>
        </w:rPr>
      </w:pPr>
      <w:r>
        <w:rPr>
          <w:rFonts w:hint="eastAsia" w:ascii="仿宋" w:hAnsi="仿宋" w:eastAsia="仿宋" w:cs="仿宋"/>
          <w:snapToGrid w:val="0"/>
          <w:color w:val="auto"/>
          <w:sz w:val="22"/>
        </w:rPr>
        <w:t>(2) 工程材料预付款的扣回与还清约定为：</w:t>
      </w:r>
      <w:r>
        <w:rPr>
          <w:rFonts w:hint="eastAsia" w:ascii="仿宋" w:hAnsi="仿宋" w:eastAsia="仿宋" w:cs="仿宋"/>
          <w:snapToGrid w:val="0"/>
          <w:color w:val="auto"/>
          <w:sz w:val="22"/>
          <w:u w:val="single"/>
        </w:rPr>
        <w:t xml:space="preserve">   /   </w:t>
      </w:r>
      <w:r>
        <w:rPr>
          <w:rFonts w:hint="eastAsia" w:ascii="仿宋" w:hAnsi="仿宋" w:eastAsia="仿宋" w:cs="仿宋"/>
          <w:snapToGrid w:val="0"/>
          <w:color w:val="auto"/>
          <w:sz w:val="22"/>
        </w:rPr>
        <w:t>。</w:t>
      </w:r>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17.3 工程进度付款</w:t>
      </w:r>
    </w:p>
    <w:p>
      <w:pPr>
        <w:spacing w:line="400" w:lineRule="exact"/>
        <w:ind w:firstLine="440" w:firstLineChars="200"/>
        <w:rPr>
          <w:rFonts w:hint="eastAsia" w:ascii="仿宋" w:hAnsi="仿宋" w:eastAsia="仿宋" w:cs="仿宋"/>
          <w:snapToGrid w:val="0"/>
          <w:color w:val="auto"/>
          <w:sz w:val="22"/>
        </w:rPr>
      </w:pPr>
      <w:r>
        <w:rPr>
          <w:rFonts w:hint="eastAsia" w:ascii="仿宋" w:hAnsi="仿宋" w:eastAsia="仿宋" w:cs="仿宋"/>
          <w:snapToGrid w:val="0"/>
          <w:color w:val="auto"/>
          <w:sz w:val="22"/>
        </w:rPr>
        <w:t>17.3.3 进度付款证书和支付时间</w:t>
      </w:r>
    </w:p>
    <w:p>
      <w:pPr>
        <w:pStyle w:val="8"/>
        <w:snapToGrid w:val="0"/>
        <w:spacing w:line="400" w:lineRule="exact"/>
        <w:ind w:firstLine="420" w:firstLineChars="200"/>
        <w:jc w:val="both"/>
        <w:rPr>
          <w:rFonts w:hint="eastAsia" w:ascii="仿宋" w:hAnsi="仿宋" w:eastAsia="仿宋" w:cs="仿宋"/>
          <w:color w:val="auto"/>
          <w:sz w:val="21"/>
          <w:szCs w:val="21"/>
          <w:u w:val="single"/>
        </w:rPr>
      </w:pPr>
      <w:r>
        <w:rPr>
          <w:rFonts w:hint="eastAsia" w:ascii="仿宋" w:hAnsi="仿宋" w:eastAsia="仿宋" w:cs="仿宋"/>
          <w:color w:val="auto"/>
          <w:sz w:val="21"/>
          <w:szCs w:val="21"/>
          <w:u w:val="single"/>
        </w:rPr>
        <w:t>工程款支付办法：完成工程量的50%支付至完成工程量的</w:t>
      </w:r>
      <w:r>
        <w:rPr>
          <w:rFonts w:hint="eastAsia" w:ascii="仿宋" w:hAnsi="仿宋" w:eastAsia="仿宋" w:cs="仿宋"/>
          <w:color w:val="auto"/>
          <w:sz w:val="21"/>
          <w:szCs w:val="21"/>
          <w:u w:val="single"/>
          <w:lang w:val="en-US" w:eastAsia="zh-CN"/>
        </w:rPr>
        <w:t>85</w:t>
      </w:r>
      <w:r>
        <w:rPr>
          <w:rFonts w:hint="eastAsia" w:ascii="仿宋" w:hAnsi="仿宋" w:eastAsia="仿宋" w:cs="仿宋"/>
          <w:color w:val="auto"/>
          <w:sz w:val="21"/>
          <w:szCs w:val="21"/>
          <w:u w:val="single"/>
        </w:rPr>
        <w:t>% ；本工程完工验收合格后支付至实际验收完成工程的</w:t>
      </w:r>
      <w:r>
        <w:rPr>
          <w:rFonts w:hint="eastAsia" w:ascii="仿宋" w:hAnsi="仿宋" w:eastAsia="仿宋" w:cs="仿宋"/>
          <w:color w:val="auto"/>
          <w:sz w:val="21"/>
          <w:szCs w:val="21"/>
          <w:u w:val="single"/>
          <w:lang w:val="en-US" w:eastAsia="zh-CN"/>
        </w:rPr>
        <w:t>85%</w:t>
      </w:r>
      <w:r>
        <w:rPr>
          <w:rFonts w:hint="eastAsia" w:ascii="仿宋" w:hAnsi="仿宋" w:eastAsia="仿宋" w:cs="仿宋"/>
          <w:color w:val="auto"/>
          <w:sz w:val="21"/>
          <w:szCs w:val="21"/>
          <w:u w:val="single"/>
        </w:rPr>
        <w:t>；工程结算通过三方（发包人、承包人及发包人或发包人主管部门委托的咨询人）共同确认无异议且出具审核报告后支付至核准价的98.5%；剩余1.5%工程款作为预留质量保修金（无息）。工程项目完工验收合格后10日内无息返还履约保证金；至工程完成初验后安全防护、文明施工措施费用全部支付完毕。中标人必须按规定支付民工工资，并且招标人有监督的权利。如中标人未按规定兑现，招标人有权直接从工程款中扣除该费用，用于直接支付民工工资，并扣罚双倍的费用。</w:t>
      </w:r>
    </w:p>
    <w:p>
      <w:pPr>
        <w:pStyle w:val="8"/>
        <w:snapToGrid w:val="0"/>
        <w:spacing w:line="40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u w:val="single"/>
        </w:rPr>
        <w:t>注：施工过程变更的工程量在进度款中不予支付，待工程结算通过三方（发包人、承包人及发包人或发包人主管部门委托的咨询人）共同确认无异议且出具审核报告后支付。。</w:t>
      </w:r>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17.4 质量保证金</w:t>
      </w:r>
    </w:p>
    <w:p>
      <w:pPr>
        <w:pStyle w:val="8"/>
        <w:snapToGrid w:val="0"/>
        <w:spacing w:line="400" w:lineRule="exact"/>
        <w:jc w:val="both"/>
        <w:rPr>
          <w:rFonts w:hint="eastAsia" w:ascii="仿宋" w:hAnsi="仿宋" w:eastAsia="仿宋" w:cs="仿宋"/>
          <w:b w:val="0"/>
          <w:color w:val="auto"/>
          <w:sz w:val="21"/>
          <w:szCs w:val="21"/>
        </w:rPr>
      </w:pPr>
      <w:bookmarkStart w:id="476" w:name="_Toc241374759"/>
      <w:bookmarkStart w:id="477" w:name="_Toc184635116"/>
      <w:r>
        <w:rPr>
          <w:rFonts w:hint="eastAsia" w:ascii="仿宋" w:hAnsi="仿宋" w:eastAsia="仿宋" w:cs="仿宋"/>
          <w:b w:val="0"/>
          <w:color w:val="auto"/>
          <w:sz w:val="21"/>
          <w:szCs w:val="21"/>
        </w:rPr>
        <w:t xml:space="preserve">  </w:t>
      </w:r>
      <w:r>
        <w:rPr>
          <w:rFonts w:hint="eastAsia" w:ascii="仿宋" w:hAnsi="仿宋" w:eastAsia="仿宋" w:cs="仿宋"/>
          <w:b w:val="0"/>
          <w:color w:val="auto"/>
          <w:sz w:val="21"/>
          <w:szCs w:val="21"/>
          <w:lang w:val="en-US" w:eastAsia="zh-CN"/>
        </w:rPr>
        <w:t xml:space="preserve"> </w:t>
      </w:r>
      <w:r>
        <w:rPr>
          <w:rFonts w:hint="eastAsia" w:ascii="仿宋" w:hAnsi="仿宋" w:eastAsia="仿宋" w:cs="仿宋"/>
          <w:b w:val="0"/>
          <w:color w:val="auto"/>
          <w:sz w:val="21"/>
          <w:szCs w:val="21"/>
        </w:rPr>
        <w:t xml:space="preserve"> 17.4.1质量保证金总额为完工结算合同总价的</w:t>
      </w:r>
      <w:r>
        <w:rPr>
          <w:rFonts w:hint="eastAsia" w:ascii="仿宋" w:hAnsi="仿宋" w:eastAsia="仿宋" w:cs="仿宋"/>
          <w:b w:val="0"/>
          <w:color w:val="auto"/>
          <w:sz w:val="21"/>
          <w:szCs w:val="21"/>
          <w:u w:val="single"/>
        </w:rPr>
        <w:t xml:space="preserve">  1.5  %</w:t>
      </w:r>
      <w:r>
        <w:rPr>
          <w:rFonts w:hint="eastAsia" w:ascii="仿宋" w:hAnsi="仿宋" w:eastAsia="仿宋" w:cs="仿宋"/>
          <w:b w:val="0"/>
          <w:color w:val="auto"/>
          <w:sz w:val="21"/>
          <w:szCs w:val="21"/>
        </w:rPr>
        <w:t>（不得超过1.5%），在合同工程完工结算时扣留，工程进度付款时不另行扣留。发包人在扣留质量保证金时，应同时将履约担保退还给承包人。</w:t>
      </w:r>
    </w:p>
    <w:p>
      <w:pPr>
        <w:pStyle w:val="8"/>
        <w:snapToGrid w:val="0"/>
        <w:spacing w:line="400" w:lineRule="exact"/>
        <w:jc w:val="both"/>
        <w:rPr>
          <w:rFonts w:hint="eastAsia" w:ascii="仿宋" w:hAnsi="仿宋" w:eastAsia="仿宋" w:cs="仿宋"/>
          <w:b w:val="0"/>
          <w:color w:val="auto"/>
          <w:sz w:val="21"/>
          <w:szCs w:val="21"/>
        </w:rPr>
      </w:pPr>
      <w:r>
        <w:rPr>
          <w:rFonts w:hint="eastAsia" w:ascii="仿宋" w:hAnsi="仿宋" w:eastAsia="仿宋" w:cs="仿宋"/>
          <w:b w:val="0"/>
          <w:color w:val="auto"/>
          <w:sz w:val="21"/>
          <w:szCs w:val="21"/>
        </w:rPr>
        <w:t>承包人可采用等额银行保函或保险公司保函换取质量保证金，办理保函所需的费用由承包人承担。</w:t>
      </w:r>
    </w:p>
    <w:p>
      <w:pPr>
        <w:pStyle w:val="8"/>
        <w:snapToGrid w:val="0"/>
        <w:spacing w:line="400" w:lineRule="exact"/>
        <w:ind w:firstLine="420" w:firstLineChars="200"/>
        <w:jc w:val="both"/>
        <w:rPr>
          <w:rFonts w:hint="eastAsia" w:ascii="仿宋" w:hAnsi="仿宋" w:eastAsia="仿宋" w:cs="仿宋"/>
          <w:b w:val="0"/>
          <w:color w:val="auto"/>
          <w:sz w:val="21"/>
          <w:szCs w:val="21"/>
        </w:rPr>
      </w:pPr>
      <w:r>
        <w:rPr>
          <w:rFonts w:hint="eastAsia" w:ascii="仿宋" w:hAnsi="仿宋" w:eastAsia="仿宋" w:cs="仿宋"/>
          <w:b w:val="0"/>
          <w:color w:val="auto"/>
          <w:sz w:val="21"/>
          <w:szCs w:val="21"/>
        </w:rPr>
        <w:t>17.4.2 在第1.1.4.5目约定的缺陷责任期（工程质量保修期）满时，发包人将在30个工作日内会同承包人按照合同约定的内容核实承包人是否完成保修责任。如无异议，发包人应当在核实后将剩余的质量保证金支付给承包人。</w:t>
      </w:r>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17.5 竣工（完工）结算</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17.5.1 竣工（完工）付款申请单</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 中标人应提交完工付款申请单一式</w:t>
      </w:r>
      <w:r>
        <w:rPr>
          <w:rFonts w:hint="eastAsia" w:ascii="仿宋" w:hAnsi="仿宋" w:eastAsia="仿宋" w:cs="仿宋"/>
          <w:snapToGrid w:val="0"/>
          <w:color w:val="auto"/>
          <w:sz w:val="21"/>
          <w:szCs w:val="21"/>
          <w:u w:val="single"/>
        </w:rPr>
        <w:t xml:space="preserve"> 6 </w:t>
      </w:r>
      <w:r>
        <w:rPr>
          <w:rFonts w:hint="eastAsia" w:ascii="仿宋" w:hAnsi="仿宋" w:eastAsia="仿宋" w:cs="仿宋"/>
          <w:snapToGrid w:val="0"/>
          <w:color w:val="auto"/>
          <w:sz w:val="21"/>
          <w:szCs w:val="21"/>
        </w:rPr>
        <w:t>份。</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17.5.3 工程价款必须经过招标人委托的第三方审价。审价后的核减费用超过送审结算价5%以上部分的审价费由中标人承担。</w:t>
      </w:r>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17.6 最终结清</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17. 6.1 最终结清申请单</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 中标人应提交最终结清申请单一式</w:t>
      </w:r>
      <w:r>
        <w:rPr>
          <w:rFonts w:hint="eastAsia" w:ascii="仿宋" w:hAnsi="仿宋" w:eastAsia="仿宋" w:cs="仿宋"/>
          <w:snapToGrid w:val="0"/>
          <w:color w:val="auto"/>
          <w:sz w:val="21"/>
          <w:szCs w:val="21"/>
          <w:u w:val="single"/>
        </w:rPr>
        <w:t xml:space="preserve"> 6 </w:t>
      </w:r>
      <w:r>
        <w:rPr>
          <w:rFonts w:hint="eastAsia" w:ascii="仿宋" w:hAnsi="仿宋" w:eastAsia="仿宋" w:cs="仿宋"/>
          <w:snapToGrid w:val="0"/>
          <w:color w:val="auto"/>
          <w:sz w:val="21"/>
          <w:szCs w:val="21"/>
        </w:rPr>
        <w:t>份。</w:t>
      </w:r>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17.7 竣工财务决算</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中标人应为竣工财务决算编制提供的资料：</w:t>
      </w:r>
      <w:r>
        <w:rPr>
          <w:rFonts w:hint="eastAsia" w:ascii="仿宋" w:hAnsi="仿宋" w:eastAsia="仿宋" w:cs="仿宋"/>
          <w:snapToGrid w:val="0"/>
          <w:color w:val="auto"/>
          <w:sz w:val="21"/>
          <w:szCs w:val="21"/>
          <w:u w:val="single"/>
        </w:rPr>
        <w:t>财务决算所需的一切资料</w:t>
      </w:r>
      <w:r>
        <w:rPr>
          <w:rFonts w:hint="eastAsia" w:ascii="仿宋" w:hAnsi="仿宋" w:eastAsia="仿宋" w:cs="仿宋"/>
          <w:snapToGrid w:val="0"/>
          <w:color w:val="auto"/>
          <w:sz w:val="21"/>
          <w:szCs w:val="21"/>
        </w:rPr>
        <w:t>。</w:t>
      </w:r>
    </w:p>
    <w:p>
      <w:pPr>
        <w:pStyle w:val="7"/>
        <w:snapToGrid w:val="0"/>
        <w:spacing w:line="400" w:lineRule="exact"/>
        <w:jc w:val="both"/>
        <w:rPr>
          <w:rFonts w:hint="eastAsia" w:ascii="仿宋" w:hAnsi="仿宋" w:eastAsia="仿宋" w:cs="仿宋"/>
          <w:snapToGrid w:val="0"/>
          <w:color w:val="auto"/>
          <w:sz w:val="21"/>
          <w:szCs w:val="21"/>
        </w:rPr>
      </w:pPr>
      <w:bookmarkStart w:id="478" w:name="_Toc22031"/>
      <w:bookmarkStart w:id="479" w:name="_Toc336325296"/>
      <w:bookmarkStart w:id="480" w:name="_Toc515133211"/>
      <w:bookmarkStart w:id="481" w:name="_Toc31176"/>
      <w:bookmarkStart w:id="482" w:name="_Toc13620"/>
      <w:bookmarkStart w:id="483" w:name="_Toc335853946"/>
      <w:bookmarkStart w:id="484" w:name="_Toc392608335"/>
      <w:bookmarkStart w:id="485" w:name="_Toc259802239"/>
      <w:bookmarkStart w:id="486" w:name="_Toc350184900"/>
      <w:bookmarkStart w:id="487" w:name="_Toc2491"/>
      <w:bookmarkStart w:id="488" w:name="_Toc22414"/>
      <w:bookmarkStart w:id="489" w:name="_Toc370764146"/>
      <w:bookmarkStart w:id="490" w:name="_Toc21338"/>
      <w:bookmarkStart w:id="491" w:name="_Toc12447"/>
      <w:bookmarkStart w:id="492" w:name="_Toc311407702"/>
      <w:r>
        <w:rPr>
          <w:rFonts w:hint="eastAsia" w:ascii="仿宋" w:hAnsi="仿宋" w:eastAsia="仿宋" w:cs="仿宋"/>
          <w:snapToGrid w:val="0"/>
          <w:color w:val="auto"/>
          <w:sz w:val="21"/>
          <w:szCs w:val="21"/>
        </w:rPr>
        <w:t>18 竣工验收（验收）</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18.1 验收工作分类</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本工程法人验收包括：</w:t>
      </w:r>
      <w:r>
        <w:rPr>
          <w:rFonts w:hint="eastAsia" w:ascii="仿宋" w:hAnsi="仿宋" w:eastAsia="仿宋" w:cs="仿宋"/>
          <w:snapToGrid w:val="0"/>
          <w:color w:val="auto"/>
          <w:sz w:val="21"/>
          <w:szCs w:val="21"/>
          <w:u w:val="single"/>
        </w:rPr>
        <w:t>分部工程验收，单位工程验收，合同工程完工验收</w:t>
      </w:r>
      <w:r>
        <w:rPr>
          <w:rFonts w:hint="eastAsia" w:ascii="仿宋" w:hAnsi="仿宋" w:eastAsia="仿宋" w:cs="仿宋"/>
          <w:snapToGrid w:val="0"/>
          <w:color w:val="auto"/>
          <w:sz w:val="21"/>
          <w:szCs w:val="21"/>
        </w:rPr>
        <w:t>；政府验收包括：</w:t>
      </w:r>
      <w:r>
        <w:rPr>
          <w:rFonts w:hint="eastAsia" w:ascii="仿宋" w:hAnsi="仿宋" w:eastAsia="仿宋" w:cs="仿宋"/>
          <w:snapToGrid w:val="0"/>
          <w:color w:val="auto"/>
          <w:sz w:val="21"/>
          <w:szCs w:val="21"/>
          <w:u w:val="single"/>
        </w:rPr>
        <w:t xml:space="preserve"> 阶段验收，专项验收，竣工验收 </w:t>
      </w:r>
      <w:r>
        <w:rPr>
          <w:rFonts w:hint="eastAsia" w:ascii="仿宋" w:hAnsi="仿宋" w:eastAsia="仿宋" w:cs="仿宋"/>
          <w:snapToGrid w:val="0"/>
          <w:color w:val="auto"/>
          <w:sz w:val="21"/>
          <w:szCs w:val="21"/>
        </w:rPr>
        <w:t>。验收条件为及验收程序参照</w:t>
      </w:r>
      <w:r>
        <w:rPr>
          <w:rFonts w:hint="eastAsia" w:ascii="仿宋" w:hAnsi="仿宋" w:eastAsia="仿宋" w:cs="仿宋"/>
          <w:snapToGrid w:val="0"/>
          <w:color w:val="auto"/>
          <w:sz w:val="21"/>
          <w:szCs w:val="21"/>
          <w:u w:val="single"/>
        </w:rPr>
        <w:t>《水利水电建设工程验收规程》（SL223-2008）执行</w:t>
      </w:r>
      <w:r>
        <w:rPr>
          <w:rFonts w:hint="eastAsia" w:ascii="仿宋" w:hAnsi="仿宋" w:eastAsia="仿宋" w:cs="仿宋"/>
          <w:snapToGrid w:val="0"/>
          <w:color w:val="auto"/>
          <w:sz w:val="21"/>
          <w:szCs w:val="21"/>
        </w:rPr>
        <w:t>。</w:t>
      </w:r>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18.2 分部工程验收</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18.2.2 本工程分部工程验收由监理人主持。</w:t>
      </w:r>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18.3 单位工程验收</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18.3.4 提前投入使用的单位工程包括：</w:t>
      </w:r>
      <w:r>
        <w:rPr>
          <w:rFonts w:hint="eastAsia" w:ascii="仿宋" w:hAnsi="仿宋" w:eastAsia="仿宋" w:cs="仿宋"/>
          <w:snapToGrid w:val="0"/>
          <w:color w:val="auto"/>
          <w:sz w:val="21"/>
          <w:szCs w:val="21"/>
          <w:u w:val="single"/>
        </w:rPr>
        <w:t xml:space="preserve">  /  </w:t>
      </w:r>
      <w:r>
        <w:rPr>
          <w:rFonts w:hint="eastAsia" w:ascii="仿宋" w:hAnsi="仿宋" w:eastAsia="仿宋" w:cs="仿宋"/>
          <w:snapToGrid w:val="0"/>
          <w:color w:val="auto"/>
          <w:sz w:val="21"/>
          <w:szCs w:val="21"/>
        </w:rPr>
        <w:t>。</w:t>
      </w:r>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18.5 阶段验收</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18.5.1 本合同工程阶段验收类别包括：</w:t>
      </w:r>
      <w:r>
        <w:rPr>
          <w:rFonts w:hint="eastAsia" w:ascii="仿宋" w:hAnsi="仿宋" w:eastAsia="仿宋" w:cs="仿宋"/>
          <w:snapToGrid w:val="0"/>
          <w:color w:val="auto"/>
          <w:sz w:val="21"/>
          <w:szCs w:val="21"/>
          <w:u w:val="single"/>
        </w:rPr>
        <w:t xml:space="preserve">  /  </w:t>
      </w:r>
      <w:r>
        <w:rPr>
          <w:rFonts w:hint="eastAsia" w:ascii="仿宋" w:hAnsi="仿宋" w:eastAsia="仿宋" w:cs="仿宋"/>
          <w:snapToGrid w:val="0"/>
          <w:color w:val="auto"/>
          <w:sz w:val="21"/>
          <w:szCs w:val="21"/>
        </w:rPr>
        <w:t>。</w:t>
      </w:r>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18.6 专项验收</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18.6.2 本合同工程专项验收类别包括：</w:t>
      </w:r>
      <w:r>
        <w:rPr>
          <w:rFonts w:hint="eastAsia" w:ascii="仿宋" w:hAnsi="仿宋" w:eastAsia="仿宋" w:cs="仿宋"/>
          <w:snapToGrid w:val="0"/>
          <w:color w:val="auto"/>
          <w:sz w:val="21"/>
          <w:szCs w:val="21"/>
          <w:u w:val="single"/>
        </w:rPr>
        <w:t xml:space="preserve">  /  </w:t>
      </w:r>
      <w:r>
        <w:rPr>
          <w:rFonts w:hint="eastAsia" w:ascii="仿宋" w:hAnsi="仿宋" w:eastAsia="仿宋" w:cs="仿宋"/>
          <w:snapToGrid w:val="0"/>
          <w:color w:val="auto"/>
          <w:sz w:val="21"/>
          <w:szCs w:val="21"/>
        </w:rPr>
        <w:t>。</w:t>
      </w:r>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18.7 竣工验收</w:t>
      </w:r>
    </w:p>
    <w:p>
      <w:pPr>
        <w:snapToGrid w:val="0"/>
        <w:spacing w:line="400" w:lineRule="exact"/>
        <w:ind w:firstLine="420" w:firstLineChars="200"/>
        <w:rPr>
          <w:rFonts w:hint="eastAsia" w:ascii="仿宋" w:hAnsi="仿宋" w:eastAsia="仿宋" w:cs="仿宋"/>
          <w:b/>
          <w:bCs/>
          <w:snapToGrid w:val="0"/>
          <w:color w:val="auto"/>
          <w:sz w:val="21"/>
          <w:szCs w:val="21"/>
        </w:rPr>
      </w:pPr>
      <w:r>
        <w:rPr>
          <w:rFonts w:hint="eastAsia" w:ascii="仿宋" w:hAnsi="仿宋" w:eastAsia="仿宋" w:cs="仿宋"/>
          <w:b/>
          <w:bCs/>
          <w:snapToGrid w:val="0"/>
          <w:color w:val="auto"/>
          <w:sz w:val="21"/>
          <w:szCs w:val="21"/>
        </w:rPr>
        <w:t>18.7.3 本工程是否需要竣工验收技术鉴定由竣工验收委员会确定。</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18.7.6 项目竣工验收前，中标人应按《水利工程建设项目档案验收管理办法》做好档案整编、归档工作，并配合招标人申请并通过档案验收。</w:t>
      </w:r>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18.8 施工期运行</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18.8.1 需要在施工期运行的单位工程或工程设备为：</w:t>
      </w:r>
      <w:r>
        <w:rPr>
          <w:rFonts w:hint="eastAsia" w:ascii="仿宋" w:hAnsi="仿宋" w:eastAsia="仿宋" w:cs="仿宋"/>
          <w:snapToGrid w:val="0"/>
          <w:color w:val="auto"/>
          <w:sz w:val="21"/>
          <w:szCs w:val="21"/>
          <w:u w:val="single"/>
        </w:rPr>
        <w:t xml:space="preserve">  /   </w:t>
      </w:r>
      <w:r>
        <w:rPr>
          <w:rFonts w:hint="eastAsia" w:ascii="仿宋" w:hAnsi="仿宋" w:eastAsia="仿宋" w:cs="仿宋"/>
          <w:snapToGrid w:val="0"/>
          <w:color w:val="auto"/>
          <w:sz w:val="21"/>
          <w:szCs w:val="21"/>
        </w:rPr>
        <w:t>。</w:t>
      </w:r>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18.9 试运行</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18.9.1 试运行的组织：</w:t>
      </w:r>
      <w:r>
        <w:rPr>
          <w:rFonts w:hint="eastAsia" w:ascii="仿宋" w:hAnsi="仿宋" w:eastAsia="仿宋" w:cs="仿宋"/>
          <w:snapToGrid w:val="0"/>
          <w:color w:val="auto"/>
          <w:sz w:val="21"/>
          <w:szCs w:val="21"/>
          <w:u w:val="single"/>
        </w:rPr>
        <w:t xml:space="preserve">  /  </w:t>
      </w:r>
      <w:r>
        <w:rPr>
          <w:rFonts w:hint="eastAsia" w:ascii="仿宋" w:hAnsi="仿宋" w:eastAsia="仿宋" w:cs="仿宋"/>
          <w:snapToGrid w:val="0"/>
          <w:color w:val="auto"/>
          <w:sz w:val="21"/>
          <w:szCs w:val="21"/>
        </w:rPr>
        <w:t>；费用承担：</w:t>
      </w:r>
      <w:r>
        <w:rPr>
          <w:rFonts w:hint="eastAsia" w:ascii="仿宋" w:hAnsi="仿宋" w:eastAsia="仿宋" w:cs="仿宋"/>
          <w:snapToGrid w:val="0"/>
          <w:color w:val="auto"/>
          <w:sz w:val="21"/>
          <w:szCs w:val="21"/>
          <w:u w:val="single"/>
        </w:rPr>
        <w:t xml:space="preserve">  /  </w:t>
      </w:r>
      <w:r>
        <w:rPr>
          <w:rFonts w:hint="eastAsia" w:ascii="仿宋" w:hAnsi="仿宋" w:eastAsia="仿宋" w:cs="仿宋"/>
          <w:snapToGrid w:val="0"/>
          <w:color w:val="auto"/>
          <w:sz w:val="21"/>
          <w:szCs w:val="21"/>
        </w:rPr>
        <w:t>。</w:t>
      </w:r>
    </w:p>
    <w:p>
      <w:pPr>
        <w:pStyle w:val="7"/>
        <w:snapToGrid w:val="0"/>
        <w:spacing w:line="400" w:lineRule="exact"/>
        <w:jc w:val="both"/>
        <w:rPr>
          <w:rFonts w:hint="eastAsia" w:ascii="仿宋" w:hAnsi="仿宋" w:eastAsia="仿宋" w:cs="仿宋"/>
          <w:snapToGrid w:val="0"/>
          <w:color w:val="auto"/>
          <w:sz w:val="21"/>
          <w:szCs w:val="21"/>
        </w:rPr>
      </w:pPr>
      <w:bookmarkStart w:id="493" w:name="_Toc1617"/>
      <w:bookmarkStart w:id="494" w:name="_Toc335853947"/>
      <w:bookmarkStart w:id="495" w:name="_Toc515133212"/>
      <w:bookmarkStart w:id="496" w:name="_Toc311407703"/>
      <w:bookmarkStart w:id="497" w:name="_Toc7878"/>
      <w:bookmarkStart w:id="498" w:name="_Toc31378"/>
      <w:bookmarkStart w:id="499" w:name="_Toc15849"/>
      <w:bookmarkStart w:id="500" w:name="_Toc28049"/>
      <w:bookmarkStart w:id="501" w:name="_Toc350184901"/>
      <w:bookmarkStart w:id="502" w:name="_Toc336325297"/>
      <w:bookmarkStart w:id="503" w:name="_Toc8369"/>
      <w:bookmarkStart w:id="504" w:name="_Toc370764147"/>
      <w:bookmarkStart w:id="505" w:name="_Toc392608336"/>
      <w:r>
        <w:rPr>
          <w:rFonts w:hint="eastAsia" w:ascii="仿宋" w:hAnsi="仿宋" w:eastAsia="仿宋" w:cs="仿宋"/>
          <w:snapToGrid w:val="0"/>
          <w:color w:val="auto"/>
          <w:sz w:val="21"/>
          <w:szCs w:val="21"/>
        </w:rPr>
        <w:t>19缺陷责任与保修责任</w:t>
      </w:r>
      <w:bookmarkEnd w:id="476"/>
      <w:bookmarkEnd w:id="477"/>
      <w:bookmarkEnd w:id="493"/>
      <w:bookmarkEnd w:id="494"/>
      <w:bookmarkEnd w:id="495"/>
      <w:bookmarkEnd w:id="496"/>
      <w:bookmarkEnd w:id="497"/>
      <w:bookmarkEnd w:id="498"/>
      <w:bookmarkEnd w:id="499"/>
      <w:bookmarkEnd w:id="500"/>
      <w:bookmarkEnd w:id="501"/>
      <w:bookmarkEnd w:id="502"/>
      <w:bookmarkEnd w:id="503"/>
      <w:bookmarkEnd w:id="504"/>
      <w:bookmarkEnd w:id="505"/>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19.1 缺陷责任期（工程质量保修期）的起算时间</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本工程缺陷责期（工程质量保修期）为</w:t>
      </w:r>
      <w:r>
        <w:rPr>
          <w:rFonts w:hint="eastAsia" w:ascii="仿宋" w:hAnsi="仿宋" w:eastAsia="仿宋" w:cs="仿宋"/>
          <w:b/>
          <w:color w:val="auto"/>
          <w:sz w:val="21"/>
          <w:u w:val="single"/>
          <w:lang w:val="en-US" w:eastAsia="zh-CN"/>
        </w:rPr>
        <w:t>1</w:t>
      </w:r>
      <w:r>
        <w:rPr>
          <w:rFonts w:hint="eastAsia" w:ascii="仿宋" w:hAnsi="仿宋" w:eastAsia="仿宋" w:cs="仿宋"/>
          <w:b/>
          <w:color w:val="auto"/>
          <w:sz w:val="21"/>
          <w:u w:val="single"/>
        </w:rPr>
        <w:t>年</w:t>
      </w:r>
      <w:r>
        <w:rPr>
          <w:rFonts w:hint="eastAsia" w:ascii="仿宋" w:hAnsi="仿宋" w:eastAsia="仿宋" w:cs="仿宋"/>
          <w:snapToGrid w:val="0"/>
          <w:color w:val="auto"/>
          <w:sz w:val="21"/>
          <w:szCs w:val="21"/>
        </w:rPr>
        <w:t>。</w:t>
      </w:r>
    </w:p>
    <w:p>
      <w:pPr>
        <w:pStyle w:val="7"/>
        <w:snapToGrid w:val="0"/>
        <w:spacing w:line="400" w:lineRule="exact"/>
        <w:jc w:val="both"/>
        <w:rPr>
          <w:rFonts w:hint="eastAsia" w:ascii="仿宋" w:hAnsi="仿宋" w:eastAsia="仿宋" w:cs="仿宋"/>
          <w:snapToGrid w:val="0"/>
          <w:color w:val="auto"/>
          <w:sz w:val="21"/>
          <w:szCs w:val="21"/>
        </w:rPr>
      </w:pPr>
      <w:bookmarkStart w:id="506" w:name="_Toc31395"/>
      <w:bookmarkStart w:id="507" w:name="_Toc4009"/>
      <w:bookmarkStart w:id="508" w:name="_Toc350184902"/>
      <w:bookmarkStart w:id="509" w:name="_Toc9481"/>
      <w:bookmarkStart w:id="510" w:name="_Toc370764148"/>
      <w:bookmarkStart w:id="511" w:name="_Toc392608337"/>
      <w:bookmarkStart w:id="512" w:name="_Toc32356"/>
      <w:bookmarkStart w:id="513" w:name="_Toc335853948"/>
      <w:bookmarkStart w:id="514" w:name="_Toc311407704"/>
      <w:bookmarkStart w:id="515" w:name="_Toc21799"/>
      <w:bookmarkStart w:id="516" w:name="_Toc259802241"/>
      <w:bookmarkStart w:id="517" w:name="_Toc336325298"/>
      <w:bookmarkStart w:id="518" w:name="_Toc184635117"/>
      <w:bookmarkStart w:id="519" w:name="_Toc515133213"/>
      <w:bookmarkStart w:id="520" w:name="_Toc23559"/>
      <w:bookmarkStart w:id="521" w:name="_Toc19252"/>
      <w:r>
        <w:rPr>
          <w:rFonts w:hint="eastAsia" w:ascii="仿宋" w:hAnsi="仿宋" w:eastAsia="仿宋" w:cs="仿宋"/>
          <w:snapToGrid w:val="0"/>
          <w:color w:val="auto"/>
          <w:sz w:val="21"/>
          <w:szCs w:val="21"/>
        </w:rPr>
        <w:t>20保险</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20.1 工程保险</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建筑工程一切保险和（或）安装工程一切险投保人：</w:t>
      </w:r>
      <w:r>
        <w:rPr>
          <w:rFonts w:hint="eastAsia" w:ascii="仿宋" w:hAnsi="仿宋" w:eastAsia="仿宋" w:cs="仿宋"/>
          <w:snapToGrid w:val="0"/>
          <w:color w:val="auto"/>
          <w:sz w:val="21"/>
          <w:szCs w:val="21"/>
          <w:u w:val="single"/>
        </w:rPr>
        <w:t>由中标人以招标人和中标人的名义投保，费用列入投标文件；招标人凭保函支付保费；</w:t>
      </w:r>
    </w:p>
    <w:p>
      <w:pPr>
        <w:snapToGrid w:val="0"/>
        <w:spacing w:line="40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投保内容：</w:t>
      </w:r>
      <w:r>
        <w:rPr>
          <w:rFonts w:hint="eastAsia" w:ascii="仿宋" w:hAnsi="仿宋" w:eastAsia="仿宋" w:cs="仿宋"/>
          <w:snapToGrid w:val="0"/>
          <w:color w:val="auto"/>
          <w:sz w:val="21"/>
          <w:szCs w:val="21"/>
          <w:u w:val="single"/>
        </w:rPr>
        <w:t>为本合同工程的永久工程、临时工程和设备及已运至施工工地用于永久工程的材料和设备；</w:t>
      </w:r>
    </w:p>
    <w:p>
      <w:pPr>
        <w:snapToGrid w:val="0"/>
        <w:spacing w:line="400" w:lineRule="exact"/>
        <w:ind w:firstLine="420" w:firstLineChars="200"/>
        <w:rPr>
          <w:rFonts w:hint="eastAsia" w:ascii="仿宋" w:hAnsi="仿宋" w:eastAsia="仿宋" w:cs="仿宋"/>
          <w:color w:val="auto"/>
          <w:sz w:val="21"/>
          <w:szCs w:val="21"/>
          <w:u w:val="single"/>
        </w:rPr>
      </w:pPr>
      <w:r>
        <w:rPr>
          <w:rFonts w:hint="eastAsia" w:ascii="仿宋" w:hAnsi="仿宋" w:eastAsia="仿宋" w:cs="仿宋"/>
          <w:snapToGrid w:val="0"/>
          <w:color w:val="auto"/>
          <w:sz w:val="21"/>
          <w:szCs w:val="21"/>
        </w:rPr>
        <w:t>保险金额、保险费率和保险期限：</w:t>
      </w:r>
      <w:r>
        <w:rPr>
          <w:rFonts w:hint="eastAsia" w:ascii="仿宋" w:hAnsi="仿宋" w:eastAsia="仿宋" w:cs="仿宋"/>
          <w:color w:val="auto"/>
          <w:sz w:val="21"/>
          <w:szCs w:val="21"/>
          <w:u w:val="single"/>
        </w:rPr>
        <w:t>保险金额按保险人规定，保险费率由中标人与保险人协商确定，保险期限：开工日起直至本合同工程签发缺陷责任终止证书止（即合同工期＋缺陷责任期）</w:t>
      </w:r>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20.4 第三者责任险</w:t>
      </w:r>
    </w:p>
    <w:p>
      <w:pPr>
        <w:pStyle w:val="15"/>
        <w:snapToGrid w:val="0"/>
        <w:spacing w:line="400" w:lineRule="exact"/>
        <w:ind w:firstLine="420" w:firstLineChars="200"/>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20.4.2 第三者责任险保险费率：</w:t>
      </w:r>
      <w:r>
        <w:rPr>
          <w:rFonts w:hint="eastAsia" w:ascii="仿宋" w:hAnsi="仿宋" w:eastAsia="仿宋" w:cs="仿宋"/>
          <w:color w:val="auto"/>
          <w:szCs w:val="21"/>
          <w:u w:val="single"/>
        </w:rPr>
        <w:t>自行考虑</w:t>
      </w:r>
      <w:r>
        <w:rPr>
          <w:rFonts w:hint="eastAsia" w:ascii="仿宋" w:hAnsi="仿宋" w:eastAsia="仿宋" w:cs="仿宋"/>
          <w:snapToGrid w:val="0"/>
          <w:color w:val="auto"/>
          <w:kern w:val="0"/>
          <w:szCs w:val="21"/>
        </w:rPr>
        <w:t>；第三者责任险保险金额：</w:t>
      </w:r>
      <w:r>
        <w:rPr>
          <w:rFonts w:hint="eastAsia" w:ascii="仿宋" w:hAnsi="仿宋" w:eastAsia="仿宋" w:cs="仿宋"/>
          <w:snapToGrid w:val="0"/>
          <w:color w:val="auto"/>
          <w:kern w:val="0"/>
          <w:szCs w:val="21"/>
          <w:u w:val="single"/>
        </w:rPr>
        <w:t>100万元/年，事故次数不限（不计免赔额）</w:t>
      </w:r>
      <w:r>
        <w:rPr>
          <w:rFonts w:hint="eastAsia" w:ascii="仿宋" w:hAnsi="仿宋" w:eastAsia="仿宋" w:cs="仿宋"/>
          <w:snapToGrid w:val="0"/>
          <w:color w:val="auto"/>
          <w:kern w:val="0"/>
          <w:szCs w:val="21"/>
        </w:rPr>
        <w:t>。</w:t>
      </w:r>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20.5 其它保险</w:t>
      </w:r>
    </w:p>
    <w:p>
      <w:pPr>
        <w:pStyle w:val="15"/>
        <w:snapToGrid w:val="0"/>
        <w:spacing w:line="400" w:lineRule="exact"/>
        <w:ind w:firstLine="420" w:firstLineChars="200"/>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需要投保的其它内容：</w:t>
      </w:r>
      <w:r>
        <w:rPr>
          <w:rFonts w:hint="eastAsia" w:ascii="仿宋" w:hAnsi="仿宋" w:eastAsia="仿宋" w:cs="仿宋"/>
          <w:snapToGrid w:val="0"/>
          <w:color w:val="auto"/>
          <w:kern w:val="0"/>
          <w:szCs w:val="21"/>
          <w:u w:val="single"/>
        </w:rPr>
        <w:t xml:space="preserve">  /  </w:t>
      </w:r>
      <w:r>
        <w:rPr>
          <w:rFonts w:hint="eastAsia" w:ascii="仿宋" w:hAnsi="仿宋" w:eastAsia="仿宋" w:cs="仿宋"/>
          <w:snapToGrid w:val="0"/>
          <w:color w:val="auto"/>
          <w:kern w:val="0"/>
          <w:szCs w:val="21"/>
        </w:rPr>
        <w:t>；</w:t>
      </w:r>
    </w:p>
    <w:p>
      <w:pPr>
        <w:pStyle w:val="15"/>
        <w:snapToGrid w:val="0"/>
        <w:spacing w:line="400" w:lineRule="exact"/>
        <w:ind w:firstLine="420" w:firstLineChars="200"/>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保险金额、保险费率和保险期限：</w:t>
      </w:r>
      <w:r>
        <w:rPr>
          <w:rFonts w:hint="eastAsia" w:ascii="仿宋" w:hAnsi="仿宋" w:eastAsia="仿宋" w:cs="仿宋"/>
          <w:snapToGrid w:val="0"/>
          <w:color w:val="auto"/>
          <w:kern w:val="0"/>
          <w:szCs w:val="21"/>
          <w:u w:val="single"/>
        </w:rPr>
        <w:t xml:space="preserve">  /  </w:t>
      </w:r>
      <w:r>
        <w:rPr>
          <w:rFonts w:hint="eastAsia" w:ascii="仿宋" w:hAnsi="仿宋" w:eastAsia="仿宋" w:cs="仿宋"/>
          <w:snapToGrid w:val="0"/>
          <w:color w:val="auto"/>
          <w:kern w:val="0"/>
          <w:szCs w:val="21"/>
        </w:rPr>
        <w:t>。</w:t>
      </w:r>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20.6 对各项保险的一般要求</w:t>
      </w:r>
    </w:p>
    <w:p>
      <w:pPr>
        <w:pStyle w:val="15"/>
        <w:snapToGrid w:val="0"/>
        <w:spacing w:line="400" w:lineRule="exact"/>
        <w:ind w:firstLine="420" w:firstLineChars="200"/>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20. 6.1 保险凭证</w:t>
      </w:r>
    </w:p>
    <w:p>
      <w:pPr>
        <w:pStyle w:val="15"/>
        <w:snapToGrid w:val="0"/>
        <w:spacing w:line="400" w:lineRule="exact"/>
        <w:ind w:firstLine="420" w:firstLineChars="200"/>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中标人提交保险凭证的期限：</w:t>
      </w:r>
      <w:r>
        <w:rPr>
          <w:rFonts w:hint="eastAsia" w:ascii="仿宋" w:hAnsi="仿宋" w:eastAsia="仿宋" w:cs="仿宋"/>
          <w:snapToGrid w:val="0"/>
          <w:color w:val="auto"/>
          <w:kern w:val="0"/>
          <w:szCs w:val="21"/>
          <w:u w:val="single"/>
        </w:rPr>
        <w:t>保险手续办理完毕后7 天内提交</w:t>
      </w:r>
      <w:r>
        <w:rPr>
          <w:rFonts w:hint="eastAsia" w:ascii="仿宋" w:hAnsi="仿宋" w:eastAsia="仿宋" w:cs="仿宋"/>
          <w:snapToGrid w:val="0"/>
          <w:color w:val="auto"/>
          <w:kern w:val="0"/>
          <w:szCs w:val="21"/>
        </w:rPr>
        <w:t>。</w:t>
      </w:r>
    </w:p>
    <w:p>
      <w:pPr>
        <w:pStyle w:val="15"/>
        <w:snapToGrid w:val="0"/>
        <w:spacing w:line="400" w:lineRule="exact"/>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20.6.4 保险金不足的补偿</w:t>
      </w:r>
    </w:p>
    <w:p>
      <w:pPr>
        <w:pStyle w:val="15"/>
        <w:snapToGrid w:val="0"/>
        <w:spacing w:line="400" w:lineRule="exact"/>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szCs w:val="21"/>
        </w:rPr>
        <w:t>中标</w:t>
      </w:r>
      <w:r>
        <w:rPr>
          <w:rFonts w:hint="eastAsia" w:ascii="仿宋" w:hAnsi="仿宋" w:eastAsia="仿宋" w:cs="仿宋"/>
          <w:snapToGrid w:val="0"/>
          <w:color w:val="auto"/>
          <w:kern w:val="0"/>
          <w:szCs w:val="21"/>
        </w:rPr>
        <w:t>人负责补偿的范围与金额：</w:t>
      </w:r>
      <w:r>
        <w:rPr>
          <w:rFonts w:hint="eastAsia" w:ascii="仿宋" w:hAnsi="仿宋" w:eastAsia="仿宋" w:cs="仿宋"/>
          <w:snapToGrid w:val="0"/>
          <w:color w:val="auto"/>
          <w:kern w:val="0"/>
          <w:szCs w:val="21"/>
          <w:u w:val="single"/>
        </w:rPr>
        <w:t>保险金不足的补偿均由中标人负责</w:t>
      </w:r>
      <w:r>
        <w:rPr>
          <w:rFonts w:hint="eastAsia" w:ascii="仿宋" w:hAnsi="仿宋" w:eastAsia="仿宋" w:cs="仿宋"/>
          <w:snapToGrid w:val="0"/>
          <w:color w:val="auto"/>
          <w:kern w:val="0"/>
          <w:szCs w:val="21"/>
        </w:rPr>
        <w:t>。</w:t>
      </w:r>
    </w:p>
    <w:p>
      <w:pPr>
        <w:pStyle w:val="15"/>
        <w:snapToGrid w:val="0"/>
        <w:spacing w:line="400" w:lineRule="exact"/>
        <w:ind w:firstLine="420" w:firstLineChars="200"/>
        <w:jc w:val="left"/>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招标人负责补偿的范围与金额：</w:t>
      </w:r>
      <w:r>
        <w:rPr>
          <w:rFonts w:hint="eastAsia" w:ascii="仿宋" w:hAnsi="仿宋" w:eastAsia="仿宋" w:cs="仿宋"/>
          <w:snapToGrid w:val="0"/>
          <w:color w:val="auto"/>
          <w:kern w:val="0"/>
          <w:szCs w:val="21"/>
          <w:u w:val="single"/>
        </w:rPr>
        <w:t>由于本工程一切保险均由中标人负责投保，其费用均列入报价，故招标人不承担保险金不足的补偿。</w:t>
      </w:r>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24 争议的解决</w:t>
      </w:r>
    </w:p>
    <w:p>
      <w:pPr>
        <w:pStyle w:val="8"/>
        <w:snapToGrid w:val="0"/>
        <w:spacing w:line="40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rPr>
        <w:t>24.1 争议的解决方式</w:t>
      </w:r>
    </w:p>
    <w:p>
      <w:pPr>
        <w:pStyle w:val="15"/>
        <w:snapToGrid w:val="0"/>
        <w:spacing w:line="400" w:lineRule="exact"/>
        <w:ind w:firstLine="420" w:firstLineChars="200"/>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合同当事人友好协商解决不成、不愿提请争议评审或不接受争议评审组意见的，约定的合同争议解决方式：</w:t>
      </w:r>
      <w:r>
        <w:rPr>
          <w:rFonts w:hint="eastAsia" w:ascii="仿宋" w:hAnsi="仿宋" w:eastAsia="仿宋" w:cs="仿宋"/>
          <w:snapToGrid w:val="0"/>
          <w:color w:val="auto"/>
          <w:kern w:val="0"/>
          <w:szCs w:val="21"/>
          <w:u w:val="single"/>
        </w:rPr>
        <w:t xml:space="preserve">工程所在地仲裁委员会仲裁 </w:t>
      </w:r>
      <w:r>
        <w:rPr>
          <w:rFonts w:hint="eastAsia" w:ascii="仿宋" w:hAnsi="仿宋" w:eastAsia="仿宋" w:cs="仿宋"/>
          <w:snapToGrid w:val="0"/>
          <w:color w:val="auto"/>
          <w:kern w:val="0"/>
          <w:szCs w:val="21"/>
        </w:rPr>
        <w:t xml:space="preserve">。 </w:t>
      </w:r>
    </w:p>
    <w:p>
      <w:pPr>
        <w:snapToGrid w:val="0"/>
        <w:spacing w:line="400" w:lineRule="exact"/>
        <w:ind w:firstLine="480"/>
        <w:rPr>
          <w:rFonts w:hint="eastAsia" w:ascii="仿宋" w:hAnsi="仿宋" w:eastAsia="仿宋" w:cs="仿宋"/>
          <w:b/>
          <w:snapToGrid w:val="0"/>
          <w:color w:val="auto"/>
          <w:sz w:val="21"/>
          <w:szCs w:val="21"/>
        </w:rPr>
      </w:pPr>
      <w:r>
        <w:rPr>
          <w:rFonts w:hint="eastAsia" w:ascii="仿宋" w:hAnsi="仿宋" w:eastAsia="仿宋" w:cs="仿宋"/>
          <w:b/>
          <w:snapToGrid w:val="0"/>
          <w:color w:val="auto"/>
          <w:sz w:val="21"/>
          <w:szCs w:val="21"/>
        </w:rPr>
        <w:t>通用合同条款补充：</w:t>
      </w:r>
    </w:p>
    <w:p>
      <w:pPr>
        <w:pStyle w:val="7"/>
        <w:snapToGrid w:val="0"/>
        <w:spacing w:line="400" w:lineRule="exact"/>
        <w:jc w:val="both"/>
        <w:rPr>
          <w:rFonts w:hint="eastAsia" w:ascii="仿宋" w:hAnsi="仿宋" w:eastAsia="仿宋" w:cs="仿宋"/>
          <w:snapToGrid w:val="0"/>
          <w:color w:val="auto"/>
          <w:sz w:val="21"/>
          <w:szCs w:val="21"/>
        </w:rPr>
      </w:pPr>
      <w:bookmarkStart w:id="522" w:name="_Toc515133214"/>
      <w:bookmarkStart w:id="523" w:name="_Toc392608338"/>
      <w:bookmarkStart w:id="524" w:name="_Toc241374762"/>
      <w:bookmarkStart w:id="525" w:name="_Toc29508"/>
      <w:bookmarkStart w:id="526" w:name="_Toc311407705"/>
      <w:bookmarkStart w:id="527" w:name="_Toc178843982"/>
      <w:bookmarkStart w:id="528" w:name="_Toc13343"/>
      <w:bookmarkStart w:id="529" w:name="_Toc4372"/>
      <w:bookmarkStart w:id="530" w:name="_Toc24531"/>
      <w:bookmarkStart w:id="531" w:name="_Toc1659"/>
      <w:bookmarkStart w:id="532" w:name="_Toc370764149"/>
      <w:bookmarkStart w:id="533" w:name="_Toc9301"/>
      <w:bookmarkStart w:id="534" w:name="_Toc336325299"/>
      <w:bookmarkStart w:id="535" w:name="_Toc350184903"/>
      <w:bookmarkStart w:id="536" w:name="_Toc335853949"/>
      <w:bookmarkStart w:id="537" w:name="_Toc21619"/>
      <w:r>
        <w:rPr>
          <w:rFonts w:hint="eastAsia" w:ascii="仿宋" w:hAnsi="仿宋" w:eastAsia="仿宋" w:cs="仿宋"/>
          <w:snapToGrid w:val="0"/>
          <w:color w:val="auto"/>
          <w:sz w:val="21"/>
          <w:szCs w:val="21"/>
        </w:rPr>
        <w:t>25 .合同类型</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pPr>
        <w:snapToGrid w:val="0"/>
        <w:spacing w:line="400" w:lineRule="exact"/>
        <w:ind w:firstLine="420" w:firstLineChars="200"/>
        <w:rPr>
          <w:rFonts w:hint="eastAsia" w:ascii="仿宋" w:hAnsi="仿宋" w:eastAsia="仿宋" w:cs="仿宋"/>
          <w:bCs/>
          <w:snapToGrid w:val="0"/>
          <w:color w:val="auto"/>
          <w:sz w:val="21"/>
          <w:szCs w:val="21"/>
        </w:rPr>
      </w:pPr>
      <w:r>
        <w:rPr>
          <w:rFonts w:hint="eastAsia" w:ascii="仿宋" w:hAnsi="仿宋" w:eastAsia="仿宋" w:cs="仿宋"/>
          <w:bCs/>
          <w:snapToGrid w:val="0"/>
          <w:color w:val="auto"/>
          <w:sz w:val="21"/>
          <w:szCs w:val="21"/>
        </w:rPr>
        <w:t xml:space="preserve">  除招标文件另有规定外，本合同的建筑安装工程采用单价</w:t>
      </w:r>
      <w:r>
        <w:rPr>
          <w:rFonts w:hint="eastAsia" w:ascii="仿宋" w:hAnsi="仿宋" w:eastAsia="仿宋" w:cs="仿宋"/>
          <w:snapToGrid w:val="0"/>
          <w:color w:val="auto"/>
          <w:sz w:val="21"/>
          <w:szCs w:val="21"/>
        </w:rPr>
        <w:t>中标</w:t>
      </w:r>
      <w:r>
        <w:rPr>
          <w:rFonts w:hint="eastAsia" w:ascii="仿宋" w:hAnsi="仿宋" w:eastAsia="仿宋" w:cs="仿宋"/>
          <w:bCs/>
          <w:snapToGrid w:val="0"/>
          <w:color w:val="auto"/>
          <w:sz w:val="21"/>
          <w:szCs w:val="21"/>
        </w:rPr>
        <w:t>，在合同执行期内，单价不变（合同另有约定除外），工程量按实调整；措施项目费用和其他项目费用（除“安全施工费”外）均采用总价承包，在合同执行期内不作调整。</w:t>
      </w:r>
    </w:p>
    <w:p>
      <w:pPr>
        <w:snapToGrid w:val="0"/>
        <w:spacing w:line="400" w:lineRule="exact"/>
        <w:ind w:firstLine="420" w:firstLineChars="200"/>
        <w:rPr>
          <w:rFonts w:hint="eastAsia" w:ascii="仿宋" w:hAnsi="仿宋" w:eastAsia="仿宋" w:cs="仿宋"/>
          <w:bCs/>
          <w:snapToGrid w:val="0"/>
          <w:color w:val="auto"/>
          <w:sz w:val="21"/>
          <w:szCs w:val="21"/>
        </w:rPr>
      </w:pPr>
      <w:r>
        <w:rPr>
          <w:rFonts w:hint="eastAsia" w:ascii="仿宋" w:hAnsi="仿宋" w:eastAsia="仿宋" w:cs="仿宋"/>
          <w:bCs/>
          <w:snapToGrid w:val="0"/>
          <w:color w:val="auto"/>
          <w:sz w:val="21"/>
          <w:szCs w:val="21"/>
        </w:rPr>
        <w:t>“安全施工费”不作为竞争性费用，且实行标外管理，由招标人掌握使用。</w:t>
      </w:r>
    </w:p>
    <w:p>
      <w:pPr>
        <w:pStyle w:val="8"/>
        <w:snapToGrid w:val="0"/>
        <w:spacing w:line="400" w:lineRule="exact"/>
        <w:jc w:val="both"/>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26.除涉及国家秘密、商业秘密和个人隐私外，招标人应在合同签订后15日内在项目交易平台上公开合同订立信息。</w:t>
      </w:r>
    </w:p>
    <w:p>
      <w:pPr>
        <w:spacing w:line="240" w:lineRule="exact"/>
        <w:rPr>
          <w:rFonts w:hint="eastAsia" w:ascii="仿宋" w:hAnsi="仿宋" w:eastAsia="仿宋" w:cs="仿宋"/>
          <w:b/>
          <w:snapToGrid w:val="0"/>
          <w:color w:val="auto"/>
        </w:rPr>
      </w:pPr>
    </w:p>
    <w:p>
      <w:pPr>
        <w:spacing w:line="240" w:lineRule="exact"/>
        <w:rPr>
          <w:rFonts w:hint="eastAsia" w:ascii="仿宋" w:hAnsi="仿宋" w:eastAsia="仿宋" w:cs="仿宋"/>
          <w:b/>
          <w:snapToGrid w:val="0"/>
          <w:color w:val="auto"/>
        </w:rPr>
      </w:pPr>
    </w:p>
    <w:p>
      <w:pPr>
        <w:pStyle w:val="7"/>
        <w:snapToGrid w:val="0"/>
        <w:spacing w:line="360" w:lineRule="exact"/>
        <w:jc w:val="center"/>
        <w:rPr>
          <w:rFonts w:hint="eastAsia" w:ascii="仿宋" w:hAnsi="仿宋" w:eastAsia="仿宋" w:cs="仿宋"/>
          <w:color w:val="auto"/>
          <w:sz w:val="21"/>
          <w:szCs w:val="21"/>
        </w:rPr>
      </w:pPr>
      <w:bookmarkStart w:id="538" w:name="_Toc217819060"/>
      <w:bookmarkStart w:id="539" w:name="_Toc336325301"/>
      <w:r>
        <w:rPr>
          <w:rFonts w:hint="eastAsia" w:ascii="仿宋" w:hAnsi="仿宋" w:eastAsia="仿宋" w:cs="仿宋"/>
          <w:b w:val="0"/>
          <w:color w:val="auto"/>
          <w:sz w:val="21"/>
          <w:szCs w:val="21"/>
        </w:rPr>
        <w:br w:type="page"/>
      </w:r>
      <w:bookmarkStart w:id="540" w:name="_Toc20437"/>
      <w:bookmarkStart w:id="541" w:name="_Toc1234"/>
      <w:r>
        <w:rPr>
          <w:rFonts w:hint="eastAsia" w:ascii="仿宋" w:hAnsi="仿宋" w:eastAsia="仿宋" w:cs="仿宋"/>
          <w:color w:val="auto"/>
        </w:rPr>
        <w:t>第三节合同附件格式</w:t>
      </w:r>
      <w:bookmarkEnd w:id="538"/>
      <w:bookmarkEnd w:id="539"/>
      <w:bookmarkEnd w:id="540"/>
      <w:bookmarkEnd w:id="541"/>
    </w:p>
    <w:p>
      <w:pPr>
        <w:pStyle w:val="7"/>
        <w:rPr>
          <w:rFonts w:hint="eastAsia" w:ascii="仿宋" w:hAnsi="仿宋" w:eastAsia="仿宋" w:cs="仿宋"/>
          <w:snapToGrid w:val="0"/>
          <w:color w:val="auto"/>
        </w:rPr>
      </w:pPr>
      <w:bookmarkStart w:id="542" w:name="_Toc235848384"/>
      <w:bookmarkStart w:id="543" w:name="_Toc217819061"/>
      <w:bookmarkStart w:id="544" w:name="_Toc24400"/>
      <w:bookmarkStart w:id="545" w:name="_Toc336325302"/>
      <w:bookmarkStart w:id="546" w:name="_Toc27354"/>
      <w:bookmarkStart w:id="547" w:name="_Toc452839302"/>
      <w:bookmarkStart w:id="548" w:name="_Toc405378502"/>
      <w:r>
        <w:rPr>
          <w:rFonts w:hint="eastAsia" w:ascii="仿宋" w:hAnsi="仿宋" w:eastAsia="仿宋" w:cs="仿宋"/>
          <w:snapToGrid w:val="0"/>
          <w:color w:val="auto"/>
        </w:rPr>
        <w:t>附件一</w:t>
      </w:r>
      <w:bookmarkEnd w:id="542"/>
      <w:bookmarkEnd w:id="543"/>
      <w:r>
        <w:rPr>
          <w:rFonts w:hint="eastAsia" w:ascii="仿宋" w:hAnsi="仿宋" w:eastAsia="仿宋" w:cs="仿宋"/>
          <w:snapToGrid w:val="0"/>
          <w:color w:val="auto"/>
        </w:rPr>
        <w:t>：合同协议书</w:t>
      </w:r>
      <w:bookmarkEnd w:id="544"/>
      <w:bookmarkEnd w:id="545"/>
      <w:bookmarkEnd w:id="546"/>
      <w:bookmarkEnd w:id="547"/>
      <w:bookmarkEnd w:id="548"/>
    </w:p>
    <w:p>
      <w:pPr>
        <w:pStyle w:val="15"/>
        <w:adjustRightInd w:val="0"/>
        <w:spacing w:line="360" w:lineRule="auto"/>
        <w:jc w:val="center"/>
        <w:rPr>
          <w:rFonts w:hint="eastAsia" w:ascii="仿宋" w:hAnsi="仿宋" w:eastAsia="仿宋" w:cs="仿宋"/>
          <w:snapToGrid w:val="0"/>
          <w:color w:val="auto"/>
          <w:kern w:val="0"/>
          <w:sz w:val="24"/>
        </w:rPr>
      </w:pPr>
      <w:r>
        <w:rPr>
          <w:rFonts w:hint="eastAsia" w:ascii="仿宋" w:hAnsi="仿宋" w:eastAsia="仿宋" w:cs="仿宋"/>
          <w:b/>
          <w:snapToGrid w:val="0"/>
          <w:color w:val="auto"/>
          <w:kern w:val="0"/>
          <w:sz w:val="30"/>
          <w:szCs w:val="30"/>
        </w:rPr>
        <w:t>合同协议书</w:t>
      </w:r>
    </w:p>
    <w:p>
      <w:pPr>
        <w:pStyle w:val="15"/>
        <w:adjustRightInd w:val="0"/>
        <w:ind w:left="105" w:leftChars="44" w:firstLine="512" w:firstLineChars="244"/>
        <w:rPr>
          <w:rFonts w:hint="eastAsia" w:ascii="仿宋" w:hAnsi="仿宋" w:eastAsia="仿宋" w:cs="仿宋"/>
          <w:snapToGrid w:val="0"/>
          <w:color w:val="auto"/>
          <w:kern w:val="0"/>
          <w:szCs w:val="21"/>
          <w:u w:val="single"/>
        </w:rPr>
      </w:pPr>
      <w:r>
        <w:rPr>
          <w:rFonts w:hint="eastAsia" w:ascii="仿宋" w:hAnsi="仿宋" w:eastAsia="仿宋" w:cs="仿宋"/>
          <w:snapToGrid w:val="0"/>
          <w:color w:val="auto"/>
          <w:kern w:val="0"/>
          <w:szCs w:val="21"/>
        </w:rPr>
        <w:t>________________（招标人名称，以下简称“招标人”）为实施</w:t>
      </w:r>
      <w:r>
        <w:rPr>
          <w:rFonts w:hint="eastAsia" w:ascii="仿宋" w:hAnsi="仿宋" w:eastAsia="仿宋" w:cs="仿宋"/>
          <w:color w:val="auto"/>
          <w:szCs w:val="21"/>
          <w:u w:val="single"/>
        </w:rPr>
        <w:t>_____   __</w:t>
      </w:r>
      <w:r>
        <w:rPr>
          <w:rFonts w:hint="eastAsia" w:ascii="仿宋" w:hAnsi="仿宋" w:eastAsia="仿宋" w:cs="仿宋"/>
          <w:snapToGrid w:val="0"/>
          <w:color w:val="auto"/>
          <w:kern w:val="0"/>
          <w:szCs w:val="21"/>
        </w:rPr>
        <w:t xml:space="preserve"> (项目名称)，已接受</w:t>
      </w:r>
      <w:r>
        <w:rPr>
          <w:rFonts w:hint="eastAsia" w:ascii="仿宋" w:hAnsi="仿宋" w:eastAsia="仿宋" w:cs="仿宋"/>
          <w:snapToGrid w:val="0"/>
          <w:color w:val="auto"/>
          <w:kern w:val="0"/>
          <w:szCs w:val="21"/>
          <w:u w:val="single"/>
        </w:rPr>
        <w:t>__________________</w:t>
      </w:r>
      <w:r>
        <w:rPr>
          <w:rFonts w:hint="eastAsia" w:ascii="仿宋" w:hAnsi="仿宋" w:eastAsia="仿宋" w:cs="仿宋"/>
          <w:snapToGrid w:val="0"/>
          <w:color w:val="auto"/>
          <w:kern w:val="0"/>
          <w:szCs w:val="21"/>
        </w:rPr>
        <w:t>（</w:t>
      </w:r>
      <w:r>
        <w:rPr>
          <w:rFonts w:hint="eastAsia" w:ascii="仿宋" w:hAnsi="仿宋" w:eastAsia="仿宋" w:cs="仿宋"/>
          <w:snapToGrid w:val="0"/>
          <w:color w:val="auto"/>
          <w:szCs w:val="21"/>
        </w:rPr>
        <w:t>中标</w:t>
      </w:r>
      <w:r>
        <w:rPr>
          <w:rFonts w:hint="eastAsia" w:ascii="仿宋" w:hAnsi="仿宋" w:eastAsia="仿宋" w:cs="仿宋"/>
          <w:snapToGrid w:val="0"/>
          <w:color w:val="auto"/>
          <w:kern w:val="0"/>
          <w:szCs w:val="21"/>
        </w:rPr>
        <w:t>人名称，以下简称“</w:t>
      </w:r>
      <w:r>
        <w:rPr>
          <w:rFonts w:hint="eastAsia" w:ascii="仿宋" w:hAnsi="仿宋" w:eastAsia="仿宋" w:cs="仿宋"/>
          <w:snapToGrid w:val="0"/>
          <w:color w:val="auto"/>
          <w:szCs w:val="21"/>
        </w:rPr>
        <w:t>中标</w:t>
      </w:r>
      <w:r>
        <w:rPr>
          <w:rFonts w:hint="eastAsia" w:ascii="仿宋" w:hAnsi="仿宋" w:eastAsia="仿宋" w:cs="仿宋"/>
          <w:snapToGrid w:val="0"/>
          <w:color w:val="auto"/>
          <w:kern w:val="0"/>
          <w:szCs w:val="21"/>
        </w:rPr>
        <w:t>人”）对该项目标段施工的投标。招标人和</w:t>
      </w:r>
      <w:r>
        <w:rPr>
          <w:rFonts w:hint="eastAsia" w:ascii="仿宋" w:hAnsi="仿宋" w:eastAsia="仿宋" w:cs="仿宋"/>
          <w:snapToGrid w:val="0"/>
          <w:color w:val="auto"/>
          <w:szCs w:val="21"/>
        </w:rPr>
        <w:t>中标</w:t>
      </w:r>
      <w:r>
        <w:rPr>
          <w:rFonts w:hint="eastAsia" w:ascii="仿宋" w:hAnsi="仿宋" w:eastAsia="仿宋" w:cs="仿宋"/>
          <w:snapToGrid w:val="0"/>
          <w:color w:val="auto"/>
          <w:kern w:val="0"/>
          <w:szCs w:val="21"/>
        </w:rPr>
        <w:t>人共同达成如下协议。</w:t>
      </w:r>
    </w:p>
    <w:p>
      <w:pPr>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1．本协议书与下列文件一起构成合同文件：</w:t>
      </w:r>
    </w:p>
    <w:p>
      <w:pPr>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 成交通知书；</w:t>
      </w:r>
    </w:p>
    <w:p>
      <w:pPr>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 投标函；</w:t>
      </w:r>
    </w:p>
    <w:p>
      <w:pPr>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 发投标澄清问题、澄清问题的复函、补充通知等相关资料；</w:t>
      </w:r>
    </w:p>
    <w:p>
      <w:pPr>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(4) 专用合同条款；</w:t>
      </w:r>
    </w:p>
    <w:p>
      <w:pPr>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(5) 通用合同条款；</w:t>
      </w:r>
    </w:p>
    <w:p>
      <w:pPr>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(6) 技术标准和要求；</w:t>
      </w:r>
    </w:p>
    <w:p>
      <w:pPr>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(7) 图纸；</w:t>
      </w:r>
    </w:p>
    <w:p>
      <w:pPr>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(8) 经双方确认进入合同的其他文件。</w:t>
      </w:r>
    </w:p>
    <w:p>
      <w:pPr>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2．上述文件互相补充和解释，如有不明确或不一致之处，以合同约定次序在先者为准。</w:t>
      </w:r>
    </w:p>
    <w:p>
      <w:pPr>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3．签约合同价：人民币（大写）_________元。</w:t>
      </w:r>
    </w:p>
    <w:p>
      <w:pPr>
        <w:ind w:firstLine="420" w:firstLineChars="200"/>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rPr>
        <w:t>4．中标人项目负责人：___________，项目技术负责人：_________。</w:t>
      </w:r>
    </w:p>
    <w:p>
      <w:pPr>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5．工程质量符合标准。</w:t>
      </w:r>
    </w:p>
    <w:p>
      <w:pPr>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6．中标人承诺按合同约定承担工程的实施、完成及缺陷修复。</w:t>
      </w:r>
    </w:p>
    <w:p>
      <w:pPr>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7．招标人承诺按合同约定的条件、时间和方式向中标人支付合同价款。</w:t>
      </w:r>
    </w:p>
    <w:p>
      <w:pPr>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8．中标人应按照监理人指示开工，工期为月。</w:t>
      </w:r>
    </w:p>
    <w:p>
      <w:pPr>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9．本协议书一式份，合同双方各执一份。</w:t>
      </w:r>
    </w:p>
    <w:p>
      <w:pPr>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10．合同未尽事宜，双方另行签订补充协议。补充协议是合同的组成部分。</w:t>
      </w:r>
    </w:p>
    <w:p>
      <w:pPr>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rPr>
        <w:t>招标人：</w:t>
      </w:r>
      <w:r>
        <w:rPr>
          <w:rFonts w:hint="eastAsia" w:ascii="仿宋" w:hAnsi="仿宋" w:eastAsia="仿宋" w:cs="仿宋"/>
          <w:snapToGrid w:val="0"/>
          <w:color w:val="auto"/>
          <w:sz w:val="21"/>
          <w:szCs w:val="21"/>
          <w:u w:val="single"/>
        </w:rPr>
        <w:t xml:space="preserve">          （盖单位章）</w:t>
      </w:r>
      <w:r>
        <w:rPr>
          <w:rFonts w:hint="eastAsia" w:ascii="仿宋" w:hAnsi="仿宋" w:eastAsia="仿宋" w:cs="仿宋"/>
          <w:snapToGrid w:val="0"/>
          <w:color w:val="auto"/>
          <w:sz w:val="21"/>
          <w:szCs w:val="21"/>
        </w:rPr>
        <w:t>中标人：</w:t>
      </w:r>
      <w:r>
        <w:rPr>
          <w:rFonts w:hint="eastAsia" w:ascii="仿宋" w:hAnsi="仿宋" w:eastAsia="仿宋" w:cs="仿宋"/>
          <w:snapToGrid w:val="0"/>
          <w:color w:val="auto"/>
          <w:sz w:val="21"/>
          <w:szCs w:val="21"/>
          <w:u w:val="single"/>
        </w:rPr>
        <w:t xml:space="preserve">    （盖单位章）    </w:t>
      </w:r>
    </w:p>
    <w:p>
      <w:pPr>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法定代表人： __</w:t>
      </w:r>
      <w:r>
        <w:rPr>
          <w:rFonts w:hint="eastAsia" w:ascii="仿宋" w:hAnsi="仿宋" w:eastAsia="仿宋" w:cs="仿宋"/>
          <w:snapToGrid w:val="0"/>
          <w:color w:val="auto"/>
          <w:sz w:val="21"/>
          <w:szCs w:val="21"/>
          <w:u w:val="single"/>
        </w:rPr>
        <w:t xml:space="preserve">   （签字）   </w:t>
      </w:r>
      <w:r>
        <w:rPr>
          <w:rFonts w:hint="eastAsia" w:ascii="仿宋" w:hAnsi="仿宋" w:eastAsia="仿宋" w:cs="仿宋"/>
          <w:snapToGrid w:val="0"/>
          <w:color w:val="auto"/>
          <w:sz w:val="21"/>
          <w:szCs w:val="21"/>
        </w:rPr>
        <w:t>法定代表人：</w:t>
      </w:r>
      <w:r>
        <w:rPr>
          <w:rFonts w:hint="eastAsia" w:ascii="仿宋" w:hAnsi="仿宋" w:eastAsia="仿宋" w:cs="仿宋"/>
          <w:snapToGrid w:val="0"/>
          <w:color w:val="auto"/>
          <w:sz w:val="21"/>
          <w:szCs w:val="21"/>
          <w:u w:val="single"/>
        </w:rPr>
        <w:t xml:space="preserve"> （签字）</w:t>
      </w:r>
    </w:p>
    <w:p>
      <w:pPr>
        <w:pStyle w:val="15"/>
        <w:adjustRightInd w:val="0"/>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或其委托代理人                                 或其委托代理人</w:t>
      </w:r>
    </w:p>
    <w:p>
      <w:pPr>
        <w:pStyle w:val="15"/>
        <w:adjustRightInd w:val="0"/>
        <w:ind w:firstLine="840" w:firstLineChars="400"/>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年月日                年月日</w:t>
      </w:r>
    </w:p>
    <w:p>
      <w:pPr>
        <w:pStyle w:val="7"/>
        <w:rPr>
          <w:rFonts w:hint="eastAsia" w:ascii="仿宋" w:hAnsi="仿宋" w:eastAsia="仿宋" w:cs="仿宋"/>
          <w:snapToGrid w:val="0"/>
          <w:color w:val="auto"/>
        </w:rPr>
      </w:pPr>
      <w:bookmarkStart w:id="549" w:name="_Toc217819062"/>
      <w:bookmarkStart w:id="550" w:name="_Toc235848385"/>
      <w:bookmarkStart w:id="551" w:name="_Toc405378503"/>
      <w:bookmarkStart w:id="552" w:name="_Toc452839303"/>
      <w:bookmarkStart w:id="553" w:name="_Toc336325303"/>
    </w:p>
    <w:p>
      <w:pPr>
        <w:rPr>
          <w:rFonts w:hint="eastAsia" w:ascii="仿宋" w:hAnsi="仿宋" w:eastAsia="仿宋" w:cs="仿宋"/>
          <w:color w:val="auto"/>
        </w:rPr>
      </w:pPr>
    </w:p>
    <w:p>
      <w:pPr>
        <w:pStyle w:val="7"/>
        <w:rPr>
          <w:rFonts w:hint="eastAsia" w:ascii="仿宋" w:hAnsi="仿宋" w:eastAsia="仿宋" w:cs="仿宋"/>
          <w:snapToGrid w:val="0"/>
          <w:color w:val="auto"/>
        </w:rPr>
      </w:pPr>
      <w:bookmarkStart w:id="554" w:name="_Toc168"/>
      <w:bookmarkStart w:id="555" w:name="_Toc18213"/>
      <w:r>
        <w:rPr>
          <w:rFonts w:hint="eastAsia" w:ascii="仿宋" w:hAnsi="仿宋" w:eastAsia="仿宋" w:cs="仿宋"/>
          <w:snapToGrid w:val="0"/>
          <w:color w:val="auto"/>
        </w:rPr>
        <w:t>附件二</w:t>
      </w:r>
      <w:bookmarkEnd w:id="549"/>
      <w:bookmarkEnd w:id="550"/>
      <w:r>
        <w:rPr>
          <w:rFonts w:hint="eastAsia" w:ascii="仿宋" w:hAnsi="仿宋" w:eastAsia="仿宋" w:cs="仿宋"/>
          <w:snapToGrid w:val="0"/>
          <w:color w:val="auto"/>
        </w:rPr>
        <w:t>：履约担保</w:t>
      </w:r>
      <w:bookmarkEnd w:id="551"/>
      <w:bookmarkEnd w:id="552"/>
      <w:bookmarkEnd w:id="553"/>
      <w:bookmarkEnd w:id="554"/>
      <w:bookmarkEnd w:id="555"/>
    </w:p>
    <w:p>
      <w:pPr>
        <w:jc w:val="center"/>
        <w:rPr>
          <w:rFonts w:hint="eastAsia" w:ascii="仿宋" w:hAnsi="仿宋" w:eastAsia="仿宋" w:cs="仿宋"/>
          <w:b/>
          <w:bCs/>
          <w:snapToGrid w:val="0"/>
          <w:color w:val="auto"/>
          <w:szCs w:val="24"/>
        </w:rPr>
      </w:pPr>
    </w:p>
    <w:p>
      <w:pPr>
        <w:jc w:val="center"/>
        <w:rPr>
          <w:rFonts w:hint="eastAsia" w:ascii="仿宋" w:hAnsi="仿宋" w:eastAsia="仿宋" w:cs="仿宋"/>
          <w:b/>
          <w:bCs/>
          <w:snapToGrid w:val="0"/>
          <w:color w:val="auto"/>
          <w:sz w:val="30"/>
          <w:szCs w:val="30"/>
        </w:rPr>
      </w:pPr>
      <w:r>
        <w:rPr>
          <w:rFonts w:hint="eastAsia" w:ascii="仿宋" w:hAnsi="仿宋" w:eastAsia="仿宋" w:cs="仿宋"/>
          <w:b/>
          <w:bCs/>
          <w:snapToGrid w:val="0"/>
          <w:color w:val="auto"/>
          <w:sz w:val="30"/>
          <w:szCs w:val="30"/>
        </w:rPr>
        <w:t>履约担保（格式）</w:t>
      </w:r>
    </w:p>
    <w:p>
      <w:pPr>
        <w:rPr>
          <w:rFonts w:hint="eastAsia" w:ascii="仿宋" w:hAnsi="仿宋" w:eastAsia="仿宋" w:cs="仿宋"/>
          <w:snapToGrid w:val="0"/>
          <w:color w:val="auto"/>
          <w:szCs w:val="21"/>
          <w:u w:val="single"/>
        </w:rPr>
      </w:pPr>
    </w:p>
    <w:p>
      <w:pPr>
        <w:spacing w:line="360" w:lineRule="auto"/>
        <w:rPr>
          <w:rFonts w:hint="eastAsia" w:ascii="仿宋" w:hAnsi="仿宋" w:eastAsia="仿宋" w:cs="仿宋"/>
          <w:snapToGrid w:val="0"/>
          <w:color w:val="auto"/>
          <w:sz w:val="21"/>
          <w:szCs w:val="21"/>
          <w:u w:val="single"/>
        </w:rPr>
      </w:pPr>
      <w:r>
        <w:rPr>
          <w:rFonts w:hint="eastAsia" w:ascii="仿宋" w:hAnsi="仿宋" w:eastAsia="仿宋" w:cs="仿宋"/>
          <w:snapToGrid w:val="0"/>
          <w:color w:val="auto"/>
          <w:sz w:val="21"/>
          <w:szCs w:val="21"/>
          <w:u w:val="single"/>
        </w:rPr>
        <w:t>（招标人名称）：</w:t>
      </w:r>
    </w:p>
    <w:p>
      <w:pPr>
        <w:spacing w:line="360" w:lineRule="auto"/>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鉴于_____________（招标人名称，以下简称“招标人”）接受</w:t>
      </w:r>
      <w:r>
        <w:rPr>
          <w:rFonts w:hint="eastAsia" w:ascii="仿宋" w:hAnsi="仿宋" w:eastAsia="仿宋" w:cs="仿宋"/>
          <w:snapToGrid w:val="0"/>
          <w:color w:val="auto"/>
          <w:sz w:val="21"/>
          <w:szCs w:val="21"/>
          <w:u w:val="single"/>
          <w:lang w:val="en-US" w:eastAsia="zh-CN"/>
        </w:rPr>
        <w:t xml:space="preserve">          </w:t>
      </w:r>
      <w:r>
        <w:rPr>
          <w:rFonts w:hint="eastAsia" w:ascii="仿宋" w:hAnsi="仿宋" w:eastAsia="仿宋" w:cs="仿宋"/>
          <w:snapToGrid w:val="0"/>
          <w:color w:val="auto"/>
          <w:sz w:val="21"/>
          <w:szCs w:val="21"/>
        </w:rPr>
        <w:t>（中标人名称）（以下称“中标人”）于</w:t>
      </w:r>
      <w:r>
        <w:rPr>
          <w:rFonts w:hint="eastAsia" w:ascii="仿宋" w:hAnsi="仿宋" w:eastAsia="仿宋" w:cs="仿宋"/>
          <w:snapToGrid w:val="0"/>
          <w:color w:val="auto"/>
          <w:sz w:val="21"/>
          <w:szCs w:val="21"/>
          <w:u w:val="single"/>
          <w:lang w:val="en-US" w:eastAsia="zh-CN"/>
        </w:rPr>
        <w:t xml:space="preserve">    </w:t>
      </w:r>
      <w:r>
        <w:rPr>
          <w:rFonts w:hint="eastAsia" w:ascii="仿宋" w:hAnsi="仿宋" w:eastAsia="仿宋" w:cs="仿宋"/>
          <w:snapToGrid w:val="0"/>
          <w:color w:val="auto"/>
          <w:sz w:val="21"/>
          <w:szCs w:val="21"/>
        </w:rPr>
        <w:t>年</w:t>
      </w:r>
      <w:r>
        <w:rPr>
          <w:rFonts w:hint="eastAsia" w:ascii="仿宋" w:hAnsi="仿宋" w:eastAsia="仿宋" w:cs="仿宋"/>
          <w:snapToGrid w:val="0"/>
          <w:color w:val="auto"/>
          <w:sz w:val="21"/>
          <w:szCs w:val="21"/>
          <w:u w:val="single"/>
          <w:lang w:val="en-US" w:eastAsia="zh-CN"/>
        </w:rPr>
        <w:t xml:space="preserve">    </w:t>
      </w:r>
      <w:r>
        <w:rPr>
          <w:rFonts w:hint="eastAsia" w:ascii="仿宋" w:hAnsi="仿宋" w:eastAsia="仿宋" w:cs="仿宋"/>
          <w:snapToGrid w:val="0"/>
          <w:color w:val="auto"/>
          <w:sz w:val="21"/>
          <w:szCs w:val="21"/>
        </w:rPr>
        <w:t>月</w:t>
      </w:r>
      <w:r>
        <w:rPr>
          <w:rFonts w:hint="eastAsia" w:ascii="仿宋" w:hAnsi="仿宋" w:eastAsia="仿宋" w:cs="仿宋"/>
          <w:snapToGrid w:val="0"/>
          <w:color w:val="auto"/>
          <w:sz w:val="21"/>
          <w:szCs w:val="21"/>
          <w:u w:val="single"/>
          <w:lang w:val="en-US" w:eastAsia="zh-CN"/>
        </w:rPr>
        <w:t xml:space="preserve">     </w:t>
      </w:r>
      <w:r>
        <w:rPr>
          <w:rFonts w:hint="eastAsia" w:ascii="仿宋" w:hAnsi="仿宋" w:eastAsia="仿宋" w:cs="仿宋"/>
          <w:snapToGrid w:val="0"/>
          <w:color w:val="auto"/>
          <w:sz w:val="21"/>
          <w:szCs w:val="21"/>
        </w:rPr>
        <w:t>日递交的</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snapToGrid w:val="0"/>
          <w:color w:val="auto"/>
          <w:sz w:val="21"/>
          <w:szCs w:val="21"/>
        </w:rPr>
        <w:t>项目名称）</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snapToGrid w:val="0"/>
          <w:color w:val="auto"/>
          <w:sz w:val="21"/>
          <w:szCs w:val="21"/>
        </w:rPr>
        <w:t>标段施工的投标。我方愿意无条件地、不可撤销地就中标人履行与你方订立的合同，向你方提供担保。</w:t>
      </w:r>
    </w:p>
    <w:p>
      <w:pPr>
        <w:spacing w:line="360" w:lineRule="auto"/>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1．担保金额人民币（大写）_______元（￥______）。</w:t>
      </w:r>
    </w:p>
    <w:p>
      <w:pPr>
        <w:spacing w:line="360" w:lineRule="auto"/>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2．担保有效期自招标人与中标人签订的合同生效之日起至招标人签发工程接收证书之日止。</w:t>
      </w:r>
    </w:p>
    <w:p>
      <w:pPr>
        <w:spacing w:line="360" w:lineRule="auto"/>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3．在本担保有效期内，因中标人违反合同约定的义务给你方造成经济损失时，我方在收到你方以书面形式提出的在担保金额内的赔偿要求后，在7天内无条件支付。</w:t>
      </w:r>
    </w:p>
    <w:p>
      <w:pPr>
        <w:spacing w:line="360" w:lineRule="auto"/>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4．招标人和中标人按《通用合同条款》第15条变更合同时，我方承担本担保规定的义务不变。</w:t>
      </w:r>
    </w:p>
    <w:p>
      <w:pPr>
        <w:ind w:firstLine="3045" w:firstLineChars="1450"/>
        <w:rPr>
          <w:rFonts w:hint="eastAsia" w:ascii="仿宋" w:hAnsi="仿宋" w:eastAsia="仿宋" w:cs="仿宋"/>
          <w:snapToGrid w:val="0"/>
          <w:color w:val="auto"/>
          <w:sz w:val="21"/>
          <w:szCs w:val="21"/>
        </w:rPr>
      </w:pPr>
    </w:p>
    <w:p>
      <w:pPr>
        <w:ind w:firstLine="3045" w:firstLineChars="145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担保人：__________________（盖单位章）</w:t>
      </w:r>
    </w:p>
    <w:p>
      <w:pPr>
        <w:ind w:firstLine="3005" w:firstLineChars="1431"/>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法定代表人或其委托代理人：__________（签字）</w:t>
      </w:r>
    </w:p>
    <w:p>
      <w:pPr>
        <w:ind w:firstLine="3045" w:firstLineChars="145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地    址：_______________________</w:t>
      </w:r>
    </w:p>
    <w:p>
      <w:pPr>
        <w:ind w:firstLine="3045" w:firstLineChars="145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邮政编码：_______________________</w:t>
      </w:r>
    </w:p>
    <w:p>
      <w:pPr>
        <w:ind w:firstLine="3045" w:firstLineChars="145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电    话：________________________</w:t>
      </w:r>
    </w:p>
    <w:p>
      <w:pPr>
        <w:ind w:firstLine="3045" w:firstLineChars="145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传     真:________________________</w:t>
      </w:r>
    </w:p>
    <w:p>
      <w:pPr>
        <w:ind w:firstLine="4099" w:firstLineChars="1952"/>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年月日</w:t>
      </w:r>
    </w:p>
    <w:p>
      <w:pPr>
        <w:rPr>
          <w:rFonts w:hint="eastAsia" w:ascii="仿宋" w:hAnsi="仿宋" w:eastAsia="仿宋" w:cs="仿宋"/>
          <w:snapToGrid w:val="0"/>
          <w:color w:val="auto"/>
          <w:szCs w:val="21"/>
        </w:rPr>
      </w:pPr>
    </w:p>
    <w:p>
      <w:pPr>
        <w:pStyle w:val="15"/>
        <w:ind w:right="440" w:firstLine="3439" w:firstLineChars="1638"/>
        <w:rPr>
          <w:rFonts w:hint="eastAsia" w:ascii="仿宋" w:hAnsi="仿宋" w:eastAsia="仿宋" w:cs="仿宋"/>
          <w:color w:val="auto"/>
          <w:szCs w:val="21"/>
        </w:rPr>
      </w:pPr>
      <w:bookmarkStart w:id="556" w:name="_Toc336325304"/>
      <w:r>
        <w:rPr>
          <w:rFonts w:hint="eastAsia" w:ascii="仿宋" w:hAnsi="仿宋" w:eastAsia="仿宋" w:cs="仿宋"/>
          <w:color w:val="auto"/>
          <w:szCs w:val="21"/>
        </w:rPr>
        <w:t>注：委托代理人应附授权委托书。</w:t>
      </w:r>
      <w:bookmarkEnd w:id="556"/>
    </w:p>
    <w:p>
      <w:pPr>
        <w:spacing w:line="360" w:lineRule="auto"/>
        <w:outlineLvl w:val="2"/>
        <w:rPr>
          <w:rFonts w:hint="eastAsia" w:ascii="仿宋" w:hAnsi="仿宋" w:eastAsia="仿宋" w:cs="仿宋"/>
          <w:b/>
          <w:color w:val="auto"/>
          <w:szCs w:val="24"/>
        </w:rPr>
      </w:pPr>
    </w:p>
    <w:p>
      <w:pPr>
        <w:spacing w:line="360" w:lineRule="auto"/>
        <w:outlineLvl w:val="2"/>
        <w:rPr>
          <w:rFonts w:hint="eastAsia" w:ascii="仿宋" w:hAnsi="仿宋" w:eastAsia="仿宋" w:cs="仿宋"/>
          <w:b/>
          <w:color w:val="auto"/>
          <w:szCs w:val="24"/>
        </w:rPr>
      </w:pPr>
    </w:p>
    <w:p>
      <w:pPr>
        <w:spacing w:line="360" w:lineRule="auto"/>
        <w:outlineLvl w:val="2"/>
        <w:rPr>
          <w:rFonts w:hint="eastAsia" w:ascii="仿宋" w:hAnsi="仿宋" w:eastAsia="仿宋" w:cs="仿宋"/>
          <w:b/>
          <w:color w:val="auto"/>
          <w:szCs w:val="24"/>
        </w:rPr>
      </w:pPr>
      <w:bookmarkStart w:id="557" w:name="_Toc26485"/>
      <w:bookmarkStart w:id="558" w:name="_Toc7887"/>
      <w:r>
        <w:rPr>
          <w:rFonts w:hint="eastAsia" w:ascii="仿宋" w:hAnsi="仿宋" w:eastAsia="仿宋" w:cs="仿宋"/>
          <w:b/>
          <w:color w:val="auto"/>
          <w:szCs w:val="24"/>
        </w:rPr>
        <w:t>附件三  预付款担保格式（供参考）</w:t>
      </w:r>
      <w:bookmarkEnd w:id="557"/>
      <w:bookmarkEnd w:id="558"/>
    </w:p>
    <w:p>
      <w:pPr>
        <w:pStyle w:val="23"/>
        <w:widowControl w:val="0"/>
        <w:autoSpaceDE w:val="0"/>
        <w:autoSpaceDN w:val="0"/>
        <w:adjustRightInd w:val="0"/>
        <w:spacing w:beforeAutospacing="0" w:afterAutospacing="0"/>
        <w:ind w:firstLine="488"/>
        <w:jc w:val="both"/>
        <w:textAlignment w:val="baseline"/>
        <w:rPr>
          <w:rFonts w:hint="eastAsia" w:ascii="仿宋" w:hAnsi="仿宋" w:eastAsia="仿宋" w:cs="仿宋"/>
          <w:color w:val="auto"/>
        </w:rPr>
      </w:pPr>
    </w:p>
    <w:p>
      <w:pPr>
        <w:spacing w:line="360" w:lineRule="auto"/>
        <w:jc w:val="center"/>
        <w:rPr>
          <w:rFonts w:hint="eastAsia" w:ascii="仿宋" w:hAnsi="仿宋" w:eastAsia="仿宋" w:cs="仿宋"/>
          <w:b/>
          <w:color w:val="auto"/>
          <w:szCs w:val="24"/>
        </w:rPr>
      </w:pPr>
      <w:r>
        <w:rPr>
          <w:rFonts w:hint="eastAsia" w:ascii="仿宋" w:hAnsi="仿宋" w:eastAsia="仿宋" w:cs="仿宋"/>
          <w:b/>
          <w:color w:val="auto"/>
          <w:szCs w:val="24"/>
        </w:rPr>
        <w:t>预付款担保</w:t>
      </w:r>
    </w:p>
    <w:p>
      <w:pPr>
        <w:spacing w:line="360" w:lineRule="auto"/>
        <w:ind w:firstLine="480" w:firstLineChars="200"/>
        <w:rPr>
          <w:rFonts w:hint="eastAsia" w:ascii="仿宋" w:hAnsi="仿宋" w:eastAsia="仿宋" w:cs="仿宋"/>
          <w:color w:val="auto"/>
          <w:szCs w:val="24"/>
        </w:rPr>
      </w:pPr>
    </w:p>
    <w:p>
      <w:pPr>
        <w:spacing w:line="500" w:lineRule="exact"/>
        <w:rPr>
          <w:rFonts w:hint="eastAsia" w:ascii="仿宋" w:hAnsi="仿宋" w:eastAsia="仿宋" w:cs="仿宋"/>
          <w:color w:val="auto"/>
          <w:sz w:val="21"/>
          <w:szCs w:val="21"/>
        </w:rPr>
      </w:pPr>
      <w:r>
        <w:rPr>
          <w:rFonts w:hint="eastAsia" w:ascii="仿宋" w:hAnsi="仿宋" w:eastAsia="仿宋" w:cs="仿宋"/>
          <w:color w:val="auto"/>
          <w:sz w:val="21"/>
          <w:szCs w:val="21"/>
        </w:rPr>
        <w:t>__________________________（招标人名称）：</w:t>
      </w:r>
    </w:p>
    <w:p>
      <w:pPr>
        <w:spacing w:line="500" w:lineRule="exact"/>
        <w:ind w:firstLine="420" w:firstLineChars="200"/>
        <w:rPr>
          <w:rFonts w:hint="eastAsia" w:ascii="仿宋" w:hAnsi="仿宋" w:eastAsia="仿宋" w:cs="仿宋"/>
          <w:color w:val="auto"/>
          <w:sz w:val="21"/>
          <w:szCs w:val="21"/>
          <w:u w:val="single"/>
        </w:rPr>
      </w:pPr>
      <w:r>
        <w:rPr>
          <w:rFonts w:hint="eastAsia" w:ascii="仿宋" w:hAnsi="仿宋" w:eastAsia="仿宋" w:cs="仿宋"/>
          <w:color w:val="auto"/>
          <w:sz w:val="21"/>
          <w:szCs w:val="21"/>
        </w:rPr>
        <w:t>根据____________（</w:t>
      </w:r>
      <w:r>
        <w:rPr>
          <w:rFonts w:hint="eastAsia" w:ascii="仿宋" w:hAnsi="仿宋" w:eastAsia="仿宋" w:cs="仿宋"/>
          <w:snapToGrid w:val="0"/>
          <w:color w:val="auto"/>
          <w:sz w:val="21"/>
          <w:szCs w:val="21"/>
        </w:rPr>
        <w:t>中标</w:t>
      </w:r>
      <w:r>
        <w:rPr>
          <w:rFonts w:hint="eastAsia" w:ascii="仿宋" w:hAnsi="仿宋" w:eastAsia="仿宋" w:cs="仿宋"/>
          <w:color w:val="auto"/>
          <w:sz w:val="21"/>
          <w:szCs w:val="21"/>
        </w:rPr>
        <w:t>人名称，以下称“</w:t>
      </w:r>
      <w:r>
        <w:rPr>
          <w:rFonts w:hint="eastAsia" w:ascii="仿宋" w:hAnsi="仿宋" w:eastAsia="仿宋" w:cs="仿宋"/>
          <w:snapToGrid w:val="0"/>
          <w:color w:val="auto"/>
          <w:sz w:val="21"/>
          <w:szCs w:val="21"/>
        </w:rPr>
        <w:t>中标</w:t>
      </w:r>
      <w:r>
        <w:rPr>
          <w:rFonts w:hint="eastAsia" w:ascii="仿宋" w:hAnsi="仿宋" w:eastAsia="仿宋" w:cs="仿宋"/>
          <w:color w:val="auto"/>
          <w:sz w:val="21"/>
          <w:szCs w:val="21"/>
        </w:rPr>
        <w:t>人”）与_____________（招标人名称，以下简称“招标人”）于___年____月____日签订的___________（项目名称）__________（标段名称）合同协议书，</w:t>
      </w:r>
      <w:r>
        <w:rPr>
          <w:rFonts w:hint="eastAsia" w:ascii="仿宋" w:hAnsi="仿宋" w:eastAsia="仿宋" w:cs="仿宋"/>
          <w:snapToGrid w:val="0"/>
          <w:color w:val="auto"/>
          <w:sz w:val="21"/>
          <w:szCs w:val="21"/>
        </w:rPr>
        <w:t>中标</w:t>
      </w:r>
      <w:r>
        <w:rPr>
          <w:rFonts w:hint="eastAsia" w:ascii="仿宋" w:hAnsi="仿宋" w:eastAsia="仿宋" w:cs="仿宋"/>
          <w:color w:val="auto"/>
          <w:sz w:val="21"/>
          <w:szCs w:val="21"/>
        </w:rPr>
        <w:t>人按约定的金额向招标人提交一份预付款担保，即有权得到招标人支付相等金额的预付款。我方愿意就你方提供给</w:t>
      </w:r>
      <w:r>
        <w:rPr>
          <w:rFonts w:hint="eastAsia" w:ascii="仿宋" w:hAnsi="仿宋" w:eastAsia="仿宋" w:cs="仿宋"/>
          <w:snapToGrid w:val="0"/>
          <w:color w:val="auto"/>
          <w:sz w:val="21"/>
          <w:szCs w:val="21"/>
        </w:rPr>
        <w:t>中标</w:t>
      </w:r>
      <w:r>
        <w:rPr>
          <w:rFonts w:hint="eastAsia" w:ascii="仿宋" w:hAnsi="仿宋" w:eastAsia="仿宋" w:cs="仿宋"/>
          <w:color w:val="auto"/>
          <w:sz w:val="21"/>
          <w:szCs w:val="21"/>
        </w:rPr>
        <w:t>人的预付款提供担保。</w:t>
      </w:r>
    </w:p>
    <w:p>
      <w:pPr>
        <w:spacing w:line="50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1．担保金额人民币（大写）______元（￥________）。</w:t>
      </w:r>
    </w:p>
    <w:p>
      <w:pPr>
        <w:spacing w:line="50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2．担保有效期自预付款支付给</w:t>
      </w:r>
      <w:r>
        <w:rPr>
          <w:rFonts w:hint="eastAsia" w:ascii="仿宋" w:hAnsi="仿宋" w:eastAsia="仿宋" w:cs="仿宋"/>
          <w:snapToGrid w:val="0"/>
          <w:color w:val="auto"/>
          <w:sz w:val="21"/>
          <w:szCs w:val="21"/>
        </w:rPr>
        <w:t>中标</w:t>
      </w:r>
      <w:r>
        <w:rPr>
          <w:rFonts w:hint="eastAsia" w:ascii="仿宋" w:hAnsi="仿宋" w:eastAsia="仿宋" w:cs="仿宋"/>
          <w:color w:val="auto"/>
          <w:sz w:val="21"/>
          <w:szCs w:val="21"/>
        </w:rPr>
        <w:t>人起生效，至招标人签发的进度付款证书说明预付款已完全扣清止。</w:t>
      </w:r>
    </w:p>
    <w:p>
      <w:pPr>
        <w:spacing w:line="50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3．在本担保有效期内，因</w:t>
      </w:r>
      <w:r>
        <w:rPr>
          <w:rFonts w:hint="eastAsia" w:ascii="仿宋" w:hAnsi="仿宋" w:eastAsia="仿宋" w:cs="仿宋"/>
          <w:snapToGrid w:val="0"/>
          <w:color w:val="auto"/>
          <w:sz w:val="21"/>
          <w:szCs w:val="21"/>
        </w:rPr>
        <w:t>中标</w:t>
      </w:r>
      <w:r>
        <w:rPr>
          <w:rFonts w:hint="eastAsia" w:ascii="仿宋" w:hAnsi="仿宋" w:eastAsia="仿宋" w:cs="仿宋"/>
          <w:color w:val="auto"/>
          <w:sz w:val="21"/>
          <w:szCs w:val="21"/>
        </w:rPr>
        <w:t>人违反合同约定的义务而要求收回预付款时，我方在收到你方的书面通知后，无条件地在7天内予以支付。但本担保的担保金额，在任何时候不应超过预付款金额减去招标人按合同约定在向</w:t>
      </w:r>
      <w:r>
        <w:rPr>
          <w:rFonts w:hint="eastAsia" w:ascii="仿宋" w:hAnsi="仿宋" w:eastAsia="仿宋" w:cs="仿宋"/>
          <w:snapToGrid w:val="0"/>
          <w:color w:val="auto"/>
          <w:sz w:val="21"/>
          <w:szCs w:val="21"/>
        </w:rPr>
        <w:t>中标</w:t>
      </w:r>
      <w:r>
        <w:rPr>
          <w:rFonts w:hint="eastAsia" w:ascii="仿宋" w:hAnsi="仿宋" w:eastAsia="仿宋" w:cs="仿宋"/>
          <w:color w:val="auto"/>
          <w:sz w:val="21"/>
          <w:szCs w:val="21"/>
        </w:rPr>
        <w:t>人签发的进度付款证书中扣回的金额。</w:t>
      </w:r>
    </w:p>
    <w:p>
      <w:pPr>
        <w:spacing w:line="50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4．招标人和</w:t>
      </w:r>
      <w:r>
        <w:rPr>
          <w:rFonts w:hint="eastAsia" w:ascii="仿宋" w:hAnsi="仿宋" w:eastAsia="仿宋" w:cs="仿宋"/>
          <w:snapToGrid w:val="0"/>
          <w:color w:val="auto"/>
          <w:sz w:val="21"/>
          <w:szCs w:val="21"/>
        </w:rPr>
        <w:t>中标</w:t>
      </w:r>
      <w:r>
        <w:rPr>
          <w:rFonts w:hint="eastAsia" w:ascii="仿宋" w:hAnsi="仿宋" w:eastAsia="仿宋" w:cs="仿宋"/>
          <w:color w:val="auto"/>
          <w:sz w:val="21"/>
          <w:szCs w:val="21"/>
        </w:rPr>
        <w:t>人按《通用合同条款》第15条变更合同时，我方承担本担保规定的义务不变。</w:t>
      </w:r>
    </w:p>
    <w:p>
      <w:pPr>
        <w:spacing w:line="400" w:lineRule="exact"/>
        <w:ind w:firstLine="420" w:firstLineChars="200"/>
        <w:rPr>
          <w:rFonts w:hint="eastAsia" w:ascii="仿宋" w:hAnsi="仿宋" w:eastAsia="仿宋" w:cs="仿宋"/>
          <w:color w:val="auto"/>
          <w:sz w:val="21"/>
          <w:szCs w:val="21"/>
        </w:rPr>
      </w:pPr>
    </w:p>
    <w:p>
      <w:pPr>
        <w:spacing w:line="400" w:lineRule="exact"/>
        <w:ind w:firstLine="3675" w:firstLineChars="1750"/>
        <w:rPr>
          <w:rFonts w:hint="eastAsia" w:ascii="仿宋" w:hAnsi="仿宋" w:eastAsia="仿宋" w:cs="仿宋"/>
          <w:color w:val="auto"/>
          <w:sz w:val="21"/>
          <w:szCs w:val="21"/>
        </w:rPr>
      </w:pPr>
      <w:r>
        <w:rPr>
          <w:rFonts w:hint="eastAsia" w:ascii="仿宋" w:hAnsi="仿宋" w:eastAsia="仿宋" w:cs="仿宋"/>
          <w:color w:val="auto"/>
          <w:sz w:val="21"/>
          <w:szCs w:val="21"/>
        </w:rPr>
        <w:t>担保人：_______________________（盖单位章）</w:t>
      </w:r>
    </w:p>
    <w:p>
      <w:pPr>
        <w:spacing w:line="400" w:lineRule="exact"/>
        <w:ind w:firstLine="3633" w:firstLineChars="1730"/>
        <w:rPr>
          <w:rFonts w:hint="eastAsia" w:ascii="仿宋" w:hAnsi="仿宋" w:eastAsia="仿宋" w:cs="仿宋"/>
          <w:color w:val="auto"/>
          <w:sz w:val="21"/>
          <w:szCs w:val="21"/>
        </w:rPr>
      </w:pPr>
      <w:r>
        <w:rPr>
          <w:rFonts w:hint="eastAsia" w:ascii="仿宋" w:hAnsi="仿宋" w:eastAsia="仿宋" w:cs="仿宋"/>
          <w:color w:val="auto"/>
          <w:sz w:val="21"/>
          <w:szCs w:val="21"/>
        </w:rPr>
        <w:t>法定代表人或其委托代理人：____________（签字）</w:t>
      </w:r>
    </w:p>
    <w:p>
      <w:pPr>
        <w:spacing w:line="400" w:lineRule="exact"/>
        <w:ind w:firstLine="3675" w:firstLineChars="1750"/>
        <w:rPr>
          <w:rFonts w:hint="eastAsia" w:ascii="仿宋" w:hAnsi="仿宋" w:eastAsia="仿宋" w:cs="仿宋"/>
          <w:color w:val="auto"/>
          <w:sz w:val="21"/>
          <w:szCs w:val="21"/>
        </w:rPr>
      </w:pPr>
      <w:r>
        <w:rPr>
          <w:rFonts w:hint="eastAsia" w:ascii="仿宋" w:hAnsi="仿宋" w:eastAsia="仿宋" w:cs="仿宋"/>
          <w:color w:val="auto"/>
          <w:sz w:val="21"/>
          <w:szCs w:val="21"/>
        </w:rPr>
        <w:t>地    址：________________________________</w:t>
      </w:r>
    </w:p>
    <w:p>
      <w:pPr>
        <w:spacing w:line="400" w:lineRule="exact"/>
        <w:ind w:firstLine="3675" w:firstLineChars="1750"/>
        <w:rPr>
          <w:rFonts w:hint="eastAsia" w:ascii="仿宋" w:hAnsi="仿宋" w:eastAsia="仿宋" w:cs="仿宋"/>
          <w:color w:val="auto"/>
          <w:sz w:val="21"/>
          <w:szCs w:val="21"/>
        </w:rPr>
      </w:pPr>
      <w:r>
        <w:rPr>
          <w:rFonts w:hint="eastAsia" w:ascii="仿宋" w:hAnsi="仿宋" w:eastAsia="仿宋" w:cs="仿宋"/>
          <w:color w:val="auto"/>
          <w:sz w:val="21"/>
          <w:szCs w:val="21"/>
        </w:rPr>
        <w:t>邮政编码：___________________________</w:t>
      </w:r>
    </w:p>
    <w:p>
      <w:pPr>
        <w:spacing w:line="400" w:lineRule="exact"/>
        <w:ind w:firstLine="3675" w:firstLineChars="1750"/>
        <w:rPr>
          <w:rFonts w:hint="eastAsia" w:ascii="仿宋" w:hAnsi="仿宋" w:eastAsia="仿宋" w:cs="仿宋"/>
          <w:color w:val="auto"/>
          <w:sz w:val="21"/>
          <w:szCs w:val="21"/>
        </w:rPr>
      </w:pPr>
      <w:r>
        <w:rPr>
          <w:rFonts w:hint="eastAsia" w:ascii="仿宋" w:hAnsi="仿宋" w:eastAsia="仿宋" w:cs="仿宋"/>
          <w:color w:val="auto"/>
          <w:sz w:val="21"/>
          <w:szCs w:val="21"/>
        </w:rPr>
        <w:t>电    话：___________________________</w:t>
      </w:r>
    </w:p>
    <w:p>
      <w:pPr>
        <w:spacing w:line="400" w:lineRule="exact"/>
        <w:ind w:firstLine="3675" w:firstLineChars="1750"/>
        <w:rPr>
          <w:rFonts w:hint="eastAsia" w:ascii="仿宋" w:hAnsi="仿宋" w:eastAsia="仿宋" w:cs="仿宋"/>
          <w:color w:val="auto"/>
          <w:sz w:val="21"/>
          <w:szCs w:val="21"/>
          <w:u w:val="single"/>
        </w:rPr>
      </w:pPr>
      <w:r>
        <w:rPr>
          <w:rFonts w:hint="eastAsia" w:ascii="仿宋" w:hAnsi="仿宋" w:eastAsia="仿宋" w:cs="仿宋"/>
          <w:color w:val="auto"/>
          <w:sz w:val="21"/>
          <w:szCs w:val="21"/>
        </w:rPr>
        <w:t>传     真:___________________________</w:t>
      </w:r>
    </w:p>
    <w:p>
      <w:pPr>
        <w:pStyle w:val="23"/>
        <w:widowControl w:val="0"/>
        <w:autoSpaceDE w:val="0"/>
        <w:adjustRightInd w:val="0"/>
        <w:spacing w:beforeAutospacing="0" w:afterAutospacing="0" w:line="400" w:lineRule="exact"/>
        <w:ind w:firstLine="3780" w:firstLineChars="1800"/>
        <w:jc w:val="both"/>
        <w:rPr>
          <w:rFonts w:hint="eastAsia" w:ascii="仿宋" w:hAnsi="仿宋" w:eastAsia="仿宋" w:cs="仿宋"/>
          <w:color w:val="auto"/>
          <w:sz w:val="21"/>
          <w:szCs w:val="21"/>
        </w:rPr>
      </w:pPr>
      <w:r>
        <w:rPr>
          <w:rFonts w:hint="eastAsia" w:ascii="仿宋" w:hAnsi="仿宋" w:eastAsia="仿宋" w:cs="仿宋"/>
          <w:color w:val="auto"/>
          <w:sz w:val="21"/>
          <w:szCs w:val="21"/>
        </w:rPr>
        <w:t>年  月  日</w:t>
      </w:r>
    </w:p>
    <w:p>
      <w:pPr>
        <w:pStyle w:val="23"/>
        <w:widowControl w:val="0"/>
        <w:autoSpaceDE w:val="0"/>
        <w:autoSpaceDN w:val="0"/>
        <w:adjustRightInd w:val="0"/>
        <w:spacing w:beforeAutospacing="0" w:afterAutospacing="0" w:line="400" w:lineRule="exact"/>
        <w:jc w:val="both"/>
        <w:textAlignment w:val="baseline"/>
        <w:rPr>
          <w:rFonts w:hint="eastAsia" w:ascii="仿宋" w:hAnsi="仿宋" w:eastAsia="仿宋" w:cs="仿宋"/>
          <w:color w:val="auto"/>
          <w:sz w:val="21"/>
          <w:szCs w:val="21"/>
        </w:rPr>
      </w:pPr>
      <w:r>
        <w:rPr>
          <w:rFonts w:hint="eastAsia" w:ascii="仿宋" w:hAnsi="仿宋" w:eastAsia="仿宋" w:cs="仿宋"/>
          <w:color w:val="auto"/>
          <w:sz w:val="21"/>
          <w:szCs w:val="21"/>
        </w:rPr>
        <w:t>注：委托代理人应附授权委托书。</w:t>
      </w:r>
    </w:p>
    <w:p>
      <w:pPr>
        <w:rPr>
          <w:rFonts w:hint="eastAsia" w:ascii="仿宋" w:hAnsi="仿宋" w:eastAsia="仿宋" w:cs="仿宋"/>
          <w:snapToGrid w:val="0"/>
          <w:color w:val="auto"/>
          <w:szCs w:val="21"/>
        </w:rPr>
      </w:pPr>
    </w:p>
    <w:p>
      <w:pPr>
        <w:pStyle w:val="7"/>
        <w:rPr>
          <w:rFonts w:hint="eastAsia" w:ascii="仿宋" w:hAnsi="仿宋" w:eastAsia="仿宋" w:cs="仿宋"/>
          <w:snapToGrid w:val="0"/>
          <w:color w:val="auto"/>
        </w:rPr>
      </w:pPr>
      <w:bookmarkStart w:id="559" w:name="_Toc217819063"/>
      <w:bookmarkStart w:id="560" w:name="_Toc235848386"/>
      <w:bookmarkStart w:id="561" w:name="_Toc336325305"/>
      <w:r>
        <w:rPr>
          <w:rFonts w:hint="eastAsia" w:ascii="仿宋" w:hAnsi="仿宋" w:eastAsia="仿宋" w:cs="仿宋"/>
          <w:snapToGrid w:val="0"/>
          <w:color w:val="auto"/>
        </w:rPr>
        <w:br w:type="page"/>
      </w:r>
      <w:bookmarkStart w:id="562" w:name="_Toc452839304"/>
      <w:bookmarkStart w:id="563" w:name="_Toc19235"/>
      <w:bookmarkStart w:id="564" w:name="_Toc405378505"/>
      <w:bookmarkStart w:id="565" w:name="_Toc25597"/>
      <w:r>
        <w:rPr>
          <w:rFonts w:hint="eastAsia" w:ascii="仿宋" w:hAnsi="仿宋" w:eastAsia="仿宋" w:cs="仿宋"/>
          <w:snapToGrid w:val="0"/>
          <w:color w:val="auto"/>
        </w:rPr>
        <w:t>附件</w:t>
      </w:r>
      <w:bookmarkEnd w:id="559"/>
      <w:bookmarkEnd w:id="560"/>
      <w:r>
        <w:rPr>
          <w:rFonts w:hint="eastAsia" w:ascii="仿宋" w:hAnsi="仿宋" w:eastAsia="仿宋" w:cs="仿宋"/>
          <w:snapToGrid w:val="0"/>
          <w:color w:val="auto"/>
        </w:rPr>
        <w:t>四：工程廉政责任书</w:t>
      </w:r>
      <w:bookmarkEnd w:id="561"/>
      <w:bookmarkEnd w:id="562"/>
      <w:bookmarkEnd w:id="563"/>
      <w:bookmarkEnd w:id="564"/>
      <w:bookmarkEnd w:id="565"/>
    </w:p>
    <w:p>
      <w:pPr>
        <w:pStyle w:val="49"/>
        <w:adjustRightInd w:val="0"/>
        <w:spacing w:line="380" w:lineRule="exact"/>
        <w:jc w:val="center"/>
        <w:rPr>
          <w:rFonts w:hint="eastAsia" w:ascii="仿宋" w:hAnsi="仿宋" w:eastAsia="仿宋" w:cs="仿宋"/>
          <w:b/>
          <w:snapToGrid w:val="0"/>
          <w:color w:val="auto"/>
          <w:kern w:val="0"/>
          <w:sz w:val="30"/>
          <w:szCs w:val="30"/>
        </w:rPr>
      </w:pPr>
      <w:r>
        <w:rPr>
          <w:rFonts w:hint="eastAsia" w:ascii="仿宋" w:hAnsi="仿宋" w:eastAsia="仿宋" w:cs="仿宋"/>
          <w:b/>
          <w:snapToGrid w:val="0"/>
          <w:color w:val="auto"/>
          <w:kern w:val="0"/>
          <w:sz w:val="30"/>
          <w:szCs w:val="30"/>
        </w:rPr>
        <w:t>工程廉政责任书（格式）</w:t>
      </w:r>
    </w:p>
    <w:p>
      <w:pPr>
        <w:spacing w:line="38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为加强工程建设中的廉政建设，保证工程建设高效优质完成，保证建设资金的安全和有效使用，工程的项目法人__________(以下称甲方)与中标商__________（以下称乙方），特订立如下责任书。</w:t>
      </w:r>
    </w:p>
    <w:p>
      <w:pPr>
        <w:spacing w:line="38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第一条  甲乙双方的权利和义务</w:t>
      </w:r>
    </w:p>
    <w:p>
      <w:pPr>
        <w:numPr>
          <w:ilvl w:val="0"/>
          <w:numId w:val="10"/>
        </w:numPr>
        <w:autoSpaceDE/>
        <w:autoSpaceDN/>
        <w:spacing w:line="380" w:lineRule="exact"/>
        <w:ind w:left="0" w:firstLine="420" w:firstLineChars="200"/>
        <w:textAlignment w:val="auto"/>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严格遵守党和国家工程建设的有关法律法规及水利部门的有关规定。</w:t>
      </w:r>
    </w:p>
    <w:p>
      <w:pPr>
        <w:numPr>
          <w:ilvl w:val="0"/>
          <w:numId w:val="10"/>
        </w:numPr>
        <w:autoSpaceDE/>
        <w:autoSpaceDN/>
        <w:spacing w:line="380" w:lineRule="exact"/>
        <w:ind w:left="0" w:firstLine="420" w:firstLineChars="200"/>
        <w:textAlignment w:val="auto"/>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严格执行工程的合同文件，自觉按合同办事。</w:t>
      </w:r>
    </w:p>
    <w:p>
      <w:pPr>
        <w:numPr>
          <w:ilvl w:val="0"/>
          <w:numId w:val="10"/>
        </w:numPr>
        <w:autoSpaceDE/>
        <w:autoSpaceDN/>
        <w:spacing w:line="380" w:lineRule="exact"/>
        <w:ind w:left="0" w:firstLine="420" w:firstLineChars="200"/>
        <w:textAlignment w:val="auto"/>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双方的业务活动坚持公开、公平、公正、诚信、透明的原则（除法律认定的商业秘密和合同文件另有规定之外），不得损害国家和集体利益，违反工程建设管理规定。</w:t>
      </w:r>
    </w:p>
    <w:p>
      <w:pPr>
        <w:numPr>
          <w:ilvl w:val="0"/>
          <w:numId w:val="10"/>
        </w:numPr>
        <w:autoSpaceDE/>
        <w:autoSpaceDN/>
        <w:spacing w:line="380" w:lineRule="exact"/>
        <w:ind w:left="0" w:firstLine="420" w:firstLineChars="200"/>
        <w:textAlignment w:val="auto"/>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建立健全廉政制度、监督制度和处罚制度，开展廉政教育，设立廉政告示牌，公布举报电话。</w:t>
      </w:r>
    </w:p>
    <w:p>
      <w:pPr>
        <w:numPr>
          <w:ilvl w:val="0"/>
          <w:numId w:val="10"/>
        </w:numPr>
        <w:autoSpaceDE/>
        <w:autoSpaceDN/>
        <w:spacing w:line="380" w:lineRule="exact"/>
        <w:ind w:left="0" w:firstLine="420" w:firstLineChars="200"/>
        <w:textAlignment w:val="auto"/>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发现对方在业务活动中有违反廉政规定的行为，有及时提醒对方纠正的权利和义务。</w:t>
      </w:r>
    </w:p>
    <w:p>
      <w:pPr>
        <w:numPr>
          <w:ilvl w:val="0"/>
          <w:numId w:val="10"/>
        </w:numPr>
        <w:autoSpaceDE/>
        <w:autoSpaceDN/>
        <w:spacing w:line="380" w:lineRule="exact"/>
        <w:ind w:left="0" w:firstLine="420" w:firstLineChars="200"/>
        <w:textAlignment w:val="auto"/>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发现对方严重违反本责任书义务条款的行为，有向其上级有关部门举报、建议给予处理并要求告知处理结果的权利。</w:t>
      </w:r>
    </w:p>
    <w:p>
      <w:pPr>
        <w:spacing w:line="38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第二条  甲方的义务</w:t>
      </w:r>
    </w:p>
    <w:p>
      <w:pPr>
        <w:numPr>
          <w:ilvl w:val="0"/>
          <w:numId w:val="11"/>
        </w:numPr>
        <w:autoSpaceDE/>
        <w:autoSpaceDN/>
        <w:spacing w:line="380" w:lineRule="exact"/>
        <w:ind w:left="0" w:firstLine="420" w:firstLineChars="200"/>
        <w:textAlignment w:val="auto"/>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甲方及其工作人员不得索要或接受乙方的礼金、礼券、有价证券和物品，不得到乙方报销任何由甲方或个人支付的费用等。</w:t>
      </w:r>
    </w:p>
    <w:p>
      <w:pPr>
        <w:numPr>
          <w:ilvl w:val="0"/>
          <w:numId w:val="11"/>
        </w:numPr>
        <w:autoSpaceDE/>
        <w:autoSpaceDN/>
        <w:spacing w:line="380" w:lineRule="exact"/>
        <w:ind w:left="0" w:firstLine="420" w:firstLineChars="200"/>
        <w:textAlignment w:val="auto"/>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甲方不得有意刁难、拖延中标商工程款，不得违反规定批拨工程建设费用等。</w:t>
      </w:r>
    </w:p>
    <w:p>
      <w:pPr>
        <w:numPr>
          <w:ilvl w:val="0"/>
          <w:numId w:val="11"/>
        </w:numPr>
        <w:autoSpaceDE/>
        <w:autoSpaceDN/>
        <w:spacing w:line="380" w:lineRule="exact"/>
        <w:ind w:left="0" w:firstLine="420" w:firstLineChars="200"/>
        <w:textAlignment w:val="auto"/>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甲方工作人员不得参加乙方安排的宴请和娱乐活动；不得接受乙方提供的通讯工具、交通工具和高档办公用品等。</w:t>
      </w:r>
    </w:p>
    <w:p>
      <w:pPr>
        <w:numPr>
          <w:ilvl w:val="0"/>
          <w:numId w:val="11"/>
        </w:numPr>
        <w:autoSpaceDE/>
        <w:autoSpaceDN/>
        <w:spacing w:line="380" w:lineRule="exact"/>
        <w:ind w:left="0" w:firstLine="420" w:firstLineChars="200"/>
        <w:textAlignment w:val="auto"/>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甲方及其工作人员不得要求或者接受乙方为其住房装修、操办婚丧嫁娶、安排配偶子女的工作以及出国出境、旅游等。</w:t>
      </w:r>
    </w:p>
    <w:p>
      <w:pPr>
        <w:numPr>
          <w:ilvl w:val="0"/>
          <w:numId w:val="11"/>
        </w:numPr>
        <w:autoSpaceDE/>
        <w:autoSpaceDN/>
        <w:spacing w:line="380" w:lineRule="exact"/>
        <w:ind w:left="0" w:firstLine="420" w:firstLineChars="200"/>
        <w:textAlignment w:val="auto"/>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甲方工作人员的配偶、子女及下属单位不得从事与甲方工程有关的材料设备供应、工程分包、劳务等经济活动。</w:t>
      </w:r>
    </w:p>
    <w:p>
      <w:pPr>
        <w:numPr>
          <w:ilvl w:val="0"/>
          <w:numId w:val="11"/>
        </w:numPr>
        <w:autoSpaceDE/>
        <w:autoSpaceDN/>
        <w:spacing w:line="380" w:lineRule="exact"/>
        <w:ind w:left="0" w:firstLine="420" w:firstLineChars="200"/>
        <w:textAlignment w:val="auto"/>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甲方及其工作人员不得以任何理由向乙方推荐分包单位，不得要求乙方购买合同规定外的材料和设备。</w:t>
      </w:r>
    </w:p>
    <w:p>
      <w:pPr>
        <w:spacing w:line="38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第三条  乙方义务</w:t>
      </w:r>
    </w:p>
    <w:p>
      <w:pPr>
        <w:numPr>
          <w:ilvl w:val="1"/>
          <w:numId w:val="10"/>
        </w:numPr>
        <w:autoSpaceDE/>
        <w:autoSpaceDN/>
        <w:spacing w:line="380" w:lineRule="exact"/>
        <w:ind w:left="0" w:firstLine="502"/>
        <w:textAlignment w:val="auto"/>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乙方不得以任何理由向甲方及其工作人员行贿或馈赠礼金、礼券、有价证券、礼品。</w:t>
      </w:r>
    </w:p>
    <w:p>
      <w:pPr>
        <w:numPr>
          <w:ilvl w:val="1"/>
          <w:numId w:val="10"/>
        </w:numPr>
        <w:autoSpaceDE/>
        <w:autoSpaceDN/>
        <w:spacing w:line="380" w:lineRule="exact"/>
        <w:ind w:left="0" w:firstLine="502"/>
        <w:textAlignment w:val="auto"/>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乙方不得以任何名义为甲方及其工作人员报销应由甲方单位或个人支付的任何费用。</w:t>
      </w:r>
    </w:p>
    <w:p>
      <w:pPr>
        <w:numPr>
          <w:ilvl w:val="1"/>
          <w:numId w:val="10"/>
        </w:numPr>
        <w:autoSpaceDE/>
        <w:autoSpaceDN/>
        <w:spacing w:line="380" w:lineRule="exact"/>
        <w:ind w:left="0" w:firstLine="502"/>
        <w:textAlignment w:val="auto"/>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乙方不得要求甲方违反规定，批拨、追加工程建设费用等。</w:t>
      </w:r>
    </w:p>
    <w:p>
      <w:pPr>
        <w:numPr>
          <w:ilvl w:val="1"/>
          <w:numId w:val="10"/>
        </w:numPr>
        <w:autoSpaceDE/>
        <w:autoSpaceDN/>
        <w:spacing w:line="380" w:lineRule="exact"/>
        <w:ind w:left="0" w:firstLine="502"/>
        <w:textAlignment w:val="auto"/>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乙方不得以任何理由安排甲方工作人员参加宴请及娱乐活动。</w:t>
      </w:r>
    </w:p>
    <w:p>
      <w:pPr>
        <w:numPr>
          <w:ilvl w:val="1"/>
          <w:numId w:val="10"/>
        </w:numPr>
        <w:autoSpaceDE/>
        <w:autoSpaceDN/>
        <w:spacing w:line="380" w:lineRule="exact"/>
        <w:ind w:left="0" w:firstLine="502"/>
        <w:textAlignment w:val="auto"/>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乙方不得为甲方单位和个人购置或提供通讯工具、交通工具和高档办公室用品等。</w:t>
      </w:r>
    </w:p>
    <w:p>
      <w:pPr>
        <w:spacing w:line="38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第四条  违约责任</w:t>
      </w:r>
    </w:p>
    <w:p>
      <w:pPr>
        <w:spacing w:line="38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（一）甲方及其工作人员违反本责任书第一、二条，按管理权限，依据有关规定给予党纪、政纪或组织处理；涉嫌犯罪的，移送司法机关追究刑事责任；给乙方单位造成经济损失的，应予以赔偿。</w:t>
      </w:r>
    </w:p>
    <w:p>
      <w:pPr>
        <w:spacing w:line="38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二）乙方及其工作人员违反本责任书第一、三条，按管理权限，依据有关规定，给予党纪、政纪、组织处理或停止承接业务处理；给甲方单位造成经济损失的，应予以赔偿；情节严重的，甲方建议有关工程建设主管部门给予乙方一至三年内不得参与工程建设项目投标的处罚。</w:t>
      </w:r>
    </w:p>
    <w:p>
      <w:pPr>
        <w:spacing w:line="38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第五条  双方约定</w:t>
      </w:r>
    </w:p>
    <w:p>
      <w:pPr>
        <w:pStyle w:val="17"/>
        <w:snapToGrid/>
        <w:spacing w:line="380" w:lineRule="exact"/>
        <w:ind w:left="48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本责任书由纪检监察机关负责监督执行。纪检监察机关对本责任书执行情况</w:t>
      </w:r>
    </w:p>
    <w:p>
      <w:pPr>
        <w:pStyle w:val="17"/>
        <w:snapToGrid/>
        <w:spacing w:line="380" w:lineRule="exact"/>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进行抽查。提出属于本责任书规定范围的处理意见。</w:t>
      </w:r>
    </w:p>
    <w:p>
      <w:pPr>
        <w:spacing w:line="38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第六条  本责任书有效期同甲乙双方签署之日起至该工程项目工程款支付完结时止。</w:t>
      </w:r>
    </w:p>
    <w:p>
      <w:pPr>
        <w:spacing w:line="38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第七条  本责任书作为本工程施工中标合同的附件，与工程施工合同具有同等的法律效力，经甲、乙双方签署后生效。</w:t>
      </w:r>
    </w:p>
    <w:p>
      <w:pPr>
        <w:spacing w:line="38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第八条  本责任书甲、乙双方各执一份，送交监督单位一份。</w:t>
      </w:r>
    </w:p>
    <w:p>
      <w:pPr>
        <w:spacing w:line="38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甲方单位：___________________（盖章）       乙方单位：__________________ （盖章）</w:t>
      </w:r>
    </w:p>
    <w:p>
      <w:pPr>
        <w:spacing w:line="38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法定代表人：________________                法定代表人：___________________</w:t>
      </w:r>
    </w:p>
    <w:p>
      <w:pPr>
        <w:spacing w:line="38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地址：_____________________                 地址：___________________</w:t>
      </w:r>
    </w:p>
    <w:p>
      <w:pPr>
        <w:spacing w:line="38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电话：_____________________                 电话：___________________</w:t>
      </w:r>
    </w:p>
    <w:p>
      <w:pPr>
        <w:spacing w:line="380" w:lineRule="exact"/>
        <w:ind w:firstLine="840" w:firstLineChars="400"/>
        <w:rPr>
          <w:rFonts w:hint="eastAsia" w:ascii="仿宋" w:hAnsi="仿宋" w:eastAsia="仿宋" w:cs="仿宋"/>
          <w:snapToGrid w:val="0"/>
          <w:color w:val="auto"/>
          <w:sz w:val="21"/>
          <w:szCs w:val="21"/>
        </w:rPr>
      </w:pPr>
      <w:bookmarkStart w:id="566" w:name="_Toc55455449"/>
      <w:r>
        <w:rPr>
          <w:rFonts w:hint="eastAsia" w:ascii="仿宋" w:hAnsi="仿宋" w:eastAsia="仿宋" w:cs="仿宋"/>
          <w:snapToGrid w:val="0"/>
          <w:color w:val="auto"/>
          <w:sz w:val="21"/>
          <w:szCs w:val="21"/>
        </w:rPr>
        <w:t>年    月    日                            年    月    日</w:t>
      </w:r>
      <w:bookmarkEnd w:id="566"/>
    </w:p>
    <w:p>
      <w:pPr>
        <w:widowControl/>
        <w:autoSpaceDE/>
        <w:autoSpaceDN/>
        <w:adjustRightInd/>
        <w:jc w:val="left"/>
        <w:textAlignment w:val="auto"/>
        <w:rPr>
          <w:rFonts w:hint="eastAsia" w:ascii="仿宋" w:hAnsi="仿宋" w:eastAsia="仿宋" w:cs="仿宋"/>
          <w:b/>
          <w:snapToGrid w:val="0"/>
          <w:color w:val="auto"/>
        </w:rPr>
      </w:pPr>
      <w:bookmarkStart w:id="567" w:name="_Toc336325306"/>
    </w:p>
    <w:p>
      <w:pPr>
        <w:jc w:val="left"/>
        <w:textAlignment w:val="auto"/>
        <w:rPr>
          <w:rFonts w:hint="eastAsia" w:ascii="仿宋" w:hAnsi="仿宋" w:eastAsia="仿宋" w:cs="仿宋"/>
          <w:color w:val="auto"/>
          <w:szCs w:val="24"/>
        </w:rPr>
      </w:pPr>
      <w:r>
        <w:rPr>
          <w:rFonts w:hint="eastAsia" w:ascii="仿宋" w:hAnsi="仿宋" w:eastAsia="仿宋" w:cs="仿宋"/>
          <w:snapToGrid w:val="0"/>
          <w:color w:val="auto"/>
        </w:rPr>
        <w:br w:type="page"/>
      </w:r>
      <w:bookmarkStart w:id="568" w:name="_Toc405378506"/>
      <w:r>
        <w:rPr>
          <w:rFonts w:hint="eastAsia" w:ascii="仿宋" w:hAnsi="仿宋" w:eastAsia="仿宋" w:cs="仿宋"/>
          <w:b/>
          <w:snapToGrid w:val="0"/>
          <w:color w:val="auto"/>
        </w:rPr>
        <w:t>附件五：</w:t>
      </w:r>
      <w:bookmarkEnd w:id="567"/>
      <w:bookmarkEnd w:id="568"/>
      <w:r>
        <w:rPr>
          <w:rFonts w:hint="eastAsia" w:ascii="仿宋" w:hAnsi="仿宋" w:eastAsia="仿宋" w:cs="仿宋"/>
          <w:b/>
          <w:color w:val="auto"/>
          <w:sz w:val="32"/>
          <w:szCs w:val="32"/>
        </w:rPr>
        <w:t>安全文明施工协议</w:t>
      </w:r>
    </w:p>
    <w:p>
      <w:pPr>
        <w:ind w:firstLine="420" w:firstLineChars="200"/>
        <w:jc w:val="left"/>
        <w:textAlignment w:val="auto"/>
        <w:rPr>
          <w:rFonts w:hint="eastAsia" w:ascii="仿宋" w:hAnsi="仿宋" w:eastAsia="仿宋" w:cs="仿宋"/>
          <w:color w:val="auto"/>
          <w:sz w:val="21"/>
          <w:szCs w:val="21"/>
          <w:u w:val="single"/>
        </w:rPr>
      </w:pPr>
      <w:r>
        <w:rPr>
          <w:rFonts w:hint="eastAsia" w:ascii="仿宋" w:hAnsi="仿宋" w:eastAsia="仿宋" w:cs="仿宋"/>
          <w:color w:val="auto"/>
          <w:sz w:val="21"/>
          <w:szCs w:val="21"/>
        </w:rPr>
        <w:t>工程名称:</w:t>
      </w:r>
    </w:p>
    <w:p>
      <w:pPr>
        <w:ind w:firstLine="420" w:firstLineChars="200"/>
        <w:jc w:val="left"/>
        <w:textAlignment w:val="auto"/>
        <w:rPr>
          <w:rFonts w:hint="eastAsia" w:ascii="仿宋" w:hAnsi="仿宋" w:eastAsia="仿宋" w:cs="仿宋"/>
          <w:color w:val="auto"/>
          <w:sz w:val="21"/>
          <w:szCs w:val="21"/>
          <w:u w:val="single"/>
        </w:rPr>
      </w:pPr>
      <w:r>
        <w:rPr>
          <w:rFonts w:hint="eastAsia" w:ascii="仿宋" w:hAnsi="仿宋" w:eastAsia="仿宋" w:cs="仿宋"/>
          <w:color w:val="auto"/>
          <w:sz w:val="21"/>
          <w:szCs w:val="21"/>
        </w:rPr>
        <w:t>甲方：</w:t>
      </w:r>
    </w:p>
    <w:p>
      <w:pPr>
        <w:ind w:firstLine="420" w:firstLineChars="200"/>
        <w:jc w:val="left"/>
        <w:textAlignment w:val="auto"/>
        <w:rPr>
          <w:rFonts w:hint="eastAsia" w:ascii="仿宋" w:hAnsi="仿宋" w:eastAsia="仿宋" w:cs="仿宋"/>
          <w:color w:val="auto"/>
          <w:sz w:val="21"/>
          <w:szCs w:val="21"/>
          <w:u w:val="single"/>
        </w:rPr>
      </w:pPr>
      <w:r>
        <w:rPr>
          <w:rFonts w:hint="eastAsia" w:ascii="仿宋" w:hAnsi="仿宋" w:eastAsia="仿宋" w:cs="仿宋"/>
          <w:color w:val="auto"/>
          <w:sz w:val="21"/>
          <w:szCs w:val="21"/>
        </w:rPr>
        <w:t>乙方：</w:t>
      </w:r>
    </w:p>
    <w:p>
      <w:pPr>
        <w:ind w:firstLine="525" w:firstLineChars="2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为切实加强工程项目安全文明管理力度，不断提高安全文明生产的管理水平。依照《中华人民共和国安全生产法》、《中华人民共和国建筑法》、《中华人民共和国合同法》以及政府相关法规的规定，为明确甲、乙双方责任，确保安全文明生产，保证相关人员在工程建设过程中人身健康安全，预防发生各类施工安全事故，经双方协商，甲、乙双方自愿签订本协议。</w:t>
      </w:r>
    </w:p>
    <w:p>
      <w:pPr>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1.安全施工</w:t>
      </w:r>
    </w:p>
    <w:p>
      <w:pPr>
        <w:ind w:firstLine="210" w:firstLineChars="1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1.1甲方的责任</w:t>
      </w:r>
    </w:p>
    <w:p>
      <w:pPr>
        <w:ind w:firstLine="210" w:firstLineChars="1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1.1.1贯彻落实国家及政府有关施工现场安全生产、文明施工的法规和管理规定，对施工现场进行全面的安全生产管理和监督检查。</w:t>
      </w:r>
    </w:p>
    <w:p>
      <w:pPr>
        <w:ind w:firstLine="210" w:firstLineChars="1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1.1.2依照甲、乙双方的约定，提供施工现场安全生产条件。如交付使用前双方要办理交接手续，由甲方按照政府有关安全标准对乙方进行日常监督检查等。</w:t>
      </w:r>
    </w:p>
    <w:p>
      <w:pPr>
        <w:ind w:firstLine="210" w:firstLineChars="1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1.1.3对乙方施工区域进行安全生产和文明施工检查。及时纠正乙方施工人员违章指挥和违章作业行为，对乙方人员在生产工作中违反有关安全生产规章制度的行为予以制止和纠正；对严重违章行为有权勒令停止其工作。对乙方施工区域内的重大安全事故隐患，开具隐患通知单，限期整改；如在规定时间内未能整改，有权对乙方进行处罚。</w:t>
      </w:r>
    </w:p>
    <w:p>
      <w:pPr>
        <w:ind w:firstLine="210" w:firstLineChars="1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1.1.4建立健全的施工现场各项安全生产管理制度。</w:t>
      </w:r>
    </w:p>
    <w:p>
      <w:pPr>
        <w:ind w:firstLine="210" w:firstLineChars="1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1.1.5乙方发生生产安全事故时，甲方应提供必要的协助救援并协助处理善后事宜。</w:t>
      </w:r>
    </w:p>
    <w:p>
      <w:pPr>
        <w:ind w:firstLine="210" w:firstLineChars="1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1.2乙方的责任</w:t>
      </w:r>
    </w:p>
    <w:p>
      <w:pPr>
        <w:ind w:firstLine="210" w:firstLineChars="1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1.2.1贯彻落实国家及政府有关施工现场安全生产的法规和管理制度，建立健全安全生产责任制和安全生产管理制度，对</w:t>
      </w:r>
      <w:r>
        <w:rPr>
          <w:rFonts w:hint="eastAsia" w:ascii="仿宋" w:hAnsi="仿宋" w:eastAsia="仿宋" w:cs="仿宋"/>
          <w:snapToGrid w:val="0"/>
          <w:color w:val="auto"/>
          <w:sz w:val="21"/>
          <w:szCs w:val="21"/>
        </w:rPr>
        <w:t>中标</w:t>
      </w:r>
      <w:r>
        <w:rPr>
          <w:rFonts w:hint="eastAsia" w:ascii="仿宋" w:hAnsi="仿宋" w:eastAsia="仿宋" w:cs="仿宋"/>
          <w:color w:val="auto"/>
          <w:sz w:val="21"/>
          <w:szCs w:val="21"/>
        </w:rPr>
        <w:t>施工区域的安全生产管理负全面责任。乙方应完善健全自己的安全管理组织体制，建立施工现场的安全生产保证体系，在安全管理工作中对自单位人员全面负责。方施工人员违反有关安全生产规程制度时，甲方有权予以纠正制止并给予经济处罚，直至停止乙方的工作。</w:t>
      </w:r>
    </w:p>
    <w:p>
      <w:pPr>
        <w:ind w:firstLine="210" w:firstLineChars="1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乙方进驻工地后十四（14）天内制定工地/施工安全预防设施的详细计划书，并提交给甲方审批。甲方可以驳回、批准或修订该计划书，乙方应根据甲方意见做出修订。乙方须委任一名常驻工地的管理人员为工地/施工安全监理及甲方主任，确保该已被甲方批准的计划书得以正确执行及保证整项工程施工期内完全遵守政府部门所颁布的安全规则及避免发生任何意外。乙方应每周向甲方提交工地/施工安全报告。若甲方认为乙方在工地的安全设施或处理方法不符合要求时，可发出停工指令直至修复妥当符合安全规则。停工期内的所有间接及直接损失全部由乙方负责。</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1.2.2接受甲方的施工资质审查，并负责提供有关资料（包括单位营业执照，安全生产许可证、</w:t>
      </w:r>
    </w:p>
    <w:p>
      <w:pPr>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资质证书等）。严格按照施工资质范围施工，不得承接超资质范围的施工任务。严格遵守《中华人民共和国建筑法》和政府有关规定，不得将</w:t>
      </w:r>
      <w:r>
        <w:rPr>
          <w:rFonts w:hint="eastAsia" w:ascii="仿宋" w:hAnsi="仿宋" w:eastAsia="仿宋" w:cs="仿宋"/>
          <w:snapToGrid w:val="0"/>
          <w:color w:val="auto"/>
          <w:sz w:val="21"/>
          <w:szCs w:val="21"/>
        </w:rPr>
        <w:t>中标</w:t>
      </w:r>
      <w:r>
        <w:rPr>
          <w:rFonts w:hint="eastAsia" w:ascii="仿宋" w:hAnsi="仿宋" w:eastAsia="仿宋" w:cs="仿宋"/>
          <w:color w:val="auto"/>
          <w:sz w:val="21"/>
          <w:szCs w:val="21"/>
        </w:rPr>
        <w:t>项目违法转包。</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1.2.3服从甲方现场安全生产管理。严格按照市建委标准化劳务人员登记表进行劳务人员登记并签订劳动合同，进行标准化统一管理。特种工种上岗证持证率100％，如“电工、电焊工、架工、塔吊工、信号工”及普通工等工种的各种操作上岗证，收集存档、先验原件、上岗证复印证件必须乙方盖单位红章送交甲方项目部安全员处存档备查，严格按照安全监督部门关于特种工种的相关规定，做到人证相符，严禁无证人员上岗操作。</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1.2.4乙方对所承担的施工项目，必须制订并且提交给甲方安全生产管理方案及各重大施工项目安全专项实施方案，如“塔吊、脚手架、大模板、深基坑、临电”等方案要有专人管理；并结合工程实际制定好保证安全的“三大措施” (组织、技术、安全措施)，经甲方审查确认合格后监督实施。</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1.2.5按照政府有关安全管理规定，定期组织安全生产培训教育和安全生产活动。在安全教育或安全活动中如需要可要求甲方提供帮助。工程开工前，乙方必须组织全体施工人员分工种进行入场三级安全教育、技能和安全规定考试，合格并建立每个职工专一安全教育档案后方可进入现场施工。需调换工种、增补或调动人员者，在上岗前均必须进行安全教育和技能安全规定考试，并报给监理方备案。</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1.2.6乙方应按《中华人民共和国劳动法》等法律、法规、规定用工，严禁使用未成年工和有职业禁忌的人员进行施工作业。</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1.2.7工程开工前，必须向全体施工人员进行书面安全技术交底，让全体施工人员掌握工程特点及施工安全措施。</w:t>
      </w:r>
    </w:p>
    <w:p>
      <w:pPr>
        <w:ind w:firstLine="210" w:firstLineChars="1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1.2.8乙方应自觉接受甲方的监督和指导。对甲方检查提出的安全整改通知，必须在限期内及时整改。施工中一旦发生人身事故或危及生产运行的不安全情况，必须立即向甲方报告。</w:t>
      </w:r>
    </w:p>
    <w:p>
      <w:pPr>
        <w:ind w:firstLine="210" w:firstLineChars="1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1.2.9乙方必须按国家有关规定，为施工人员配备合格的劳动防护用品及安全用具，并保证施工工具、器械使用安全。乙方施工人员应对所在的施工区域、作业环境、操作设施、设备、工器具等进行认真检查，对于检查中发现的问题及隐患，必须先整改后施工。对施工现场脚手架每天开工前须派专人进行检查，发现隐患应及时整改。各类安全防护设施、遮栏、安全标志牌、警告牌和接地线等乙方不得擅自拆除、更改。</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1.2.10对乙方</w:t>
      </w:r>
      <w:r>
        <w:rPr>
          <w:rFonts w:hint="eastAsia" w:ascii="仿宋" w:hAnsi="仿宋" w:eastAsia="仿宋" w:cs="仿宋"/>
          <w:snapToGrid w:val="0"/>
          <w:color w:val="auto"/>
          <w:sz w:val="21"/>
          <w:szCs w:val="21"/>
        </w:rPr>
        <w:t>中标</w:t>
      </w:r>
      <w:r>
        <w:rPr>
          <w:rFonts w:hint="eastAsia" w:ascii="仿宋" w:hAnsi="仿宋" w:eastAsia="仿宋" w:cs="仿宋"/>
          <w:color w:val="auto"/>
          <w:sz w:val="21"/>
          <w:szCs w:val="21"/>
        </w:rPr>
        <w:t>范围的施工用电负有全部管理责任。B级配电箱以下部分必须符合有关安全用电标准。</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1.2.11在施工期间所使用的各种设备及工用具等均应符合施工要求。对乙方自行携带和使用的机械设备负有安全管理和维护保养的责任，并符合政府有关安全标准。使（租）用大型机械设备时，应在使用前向甲方备案。开工前应对施工机械、工器具及安全防护设施进行一次检查，确保符合安全规定并不超过检验周期。</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1.2.12按照《中华人民共和国安全生产法》和政府有关安全管理规定，及时将《生产安全事故应急救援预案》报甲方备案。</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1.2.13乙方应遵守工程建设安全生产有关管理规定，严格按安全标准组织施工，并随时接受行业安全检查人员依法实施的监督检查，采取必要的安全防护措施，消除事故隐患，有关费用已包含在合同价款中，不再另行计取。由于乙方安全措施不力造成事故的责任和因此发生的费用，由乙方承担。</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1.2.13.1遵守所有适用的安全规则，阻止未经授权的人员进入现场；</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1.2.13.2高度重视并照料有权在现场的所有人员的安全；</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1.2.13.3保持现场和清除工程不需要的障碍物，并及时从现场清除运走任何废料、垃圾或不再需要的临时工程，以避免对现场人员造成危险；</w:t>
      </w:r>
    </w:p>
    <w:p>
      <w:pPr>
        <w:ind w:firstLine="210" w:firstLineChars="1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1.2.13.4在按照竣工验收的规定移交前，提供围栏、照明、警告信号、保卫、看守，并保持现</w:t>
      </w:r>
    </w:p>
    <w:p>
      <w:pPr>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场内外清洁；</w:t>
      </w:r>
    </w:p>
    <w:p>
      <w:pPr>
        <w:ind w:firstLine="210" w:firstLineChars="1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1.2.13.5在施工现场制作、张贴、悬挂广告宣传时，应事先征得甲方的同意并符合政府的有关</w:t>
      </w:r>
    </w:p>
    <w:p>
      <w:pPr>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规定。如果因乙方未履行上述职责，致使在本工程实施过程中造成安全质量事故或其它政府罚款，</w:t>
      </w:r>
    </w:p>
    <w:p>
      <w:pPr>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乙方应立即书面报告甲方代表，并承担由此产生的一切责任及所有费用。</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1.2.14乙方应按照国家及相关地区有关现场施工的消防要求于现场配备适量质量合格的灭火</w:t>
      </w:r>
    </w:p>
    <w:p>
      <w:pPr>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器、消火栓、变压器沙坑等以保证现场消防安全。所有的消防安全措施与责任均由乙方承担，并须达到甲方和有关政府部门的要求。</w:t>
      </w:r>
    </w:p>
    <w:p>
      <w:pPr>
        <w:ind w:firstLine="210" w:firstLineChars="1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1.2.15乙方须遵从并按照政府部门有关施工作业安全、现场安全的条例。在动力设备、输电线</w:t>
      </w:r>
    </w:p>
    <w:p>
      <w:pPr>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路、地下管线、易燃易爆地段以及临街交通要道等重要地点附近施工时乙方应采取必要、特殊的安全防护措施以保证其雇员、现场其他人员及第三者的安全。包括该安全措施的建立及日常维护。在建筑物临边、洞口、交叉、高处等作业地点设置及维护安全防护措施，包括安全护栏、临时封闭隔断等。在进行爆破、有毒有害等高危作业时，乙方应该采取的必要、特殊的安全防护措施以保证避免发生任何意外。</w:t>
      </w:r>
    </w:p>
    <w:p>
      <w:pPr>
        <w:ind w:firstLine="210" w:firstLineChars="1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1.2.16其他安全施工环境创建与保持。按工程项目当地政府安全施工要求可能增加的其他措施</w:t>
      </w:r>
    </w:p>
    <w:p>
      <w:pPr>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及费用。如在工地内各通道的安全照明；为其雇员提供和保持一切所需的安全防护衣物和设备；按政府部门要求在日间和夜间挂起旗帜、讯号和标记，保障行人的安全等。</w:t>
      </w:r>
    </w:p>
    <w:p>
      <w:pPr>
        <w:ind w:firstLine="210" w:firstLineChars="1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1.2.15乙方在动力设备、输电线路、地下管道、密封防震车间、易燃易爆地段以及临街交通要</w:t>
      </w:r>
    </w:p>
    <w:p>
      <w:pPr>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道附近施工时，施工开始前应向监理方提出安全防护措施，经监理方认可后实施，有关费用已包含在合同价款中。</w:t>
      </w:r>
    </w:p>
    <w:p>
      <w:pPr>
        <w:ind w:firstLine="210" w:firstLineChars="1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1.2.16实施爆破作业，在放射、毒害性环境中施工（含储存、运输、使用）及使用毒害性、腐</w:t>
      </w:r>
    </w:p>
    <w:p>
      <w:pPr>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蚀性物品施工时，乙方应在施工前14天以书面通知监理方，并提出相应的安全防护措施，经监理方认可后实施，有关费用已包含在合同价款中。</w:t>
      </w:r>
    </w:p>
    <w:p>
      <w:pPr>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1.3承担事故的责任</w:t>
      </w:r>
    </w:p>
    <w:p>
      <w:pPr>
        <w:ind w:firstLine="210" w:firstLineChars="1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1.3.1由于乙方责任造成生产安全事故，导致甲方或第三方人员伤亡时，由乙方承担事故责任和经济责任。</w:t>
      </w:r>
    </w:p>
    <w:p>
      <w:pPr>
        <w:ind w:firstLine="210" w:firstLineChars="1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1.3.2由于甲方责任或第三方责任造成生产安全事故，乙方有义务负责协助处理善后事宜。</w:t>
      </w:r>
    </w:p>
    <w:p>
      <w:pPr>
        <w:ind w:firstLine="210" w:firstLineChars="1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1.3.3由于双方责任造成的生产安全事故，根据政府有关部门的责任划分承担相应的事故责任和经济责任。</w:t>
      </w:r>
    </w:p>
    <w:p>
      <w:pPr>
        <w:ind w:firstLine="210" w:firstLineChars="1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1.3.4发生生产安全事故后，要先抢救人员生命并保护现场，必须在30分钟内向甲方报告，并按照政府有关规定向有关主管部门报告。迟报或者隐瞒不报生产安全事故，承担事故的全部责任。</w:t>
      </w:r>
    </w:p>
    <w:p>
      <w:pPr>
        <w:ind w:firstLine="210" w:firstLineChars="1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1.3.5乙方应依法为其施工现场作业人员办理意外伤害保险或工伤保险。</w:t>
      </w:r>
    </w:p>
    <w:p>
      <w:pPr>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1.4安全施工处罚条例</w:t>
      </w:r>
    </w:p>
    <w:p>
      <w:pPr>
        <w:ind w:firstLine="210" w:firstLineChars="1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1.4.1乙方要对所有进入施工现场人员，上岗前进行安全教育，针对各工种安全技术操作规程进行培训，做好安全技术交底和书面记录，无书面记录的罚款500元。</w:t>
      </w:r>
    </w:p>
    <w:p>
      <w:pPr>
        <w:ind w:firstLine="210" w:firstLineChars="1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1.4.2施工作业人员进入现场必须要戴好安全帽，凡发现在施工现场不戴安全帽者，每人每次罚款人民币50元。</w:t>
      </w:r>
    </w:p>
    <w:p>
      <w:pPr>
        <w:ind w:firstLine="210" w:firstLineChars="1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1.4.3对于“四口五临边”做到“有洞必盖、有边必有栏”的防护措施，并配置醒目警告标志，</w:t>
      </w:r>
    </w:p>
    <w:p>
      <w:pPr>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无防护措施者罚款1000元，无警告标志罚款100元。</w:t>
      </w:r>
    </w:p>
    <w:p>
      <w:pPr>
        <w:ind w:firstLine="210" w:firstLineChars="1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1.4.4施工用电按JGJ46-88《施工现场临时用电安全技术规范》施工，现场电缆线必须穿管埋设或架空敷设。对易触及或接近带电体的地方均采用绝缘保护和安全隔离措施。现场夜间施工时，施工通道保证有足够高度的夜间照明灯，现场有电工值班巡视。</w:t>
      </w:r>
    </w:p>
    <w:p>
      <w:pPr>
        <w:ind w:firstLine="210" w:firstLineChars="1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1.4.5特殊工种按G35306—85，特殊技术安全部分检查验收合格后方可挂牌使用。脚手架搭、拆过程中，须有专人监护，设置一道安全警戒线，由专业架子工负责搭、拆。违者立即停工整改，并提出书面警告，罚款1000元—5000元。</w:t>
      </w:r>
    </w:p>
    <w:p>
      <w:pPr>
        <w:ind w:firstLine="210" w:firstLineChars="1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1.4.6工地应配备齐全的防火器材，否则酌情给予罚款500元—1000元。</w:t>
      </w:r>
    </w:p>
    <w:p>
      <w:pPr>
        <w:ind w:firstLine="210" w:firstLineChars="1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1.4.7对提出的问题要限时整改，若到期仍未整改，立即停工，并出书面警告，罚款1000元—5000元。</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1.4.8发生安全事故，必须按“三不放过”的原则认真查处，并立即采取有效的防范措施，及时按事故规程上报，否则罚款1000元。</w:t>
      </w:r>
    </w:p>
    <w:p>
      <w:pPr>
        <w:ind w:firstLine="210" w:firstLineChars="1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1.4.9进入施工现场不戴安全帽，发现每人每次罚50元，高空作业不戴安全带，每人每次罚款100元，穿拖鞋进入现场，每人每次罚50元，酒后进入现场，每人每次罚款100元，如儿童进入现场，当事人每人每次罚款100元。</w:t>
      </w:r>
    </w:p>
    <w:p>
      <w:pPr>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2、文明施工</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现场进出口位置设置必须事先得到甲方的认可，但甲方的认可不免除乙方按政府部门指令自费更改进出口的责任。出入口处必须按规定设置洗车设备，包括水枪及洗车槽等，其费用已包括在合同总价中。所有车辆必须于洗车槽清洗后方可离开现场以确保道路清洁。</w:t>
      </w:r>
    </w:p>
    <w:p>
      <w:pPr>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无论施工与否，直至完成整项工程的交付，乙方应在工程现场保留足够的保安员24小时保护工程、材料、施工机械等，并采取一切措施以确保未经允许之人不能进入工地范围。乙方将负责保护已完工程，雇用保安员并不意味乙方免于承担工程、材料、配件、施工机械等遭受损失或损坏的责任。</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2.2堆场及加工场地硬化创建与保持。施工单位应按照工程需要对材料堆放及加工场地实施地面硬化措施，硬化标准及范围由甲方确定。现场临时道路、排水沟等设置应符合招标要求；对现场区域进行划分，乙方有义务负责所划分区域的道路、排水沟等的日常清洁工作；乙方负责地面硬化的日常维护，并在发生损坏时负责修复。</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2.3施工区段范围临时围墙创建与保持。乙方应根据施工现场的需要及甲方指示，按照经甲方批准后临时围墙设计方案创建施工区段临时围墙并在发生损坏时负责修复。甲方对围墙方案批准并不代表乙方对临时围墙安全责任的减少。</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2.4垃圾集中收集站设置及保持。乙方应根据施工现场及施工组织设计的需要，在施工现场设置垃圾集中收集站,并按时将建筑物室内外的垃圾清理至垃圾集中收集站后统一外运。</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2.5施工垃圾清运。乙方必须清除和搬走在施工过程中产生的所有垃圾（包括工程变更及增加工程产生的垃圾），统一清运至垃圾集中收集站后外运。在任何时候垃圾清运的间隔时间不长于三（3）天。</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2.6乙方在施工期间必须保持工地现场施工道路的畅通与整洁，定期清扫施工道路并在有尘埃形成的地方经常洒水。施工道路及施工区入口由乙方负责管理，并指派专人负责现场的清洁卫生。</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2.7乙方的生活设施，须在施工场地以外区域自行解决，施工现场内一律不准布置工人宿舍（保</w:t>
      </w:r>
    </w:p>
    <w:p>
      <w:pPr>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安、值班人员除外）。</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2.8乙方须与所在村庄和农户积极协调、团结合作，避免发生冲突。若与村庄和农户发生冲突事件，所有责任由乙方与村庄和农户自行协商解决，甲方不负任何责任。</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2.9当乙方不执行或不按规定时间或期限执行甲方关于文明施工的指示，甲方被迫雇用第三人代乙方执行文明施工项目时，所发生的全部费用将从应支付给乙方的任何款项中扣除。</w:t>
      </w:r>
    </w:p>
    <w:p>
      <w:pPr>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2.10文明施工处罚条例</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2.10.1建立健全门卫、外来人员出入登记、货物出入登记制度。本工地施工人员在现场必须佩戴证明其身份的胸卡。施工现场未经甲方批准的人员一律不准住宿。违者罚款50元。</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2.10.2在施工前严格按防汛要求，现场周围设置水沟，有系统地把地面水排入沉淀池，经沉淀后的水方能排入河道。防止泥浆、污水、废水直接流入河道。违者罚款500元—1000元，并负担由此产生的政府相关部门的罚款及责任。</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2.10.3在施工道路接入市政道路前应设排水沟并加盖雨水铁箅子，排水沟两边要设沉淀池，对外出车辆设专人清洗。违者罚款500元—1000元。</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2.10.4在施工中产生的各类垃圾应按规定地点堆放并及时清运，保证施工区域畅通，平坦、整洁、场地平整无积水，同时保证出入口和道路畅通，如乙方未按指定地点堆放或未及时清理垃圾，则甲方有权在书面告知后另行安排其他单位完成，相关费用另加15%管理费由乙方依法承担。</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2.10.5材料堆放要求分类、集中堆放、砌体材料归类成垛，堆放整齐，废料随用随清。</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2.10.6积极采取各种有效的防范措施，降低施工中产生的各种噪音，以免周边居民投诉。</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2.10.7施工区内要设足够的男、女厕所，定期清洁，化粪池定期抽粪，严禁将粪直接排入河道，违者罚款500元—1000元。</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2.10.8施工期间，服从水利、市政、交警、环卫、卫生防疫站等有关部门的指导工作。</w:t>
      </w:r>
    </w:p>
    <w:p>
      <w:pPr>
        <w:ind w:firstLine="210" w:firstLineChars="1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2.10.9施工区域随便大便者，一经发现，当事人罚款50，当事人单位罚100元，发现施工现场有大便，处罚相应作业区域责任单位100元；发现小便者，当事人罚款50元，当事人单位罚50元。</w:t>
      </w:r>
    </w:p>
    <w:p>
      <w:pPr>
        <w:ind w:firstLine="210" w:firstLineChars="10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2.10.10施工区域预留的树木，未经项目部同意任何单位不得擅自砍伐或损坏，否则酌情处以500—1800元罚款。</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2.10.11如果乙方的员工或工人、供货单位及其他业务往来单位的人员在甲方的施工工地或者其他公共场所发生群体性事件。乙方承诺必须在事件发生后30分钟内赶到现场处理问题。如果不能按时赶到现场，迟到1个小时内，乙方应向甲方支付1 万元的违约金；迟到2 个小时内，乙方应向甲方支付2 万元的违约金；迟到超过3小时，乙方应向甲方支付5 万元的违约金。在其期间造成的一切后果责任仍由乙方承担。有关当事人罚款从当事人所在单位当月工程进度款中直接扣除。</w:t>
      </w:r>
    </w:p>
    <w:p>
      <w:pPr>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3.公共财产的维护</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3.1乙方须采取一切合理措施，保护现场及其附近的所有公共财产、公共设施、邻近财产、道路、河渠、园林、建筑物、构筑物、现存市政管线设施等，避免由其施工引起的污染、噪声或其它后果对公众造成人身或财物方面的伤害或妨碍，并承担因其疏忽对所有分包人、指定分包人及其他乙方造成损坏所需的一切修复费用，以及由此引起的其他直接、间接的经济损失和赔偿费用，所需的所有保护及措施费用已含在合同价款中。</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3.2现场周围及场内需保留的市政设施如道路、电力、通讯、给水、排水、煤气、热力、化学气体等管线设施乙方应妥善加以保护，并随时进行监测，在其附近的施工应采取相应的措施并承担相应的探察和技术措施费用，如设置防护棚、人工挖探孔、人工挖槽等措施。如需要改路、移位、改线、关止，应征得甲方及有关单位的批准，因乙方的过失而造成管线设施清理、修复；路面、道牙、人行路及园林、树木、铺装的修复；政府有关部门的罚款等费用由乙方承担，包括由此引起的其他</w:t>
      </w:r>
    </w:p>
    <w:p>
      <w:pPr>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直接和间接的经济损失和赔偿费用。</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3.3乙方不得擅自砍伐、损坏现场周围及场内需保留的树木，并承担由此引起的一切经济和法律责任。</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3.4在土方开挖、支护、人工降水、地基处理及结构、外装修等施工时，乙方应采取必要的安全技术措施防止现场周围及场内的建筑物、构筑物、市政设施管线、道路、边坡等出现下沉、断裂、塌落、损坏等事件，并承担由此引起的一切经济和法律责任。</w:t>
      </w:r>
    </w:p>
    <w:p>
      <w:pPr>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4.事故处理</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4.1发生重大伤亡及其他安全事故，乙方应立即通知甲方代表，同时按政府有关部门要求处理，</w:t>
      </w:r>
    </w:p>
    <w:p>
      <w:pPr>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由事故责任方承担发生的费用。</w:t>
      </w:r>
    </w:p>
    <w:p>
      <w:pPr>
        <w:spacing w:line="240" w:lineRule="exact"/>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4.2甲方、乙方对事故责任有争议时，应按政府有关部门的认定处理。</w:t>
      </w:r>
    </w:p>
    <w:p>
      <w:pPr>
        <w:spacing w:line="2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在按上述条款执行的同时，甲方保留向责任单位追究其它责任的权利。</w:t>
      </w:r>
    </w:p>
    <w:p>
      <w:pPr>
        <w:spacing w:line="380" w:lineRule="exact"/>
        <w:jc w:val="left"/>
        <w:textAlignment w:val="auto"/>
        <w:rPr>
          <w:rFonts w:hint="eastAsia" w:ascii="仿宋" w:hAnsi="仿宋" w:eastAsia="仿宋" w:cs="仿宋"/>
          <w:b/>
          <w:color w:val="auto"/>
          <w:sz w:val="32"/>
          <w:szCs w:val="32"/>
        </w:rPr>
      </w:pPr>
      <w:r>
        <w:rPr>
          <w:rFonts w:hint="eastAsia" w:ascii="仿宋" w:hAnsi="仿宋" w:eastAsia="仿宋" w:cs="仿宋"/>
          <w:color w:val="auto"/>
          <w:sz w:val="21"/>
          <w:szCs w:val="21"/>
        </w:rPr>
        <w:t xml:space="preserve">甲方签字（盖章）：                        乙方签字（盖章）： </w:t>
      </w:r>
      <w:r>
        <w:rPr>
          <w:rFonts w:hint="eastAsia" w:ascii="仿宋" w:hAnsi="仿宋" w:eastAsia="仿宋" w:cs="仿宋"/>
          <w:color w:val="auto"/>
          <w:szCs w:val="21"/>
        </w:rPr>
        <w:t>年月日</w:t>
      </w:r>
      <w:bookmarkStart w:id="569" w:name="_Toc405378507"/>
    </w:p>
    <w:p>
      <w:pPr>
        <w:jc w:val="center"/>
        <w:textAlignment w:val="auto"/>
        <w:rPr>
          <w:rFonts w:hint="eastAsia" w:ascii="仿宋" w:hAnsi="仿宋" w:eastAsia="仿宋" w:cs="仿宋"/>
          <w:b/>
          <w:color w:val="auto"/>
          <w:sz w:val="32"/>
          <w:szCs w:val="32"/>
        </w:rPr>
      </w:pPr>
    </w:p>
    <w:p>
      <w:pPr>
        <w:jc w:val="center"/>
        <w:textAlignment w:val="auto"/>
        <w:rPr>
          <w:rFonts w:hint="eastAsia" w:ascii="仿宋" w:hAnsi="仿宋" w:eastAsia="仿宋" w:cs="仿宋"/>
          <w:b/>
          <w:color w:val="auto"/>
          <w:sz w:val="32"/>
          <w:szCs w:val="32"/>
        </w:rPr>
      </w:pPr>
    </w:p>
    <w:p>
      <w:pPr>
        <w:jc w:val="center"/>
        <w:textAlignment w:val="auto"/>
        <w:rPr>
          <w:rFonts w:hint="eastAsia" w:ascii="仿宋" w:hAnsi="仿宋" w:eastAsia="仿宋" w:cs="仿宋"/>
          <w:b/>
          <w:color w:val="auto"/>
          <w:sz w:val="32"/>
          <w:szCs w:val="32"/>
        </w:rPr>
      </w:pPr>
    </w:p>
    <w:p>
      <w:pPr>
        <w:jc w:val="center"/>
        <w:textAlignment w:val="auto"/>
        <w:rPr>
          <w:rFonts w:hint="eastAsia" w:ascii="仿宋" w:hAnsi="仿宋" w:eastAsia="仿宋" w:cs="仿宋"/>
          <w:b/>
          <w:color w:val="auto"/>
          <w:sz w:val="32"/>
          <w:szCs w:val="32"/>
        </w:rPr>
      </w:pPr>
    </w:p>
    <w:p>
      <w:pPr>
        <w:jc w:val="center"/>
        <w:textAlignment w:val="auto"/>
        <w:rPr>
          <w:rFonts w:hint="eastAsia" w:ascii="仿宋" w:hAnsi="仿宋" w:eastAsia="仿宋" w:cs="仿宋"/>
          <w:b/>
          <w:color w:val="auto"/>
          <w:sz w:val="32"/>
          <w:szCs w:val="32"/>
        </w:rPr>
      </w:pPr>
    </w:p>
    <w:p>
      <w:pPr>
        <w:jc w:val="center"/>
        <w:textAlignment w:val="auto"/>
        <w:rPr>
          <w:rFonts w:hint="eastAsia" w:ascii="仿宋" w:hAnsi="仿宋" w:eastAsia="仿宋" w:cs="仿宋"/>
          <w:b/>
          <w:color w:val="auto"/>
          <w:sz w:val="32"/>
          <w:szCs w:val="32"/>
        </w:rPr>
      </w:pPr>
    </w:p>
    <w:p>
      <w:pPr>
        <w:jc w:val="center"/>
        <w:textAlignment w:val="auto"/>
        <w:rPr>
          <w:rFonts w:hint="eastAsia" w:ascii="仿宋" w:hAnsi="仿宋" w:eastAsia="仿宋" w:cs="仿宋"/>
          <w:b/>
          <w:color w:val="auto"/>
          <w:sz w:val="32"/>
          <w:szCs w:val="32"/>
        </w:rPr>
      </w:pPr>
    </w:p>
    <w:p>
      <w:pPr>
        <w:jc w:val="center"/>
        <w:textAlignment w:val="auto"/>
        <w:rPr>
          <w:rFonts w:hint="eastAsia" w:ascii="仿宋" w:hAnsi="仿宋" w:eastAsia="仿宋" w:cs="仿宋"/>
          <w:b/>
          <w:color w:val="auto"/>
          <w:sz w:val="32"/>
          <w:szCs w:val="32"/>
        </w:rPr>
        <w:sectPr>
          <w:footerReference r:id="rId7" w:type="first"/>
          <w:headerReference r:id="rId5" w:type="default"/>
          <w:footerReference r:id="rId6" w:type="default"/>
          <w:pgSz w:w="11850" w:h="16783"/>
          <w:pgMar w:top="1474" w:right="907" w:bottom="1474" w:left="907" w:header="1304" w:footer="1134" w:gutter="0"/>
          <w:pgNumType w:start="1" w:chapStyle="1"/>
          <w:cols w:space="720" w:num="1"/>
          <w:titlePg/>
          <w:docGrid w:type="linesAndChars" w:linePitch="457" w:charSpace="0"/>
        </w:sectPr>
      </w:pPr>
    </w:p>
    <w:p>
      <w:pPr>
        <w:jc w:val="center"/>
        <w:textAlignment w:val="auto"/>
        <w:rPr>
          <w:rFonts w:hint="eastAsia" w:ascii="仿宋" w:hAnsi="仿宋" w:eastAsia="仿宋" w:cs="仿宋"/>
          <w:b/>
          <w:color w:val="auto"/>
        </w:rPr>
      </w:pPr>
      <w:r>
        <w:rPr>
          <w:rFonts w:hint="eastAsia" w:ascii="仿宋" w:hAnsi="仿宋" w:eastAsia="仿宋" w:cs="仿宋"/>
          <w:b/>
          <w:color w:val="auto"/>
          <w:sz w:val="32"/>
          <w:szCs w:val="32"/>
        </w:rPr>
        <w:t>工程运输车辆安全文明管理补充协议</w:t>
      </w:r>
    </w:p>
    <w:p>
      <w:pPr>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招标人：_________________________（甲方）</w:t>
      </w:r>
    </w:p>
    <w:p>
      <w:pPr>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snapToGrid w:val="0"/>
          <w:color w:val="auto"/>
          <w:sz w:val="21"/>
          <w:szCs w:val="21"/>
        </w:rPr>
        <w:t>中标</w:t>
      </w:r>
      <w:r>
        <w:rPr>
          <w:rFonts w:hint="eastAsia" w:ascii="仿宋" w:hAnsi="仿宋" w:eastAsia="仿宋" w:cs="仿宋"/>
          <w:color w:val="auto"/>
          <w:sz w:val="21"/>
          <w:szCs w:val="21"/>
        </w:rPr>
        <w:t>人：_________________________（乙方）</w:t>
      </w:r>
    </w:p>
    <w:p>
      <w:pPr>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为进一步加强工程运输管理，落实工程运输车辆安全文明出行，确保人民群众生命财产安全，保障工程建设顺利进行，创建吴兴建设良好环境，特与乙方签订该协议，具体内容如下：</w:t>
      </w:r>
    </w:p>
    <w:p>
      <w:pPr>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一、工程名称：________________________</w:t>
      </w:r>
    </w:p>
    <w:p>
      <w:pPr>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二、管理内容：</w:t>
      </w:r>
    </w:p>
    <w:p>
      <w:pPr>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1、建设施工项目的工程运输，必须使用经行政执法部门审批的专业运输企业的车辆，严禁将工程运输业务招标给没有资质或证照不齐全的工程运输或个人；</w:t>
      </w:r>
    </w:p>
    <w:p>
      <w:pPr>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2、加强道路运输车辆安全行驶教育，东部新城范围内所有工程运输车辆最高时速不得超过50公里/小时，严禁闯红灯、逆行、违法调头、闯禁区等交通违法行为；</w:t>
      </w:r>
    </w:p>
    <w:p>
      <w:pPr>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3、工程运输车辆保持日常整洁，并采取有效措施防止建筑材料、垃圾和渣土飞扬、洒落或者流溢，</w:t>
      </w:r>
    </w:p>
    <w:p>
      <w:pPr>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保证行驶途中不污染道路和环境。</w:t>
      </w:r>
    </w:p>
    <w:p>
      <w:pPr>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三、处罚办法：</w:t>
      </w:r>
    </w:p>
    <w:p>
      <w:pPr>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1、设立工程运输安全文明专项保证金。具体专项保证金如下：（单位：万元）</w:t>
      </w:r>
    </w:p>
    <w:p>
      <w:pPr>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综合类工程单独土石方工程</w:t>
      </w:r>
    </w:p>
    <w:p>
      <w:pPr>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类型合同价专项保证金类型合同价专项保证金</w:t>
      </w:r>
    </w:p>
    <w:p>
      <w:pPr>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500 以下1 万元□ 20 以下1万元</w:t>
      </w:r>
    </w:p>
    <w:p>
      <w:pPr>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500-2000 2万元□ 20-50 2万元</w:t>
      </w:r>
    </w:p>
    <w:p>
      <w:pPr>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2000 以上5万元□ 50以上5万元</w:t>
      </w:r>
    </w:p>
    <w:p>
      <w:pPr>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2、处罚措施：</w:t>
      </w:r>
    </w:p>
    <w:p>
      <w:pPr>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snapToGrid w:val="0"/>
          <w:color w:val="auto"/>
          <w:sz w:val="21"/>
          <w:szCs w:val="21"/>
        </w:rPr>
        <w:t>中标</w:t>
      </w:r>
      <w:r>
        <w:rPr>
          <w:rFonts w:hint="eastAsia" w:ascii="仿宋" w:hAnsi="仿宋" w:eastAsia="仿宋" w:cs="仿宋"/>
          <w:color w:val="auto"/>
          <w:sz w:val="21"/>
          <w:szCs w:val="21"/>
        </w:rPr>
        <w:t>人应加强工程运输管理，做好自查自纠工作，若违反上述管理内容的，一经发现或被执法部门</w:t>
      </w:r>
    </w:p>
    <w:p>
      <w:pPr>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查处的，须进行处罚。第一次违反，谈话警告；连续二次的，扣罚保证金的50%；连续三次的，扣罚全部保证金。处罚金额于结算工程款中直接扣除。</w:t>
      </w:r>
    </w:p>
    <w:p>
      <w:pPr>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四、其他</w:t>
      </w:r>
    </w:p>
    <w:p>
      <w:pPr>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1、本协议是该工程的补充，其他内容按主合同执行；</w:t>
      </w:r>
    </w:p>
    <w:p>
      <w:pPr>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2、本协议一式四份，双方各执二份；</w:t>
      </w:r>
    </w:p>
    <w:p>
      <w:pPr>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3、本协议经双方签字盖章后生效。</w:t>
      </w:r>
    </w:p>
    <w:p>
      <w:pPr>
        <w:spacing w:line="340" w:lineRule="exact"/>
        <w:jc w:val="left"/>
        <w:textAlignment w:val="auto"/>
        <w:rPr>
          <w:rFonts w:hint="eastAsia" w:ascii="仿宋" w:hAnsi="仿宋" w:eastAsia="仿宋" w:cs="仿宋"/>
          <w:color w:val="auto"/>
          <w:sz w:val="21"/>
          <w:szCs w:val="21"/>
        </w:rPr>
      </w:pPr>
    </w:p>
    <w:p>
      <w:pPr>
        <w:spacing w:line="276" w:lineRule="auto"/>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甲方：__________________（盖章）                      乙方：______________（盖章）</w:t>
      </w:r>
    </w:p>
    <w:p>
      <w:pPr>
        <w:spacing w:line="276" w:lineRule="auto"/>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法定代表人：____________（签字）                     法定代表人：_________（签字）</w:t>
      </w:r>
    </w:p>
    <w:p>
      <w:pPr>
        <w:spacing w:line="276" w:lineRule="auto"/>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或其委托代理人                                       或其委托代理人</w:t>
      </w:r>
    </w:p>
    <w:p>
      <w:pPr>
        <w:spacing w:line="276" w:lineRule="auto"/>
        <w:jc w:val="left"/>
        <w:textAlignment w:val="auto"/>
        <w:rPr>
          <w:rFonts w:hint="eastAsia" w:ascii="仿宋" w:hAnsi="仿宋" w:eastAsia="仿宋" w:cs="仿宋"/>
          <w:b/>
          <w:bCs/>
          <w:snapToGrid w:val="0"/>
          <w:color w:val="auto"/>
          <w:sz w:val="28"/>
          <w:szCs w:val="28"/>
        </w:rPr>
      </w:pPr>
      <w:r>
        <w:rPr>
          <w:rFonts w:hint="eastAsia" w:ascii="仿宋" w:hAnsi="仿宋" w:eastAsia="仿宋" w:cs="仿宋"/>
          <w:color w:val="auto"/>
          <w:sz w:val="21"/>
          <w:szCs w:val="21"/>
        </w:rPr>
        <w:t>年 月 日                                             年  月  日</w:t>
      </w:r>
    </w:p>
    <w:p>
      <w:pPr>
        <w:rPr>
          <w:rFonts w:hint="eastAsia" w:ascii="仿宋" w:hAnsi="仿宋" w:eastAsia="仿宋" w:cs="仿宋"/>
          <w:b/>
          <w:bCs/>
          <w:snapToGrid w:val="0"/>
          <w:color w:val="auto"/>
          <w:sz w:val="28"/>
          <w:szCs w:val="28"/>
        </w:rPr>
      </w:pPr>
    </w:p>
    <w:p>
      <w:pPr>
        <w:jc w:val="center"/>
        <w:rPr>
          <w:rFonts w:hint="eastAsia" w:ascii="仿宋" w:hAnsi="仿宋" w:eastAsia="仿宋" w:cs="仿宋"/>
          <w:b/>
          <w:bCs/>
          <w:snapToGrid w:val="0"/>
          <w:color w:val="auto"/>
          <w:sz w:val="28"/>
          <w:szCs w:val="28"/>
        </w:rPr>
      </w:pPr>
    </w:p>
    <w:p>
      <w:pPr>
        <w:jc w:val="center"/>
        <w:rPr>
          <w:rFonts w:hint="eastAsia" w:ascii="仿宋" w:hAnsi="仿宋" w:eastAsia="仿宋" w:cs="仿宋"/>
          <w:b/>
          <w:bCs/>
          <w:snapToGrid w:val="0"/>
          <w:color w:val="auto"/>
          <w:sz w:val="28"/>
          <w:szCs w:val="28"/>
        </w:rPr>
      </w:pPr>
    </w:p>
    <w:p>
      <w:pPr>
        <w:jc w:val="center"/>
        <w:rPr>
          <w:rFonts w:hint="eastAsia" w:ascii="仿宋" w:hAnsi="仿宋" w:eastAsia="仿宋" w:cs="仿宋"/>
          <w:b/>
          <w:bCs/>
          <w:snapToGrid w:val="0"/>
          <w:color w:val="auto"/>
          <w:sz w:val="28"/>
          <w:szCs w:val="28"/>
        </w:rPr>
      </w:pPr>
      <w:r>
        <w:rPr>
          <w:rFonts w:hint="eastAsia" w:ascii="仿宋" w:hAnsi="仿宋" w:eastAsia="仿宋" w:cs="仿宋"/>
          <w:b/>
          <w:bCs/>
          <w:snapToGrid w:val="0"/>
          <w:color w:val="auto"/>
          <w:sz w:val="28"/>
          <w:szCs w:val="28"/>
        </w:rPr>
        <w:t>“无欠薪”承诺</w:t>
      </w:r>
    </w:p>
    <w:p>
      <w:pPr>
        <w:spacing w:line="420" w:lineRule="exact"/>
        <w:jc w:val="left"/>
        <w:rPr>
          <w:rFonts w:hint="eastAsia" w:ascii="仿宋" w:hAnsi="仿宋" w:eastAsia="仿宋" w:cs="仿宋"/>
          <w:color w:val="auto"/>
          <w:u w:val="single"/>
        </w:rPr>
      </w:pPr>
      <w:r>
        <w:rPr>
          <w:rFonts w:hint="eastAsia" w:ascii="仿宋" w:hAnsi="仿宋" w:eastAsia="仿宋" w:cs="仿宋"/>
          <w:color w:val="auto"/>
        </w:rPr>
        <w:t>_______________________（招标人名称）：</w:t>
      </w:r>
    </w:p>
    <w:p>
      <w:pPr>
        <w:spacing w:line="420" w:lineRule="exact"/>
        <w:jc w:val="left"/>
        <w:rPr>
          <w:rFonts w:hint="eastAsia" w:ascii="仿宋" w:hAnsi="仿宋" w:eastAsia="仿宋" w:cs="仿宋"/>
          <w:color w:val="auto"/>
        </w:rPr>
      </w:pPr>
      <w:r>
        <w:rPr>
          <w:rFonts w:hint="eastAsia" w:ascii="仿宋" w:hAnsi="仿宋" w:eastAsia="仿宋" w:cs="仿宋"/>
          <w:color w:val="auto"/>
        </w:rPr>
        <w:t>本投标人_________________（投标人名称）郑重承诺：</w:t>
      </w:r>
    </w:p>
    <w:p>
      <w:pPr>
        <w:spacing w:line="420" w:lineRule="exact"/>
        <w:jc w:val="left"/>
        <w:rPr>
          <w:rFonts w:hint="eastAsia" w:ascii="仿宋" w:hAnsi="仿宋" w:eastAsia="仿宋" w:cs="仿宋"/>
          <w:color w:val="auto"/>
        </w:rPr>
      </w:pPr>
      <w:r>
        <w:rPr>
          <w:rFonts w:hint="eastAsia" w:ascii="仿宋" w:hAnsi="仿宋" w:eastAsia="仿宋" w:cs="仿宋"/>
          <w:color w:val="auto"/>
        </w:rPr>
        <w:t>1、拟派本招标项目_____________（招标项目名称）__________（标段名称）的项目</w:t>
      </w:r>
      <w:r>
        <w:rPr>
          <w:rFonts w:hint="eastAsia" w:ascii="仿宋" w:hAnsi="仿宋" w:eastAsia="仿宋" w:cs="仿宋"/>
          <w:color w:val="auto"/>
          <w:lang w:eastAsia="zh-CN"/>
        </w:rPr>
        <w:t>负责人</w:t>
      </w:r>
      <w:r>
        <w:rPr>
          <w:rFonts w:hint="eastAsia" w:ascii="仿宋" w:hAnsi="仿宋" w:eastAsia="仿宋" w:cs="仿宋"/>
          <w:color w:val="auto"/>
        </w:rPr>
        <w:t>______________（姓名）“无欠薪”承诺。</w:t>
      </w:r>
    </w:p>
    <w:p>
      <w:pPr>
        <w:rPr>
          <w:rFonts w:hint="eastAsia" w:ascii="仿宋" w:hAnsi="仿宋" w:eastAsia="仿宋" w:cs="仿宋"/>
          <w:color w:val="auto"/>
        </w:rPr>
      </w:pPr>
      <w:r>
        <w:rPr>
          <w:rFonts w:hint="eastAsia" w:ascii="仿宋" w:hAnsi="仿宋" w:eastAsia="仿宋" w:cs="仿宋"/>
          <w:color w:val="auto"/>
        </w:rPr>
        <w:t>2、本投标人实行全员实名制管理，建立农民工工资专用账户，实行银行按月代发工资制度并且招标人有监督的权利。如本项目未按规定兑现，招标人不需经本标投标人同意确认有权直接从工程款中扣除该费用，用于直接支付民工工资，并扣罚双倍的费用。</w:t>
      </w:r>
    </w:p>
    <w:p>
      <w:pPr>
        <w:spacing w:line="420" w:lineRule="exact"/>
        <w:jc w:val="left"/>
        <w:rPr>
          <w:rFonts w:hint="eastAsia" w:ascii="仿宋" w:hAnsi="仿宋" w:eastAsia="仿宋" w:cs="仿宋"/>
          <w:color w:val="auto"/>
        </w:rPr>
      </w:pPr>
      <w:r>
        <w:rPr>
          <w:rFonts w:hint="eastAsia" w:ascii="仿宋" w:hAnsi="仿宋" w:eastAsia="仿宋" w:cs="仿宋"/>
          <w:color w:val="auto"/>
        </w:rPr>
        <w:t>3、本投标人提供的资料保证真实。</w:t>
      </w:r>
    </w:p>
    <w:p>
      <w:pPr>
        <w:spacing w:line="420" w:lineRule="exact"/>
        <w:jc w:val="left"/>
        <w:rPr>
          <w:rFonts w:hint="eastAsia" w:ascii="仿宋" w:hAnsi="仿宋" w:eastAsia="仿宋" w:cs="仿宋"/>
          <w:color w:val="auto"/>
        </w:rPr>
      </w:pPr>
      <w:r>
        <w:rPr>
          <w:rFonts w:hint="eastAsia" w:ascii="仿宋" w:hAnsi="仿宋" w:eastAsia="仿宋" w:cs="仿宋"/>
          <w:color w:val="auto"/>
        </w:rPr>
        <w:t>以上情况如有不实，愿意被取消中标资格并上报行政主管部门，由行政主管部门列入不良行为记录，并没收投标保证金。</w:t>
      </w:r>
    </w:p>
    <w:p>
      <w:pPr>
        <w:spacing w:line="420" w:lineRule="exact"/>
        <w:jc w:val="left"/>
        <w:rPr>
          <w:rFonts w:hint="eastAsia" w:ascii="仿宋" w:hAnsi="仿宋" w:eastAsia="仿宋" w:cs="仿宋"/>
          <w:color w:val="auto"/>
        </w:rPr>
      </w:pPr>
      <w:r>
        <w:rPr>
          <w:rFonts w:hint="eastAsia" w:ascii="仿宋" w:hAnsi="仿宋" w:eastAsia="仿宋" w:cs="仿宋"/>
          <w:color w:val="auto"/>
        </w:rPr>
        <w:t>附：项目</w:t>
      </w:r>
      <w:r>
        <w:rPr>
          <w:rFonts w:hint="eastAsia" w:ascii="仿宋" w:hAnsi="仿宋" w:eastAsia="仿宋" w:cs="仿宋"/>
          <w:color w:val="auto"/>
          <w:lang w:eastAsia="zh-CN"/>
        </w:rPr>
        <w:t>负责人</w:t>
      </w:r>
      <w:r>
        <w:rPr>
          <w:rFonts w:hint="eastAsia" w:ascii="仿宋" w:hAnsi="仿宋" w:eastAsia="仿宋" w:cs="仿宋"/>
          <w:color w:val="auto"/>
        </w:rPr>
        <w:t>身份证扫描件</w:t>
      </w:r>
    </w:p>
    <w:tbl>
      <w:tblPr>
        <w:tblStyle w:val="25"/>
        <w:tblW w:w="900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9004" w:type="dxa"/>
          </w:tcPr>
          <w:p>
            <w:pPr>
              <w:spacing w:line="600" w:lineRule="auto"/>
              <w:jc w:val="center"/>
              <w:rPr>
                <w:rFonts w:hint="eastAsia" w:ascii="仿宋" w:hAnsi="仿宋" w:eastAsia="仿宋" w:cs="仿宋"/>
                <w:color w:val="auto"/>
                <w:kern w:val="2"/>
              </w:rPr>
            </w:pPr>
          </w:p>
          <w:p>
            <w:pPr>
              <w:spacing w:line="600" w:lineRule="auto"/>
              <w:jc w:val="center"/>
              <w:rPr>
                <w:rFonts w:hint="eastAsia" w:ascii="仿宋" w:hAnsi="仿宋" w:eastAsia="仿宋" w:cs="仿宋"/>
                <w:color w:val="auto"/>
                <w:kern w:val="2"/>
              </w:rPr>
            </w:pPr>
          </w:p>
          <w:p>
            <w:pPr>
              <w:spacing w:line="600" w:lineRule="auto"/>
              <w:jc w:val="center"/>
              <w:rPr>
                <w:rFonts w:hint="eastAsia" w:ascii="仿宋" w:hAnsi="仿宋" w:eastAsia="仿宋" w:cs="仿宋"/>
                <w:color w:val="auto"/>
                <w:kern w:val="2"/>
              </w:rPr>
            </w:pPr>
          </w:p>
          <w:p>
            <w:pPr>
              <w:spacing w:line="600" w:lineRule="auto"/>
              <w:jc w:val="center"/>
              <w:rPr>
                <w:rFonts w:hint="eastAsia" w:ascii="仿宋" w:hAnsi="仿宋" w:eastAsia="仿宋" w:cs="仿宋"/>
                <w:color w:val="auto"/>
                <w:kern w:val="2"/>
              </w:rPr>
            </w:pPr>
            <w:r>
              <w:rPr>
                <w:rFonts w:hint="eastAsia" w:ascii="仿宋" w:hAnsi="仿宋" w:eastAsia="仿宋" w:cs="仿宋"/>
                <w:color w:val="auto"/>
              </w:rPr>
              <w:t>项目</w:t>
            </w:r>
            <w:r>
              <w:rPr>
                <w:rFonts w:hint="eastAsia" w:ascii="仿宋" w:hAnsi="仿宋" w:eastAsia="仿宋" w:cs="仿宋"/>
                <w:color w:val="auto"/>
                <w:lang w:eastAsia="zh-CN"/>
              </w:rPr>
              <w:t>负责人</w:t>
            </w:r>
            <w:r>
              <w:rPr>
                <w:rFonts w:hint="eastAsia" w:ascii="仿宋" w:hAnsi="仿宋" w:eastAsia="仿宋" w:cs="仿宋"/>
                <w:color w:val="auto"/>
                <w:kern w:val="2"/>
              </w:rPr>
              <w:t>身份证（正、反面）</w:t>
            </w:r>
          </w:p>
        </w:tc>
      </w:tr>
    </w:tbl>
    <w:p>
      <w:pPr>
        <w:spacing w:line="600" w:lineRule="auto"/>
        <w:rPr>
          <w:rFonts w:hint="eastAsia" w:ascii="仿宋" w:hAnsi="仿宋" w:eastAsia="仿宋" w:cs="仿宋"/>
          <w:color w:val="auto"/>
        </w:rPr>
      </w:pPr>
    </w:p>
    <w:p>
      <w:pPr>
        <w:jc w:val="right"/>
        <w:rPr>
          <w:rFonts w:hint="eastAsia" w:ascii="仿宋" w:hAnsi="仿宋" w:eastAsia="仿宋" w:cs="仿宋"/>
          <w:color w:val="auto"/>
        </w:rPr>
      </w:pPr>
      <w:r>
        <w:rPr>
          <w:rFonts w:hint="eastAsia" w:ascii="仿宋" w:hAnsi="仿宋" w:eastAsia="仿宋" w:cs="仿宋"/>
          <w:color w:val="auto"/>
        </w:rPr>
        <w:t>投标人：_______________（盖单位章）</w:t>
      </w:r>
    </w:p>
    <w:p>
      <w:pPr>
        <w:jc w:val="right"/>
        <w:rPr>
          <w:rFonts w:hint="eastAsia" w:ascii="仿宋" w:hAnsi="仿宋" w:eastAsia="仿宋" w:cs="仿宋"/>
          <w:color w:val="auto"/>
        </w:rPr>
      </w:pPr>
    </w:p>
    <w:p>
      <w:pPr>
        <w:spacing w:line="340" w:lineRule="exact"/>
        <w:ind w:firstLine="6600" w:firstLineChars="2750"/>
        <w:jc w:val="left"/>
        <w:textAlignment w:val="auto"/>
        <w:rPr>
          <w:rFonts w:hint="eastAsia" w:ascii="仿宋" w:hAnsi="仿宋" w:eastAsia="仿宋" w:cs="仿宋"/>
          <w:color w:val="auto"/>
          <w:sz w:val="21"/>
          <w:szCs w:val="21"/>
        </w:rPr>
      </w:pPr>
      <w:r>
        <w:rPr>
          <w:rFonts w:hint="eastAsia" w:ascii="仿宋" w:hAnsi="仿宋" w:eastAsia="仿宋" w:cs="仿宋"/>
          <w:color w:val="auto"/>
        </w:rPr>
        <w:t>年 月 日</w:t>
      </w:r>
    </w:p>
    <w:p>
      <w:pPr>
        <w:spacing w:line="340" w:lineRule="exact"/>
        <w:jc w:val="left"/>
        <w:textAlignment w:val="auto"/>
        <w:rPr>
          <w:rFonts w:hint="eastAsia" w:ascii="仿宋" w:hAnsi="仿宋" w:eastAsia="仿宋" w:cs="仿宋"/>
          <w:color w:val="auto"/>
          <w:sz w:val="21"/>
          <w:szCs w:val="21"/>
        </w:rPr>
      </w:pPr>
    </w:p>
    <w:p>
      <w:pPr>
        <w:spacing w:line="340" w:lineRule="exact"/>
        <w:jc w:val="left"/>
        <w:textAlignment w:val="auto"/>
        <w:rPr>
          <w:rFonts w:hint="eastAsia" w:ascii="仿宋" w:hAnsi="仿宋" w:eastAsia="仿宋" w:cs="仿宋"/>
          <w:color w:val="auto"/>
          <w:sz w:val="21"/>
          <w:szCs w:val="21"/>
        </w:rPr>
      </w:pPr>
    </w:p>
    <w:p>
      <w:pPr>
        <w:spacing w:line="340" w:lineRule="exact"/>
        <w:jc w:val="left"/>
        <w:textAlignment w:val="auto"/>
        <w:rPr>
          <w:rFonts w:hint="eastAsia" w:ascii="仿宋" w:hAnsi="仿宋" w:eastAsia="仿宋" w:cs="仿宋"/>
          <w:color w:val="auto"/>
          <w:sz w:val="21"/>
          <w:szCs w:val="21"/>
        </w:rPr>
      </w:pPr>
    </w:p>
    <w:p>
      <w:pPr>
        <w:pStyle w:val="6"/>
        <w:spacing w:line="360" w:lineRule="auto"/>
        <w:jc w:val="both"/>
        <w:rPr>
          <w:rFonts w:hint="eastAsia" w:ascii="仿宋" w:hAnsi="仿宋" w:eastAsia="仿宋" w:cs="仿宋"/>
          <w:color w:val="auto"/>
          <w:szCs w:val="30"/>
        </w:rPr>
      </w:pPr>
      <w:bookmarkStart w:id="570" w:name="_Toc389815213"/>
      <w:bookmarkStart w:id="571" w:name="_Toc31630"/>
    </w:p>
    <w:bookmarkEnd w:id="173"/>
    <w:bookmarkEnd w:id="174"/>
    <w:bookmarkEnd w:id="569"/>
    <w:bookmarkEnd w:id="570"/>
    <w:bookmarkEnd w:id="571"/>
    <w:p>
      <w:pPr>
        <w:pStyle w:val="6"/>
        <w:spacing w:line="360" w:lineRule="auto"/>
        <w:jc w:val="center"/>
        <w:rPr>
          <w:rFonts w:hint="eastAsia" w:ascii="仿宋" w:hAnsi="仿宋" w:eastAsia="仿宋" w:cs="仿宋"/>
          <w:color w:val="auto"/>
          <w:sz w:val="32"/>
          <w:szCs w:val="32"/>
        </w:rPr>
      </w:pPr>
      <w:bookmarkStart w:id="572" w:name="_Toc26441"/>
      <w:bookmarkStart w:id="573" w:name="_Toc350"/>
      <w:bookmarkStart w:id="574" w:name="_Toc405378508"/>
      <w:bookmarkStart w:id="575" w:name="_Toc303001138"/>
      <w:r>
        <w:rPr>
          <w:rFonts w:hint="eastAsia" w:ascii="仿宋" w:hAnsi="仿宋" w:eastAsia="仿宋" w:cs="仿宋"/>
          <w:color w:val="auto"/>
          <w:sz w:val="32"/>
          <w:szCs w:val="32"/>
        </w:rPr>
        <w:t>第五章 工程量清单</w:t>
      </w:r>
      <w:bookmarkEnd w:id="572"/>
      <w:bookmarkEnd w:id="573"/>
    </w:p>
    <w:p>
      <w:pPr>
        <w:ind w:firstLine="3400" w:firstLineChars="850"/>
        <w:rPr>
          <w:rFonts w:hint="eastAsia" w:ascii="仿宋" w:hAnsi="仿宋" w:eastAsia="仿宋" w:cs="仿宋"/>
          <w:color w:val="auto"/>
          <w:sz w:val="40"/>
        </w:rPr>
      </w:pPr>
      <w:r>
        <w:rPr>
          <w:rFonts w:hint="eastAsia" w:ascii="仿宋" w:hAnsi="仿宋" w:eastAsia="仿宋" w:cs="仿宋"/>
          <w:color w:val="auto"/>
          <w:sz w:val="40"/>
        </w:rPr>
        <w:t>详细清单后附</w:t>
      </w:r>
    </w:p>
    <w:p>
      <w:pPr>
        <w:pStyle w:val="5"/>
        <w:ind w:firstLine="0"/>
        <w:rPr>
          <w:rFonts w:hint="eastAsia" w:ascii="仿宋" w:hAnsi="仿宋" w:eastAsia="仿宋" w:cs="仿宋"/>
          <w:color w:val="auto"/>
        </w:rPr>
      </w:pPr>
    </w:p>
    <w:p>
      <w:pPr>
        <w:pStyle w:val="5"/>
        <w:ind w:firstLine="0"/>
        <w:rPr>
          <w:rFonts w:hint="eastAsia" w:ascii="仿宋" w:hAnsi="仿宋" w:eastAsia="仿宋" w:cs="仿宋"/>
          <w:color w:val="auto"/>
        </w:rPr>
      </w:pPr>
    </w:p>
    <w:p>
      <w:pPr>
        <w:pStyle w:val="5"/>
        <w:ind w:firstLine="0"/>
        <w:rPr>
          <w:rFonts w:hint="eastAsia" w:ascii="仿宋" w:hAnsi="仿宋" w:eastAsia="仿宋" w:cs="仿宋"/>
          <w:color w:val="auto"/>
        </w:rPr>
      </w:pPr>
    </w:p>
    <w:p>
      <w:pPr>
        <w:pStyle w:val="6"/>
        <w:spacing w:line="720" w:lineRule="auto"/>
        <w:jc w:val="both"/>
        <w:rPr>
          <w:rFonts w:hint="eastAsia" w:ascii="仿宋" w:hAnsi="仿宋" w:eastAsia="仿宋" w:cs="仿宋"/>
          <w:color w:val="auto"/>
          <w:sz w:val="52"/>
          <w:szCs w:val="52"/>
        </w:rPr>
      </w:pPr>
    </w:p>
    <w:p>
      <w:pPr>
        <w:pStyle w:val="6"/>
        <w:spacing w:line="720" w:lineRule="auto"/>
        <w:jc w:val="center"/>
        <w:rPr>
          <w:rFonts w:hint="eastAsia" w:ascii="仿宋" w:hAnsi="仿宋" w:eastAsia="仿宋" w:cs="仿宋"/>
          <w:color w:val="auto"/>
          <w:sz w:val="52"/>
          <w:szCs w:val="52"/>
        </w:rPr>
      </w:pPr>
    </w:p>
    <w:p>
      <w:pPr>
        <w:pStyle w:val="6"/>
        <w:spacing w:line="720" w:lineRule="auto"/>
        <w:jc w:val="center"/>
        <w:rPr>
          <w:rFonts w:hint="eastAsia" w:ascii="仿宋" w:hAnsi="仿宋" w:eastAsia="仿宋" w:cs="仿宋"/>
          <w:color w:val="auto"/>
          <w:sz w:val="52"/>
          <w:szCs w:val="52"/>
        </w:rPr>
      </w:pPr>
    </w:p>
    <w:p>
      <w:pPr>
        <w:pStyle w:val="6"/>
        <w:spacing w:line="720" w:lineRule="auto"/>
        <w:jc w:val="center"/>
        <w:rPr>
          <w:rFonts w:hint="eastAsia" w:ascii="仿宋" w:hAnsi="仿宋" w:eastAsia="仿宋" w:cs="仿宋"/>
          <w:color w:val="auto"/>
          <w:sz w:val="52"/>
          <w:szCs w:val="52"/>
        </w:rPr>
      </w:pPr>
    </w:p>
    <w:p>
      <w:pPr>
        <w:pStyle w:val="6"/>
        <w:spacing w:line="720" w:lineRule="auto"/>
        <w:jc w:val="center"/>
        <w:rPr>
          <w:rFonts w:hint="eastAsia" w:ascii="仿宋" w:hAnsi="仿宋" w:eastAsia="仿宋" w:cs="仿宋"/>
          <w:color w:val="auto"/>
          <w:sz w:val="52"/>
          <w:szCs w:val="52"/>
        </w:rPr>
      </w:pPr>
    </w:p>
    <w:p>
      <w:pPr>
        <w:pStyle w:val="6"/>
        <w:spacing w:line="720" w:lineRule="auto"/>
        <w:jc w:val="center"/>
        <w:rPr>
          <w:rFonts w:hint="eastAsia" w:ascii="仿宋" w:hAnsi="仿宋" w:eastAsia="仿宋" w:cs="仿宋"/>
          <w:color w:val="auto"/>
          <w:sz w:val="52"/>
          <w:szCs w:val="52"/>
        </w:rPr>
      </w:pPr>
      <w:bookmarkStart w:id="576" w:name="_Toc4013"/>
      <w:bookmarkStart w:id="577" w:name="_Toc28027"/>
    </w:p>
    <w:p>
      <w:pPr>
        <w:pStyle w:val="6"/>
        <w:spacing w:line="720" w:lineRule="auto"/>
        <w:jc w:val="center"/>
        <w:rPr>
          <w:rFonts w:hint="eastAsia" w:ascii="仿宋" w:hAnsi="仿宋" w:eastAsia="仿宋" w:cs="仿宋"/>
          <w:color w:val="auto"/>
          <w:sz w:val="52"/>
          <w:szCs w:val="52"/>
        </w:rPr>
      </w:pPr>
    </w:p>
    <w:p>
      <w:pPr>
        <w:pStyle w:val="6"/>
        <w:spacing w:line="720" w:lineRule="auto"/>
        <w:jc w:val="center"/>
        <w:rPr>
          <w:rFonts w:hint="eastAsia" w:ascii="仿宋" w:hAnsi="仿宋" w:eastAsia="仿宋" w:cs="仿宋"/>
          <w:color w:val="auto"/>
          <w:sz w:val="52"/>
          <w:szCs w:val="52"/>
        </w:rPr>
      </w:pPr>
    </w:p>
    <w:p>
      <w:pPr>
        <w:pStyle w:val="6"/>
        <w:spacing w:line="720" w:lineRule="auto"/>
        <w:jc w:val="center"/>
        <w:rPr>
          <w:rFonts w:hint="eastAsia" w:ascii="仿宋" w:hAnsi="仿宋" w:eastAsia="仿宋" w:cs="仿宋"/>
          <w:color w:val="auto"/>
          <w:sz w:val="52"/>
          <w:szCs w:val="52"/>
        </w:rPr>
      </w:pPr>
    </w:p>
    <w:p>
      <w:pPr>
        <w:pStyle w:val="6"/>
        <w:spacing w:line="720" w:lineRule="auto"/>
        <w:jc w:val="center"/>
        <w:rPr>
          <w:rFonts w:hint="eastAsia" w:ascii="仿宋" w:hAnsi="仿宋" w:eastAsia="仿宋" w:cs="仿宋"/>
          <w:color w:val="auto"/>
          <w:sz w:val="52"/>
          <w:szCs w:val="52"/>
        </w:rPr>
      </w:pPr>
    </w:p>
    <w:p>
      <w:pPr>
        <w:pStyle w:val="6"/>
        <w:spacing w:line="720" w:lineRule="auto"/>
        <w:jc w:val="center"/>
        <w:rPr>
          <w:rFonts w:hint="eastAsia" w:ascii="仿宋" w:hAnsi="仿宋" w:eastAsia="仿宋" w:cs="仿宋"/>
          <w:color w:val="auto"/>
          <w:sz w:val="52"/>
          <w:szCs w:val="52"/>
        </w:rPr>
      </w:pPr>
    </w:p>
    <w:p>
      <w:pPr>
        <w:pStyle w:val="6"/>
        <w:spacing w:line="720" w:lineRule="auto"/>
        <w:jc w:val="center"/>
        <w:rPr>
          <w:rFonts w:hint="eastAsia" w:ascii="仿宋" w:hAnsi="仿宋" w:eastAsia="仿宋" w:cs="仿宋"/>
          <w:color w:val="auto"/>
          <w:sz w:val="52"/>
          <w:szCs w:val="52"/>
        </w:rPr>
      </w:pPr>
    </w:p>
    <w:p>
      <w:pPr>
        <w:pStyle w:val="6"/>
        <w:spacing w:line="720" w:lineRule="auto"/>
        <w:jc w:val="center"/>
        <w:rPr>
          <w:rFonts w:hint="eastAsia" w:ascii="仿宋" w:hAnsi="仿宋" w:eastAsia="仿宋" w:cs="仿宋"/>
          <w:color w:val="auto"/>
          <w:sz w:val="52"/>
          <w:szCs w:val="52"/>
        </w:rPr>
      </w:pPr>
    </w:p>
    <w:p>
      <w:pPr>
        <w:pStyle w:val="6"/>
        <w:spacing w:line="720" w:lineRule="auto"/>
        <w:jc w:val="center"/>
        <w:rPr>
          <w:rFonts w:hint="eastAsia" w:ascii="仿宋" w:hAnsi="仿宋" w:eastAsia="仿宋" w:cs="仿宋"/>
          <w:color w:val="auto"/>
          <w:sz w:val="52"/>
          <w:szCs w:val="52"/>
        </w:rPr>
      </w:pPr>
      <w:r>
        <w:rPr>
          <w:rFonts w:hint="eastAsia" w:ascii="仿宋" w:hAnsi="仿宋" w:eastAsia="仿宋" w:cs="仿宋"/>
          <w:color w:val="auto"/>
          <w:sz w:val="52"/>
          <w:szCs w:val="52"/>
        </w:rPr>
        <w:t>第   二   卷</w:t>
      </w:r>
      <w:bookmarkEnd w:id="574"/>
      <w:bookmarkEnd w:id="575"/>
      <w:bookmarkEnd w:id="576"/>
      <w:bookmarkEnd w:id="577"/>
    </w:p>
    <w:p>
      <w:pPr>
        <w:pStyle w:val="5"/>
        <w:spacing w:line="720" w:lineRule="auto"/>
        <w:ind w:firstLine="0"/>
        <w:rPr>
          <w:rFonts w:hint="eastAsia" w:ascii="仿宋" w:hAnsi="仿宋" w:eastAsia="仿宋" w:cs="仿宋"/>
          <w:snapToGrid w:val="0"/>
          <w:color w:val="auto"/>
          <w:szCs w:val="21"/>
        </w:rPr>
      </w:pPr>
    </w:p>
    <w:p>
      <w:pPr>
        <w:pStyle w:val="6"/>
        <w:spacing w:line="720" w:lineRule="auto"/>
        <w:rPr>
          <w:rFonts w:hint="eastAsia" w:ascii="仿宋" w:hAnsi="仿宋" w:eastAsia="仿宋" w:cs="仿宋"/>
          <w:color w:val="auto"/>
          <w:sz w:val="32"/>
          <w:szCs w:val="32"/>
        </w:rPr>
      </w:pPr>
    </w:p>
    <w:p>
      <w:pPr>
        <w:pStyle w:val="5"/>
        <w:ind w:firstLine="0"/>
        <w:rPr>
          <w:rFonts w:hint="eastAsia" w:ascii="仿宋" w:hAnsi="仿宋" w:eastAsia="仿宋" w:cs="仿宋"/>
          <w:color w:val="auto"/>
        </w:rPr>
      </w:pPr>
      <w:bookmarkStart w:id="578" w:name="_Toc309222156"/>
    </w:p>
    <w:p>
      <w:pPr>
        <w:pStyle w:val="5"/>
        <w:ind w:firstLine="0"/>
        <w:rPr>
          <w:rFonts w:hint="eastAsia" w:ascii="仿宋" w:hAnsi="仿宋" w:eastAsia="仿宋" w:cs="仿宋"/>
          <w:color w:val="auto"/>
        </w:rPr>
      </w:pPr>
    </w:p>
    <w:p>
      <w:pPr>
        <w:pStyle w:val="6"/>
        <w:spacing w:line="720" w:lineRule="auto"/>
        <w:jc w:val="both"/>
        <w:rPr>
          <w:rFonts w:hint="eastAsia" w:ascii="仿宋" w:hAnsi="仿宋" w:eastAsia="仿宋" w:cs="仿宋"/>
          <w:color w:val="auto"/>
          <w:sz w:val="32"/>
          <w:szCs w:val="32"/>
        </w:rPr>
      </w:pPr>
    </w:p>
    <w:p>
      <w:pPr>
        <w:pStyle w:val="6"/>
        <w:spacing w:line="720" w:lineRule="auto"/>
        <w:jc w:val="center"/>
        <w:rPr>
          <w:rFonts w:hint="eastAsia" w:ascii="仿宋" w:hAnsi="仿宋" w:eastAsia="仿宋" w:cs="仿宋"/>
          <w:color w:val="auto"/>
          <w:sz w:val="32"/>
          <w:szCs w:val="32"/>
        </w:rPr>
      </w:pPr>
      <w:bookmarkStart w:id="579" w:name="_Toc31589"/>
      <w:bookmarkStart w:id="580" w:name="_Toc26838"/>
      <w:r>
        <w:rPr>
          <w:rFonts w:hint="eastAsia" w:ascii="仿宋" w:hAnsi="仿宋" w:eastAsia="仿宋" w:cs="仿宋"/>
          <w:color w:val="auto"/>
          <w:sz w:val="32"/>
          <w:szCs w:val="32"/>
        </w:rPr>
        <w:t>第六章 图纸</w:t>
      </w:r>
      <w:bookmarkEnd w:id="579"/>
      <w:bookmarkEnd w:id="580"/>
    </w:p>
    <w:p>
      <w:pPr>
        <w:spacing w:line="600" w:lineRule="auto"/>
        <w:rPr>
          <w:rFonts w:hint="eastAsia" w:ascii="仿宋" w:hAnsi="仿宋" w:eastAsia="仿宋" w:cs="仿宋"/>
          <w:b/>
          <w:color w:val="auto"/>
        </w:rPr>
      </w:pPr>
      <w:bookmarkStart w:id="581" w:name="_Toc303001140"/>
      <w:r>
        <w:rPr>
          <w:rFonts w:hint="eastAsia" w:ascii="仿宋" w:hAnsi="仿宋" w:eastAsia="仿宋" w:cs="仿宋"/>
          <w:b/>
          <w:color w:val="auto"/>
        </w:rPr>
        <w:t>1、 说明</w:t>
      </w:r>
      <w:bookmarkEnd w:id="581"/>
    </w:p>
    <w:p>
      <w:pPr>
        <w:pStyle w:val="5"/>
        <w:spacing w:line="360" w:lineRule="auto"/>
        <w:rPr>
          <w:rFonts w:hint="eastAsia" w:ascii="仿宋" w:hAnsi="仿宋" w:eastAsia="仿宋" w:cs="仿宋"/>
          <w:snapToGrid w:val="0"/>
          <w:color w:val="auto"/>
          <w:szCs w:val="24"/>
        </w:rPr>
      </w:pPr>
      <w:r>
        <w:rPr>
          <w:rFonts w:hint="eastAsia" w:ascii="仿宋" w:hAnsi="仿宋" w:eastAsia="仿宋" w:cs="仿宋"/>
          <w:snapToGrid w:val="0"/>
          <w:color w:val="auto"/>
          <w:szCs w:val="24"/>
        </w:rPr>
        <w:t>本招标文件所附全部图纸为招标图，仅供投标人在编制投标文件时使用，不得作为施工详图使用，否则，由此而造成的一切后果均由中标人自负。</w:t>
      </w:r>
    </w:p>
    <w:p>
      <w:pPr>
        <w:spacing w:line="720" w:lineRule="auto"/>
        <w:rPr>
          <w:rFonts w:hint="eastAsia" w:ascii="仿宋" w:hAnsi="仿宋" w:eastAsia="仿宋" w:cs="仿宋"/>
          <w:snapToGrid w:val="0"/>
          <w:color w:val="auto"/>
          <w:szCs w:val="24"/>
        </w:rPr>
      </w:pPr>
      <w:bookmarkStart w:id="582" w:name="_Toc303001141"/>
      <w:r>
        <w:rPr>
          <w:rFonts w:hint="eastAsia" w:ascii="仿宋" w:hAnsi="仿宋" w:eastAsia="仿宋" w:cs="仿宋"/>
          <w:b/>
          <w:color w:val="auto"/>
        </w:rPr>
        <w:t>2 、图纸（详见图册）</w:t>
      </w:r>
      <w:bookmarkEnd w:id="582"/>
      <w:r>
        <w:rPr>
          <w:rFonts w:hint="eastAsia" w:ascii="仿宋" w:hAnsi="仿宋" w:eastAsia="仿宋" w:cs="仿宋"/>
          <w:snapToGrid w:val="0"/>
          <w:color w:val="auto"/>
        </w:rPr>
        <w:br w:type="page"/>
      </w:r>
    </w:p>
    <w:p>
      <w:pPr>
        <w:pStyle w:val="6"/>
        <w:jc w:val="center"/>
        <w:rPr>
          <w:rFonts w:hint="eastAsia" w:ascii="仿宋" w:hAnsi="仿宋" w:eastAsia="仿宋" w:cs="仿宋"/>
          <w:color w:val="auto"/>
          <w:sz w:val="48"/>
        </w:rPr>
      </w:pPr>
    </w:p>
    <w:p>
      <w:pPr>
        <w:pStyle w:val="6"/>
        <w:jc w:val="center"/>
        <w:rPr>
          <w:rFonts w:hint="eastAsia" w:ascii="仿宋" w:hAnsi="仿宋" w:eastAsia="仿宋" w:cs="仿宋"/>
          <w:color w:val="auto"/>
          <w:sz w:val="48"/>
        </w:rPr>
      </w:pPr>
    </w:p>
    <w:p>
      <w:pPr>
        <w:pStyle w:val="6"/>
        <w:jc w:val="center"/>
        <w:rPr>
          <w:rFonts w:hint="eastAsia" w:ascii="仿宋" w:hAnsi="仿宋" w:eastAsia="仿宋" w:cs="仿宋"/>
          <w:color w:val="auto"/>
          <w:sz w:val="48"/>
        </w:rPr>
      </w:pPr>
    </w:p>
    <w:p>
      <w:pPr>
        <w:pStyle w:val="6"/>
        <w:jc w:val="center"/>
        <w:rPr>
          <w:rFonts w:hint="eastAsia" w:ascii="仿宋" w:hAnsi="仿宋" w:eastAsia="仿宋" w:cs="仿宋"/>
          <w:color w:val="auto"/>
          <w:sz w:val="48"/>
        </w:rPr>
      </w:pPr>
    </w:p>
    <w:p>
      <w:pPr>
        <w:pStyle w:val="6"/>
        <w:jc w:val="center"/>
        <w:rPr>
          <w:rFonts w:hint="eastAsia" w:ascii="仿宋" w:hAnsi="仿宋" w:eastAsia="仿宋" w:cs="仿宋"/>
          <w:color w:val="auto"/>
          <w:sz w:val="48"/>
        </w:rPr>
      </w:pPr>
    </w:p>
    <w:p>
      <w:pPr>
        <w:pStyle w:val="6"/>
        <w:jc w:val="center"/>
        <w:rPr>
          <w:rFonts w:hint="eastAsia" w:ascii="仿宋" w:hAnsi="仿宋" w:eastAsia="仿宋" w:cs="仿宋"/>
          <w:color w:val="auto"/>
          <w:sz w:val="52"/>
          <w:szCs w:val="52"/>
        </w:rPr>
      </w:pPr>
      <w:bookmarkStart w:id="583" w:name="_Toc7894"/>
      <w:bookmarkStart w:id="584" w:name="_Toc27337"/>
    </w:p>
    <w:p>
      <w:pPr>
        <w:pStyle w:val="6"/>
        <w:jc w:val="center"/>
        <w:rPr>
          <w:rFonts w:hint="eastAsia" w:ascii="仿宋" w:hAnsi="仿宋" w:eastAsia="仿宋" w:cs="仿宋"/>
          <w:color w:val="auto"/>
          <w:sz w:val="52"/>
          <w:szCs w:val="52"/>
        </w:rPr>
      </w:pPr>
      <w:r>
        <w:rPr>
          <w:rFonts w:hint="eastAsia" w:ascii="仿宋" w:hAnsi="仿宋" w:eastAsia="仿宋" w:cs="仿宋"/>
          <w:color w:val="auto"/>
          <w:sz w:val="52"/>
          <w:szCs w:val="52"/>
        </w:rPr>
        <w:t>第   三   卷</w:t>
      </w:r>
      <w:bookmarkEnd w:id="583"/>
      <w:bookmarkEnd w:id="584"/>
    </w:p>
    <w:p>
      <w:pPr>
        <w:rPr>
          <w:rFonts w:hint="eastAsia" w:ascii="仿宋" w:hAnsi="仿宋" w:eastAsia="仿宋" w:cs="仿宋"/>
          <w:snapToGrid w:val="0"/>
          <w:color w:val="auto"/>
        </w:rPr>
      </w:pPr>
    </w:p>
    <w:p>
      <w:pPr>
        <w:pStyle w:val="6"/>
        <w:spacing w:line="360" w:lineRule="auto"/>
        <w:jc w:val="center"/>
        <w:rPr>
          <w:rFonts w:hint="eastAsia" w:ascii="仿宋" w:hAnsi="仿宋" w:eastAsia="仿宋" w:cs="仿宋"/>
          <w:color w:val="auto"/>
          <w:sz w:val="32"/>
          <w:szCs w:val="32"/>
        </w:rPr>
      </w:pPr>
      <w:bookmarkStart w:id="585" w:name="_Toc303001143"/>
      <w:bookmarkStart w:id="586" w:name="_Toc217819084"/>
    </w:p>
    <w:p>
      <w:pPr>
        <w:pStyle w:val="6"/>
        <w:spacing w:line="360" w:lineRule="auto"/>
        <w:jc w:val="center"/>
        <w:rPr>
          <w:rFonts w:hint="eastAsia" w:ascii="仿宋" w:hAnsi="仿宋" w:eastAsia="仿宋" w:cs="仿宋"/>
          <w:bCs/>
          <w:color w:val="auto"/>
          <w:sz w:val="32"/>
          <w:szCs w:val="32"/>
        </w:rPr>
      </w:pPr>
      <w:r>
        <w:rPr>
          <w:rFonts w:hint="eastAsia" w:ascii="仿宋" w:hAnsi="仿宋" w:eastAsia="仿宋" w:cs="仿宋"/>
          <w:color w:val="auto"/>
          <w:sz w:val="32"/>
          <w:szCs w:val="32"/>
        </w:rPr>
        <w:br w:type="page"/>
      </w:r>
      <w:bookmarkStart w:id="587" w:name="_Toc28506"/>
      <w:bookmarkStart w:id="588" w:name="_Toc16677"/>
      <w:r>
        <w:rPr>
          <w:rFonts w:hint="eastAsia" w:ascii="仿宋" w:hAnsi="仿宋" w:eastAsia="仿宋" w:cs="仿宋"/>
          <w:color w:val="auto"/>
          <w:sz w:val="32"/>
          <w:szCs w:val="32"/>
        </w:rPr>
        <w:t xml:space="preserve">第七章  </w:t>
      </w:r>
      <w:r>
        <w:rPr>
          <w:rFonts w:hint="eastAsia" w:ascii="仿宋" w:hAnsi="仿宋" w:eastAsia="仿宋" w:cs="仿宋"/>
          <w:bCs/>
          <w:color w:val="auto"/>
          <w:sz w:val="32"/>
          <w:szCs w:val="32"/>
        </w:rPr>
        <w:t>技术标准和要求</w:t>
      </w:r>
      <w:bookmarkEnd w:id="585"/>
      <w:bookmarkEnd w:id="586"/>
      <w:bookmarkStart w:id="589" w:name="_Toc130188422"/>
      <w:bookmarkStart w:id="590" w:name="_Toc132085884"/>
      <w:bookmarkStart w:id="591" w:name="_Toc90178295"/>
      <w:bookmarkStart w:id="592" w:name="_Toc85872453"/>
      <w:bookmarkStart w:id="593" w:name="_Toc130195275"/>
      <w:bookmarkStart w:id="594" w:name="_Toc99761987"/>
      <w:bookmarkStart w:id="595" w:name="_Toc122746617"/>
      <w:bookmarkStart w:id="596" w:name="_Toc221438559"/>
      <w:bookmarkStart w:id="597" w:name="_Toc25481970"/>
      <w:bookmarkStart w:id="598" w:name="_Toc167613142"/>
      <w:bookmarkStart w:id="599" w:name="_Toc69200173"/>
      <w:bookmarkStart w:id="600" w:name="_Toc85869939"/>
      <w:bookmarkStart w:id="601" w:name="_Toc131992794"/>
      <w:bookmarkStart w:id="602" w:name="_Toc134153083"/>
      <w:bookmarkStart w:id="603" w:name="_Toc232395738"/>
      <w:bookmarkStart w:id="604" w:name="_Toc130672762"/>
      <w:bookmarkStart w:id="605" w:name="_Toc303001144"/>
      <w:bookmarkStart w:id="606" w:name="_Toc134153223"/>
      <w:bookmarkStart w:id="607" w:name="_Toc130633075"/>
      <w:r>
        <w:rPr>
          <w:rFonts w:hint="eastAsia" w:ascii="仿宋" w:hAnsi="仿宋" w:eastAsia="仿宋" w:cs="仿宋"/>
          <w:bCs/>
          <w:color w:val="auto"/>
          <w:sz w:val="32"/>
          <w:szCs w:val="32"/>
        </w:rPr>
        <w:t>（合同技术条款）</w:t>
      </w:r>
      <w:bookmarkEnd w:id="587"/>
      <w:bookmarkEnd w:id="588"/>
    </w:p>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Pr>
        <w:pStyle w:val="6"/>
        <w:spacing w:line="360" w:lineRule="auto"/>
        <w:jc w:val="center"/>
        <w:rPr>
          <w:rFonts w:hint="eastAsia" w:ascii="仿宋" w:hAnsi="仿宋" w:eastAsia="仿宋" w:cs="仿宋"/>
          <w:color w:val="auto"/>
          <w:szCs w:val="30"/>
        </w:rPr>
      </w:pPr>
      <w:bookmarkStart w:id="608" w:name="_Toc336325322"/>
      <w:bookmarkStart w:id="609" w:name="_Toc6083"/>
      <w:bookmarkStart w:id="610" w:name="_Toc27227"/>
      <w:bookmarkStart w:id="611" w:name="_Toc311407724"/>
      <w:r>
        <w:rPr>
          <w:rFonts w:hint="eastAsia" w:ascii="仿宋" w:hAnsi="仿宋" w:eastAsia="仿宋" w:cs="仿宋"/>
          <w:color w:val="auto"/>
          <w:szCs w:val="30"/>
        </w:rPr>
        <w:t>第1节一般规定</w:t>
      </w:r>
      <w:bookmarkEnd w:id="608"/>
      <w:bookmarkEnd w:id="609"/>
      <w:bookmarkEnd w:id="610"/>
      <w:bookmarkEnd w:id="611"/>
    </w:p>
    <w:p>
      <w:pPr>
        <w:pStyle w:val="7"/>
        <w:snapToGrid w:val="0"/>
        <w:spacing w:line="360" w:lineRule="exact"/>
        <w:rPr>
          <w:rFonts w:hint="eastAsia" w:ascii="仿宋" w:hAnsi="仿宋" w:eastAsia="仿宋" w:cs="仿宋"/>
          <w:snapToGrid w:val="0"/>
          <w:color w:val="auto"/>
          <w:sz w:val="21"/>
          <w:szCs w:val="21"/>
        </w:rPr>
      </w:pPr>
      <w:bookmarkStart w:id="612" w:name="_Toc336325323"/>
      <w:bookmarkStart w:id="613" w:name="_Toc341965008"/>
      <w:bookmarkStart w:id="614" w:name="_Toc211762063"/>
      <w:bookmarkStart w:id="615" w:name="_Toc339224625"/>
      <w:bookmarkStart w:id="616" w:name="_Toc151517470"/>
      <w:bookmarkStart w:id="617" w:name="_Toc151604983"/>
      <w:bookmarkStart w:id="618" w:name="_Toc336255210"/>
      <w:bookmarkStart w:id="619" w:name="_Toc339983397"/>
      <w:bookmarkStart w:id="620" w:name="_Toc311407725"/>
      <w:bookmarkStart w:id="621" w:name="_Toc208389940"/>
      <w:bookmarkStart w:id="622" w:name="_Toc87691743"/>
      <w:bookmarkStart w:id="623" w:name="_Toc151604766"/>
      <w:bookmarkStart w:id="624" w:name="_Toc10092"/>
      <w:bookmarkStart w:id="625" w:name="_Toc28924"/>
      <w:bookmarkStart w:id="626" w:name="_Toc339482491"/>
      <w:bookmarkStart w:id="627" w:name="_Toc45083908"/>
      <w:bookmarkStart w:id="628" w:name="_Toc139895906"/>
      <w:bookmarkStart w:id="629" w:name="_Toc260045505"/>
      <w:bookmarkStart w:id="630" w:name="_Toc167677994"/>
      <w:bookmarkStart w:id="631" w:name="_Toc121116507"/>
      <w:bookmarkStart w:id="632" w:name="_Toc47954886"/>
      <w:bookmarkStart w:id="633" w:name="_Toc167678285"/>
      <w:bookmarkStart w:id="634" w:name="_Toc139895908"/>
      <w:r>
        <w:rPr>
          <w:rFonts w:hint="eastAsia" w:ascii="仿宋" w:hAnsi="仿宋" w:eastAsia="仿宋" w:cs="仿宋"/>
          <w:snapToGrid w:val="0"/>
          <w:color w:val="auto"/>
          <w:sz w:val="21"/>
          <w:szCs w:val="21"/>
        </w:rPr>
        <w:t>1.1 说明</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pPr>
        <w:pStyle w:val="8"/>
        <w:snapToGrid w:val="0"/>
        <w:spacing w:line="360" w:lineRule="exact"/>
        <w:rPr>
          <w:rFonts w:hint="eastAsia" w:ascii="仿宋" w:hAnsi="仿宋" w:eastAsia="仿宋" w:cs="仿宋"/>
          <w:color w:val="auto"/>
          <w:sz w:val="21"/>
          <w:szCs w:val="21"/>
        </w:rPr>
      </w:pPr>
      <w:bookmarkStart w:id="635" w:name="_Toc87691744"/>
      <w:r>
        <w:rPr>
          <w:rFonts w:hint="eastAsia" w:ascii="仿宋" w:hAnsi="仿宋" w:eastAsia="仿宋" w:cs="仿宋"/>
          <w:color w:val="auto"/>
          <w:sz w:val="21"/>
          <w:szCs w:val="21"/>
        </w:rPr>
        <w:t>1.1.1 工程概况</w:t>
      </w:r>
      <w:bookmarkEnd w:id="635"/>
      <w:bookmarkStart w:id="636" w:name="_Toc87691745"/>
    </w:p>
    <w:p>
      <w:pPr>
        <w:keepNext w:val="0"/>
        <w:keepLines w:val="0"/>
        <w:widowControl/>
        <w:suppressLineNumbers w:val="0"/>
        <w:ind w:firstLine="404" w:firstLineChars="200"/>
        <w:jc w:val="left"/>
        <w:rPr>
          <w:rFonts w:hint="eastAsia" w:ascii="仿宋" w:hAnsi="仿宋" w:eastAsia="仿宋" w:cs="仿宋"/>
          <w:snapToGrid w:val="0"/>
          <w:color w:val="auto"/>
          <w:spacing w:val="-4"/>
          <w:sz w:val="21"/>
          <w:szCs w:val="21"/>
        </w:rPr>
      </w:pPr>
      <w:r>
        <w:rPr>
          <w:rFonts w:hint="eastAsia" w:ascii="仿宋" w:hAnsi="仿宋" w:eastAsia="仿宋" w:cs="仿宋"/>
          <w:snapToGrid w:val="0"/>
          <w:color w:val="auto"/>
          <w:spacing w:val="-4"/>
          <w:sz w:val="21"/>
          <w:szCs w:val="21"/>
        </w:rPr>
        <w:t>本工程主要建设内容为</w:t>
      </w:r>
      <w:r>
        <w:rPr>
          <w:rFonts w:hint="eastAsia" w:ascii="仿宋" w:hAnsi="仿宋" w:eastAsia="仿宋" w:cs="仿宋"/>
          <w:snapToGrid w:val="0"/>
          <w:color w:val="auto"/>
          <w:spacing w:val="-4"/>
          <w:sz w:val="21"/>
          <w:szCs w:val="21"/>
          <w:lang w:eastAsia="zh-CN"/>
        </w:rPr>
        <w:t>：</w:t>
      </w:r>
      <w:r>
        <w:rPr>
          <w:rFonts w:hint="eastAsia" w:ascii="仿宋" w:hAnsi="仿宋" w:eastAsia="仿宋" w:cs="仿宋"/>
          <w:snapToGrid w:val="0"/>
          <w:color w:val="auto"/>
          <w:spacing w:val="-4"/>
          <w:sz w:val="21"/>
          <w:szCs w:val="21"/>
          <w:lang w:val="en-US" w:eastAsia="zh-CN"/>
        </w:rPr>
        <w:t xml:space="preserve"> 本工程位于吴兴区织里镇，共新建护岸长度955.64m，护岸型式为C25钢筋砼悬臂式挡墙，挡墙基础采用松木桩基础，基础顶高程0.80m，挡墙顶高程3.00m，堤防设计顶高程4.00m。护岸采用C25钢筋砼悬臂式挡墙，挡墙底板为0.30m厚C25钢筋砼底板，墙高2.2m。其上以1:2的草籽护坡至设计堤顶高程4.0m。</w:t>
      </w:r>
    </w:p>
    <w:p>
      <w:pPr>
        <w:widowControl/>
        <w:ind w:firstLine="404" w:firstLineChars="200"/>
        <w:jc w:val="left"/>
        <w:rPr>
          <w:rFonts w:hint="eastAsia" w:ascii="仿宋" w:hAnsi="仿宋" w:eastAsia="仿宋" w:cs="仿宋"/>
          <w:snapToGrid w:val="0"/>
          <w:color w:val="auto"/>
          <w:spacing w:val="-4"/>
          <w:sz w:val="21"/>
          <w:szCs w:val="21"/>
          <w:lang w:eastAsia="zh-CN"/>
        </w:rPr>
      </w:pPr>
      <w:r>
        <w:rPr>
          <w:rFonts w:hint="eastAsia" w:ascii="仿宋" w:hAnsi="仿宋" w:eastAsia="仿宋" w:cs="仿宋"/>
          <w:snapToGrid w:val="0"/>
          <w:color w:val="auto"/>
          <w:spacing w:val="-4"/>
          <w:sz w:val="21"/>
          <w:szCs w:val="21"/>
          <w:lang w:eastAsia="zh-CN"/>
        </w:rPr>
        <w:t>项目基本建设项目投资约</w:t>
      </w:r>
      <w:r>
        <w:rPr>
          <w:rFonts w:hint="eastAsia" w:ascii="仿宋" w:hAnsi="仿宋" w:eastAsia="仿宋" w:cs="仿宋"/>
          <w:snapToGrid w:val="0"/>
          <w:color w:val="auto"/>
          <w:spacing w:val="-4"/>
          <w:sz w:val="21"/>
          <w:szCs w:val="21"/>
          <w:lang w:val="en-US" w:eastAsia="zh-CN"/>
        </w:rPr>
        <w:t>495</w:t>
      </w:r>
      <w:r>
        <w:rPr>
          <w:rFonts w:hint="eastAsia" w:ascii="仿宋" w:hAnsi="仿宋" w:eastAsia="仿宋" w:cs="仿宋"/>
          <w:snapToGrid w:val="0"/>
          <w:color w:val="auto"/>
          <w:spacing w:val="-4"/>
          <w:sz w:val="21"/>
          <w:szCs w:val="21"/>
          <w:lang w:eastAsia="zh-CN"/>
        </w:rPr>
        <w:t>万元。</w:t>
      </w:r>
    </w:p>
    <w:p>
      <w:pPr>
        <w:widowControl/>
        <w:ind w:firstLine="404" w:firstLineChars="200"/>
        <w:jc w:val="left"/>
        <w:rPr>
          <w:rFonts w:hint="eastAsia" w:ascii="仿宋" w:hAnsi="仿宋" w:eastAsia="仿宋" w:cs="仿宋"/>
          <w:snapToGrid w:val="0"/>
          <w:color w:val="auto"/>
          <w:spacing w:val="-4"/>
          <w:sz w:val="21"/>
          <w:szCs w:val="21"/>
          <w:lang w:eastAsia="zh-CN"/>
        </w:rPr>
      </w:pPr>
      <w:r>
        <w:rPr>
          <w:rFonts w:hint="eastAsia" w:ascii="仿宋" w:hAnsi="仿宋" w:eastAsia="仿宋" w:cs="仿宋"/>
          <w:snapToGrid w:val="0"/>
          <w:color w:val="auto"/>
          <w:spacing w:val="-4"/>
          <w:sz w:val="21"/>
          <w:szCs w:val="21"/>
          <w:lang w:eastAsia="zh-CN"/>
        </w:rPr>
        <w:t>计划总工期为</w:t>
      </w:r>
      <w:r>
        <w:rPr>
          <w:rFonts w:hint="eastAsia" w:ascii="仿宋" w:hAnsi="仿宋" w:eastAsia="仿宋" w:cs="仿宋"/>
          <w:snapToGrid w:val="0"/>
          <w:color w:val="auto"/>
          <w:spacing w:val="-4"/>
          <w:sz w:val="21"/>
          <w:szCs w:val="21"/>
          <w:lang w:val="en-US" w:eastAsia="zh-CN"/>
        </w:rPr>
        <w:t>180日历天</w:t>
      </w:r>
      <w:r>
        <w:rPr>
          <w:rFonts w:hint="eastAsia" w:ascii="仿宋" w:hAnsi="仿宋" w:eastAsia="仿宋" w:cs="仿宋"/>
          <w:snapToGrid w:val="0"/>
          <w:color w:val="auto"/>
          <w:spacing w:val="-4"/>
          <w:sz w:val="21"/>
          <w:szCs w:val="21"/>
          <w:lang w:eastAsia="zh-CN"/>
        </w:rPr>
        <w:t>。</w:t>
      </w:r>
    </w:p>
    <w:p>
      <w:pPr>
        <w:snapToGrid w:val="0"/>
        <w:spacing w:line="360" w:lineRule="auto"/>
        <w:ind w:firstLine="555" w:firstLineChars="275"/>
        <w:rPr>
          <w:rFonts w:hint="eastAsia" w:ascii="仿宋" w:hAnsi="仿宋" w:eastAsia="仿宋" w:cs="仿宋"/>
          <w:snapToGrid w:val="0"/>
          <w:color w:val="auto"/>
          <w:spacing w:val="-4"/>
          <w:sz w:val="21"/>
          <w:szCs w:val="21"/>
        </w:rPr>
      </w:pPr>
      <w:r>
        <w:rPr>
          <w:rFonts w:hint="eastAsia" w:ascii="仿宋" w:hAnsi="仿宋" w:eastAsia="仿宋" w:cs="仿宋"/>
          <w:snapToGrid w:val="0"/>
          <w:color w:val="auto"/>
          <w:spacing w:val="-4"/>
          <w:sz w:val="21"/>
          <w:szCs w:val="21"/>
          <w:lang w:eastAsia="zh-CN"/>
        </w:rPr>
        <w:t>工程质量要求合格。</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1.1.2 水文气象</w:t>
      </w:r>
      <w:bookmarkEnd w:id="636"/>
    </w:p>
    <w:p>
      <w:pPr>
        <w:snapToGrid w:val="0"/>
        <w:spacing w:line="360" w:lineRule="exact"/>
        <w:ind w:firstLine="420" w:firstLineChars="200"/>
        <w:rPr>
          <w:rFonts w:hint="eastAsia" w:ascii="仿宋" w:hAnsi="仿宋" w:eastAsia="仿宋" w:cs="仿宋"/>
          <w:snapToGrid w:val="0"/>
          <w:color w:val="auto"/>
          <w:sz w:val="21"/>
          <w:szCs w:val="21"/>
        </w:rPr>
      </w:pPr>
      <w:bookmarkStart w:id="637" w:name="_Toc87691746"/>
      <w:r>
        <w:rPr>
          <w:rFonts w:hint="eastAsia" w:ascii="仿宋" w:hAnsi="仿宋" w:eastAsia="仿宋" w:cs="仿宋"/>
          <w:snapToGrid w:val="0"/>
          <w:color w:val="auto"/>
          <w:sz w:val="21"/>
          <w:szCs w:val="21"/>
        </w:rPr>
        <w:t>1.1.2.1 水文气象</w:t>
      </w:r>
    </w:p>
    <w:p>
      <w:pPr>
        <w:snapToGrid w:val="0"/>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本工程地处亚热带季风气候区，温暖湿润，四季分明，雨热同季。由于季风气候的不稳定性，易受夏季梅雨和台风洪涝、冬春低温寒潮、盛夏高温干旱等灾害性天气的影响。多年平均气温15.8℃，极端最高气温39℃（1966年），极端最低气温-11.1℃（1969年），平均风速3.0m/s，多年平均最大风速20.3m/s，一般风向为W、WNW。</w:t>
      </w:r>
    </w:p>
    <w:p>
      <w:pPr>
        <w:snapToGrid w:val="0"/>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多年平均降水量1398.5mm，建国后最大年降雨量达2102.6mm（杭长桥站1954年降雨量），最枯年降雨量729mm（杭长桥站1978年），平均年降雨日142~155天，无霜期235天左右。降雨以梅雨和台风雨为主，年内雨量分布不均，5~10月降水量占70%左右，易成洪涝灾害。</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1.1.3 施工条件</w:t>
      </w:r>
      <w:bookmarkEnd w:id="637"/>
    </w:p>
    <w:p>
      <w:pPr>
        <w:snapToGrid w:val="0"/>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1.1.3.1 土料场</w:t>
      </w:r>
    </w:p>
    <w:p>
      <w:pPr>
        <w:snapToGrid w:val="0"/>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回填土料利用满足回填要求的开挖土，若回填土料不足则回填土料料源由中标人自行负责，不足部分的回填土料的料源费、运输费、填筑费、检验、试验、验收等相应费用均进入相关项目的单价中，招标人不另行支付。</w:t>
      </w:r>
    </w:p>
    <w:p>
      <w:pPr>
        <w:snapToGrid w:val="0"/>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1.1.3.2弃渣场</w:t>
      </w:r>
    </w:p>
    <w:p>
      <w:pPr>
        <w:snapToGrid w:val="0"/>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弃渣场地由投标人自行解决，并经监理人确认。及时做好弃渣场内水保，环保措施，弃渣场相关费用进入开挖项目单价中。</w:t>
      </w:r>
    </w:p>
    <w:p>
      <w:pPr>
        <w:snapToGrid w:val="0"/>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1.1.3.3建筑材料</w:t>
      </w:r>
      <w:r>
        <w:rPr>
          <w:rFonts w:hint="eastAsia" w:ascii="仿宋" w:hAnsi="仿宋" w:eastAsia="仿宋" w:cs="仿宋"/>
          <w:snapToGrid w:val="0"/>
          <w:color w:val="auto"/>
          <w:sz w:val="21"/>
          <w:szCs w:val="21"/>
        </w:rPr>
        <w:tab/>
      </w:r>
    </w:p>
    <w:p>
      <w:pPr>
        <w:pStyle w:val="5"/>
        <w:snapToGrid w:val="0"/>
        <w:spacing w:line="360" w:lineRule="exact"/>
        <w:ind w:firstLine="525"/>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建筑材料均由投标人自行负责。</w:t>
      </w:r>
    </w:p>
    <w:bookmarkEnd w:id="627"/>
    <w:p>
      <w:pPr>
        <w:pStyle w:val="7"/>
        <w:snapToGrid w:val="0"/>
        <w:spacing w:line="360" w:lineRule="exact"/>
        <w:rPr>
          <w:rFonts w:hint="eastAsia" w:ascii="仿宋" w:hAnsi="仿宋" w:eastAsia="仿宋" w:cs="仿宋"/>
          <w:snapToGrid w:val="0"/>
          <w:color w:val="auto"/>
          <w:sz w:val="21"/>
          <w:szCs w:val="21"/>
        </w:rPr>
      </w:pPr>
      <w:bookmarkStart w:id="638" w:name="_Toc151517471"/>
      <w:bookmarkStart w:id="639" w:name="_Toc211762064"/>
      <w:bookmarkStart w:id="640" w:name="_Toc19719"/>
      <w:bookmarkStart w:id="641" w:name="_Toc57080983"/>
      <w:bookmarkStart w:id="642" w:name="_Toc339224626"/>
      <w:bookmarkStart w:id="643" w:name="_Toc151604767"/>
      <w:bookmarkStart w:id="644" w:name="_Toc339983398"/>
      <w:bookmarkStart w:id="645" w:name="_Toc336325324"/>
      <w:bookmarkStart w:id="646" w:name="_Toc311407726"/>
      <w:bookmarkStart w:id="647" w:name="_Toc19824"/>
      <w:bookmarkStart w:id="648" w:name="_Toc339482492"/>
      <w:bookmarkStart w:id="649" w:name="_Toc341965009"/>
      <w:bookmarkStart w:id="650" w:name="_Toc151604984"/>
      <w:bookmarkStart w:id="651" w:name="_Toc45616672"/>
      <w:bookmarkStart w:id="652" w:name="_Toc147385283"/>
      <w:bookmarkStart w:id="653" w:name="_Toc336255211"/>
      <w:bookmarkStart w:id="654" w:name="_Toc45075900"/>
      <w:bookmarkStart w:id="655" w:name="_Toc116355474"/>
      <w:bookmarkStart w:id="656" w:name="_Toc208389941"/>
      <w:r>
        <w:rPr>
          <w:rFonts w:hint="eastAsia" w:ascii="仿宋" w:hAnsi="仿宋" w:eastAsia="仿宋" w:cs="仿宋"/>
          <w:snapToGrid w:val="0"/>
          <w:color w:val="auto"/>
          <w:sz w:val="21"/>
          <w:szCs w:val="21"/>
        </w:rPr>
        <w:t>1.2 合同工作范围</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1.2.1 本合同中标人中标的工程项目和工作内容</w:t>
      </w:r>
    </w:p>
    <w:p>
      <w:pPr>
        <w:snapToGrid w:val="0"/>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 中标人应承包完成的永久工程项目包括：</w:t>
      </w:r>
    </w:p>
    <w:p>
      <w:pPr>
        <w:pStyle w:val="5"/>
        <w:snapToGrid w:val="0"/>
        <w:spacing w:line="360" w:lineRule="exact"/>
        <w:ind w:firstLine="525" w:firstLineChars="25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1）具体详见图纸。</w:t>
      </w:r>
    </w:p>
    <w:p>
      <w:pPr>
        <w:snapToGrid w:val="0"/>
        <w:spacing w:line="360" w:lineRule="exact"/>
        <w:ind w:firstLine="482"/>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 中标人应承包完成的临时工程项目包括：</w:t>
      </w:r>
    </w:p>
    <w:p>
      <w:pPr>
        <w:snapToGrid w:val="0"/>
        <w:spacing w:line="360" w:lineRule="exact"/>
        <w:ind w:firstLine="482"/>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1）施工道路，场内由中标人根据现有的施工道路条件，在满足工程施工的前提下，根据施工的需要，自行确定施工道路的级别与布置，并负责设计、施工、维护和养护；</w:t>
      </w:r>
    </w:p>
    <w:p>
      <w:pPr>
        <w:snapToGrid w:val="0"/>
        <w:spacing w:line="360" w:lineRule="exact"/>
        <w:ind w:firstLine="482"/>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2）压气系统；</w:t>
      </w:r>
    </w:p>
    <w:p>
      <w:pPr>
        <w:snapToGrid w:val="0"/>
        <w:spacing w:line="360" w:lineRule="exact"/>
        <w:ind w:firstLine="482"/>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3）施工用水系统；</w:t>
      </w:r>
    </w:p>
    <w:p>
      <w:pPr>
        <w:snapToGrid w:val="0"/>
        <w:spacing w:line="360" w:lineRule="exact"/>
        <w:ind w:firstLine="482"/>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4）施工用电系统；</w:t>
      </w:r>
    </w:p>
    <w:p>
      <w:pPr>
        <w:snapToGrid w:val="0"/>
        <w:spacing w:line="360" w:lineRule="exact"/>
        <w:ind w:firstLine="482"/>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5）砼拌和系统；</w:t>
      </w:r>
    </w:p>
    <w:p>
      <w:pPr>
        <w:snapToGrid w:val="0"/>
        <w:spacing w:line="360" w:lineRule="exact"/>
        <w:ind w:firstLine="482"/>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6）碎石料系统；</w:t>
      </w:r>
    </w:p>
    <w:p>
      <w:pPr>
        <w:snapToGrid w:val="0"/>
        <w:spacing w:line="360" w:lineRule="exact"/>
        <w:ind w:firstLine="482"/>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7）施工场地平整；</w:t>
      </w:r>
    </w:p>
    <w:p>
      <w:pPr>
        <w:snapToGrid w:val="0"/>
        <w:spacing w:line="360" w:lineRule="exact"/>
        <w:ind w:firstLine="482"/>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8）修配加工企业；</w:t>
      </w:r>
    </w:p>
    <w:p>
      <w:pPr>
        <w:snapToGrid w:val="0"/>
        <w:spacing w:line="360" w:lineRule="exact"/>
        <w:ind w:firstLine="482"/>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9）临时生产管理及生活设施；</w:t>
      </w:r>
    </w:p>
    <w:p>
      <w:pPr>
        <w:snapToGrid w:val="0"/>
        <w:spacing w:line="360" w:lineRule="exact"/>
        <w:ind w:firstLine="482"/>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10）施工场地使用完的拆除；</w:t>
      </w:r>
    </w:p>
    <w:p>
      <w:pPr>
        <w:snapToGrid w:val="0"/>
        <w:spacing w:line="360" w:lineRule="exact"/>
        <w:ind w:firstLine="482"/>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11）其它有关临时工程。</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1.2.2 招标人承担的工程项目和工作内容</w:t>
      </w:r>
    </w:p>
    <w:p>
      <w:pPr>
        <w:snapToGrid w:val="0"/>
        <w:spacing w:line="360" w:lineRule="exact"/>
        <w:ind w:firstLine="482"/>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有关政策处理的事宜。</w:t>
      </w:r>
    </w:p>
    <w:p>
      <w:pPr>
        <w:pStyle w:val="8"/>
        <w:snapToGrid w:val="0"/>
        <w:spacing w:line="360" w:lineRule="exact"/>
        <w:rPr>
          <w:rFonts w:hint="eastAsia" w:ascii="仿宋" w:hAnsi="仿宋" w:eastAsia="仿宋" w:cs="仿宋"/>
          <w:bCs/>
          <w:color w:val="auto"/>
          <w:sz w:val="21"/>
          <w:szCs w:val="21"/>
        </w:rPr>
      </w:pPr>
      <w:r>
        <w:rPr>
          <w:rFonts w:hint="eastAsia" w:ascii="仿宋" w:hAnsi="仿宋" w:eastAsia="仿宋" w:cs="仿宋"/>
          <w:bCs/>
          <w:color w:val="auto"/>
          <w:sz w:val="21"/>
          <w:szCs w:val="21"/>
        </w:rPr>
        <w:t>1.3 招标人提供的施工图纸和文件</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1.3.1 招标人负责提供的施工图纸和文件</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 由招标人负责设计的工程项目，应由监理人按本章第1.3.2条签订的供图计划提供施工图纸给</w:t>
      </w:r>
      <w:r>
        <w:rPr>
          <w:rFonts w:hint="eastAsia" w:ascii="仿宋" w:hAnsi="仿宋" w:eastAsia="仿宋" w:cs="仿宋"/>
          <w:snapToGrid w:val="0"/>
          <w:color w:val="auto"/>
          <w:sz w:val="21"/>
          <w:szCs w:val="21"/>
        </w:rPr>
        <w:t>中标</w:t>
      </w:r>
      <w:r>
        <w:rPr>
          <w:rFonts w:hint="eastAsia" w:ascii="仿宋" w:hAnsi="仿宋" w:eastAsia="仿宋" w:cs="仿宋"/>
          <w:color w:val="auto"/>
          <w:sz w:val="21"/>
          <w:szCs w:val="21"/>
        </w:rPr>
        <w:t>人。</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(2) 招标人按合同约定向中标人提供的设计基本资料、材料样品、试验成果，以及根据合同要求提供的录像、照片、会议纪要等所有图纸、文件（包括软件、移动硬盘）和影像资料等，招标人不再另行收取费用。</w:t>
      </w:r>
    </w:p>
    <w:p>
      <w:pPr>
        <w:pStyle w:val="8"/>
        <w:snapToGrid w:val="0"/>
        <w:spacing w:line="360" w:lineRule="exact"/>
        <w:rPr>
          <w:rFonts w:hint="eastAsia" w:ascii="仿宋" w:hAnsi="仿宋" w:eastAsia="仿宋" w:cs="仿宋"/>
          <w:bCs/>
          <w:color w:val="auto"/>
          <w:sz w:val="21"/>
          <w:szCs w:val="21"/>
        </w:rPr>
      </w:pPr>
      <w:r>
        <w:rPr>
          <w:rFonts w:hint="eastAsia" w:ascii="仿宋" w:hAnsi="仿宋" w:eastAsia="仿宋" w:cs="仿宋"/>
          <w:bCs/>
          <w:color w:val="auto"/>
          <w:sz w:val="21"/>
          <w:szCs w:val="21"/>
        </w:rPr>
        <w:t>1.3.2 招标人供图计划</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 招标人应在发出开工通知后</w:t>
      </w:r>
      <w:r>
        <w:rPr>
          <w:rFonts w:hint="eastAsia" w:ascii="仿宋" w:hAnsi="仿宋" w:eastAsia="仿宋" w:cs="仿宋"/>
          <w:color w:val="auto"/>
          <w:sz w:val="21"/>
          <w:szCs w:val="21"/>
          <w:u w:val="single"/>
        </w:rPr>
        <w:t xml:space="preserve"> 7 </w:t>
      </w:r>
      <w:r>
        <w:rPr>
          <w:rFonts w:hint="eastAsia" w:ascii="仿宋" w:hAnsi="仿宋" w:eastAsia="仿宋" w:cs="仿宋"/>
          <w:color w:val="auto"/>
          <w:sz w:val="21"/>
          <w:szCs w:val="21"/>
        </w:rPr>
        <w:t>天内，与</w:t>
      </w:r>
      <w:r>
        <w:rPr>
          <w:rFonts w:hint="eastAsia" w:ascii="仿宋" w:hAnsi="仿宋" w:eastAsia="仿宋" w:cs="仿宋"/>
          <w:snapToGrid w:val="0"/>
          <w:color w:val="auto"/>
          <w:sz w:val="21"/>
          <w:szCs w:val="21"/>
        </w:rPr>
        <w:t>中标</w:t>
      </w:r>
      <w:r>
        <w:rPr>
          <w:rFonts w:hint="eastAsia" w:ascii="仿宋" w:hAnsi="仿宋" w:eastAsia="仿宋" w:cs="仿宋"/>
          <w:color w:val="auto"/>
          <w:sz w:val="21"/>
          <w:szCs w:val="21"/>
        </w:rPr>
        <w:t>人共同商签招标人供图计划，经合同双方签订的供图计划作为合同的补充文件。</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(2) 不论何种原因调整和修订了合同进度计划，监理人应及时与</w:t>
      </w:r>
      <w:r>
        <w:rPr>
          <w:rFonts w:hint="eastAsia" w:ascii="仿宋" w:hAnsi="仿宋" w:eastAsia="仿宋" w:cs="仿宋"/>
          <w:snapToGrid w:val="0"/>
          <w:color w:val="auto"/>
          <w:sz w:val="21"/>
          <w:szCs w:val="21"/>
        </w:rPr>
        <w:t>中标</w:t>
      </w:r>
      <w:r>
        <w:rPr>
          <w:rFonts w:hint="eastAsia" w:ascii="仿宋" w:hAnsi="仿宋" w:eastAsia="仿宋" w:cs="仿宋"/>
          <w:color w:val="auto"/>
          <w:sz w:val="21"/>
          <w:szCs w:val="21"/>
        </w:rPr>
        <w:t>人共同修订供图计划，并作为执行合同进度计划的补充文件。</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(3) 招标人应向</w:t>
      </w:r>
      <w:r>
        <w:rPr>
          <w:rFonts w:hint="eastAsia" w:ascii="仿宋" w:hAnsi="仿宋" w:eastAsia="仿宋" w:cs="仿宋"/>
          <w:snapToGrid w:val="0"/>
          <w:color w:val="auto"/>
          <w:sz w:val="21"/>
          <w:szCs w:val="21"/>
        </w:rPr>
        <w:t>中标</w:t>
      </w:r>
      <w:r>
        <w:rPr>
          <w:rFonts w:hint="eastAsia" w:ascii="仿宋" w:hAnsi="仿宋" w:eastAsia="仿宋" w:cs="仿宋"/>
          <w:color w:val="auto"/>
          <w:sz w:val="21"/>
          <w:szCs w:val="21"/>
        </w:rPr>
        <w:t>人提供</w:t>
      </w:r>
      <w:r>
        <w:rPr>
          <w:rFonts w:hint="eastAsia" w:ascii="仿宋" w:hAnsi="仿宋" w:eastAsia="仿宋" w:cs="仿宋"/>
          <w:color w:val="auto"/>
          <w:sz w:val="21"/>
          <w:szCs w:val="21"/>
          <w:u w:val="single"/>
        </w:rPr>
        <w:t xml:space="preserve"> 6</w:t>
      </w:r>
      <w:r>
        <w:rPr>
          <w:rFonts w:hint="eastAsia" w:ascii="仿宋" w:hAnsi="仿宋" w:eastAsia="仿宋" w:cs="仿宋"/>
          <w:color w:val="auto"/>
          <w:sz w:val="21"/>
          <w:szCs w:val="21"/>
        </w:rPr>
        <w:t>份各类施工图纸（包括设计修改图）。</w:t>
      </w:r>
      <w:r>
        <w:rPr>
          <w:rFonts w:hint="eastAsia" w:ascii="仿宋" w:hAnsi="仿宋" w:eastAsia="仿宋" w:cs="仿宋"/>
          <w:snapToGrid w:val="0"/>
          <w:color w:val="auto"/>
          <w:sz w:val="21"/>
          <w:szCs w:val="21"/>
        </w:rPr>
        <w:t>中标</w:t>
      </w:r>
      <w:r>
        <w:rPr>
          <w:rFonts w:hint="eastAsia" w:ascii="仿宋" w:hAnsi="仿宋" w:eastAsia="仿宋" w:cs="仿宋"/>
          <w:color w:val="auto"/>
          <w:sz w:val="21"/>
          <w:szCs w:val="21"/>
        </w:rPr>
        <w:t>人可根据施工需要，要求增加提供图纸份数，并为增供的图纸支付费用。</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1.3.3 招标人提供施工图纸的期限</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 用于</w:t>
      </w:r>
      <w:r>
        <w:rPr>
          <w:rFonts w:hint="eastAsia" w:ascii="仿宋" w:hAnsi="仿宋" w:eastAsia="仿宋" w:cs="仿宋"/>
          <w:snapToGrid w:val="0"/>
          <w:color w:val="auto"/>
          <w:sz w:val="21"/>
          <w:szCs w:val="21"/>
        </w:rPr>
        <w:t>中标</w:t>
      </w:r>
      <w:r>
        <w:rPr>
          <w:rFonts w:hint="eastAsia" w:ascii="仿宋" w:hAnsi="仿宋" w:eastAsia="仿宋" w:cs="仿宋"/>
          <w:color w:val="auto"/>
          <w:sz w:val="21"/>
          <w:szCs w:val="21"/>
        </w:rPr>
        <w:t>人编制施工进度计划和施工总布置所需的工程枢纽总布置图和主要工程建筑物布置图在签署合同协议后</w:t>
      </w:r>
      <w:r>
        <w:rPr>
          <w:rFonts w:hint="eastAsia" w:ascii="仿宋" w:hAnsi="仿宋" w:eastAsia="仿宋" w:cs="仿宋"/>
          <w:color w:val="auto"/>
          <w:sz w:val="21"/>
          <w:szCs w:val="21"/>
          <w:u w:val="single"/>
        </w:rPr>
        <w:t xml:space="preserve"> 7 </w:t>
      </w:r>
      <w:r>
        <w:rPr>
          <w:rFonts w:hint="eastAsia" w:ascii="仿宋" w:hAnsi="仿宋" w:eastAsia="仿宋" w:cs="仿宋"/>
          <w:color w:val="auto"/>
          <w:sz w:val="21"/>
          <w:szCs w:val="21"/>
        </w:rPr>
        <w:t>天内提供给</w:t>
      </w:r>
      <w:r>
        <w:rPr>
          <w:rFonts w:hint="eastAsia" w:ascii="仿宋" w:hAnsi="仿宋" w:eastAsia="仿宋" w:cs="仿宋"/>
          <w:snapToGrid w:val="0"/>
          <w:color w:val="auto"/>
          <w:sz w:val="21"/>
          <w:szCs w:val="21"/>
        </w:rPr>
        <w:t>中标</w:t>
      </w:r>
      <w:r>
        <w:rPr>
          <w:rFonts w:hint="eastAsia" w:ascii="仿宋" w:hAnsi="仿宋" w:eastAsia="仿宋" w:cs="仿宋"/>
          <w:color w:val="auto"/>
          <w:sz w:val="21"/>
          <w:szCs w:val="21"/>
        </w:rPr>
        <w:t>人。</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(2) 用于各工程项目施工的工程建筑物结构布置图、体形图等施工图纸，应在该项目工程施工前</w:t>
      </w:r>
      <w:r>
        <w:rPr>
          <w:rFonts w:hint="eastAsia" w:ascii="仿宋" w:hAnsi="仿宋" w:eastAsia="仿宋" w:cs="仿宋"/>
          <w:color w:val="auto"/>
          <w:sz w:val="21"/>
          <w:szCs w:val="21"/>
          <w:u w:val="single"/>
        </w:rPr>
        <w:t xml:space="preserve"> 14 </w:t>
      </w:r>
      <w:r>
        <w:rPr>
          <w:rFonts w:hint="eastAsia" w:ascii="仿宋" w:hAnsi="仿宋" w:eastAsia="仿宋" w:cs="仿宋"/>
          <w:color w:val="auto"/>
          <w:sz w:val="21"/>
          <w:szCs w:val="21"/>
        </w:rPr>
        <w:t>天提供给</w:t>
      </w:r>
      <w:r>
        <w:rPr>
          <w:rFonts w:hint="eastAsia" w:ascii="仿宋" w:hAnsi="仿宋" w:eastAsia="仿宋" w:cs="仿宋"/>
          <w:snapToGrid w:val="0"/>
          <w:color w:val="auto"/>
          <w:sz w:val="21"/>
          <w:szCs w:val="21"/>
        </w:rPr>
        <w:t>中标</w:t>
      </w:r>
      <w:r>
        <w:rPr>
          <w:rFonts w:hint="eastAsia" w:ascii="仿宋" w:hAnsi="仿宋" w:eastAsia="仿宋" w:cs="仿宋"/>
          <w:color w:val="auto"/>
          <w:sz w:val="21"/>
          <w:szCs w:val="21"/>
        </w:rPr>
        <w:t>人。</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(3) 用于工程施工的开挖支护图、配筋图、细部设计图和浇筑图等施工图纸，应在该部位施工前</w:t>
      </w:r>
      <w:r>
        <w:rPr>
          <w:rFonts w:hint="eastAsia" w:ascii="仿宋" w:hAnsi="仿宋" w:eastAsia="仿宋" w:cs="仿宋"/>
          <w:color w:val="auto"/>
          <w:sz w:val="21"/>
          <w:szCs w:val="21"/>
          <w:u w:val="single"/>
        </w:rPr>
        <w:t xml:space="preserve"> 14</w:t>
      </w:r>
      <w:r>
        <w:rPr>
          <w:rFonts w:hint="eastAsia" w:ascii="仿宋" w:hAnsi="仿宋" w:eastAsia="仿宋" w:cs="仿宋"/>
          <w:color w:val="auto"/>
          <w:sz w:val="21"/>
          <w:szCs w:val="21"/>
        </w:rPr>
        <w:t>天提供给</w:t>
      </w:r>
      <w:r>
        <w:rPr>
          <w:rFonts w:hint="eastAsia" w:ascii="仿宋" w:hAnsi="仿宋" w:eastAsia="仿宋" w:cs="仿宋"/>
          <w:snapToGrid w:val="0"/>
          <w:color w:val="auto"/>
          <w:sz w:val="21"/>
          <w:szCs w:val="21"/>
        </w:rPr>
        <w:t>中标</w:t>
      </w:r>
      <w:r>
        <w:rPr>
          <w:rFonts w:hint="eastAsia" w:ascii="仿宋" w:hAnsi="仿宋" w:eastAsia="仿宋" w:cs="仿宋"/>
          <w:color w:val="auto"/>
          <w:sz w:val="21"/>
          <w:szCs w:val="21"/>
        </w:rPr>
        <w:t>人。</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(4) 用于机电设备安装的安装总图及其有关的图纸和技术文件（包括由设备供货商提交的图纸和技术文件）应在机电设备安装开始前</w:t>
      </w:r>
      <w:r>
        <w:rPr>
          <w:rFonts w:hint="eastAsia" w:ascii="仿宋" w:hAnsi="仿宋" w:eastAsia="仿宋" w:cs="仿宋"/>
          <w:color w:val="auto"/>
          <w:sz w:val="21"/>
          <w:szCs w:val="21"/>
          <w:u w:val="single"/>
        </w:rPr>
        <w:t xml:space="preserve">21 </w:t>
      </w:r>
      <w:r>
        <w:rPr>
          <w:rFonts w:hint="eastAsia" w:ascii="仿宋" w:hAnsi="仿宋" w:eastAsia="仿宋" w:cs="仿宋"/>
          <w:color w:val="auto"/>
          <w:sz w:val="21"/>
          <w:szCs w:val="21"/>
        </w:rPr>
        <w:t>天提供给中标人。用于机电设备安装的埋设件图纸应在安装埋设前</w:t>
      </w:r>
      <w:r>
        <w:rPr>
          <w:rFonts w:hint="eastAsia" w:ascii="仿宋" w:hAnsi="仿宋" w:eastAsia="仿宋" w:cs="仿宋"/>
          <w:color w:val="auto"/>
          <w:sz w:val="21"/>
          <w:szCs w:val="21"/>
          <w:u w:val="single"/>
        </w:rPr>
        <w:t xml:space="preserve">  21 </w:t>
      </w:r>
      <w:r>
        <w:rPr>
          <w:rFonts w:hint="eastAsia" w:ascii="仿宋" w:hAnsi="仿宋" w:eastAsia="仿宋" w:cs="仿宋"/>
          <w:color w:val="auto"/>
          <w:sz w:val="21"/>
          <w:szCs w:val="21"/>
        </w:rPr>
        <w:t>天提供给中标人。</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（5）用于金属结构的制作和安装（如压力钢管、钢结构的制作和安装以及闸门和启闭机的安装等）的安装总图、分件图、安装说明书等图纸和文件，应在开始制作安装前</w:t>
      </w:r>
      <w:r>
        <w:rPr>
          <w:rFonts w:hint="eastAsia" w:ascii="仿宋" w:hAnsi="仿宋" w:eastAsia="仿宋" w:cs="仿宋"/>
          <w:color w:val="auto"/>
          <w:sz w:val="21"/>
          <w:szCs w:val="21"/>
          <w:u w:val="single"/>
        </w:rPr>
        <w:t xml:space="preserve">21 </w:t>
      </w:r>
      <w:r>
        <w:rPr>
          <w:rFonts w:hint="eastAsia" w:ascii="仿宋" w:hAnsi="仿宋" w:eastAsia="仿宋" w:cs="仿宋"/>
          <w:color w:val="auto"/>
          <w:sz w:val="21"/>
          <w:szCs w:val="21"/>
        </w:rPr>
        <w:t>天提供给中标人。</w:t>
      </w:r>
    </w:p>
    <w:p>
      <w:pPr>
        <w:pStyle w:val="5"/>
        <w:snapToGrid w:val="0"/>
        <w:spacing w:line="360" w:lineRule="exact"/>
        <w:ind w:firstLine="0"/>
        <w:rPr>
          <w:rFonts w:hint="eastAsia" w:ascii="仿宋" w:hAnsi="仿宋" w:eastAsia="仿宋" w:cs="仿宋"/>
          <w:color w:val="auto"/>
          <w:sz w:val="21"/>
          <w:szCs w:val="21"/>
        </w:rPr>
      </w:pPr>
      <w:r>
        <w:rPr>
          <w:rFonts w:hint="eastAsia" w:ascii="仿宋" w:hAnsi="仿宋" w:eastAsia="仿宋" w:cs="仿宋"/>
          <w:color w:val="auto"/>
          <w:sz w:val="21"/>
          <w:szCs w:val="21"/>
        </w:rPr>
        <w:t>（6）用于安装监测仪器安装和埋设的施工图纸和技术文件应在开始安装埋设前</w:t>
      </w:r>
      <w:r>
        <w:rPr>
          <w:rFonts w:hint="eastAsia" w:ascii="仿宋" w:hAnsi="仿宋" w:eastAsia="仿宋" w:cs="仿宋"/>
          <w:color w:val="auto"/>
          <w:sz w:val="21"/>
          <w:szCs w:val="21"/>
          <w:u w:val="single"/>
        </w:rPr>
        <w:t xml:space="preserve">21 </w:t>
      </w:r>
      <w:r>
        <w:rPr>
          <w:rFonts w:hint="eastAsia" w:ascii="仿宋" w:hAnsi="仿宋" w:eastAsia="仿宋" w:cs="仿宋"/>
          <w:color w:val="auto"/>
          <w:sz w:val="21"/>
          <w:szCs w:val="21"/>
        </w:rPr>
        <w:t>天提供给中标人。</w:t>
      </w:r>
    </w:p>
    <w:p>
      <w:pPr>
        <w:pStyle w:val="8"/>
        <w:snapToGrid w:val="0"/>
        <w:spacing w:line="360" w:lineRule="exact"/>
        <w:rPr>
          <w:rFonts w:hint="eastAsia" w:ascii="仿宋" w:hAnsi="仿宋" w:eastAsia="仿宋" w:cs="仿宋"/>
          <w:bCs/>
          <w:color w:val="auto"/>
          <w:sz w:val="21"/>
          <w:szCs w:val="21"/>
        </w:rPr>
      </w:pPr>
      <w:r>
        <w:rPr>
          <w:rFonts w:hint="eastAsia" w:ascii="仿宋" w:hAnsi="仿宋" w:eastAsia="仿宋" w:cs="仿宋"/>
          <w:bCs/>
          <w:color w:val="auto"/>
          <w:sz w:val="21"/>
          <w:szCs w:val="21"/>
        </w:rPr>
        <w:t>1.3.4 施工图纸的修改</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（1）中标人收到招标人按上述第1.3.3条的规定提交施工图纸后，应进行详细检查，若发现错误或表达不清楚时，应在收到图纸后的</w:t>
      </w:r>
      <w:r>
        <w:rPr>
          <w:rFonts w:hint="eastAsia" w:ascii="仿宋" w:hAnsi="仿宋" w:eastAsia="仿宋" w:cs="仿宋"/>
          <w:color w:val="auto"/>
          <w:sz w:val="21"/>
          <w:szCs w:val="21"/>
          <w:u w:val="single"/>
        </w:rPr>
        <w:t xml:space="preserve"> 14 </w:t>
      </w:r>
      <w:r>
        <w:rPr>
          <w:rFonts w:hint="eastAsia" w:ascii="仿宋" w:hAnsi="仿宋" w:eastAsia="仿宋" w:cs="仿宋"/>
          <w:color w:val="auto"/>
          <w:sz w:val="21"/>
          <w:szCs w:val="21"/>
        </w:rPr>
        <w:t>天内书面通知监理人。若监理人确认需要作出修改或补充时，应在接件后</w:t>
      </w:r>
      <w:r>
        <w:rPr>
          <w:rFonts w:hint="eastAsia" w:ascii="仿宋" w:hAnsi="仿宋" w:eastAsia="仿宋" w:cs="仿宋"/>
          <w:color w:val="auto"/>
          <w:sz w:val="21"/>
          <w:szCs w:val="21"/>
          <w:u w:val="single"/>
        </w:rPr>
        <w:t xml:space="preserve"> 14 </w:t>
      </w:r>
      <w:r>
        <w:rPr>
          <w:rFonts w:hint="eastAsia" w:ascii="仿宋" w:hAnsi="仿宋" w:eastAsia="仿宋" w:cs="仿宋"/>
          <w:color w:val="auto"/>
          <w:sz w:val="21"/>
          <w:szCs w:val="21"/>
        </w:rPr>
        <w:t>天内将修改和补充后的施工图纸重新提供给中标人。</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（2）监理人发出施工图纸后，需要对某些工程设计进行修改和补充时，应在该部位开始施工</w:t>
      </w:r>
      <w:r>
        <w:rPr>
          <w:rFonts w:hint="eastAsia" w:ascii="仿宋" w:hAnsi="仿宋" w:eastAsia="仿宋" w:cs="仿宋"/>
          <w:color w:val="auto"/>
          <w:sz w:val="21"/>
          <w:szCs w:val="21"/>
          <w:u w:val="single"/>
        </w:rPr>
        <w:t xml:space="preserve"> 14 </w:t>
      </w:r>
      <w:r>
        <w:rPr>
          <w:rFonts w:hint="eastAsia" w:ascii="仿宋" w:hAnsi="仿宋" w:eastAsia="仿宋" w:cs="仿宋"/>
          <w:color w:val="auto"/>
          <w:sz w:val="21"/>
          <w:szCs w:val="21"/>
        </w:rPr>
        <w:t>天前及时签发设计修改图。</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（3）若因施工情况紧急，监理人无法在上述规定的时间内签发修改施工图纸，可以临时发出施工图修改通知单，但应在此后的合理时限内补发正式施工图纸。</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1.4 中标人提交的文件</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1.4.1 中标人文件的提交计划</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中标人应在签署协议书后</w:t>
      </w:r>
      <w:r>
        <w:rPr>
          <w:rFonts w:hint="eastAsia" w:ascii="仿宋" w:hAnsi="仿宋" w:eastAsia="仿宋" w:cs="仿宋"/>
          <w:color w:val="auto"/>
          <w:sz w:val="21"/>
          <w:szCs w:val="21"/>
          <w:u w:val="single"/>
        </w:rPr>
        <w:t xml:space="preserve"> 14</w:t>
      </w:r>
      <w:r>
        <w:rPr>
          <w:rFonts w:hint="eastAsia" w:ascii="仿宋" w:hAnsi="仿宋" w:eastAsia="仿宋" w:cs="仿宋"/>
          <w:color w:val="auto"/>
          <w:sz w:val="21"/>
          <w:szCs w:val="21"/>
        </w:rPr>
        <w:t>天内，根据监理人批准的合同进度计划，编制一份由项目经理签署的中标人文件提交计划，提交监理人审批，监理人应在收到该提交计划后的</w:t>
      </w:r>
      <w:r>
        <w:rPr>
          <w:rFonts w:hint="eastAsia" w:ascii="仿宋" w:hAnsi="仿宋" w:eastAsia="仿宋" w:cs="仿宋"/>
          <w:color w:val="auto"/>
          <w:sz w:val="21"/>
          <w:szCs w:val="21"/>
          <w:u w:val="single"/>
        </w:rPr>
        <w:t xml:space="preserve"> 14 </w:t>
      </w:r>
      <w:r>
        <w:rPr>
          <w:rFonts w:hint="eastAsia" w:ascii="仿宋" w:hAnsi="仿宋" w:eastAsia="仿宋" w:cs="仿宋"/>
          <w:color w:val="auto"/>
          <w:sz w:val="21"/>
          <w:szCs w:val="21"/>
        </w:rPr>
        <w:t>天内批复中标人。中标人文件的内容应包括本章第1.4.2~1.4.5条规定的各项提交件，以及按合同约定应由中标人提交的其它图纸和文件。</w:t>
      </w:r>
    </w:p>
    <w:p>
      <w:pPr>
        <w:pStyle w:val="8"/>
        <w:snapToGrid w:val="0"/>
        <w:spacing w:line="360" w:lineRule="exact"/>
        <w:rPr>
          <w:rFonts w:hint="eastAsia" w:ascii="仿宋" w:hAnsi="仿宋" w:eastAsia="仿宋" w:cs="仿宋"/>
          <w:bCs/>
          <w:color w:val="auto"/>
          <w:sz w:val="21"/>
          <w:szCs w:val="21"/>
        </w:rPr>
      </w:pPr>
      <w:r>
        <w:rPr>
          <w:rFonts w:hint="eastAsia" w:ascii="仿宋" w:hAnsi="仿宋" w:eastAsia="仿宋" w:cs="仿宋"/>
          <w:bCs/>
          <w:color w:val="auto"/>
          <w:sz w:val="21"/>
          <w:szCs w:val="21"/>
        </w:rPr>
        <w:t>1.4.2 中标人负责设计的临时工程图纸和文件</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 由中标人负责设计的临时工程项目，应在该项目开工前</w:t>
      </w:r>
      <w:r>
        <w:rPr>
          <w:rFonts w:hint="eastAsia" w:ascii="仿宋" w:hAnsi="仿宋" w:eastAsia="仿宋" w:cs="仿宋"/>
          <w:color w:val="auto"/>
          <w:sz w:val="21"/>
          <w:szCs w:val="21"/>
          <w:u w:val="single"/>
        </w:rPr>
        <w:t xml:space="preserve"> 28 </w:t>
      </w:r>
      <w:r>
        <w:rPr>
          <w:rFonts w:hint="eastAsia" w:ascii="仿宋" w:hAnsi="仿宋" w:eastAsia="仿宋" w:cs="仿宋"/>
          <w:color w:val="auto"/>
          <w:sz w:val="21"/>
          <w:szCs w:val="21"/>
        </w:rPr>
        <w:t>天，提交该项目的总布置图、结构详图及其设计依据，以及监理人认为需要提交的其它图纸和文件，提交监理人批准。</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(2) 中标人提交的上述临时工程项目的基本资料、试验成果、施工样品，以及所有图纸、文件和影像资料等，其所需的费用均包括在相关项目的报价中，招标人不另行支付。</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1.4.3 施工总进度计划</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 中标人按本合同条款第10.1款要求提交的施工总进度计划，应采用关键线路法编制网络图。网络图应包括以下各项数据和内容，表述全部工程施工作业间的逻辑关系：</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1）作业和相应节点编号；</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2）各项施工作业间的衔接逻辑和协调关系；</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3）持续时间；</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4）最早开工及最早完工日期；</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5）最迟开工及最迟完工日期；</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6）总时差和自由时差；</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7）主要项目施工强度曲线；</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8）附需要资源和说明。</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(2) 中标人编制的施工总进度计划应满足本合同约定的各工程施工控制节点工期要求。</w:t>
      </w:r>
    </w:p>
    <w:p>
      <w:pPr>
        <w:pStyle w:val="8"/>
        <w:snapToGrid w:val="0"/>
        <w:spacing w:line="360" w:lineRule="exact"/>
        <w:rPr>
          <w:rFonts w:hint="eastAsia" w:ascii="仿宋" w:hAnsi="仿宋" w:eastAsia="仿宋" w:cs="仿宋"/>
          <w:bCs/>
          <w:color w:val="auto"/>
          <w:sz w:val="21"/>
          <w:szCs w:val="21"/>
        </w:rPr>
      </w:pPr>
      <w:r>
        <w:rPr>
          <w:rFonts w:hint="eastAsia" w:ascii="仿宋" w:hAnsi="仿宋" w:eastAsia="仿宋" w:cs="仿宋"/>
          <w:bCs/>
          <w:color w:val="auto"/>
          <w:sz w:val="21"/>
          <w:szCs w:val="21"/>
        </w:rPr>
        <w:t>1.4.4 施工总布置设计</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 中标人应在收到开工通知后的</w:t>
      </w:r>
      <w:r>
        <w:rPr>
          <w:rFonts w:hint="eastAsia" w:ascii="仿宋" w:hAnsi="仿宋" w:eastAsia="仿宋" w:cs="仿宋"/>
          <w:color w:val="auto"/>
          <w:sz w:val="21"/>
          <w:szCs w:val="21"/>
          <w:u w:val="single"/>
        </w:rPr>
        <w:t xml:space="preserve"> 28 </w:t>
      </w:r>
      <w:r>
        <w:rPr>
          <w:rFonts w:hint="eastAsia" w:ascii="仿宋" w:hAnsi="仿宋" w:eastAsia="仿宋" w:cs="仿宋"/>
          <w:color w:val="auto"/>
          <w:sz w:val="21"/>
          <w:szCs w:val="21"/>
        </w:rPr>
        <w:t>天内，将本合同工程的施工总布置设计文件，提交监理人批准。监理人应在签收后</w:t>
      </w:r>
      <w:r>
        <w:rPr>
          <w:rFonts w:hint="eastAsia" w:ascii="仿宋" w:hAnsi="仿宋" w:eastAsia="仿宋" w:cs="仿宋"/>
          <w:color w:val="auto"/>
          <w:sz w:val="21"/>
          <w:szCs w:val="21"/>
          <w:u w:val="single"/>
        </w:rPr>
        <w:t xml:space="preserve"> 14</w:t>
      </w:r>
      <w:r>
        <w:rPr>
          <w:rFonts w:hint="eastAsia" w:ascii="仿宋" w:hAnsi="仿宋" w:eastAsia="仿宋" w:cs="仿宋"/>
          <w:color w:val="auto"/>
          <w:sz w:val="21"/>
          <w:szCs w:val="21"/>
        </w:rPr>
        <w:t>天内批复中标人。</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(2) 中标人提交的施工总布置设计文件，其内容应包括施工总平面布置图、主要剖面图和设计说明书。中标人应按本技术条款第2章所列各项临时设施的设计和使用要求进行总平面布置，施工总布置的占地范围不得超过招标人划定的界线。</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(3) 中标人应按本技术条款第3章有关“施工安全措施”和第4章“环境保护和水土保持”的要求，保护好临时设施周围的边坡、冲沟、河道、河岸的稳定和安全。</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1.4.5 主要施工方法和措施</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 中标人应在每项工程开始施工或安装前</w:t>
      </w:r>
      <w:r>
        <w:rPr>
          <w:rFonts w:hint="eastAsia" w:ascii="仿宋" w:hAnsi="仿宋" w:eastAsia="仿宋" w:cs="仿宋"/>
          <w:color w:val="auto"/>
          <w:sz w:val="21"/>
          <w:szCs w:val="21"/>
          <w:u w:val="single"/>
        </w:rPr>
        <w:t xml:space="preserve"> 28 </w:t>
      </w:r>
      <w:r>
        <w:rPr>
          <w:rFonts w:hint="eastAsia" w:ascii="仿宋" w:hAnsi="仿宋" w:eastAsia="仿宋" w:cs="仿宋"/>
          <w:color w:val="auto"/>
          <w:sz w:val="21"/>
          <w:szCs w:val="21"/>
        </w:rPr>
        <w:t>天，编制各工程项目的施工方法和措施，提交监理人批准。监理人应在收到文件后的</w:t>
      </w:r>
      <w:r>
        <w:rPr>
          <w:rFonts w:hint="eastAsia" w:ascii="仿宋" w:hAnsi="仿宋" w:eastAsia="仿宋" w:cs="仿宋"/>
          <w:color w:val="auto"/>
          <w:sz w:val="21"/>
          <w:szCs w:val="21"/>
          <w:u w:val="single"/>
        </w:rPr>
        <w:t xml:space="preserve"> 14 </w:t>
      </w:r>
      <w:r>
        <w:rPr>
          <w:rFonts w:hint="eastAsia" w:ascii="仿宋" w:hAnsi="仿宋" w:eastAsia="仿宋" w:cs="仿宋"/>
          <w:color w:val="auto"/>
          <w:sz w:val="21"/>
          <w:szCs w:val="21"/>
        </w:rPr>
        <w:t>天内批复中标人。</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(2) 中标人按监理人指示提交的施工方法和措施，应包括施工需要的浇筑图、车间加工图和安装图等施工文件。</w:t>
      </w:r>
    </w:p>
    <w:p>
      <w:pPr>
        <w:pStyle w:val="8"/>
        <w:snapToGrid w:val="0"/>
        <w:spacing w:line="360" w:lineRule="exact"/>
        <w:rPr>
          <w:rFonts w:hint="eastAsia" w:ascii="仿宋" w:hAnsi="仿宋" w:eastAsia="仿宋" w:cs="仿宋"/>
          <w:bCs/>
          <w:color w:val="auto"/>
          <w:sz w:val="21"/>
          <w:szCs w:val="21"/>
        </w:rPr>
      </w:pPr>
      <w:r>
        <w:rPr>
          <w:rFonts w:hint="eastAsia" w:ascii="仿宋" w:hAnsi="仿宋" w:eastAsia="仿宋" w:cs="仿宋"/>
          <w:bCs/>
          <w:color w:val="auto"/>
          <w:sz w:val="21"/>
          <w:szCs w:val="21"/>
        </w:rPr>
        <w:t>1.4.6 中标人文件的审批</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 除合同另有约定外，凡须经监理人审批的中标人文件，应在收到文件后</w:t>
      </w:r>
      <w:r>
        <w:rPr>
          <w:rFonts w:hint="eastAsia" w:ascii="仿宋" w:hAnsi="仿宋" w:eastAsia="仿宋" w:cs="仿宋"/>
          <w:color w:val="auto"/>
          <w:sz w:val="21"/>
          <w:szCs w:val="21"/>
          <w:u w:val="single"/>
        </w:rPr>
        <w:t xml:space="preserve"> 28</w:t>
      </w:r>
      <w:r>
        <w:rPr>
          <w:rFonts w:hint="eastAsia" w:ascii="仿宋" w:hAnsi="仿宋" w:eastAsia="仿宋" w:cs="仿宋"/>
          <w:color w:val="auto"/>
          <w:sz w:val="21"/>
          <w:szCs w:val="21"/>
        </w:rPr>
        <w:t>天内批复中标人，逾期不批复，则视为已经监理人批准。监理人的审批意见包括：</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1）同意按此执行；或</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2）按修改意见执行；或</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3）修改后重新提交；或</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4）不予批准。</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(2) 凡标有“按修改意见执行”或“修改后重新提交”的图纸和文件，应由中标人在收到批复件后</w:t>
      </w:r>
      <w:r>
        <w:rPr>
          <w:rFonts w:hint="eastAsia" w:ascii="仿宋" w:hAnsi="仿宋" w:eastAsia="仿宋" w:cs="仿宋"/>
          <w:color w:val="auto"/>
          <w:sz w:val="21"/>
          <w:szCs w:val="21"/>
          <w:u w:val="single"/>
        </w:rPr>
        <w:t xml:space="preserve"> 14 </w:t>
      </w:r>
      <w:r>
        <w:rPr>
          <w:rFonts w:hint="eastAsia" w:ascii="仿宋" w:hAnsi="仿宋" w:eastAsia="仿宋" w:cs="仿宋"/>
          <w:color w:val="auto"/>
          <w:sz w:val="21"/>
          <w:szCs w:val="21"/>
        </w:rPr>
        <w:t>天内作出相应修改。所有修改都应由中标人在修改的图纸和文件上标明编号、日期以及说明修改范围和内容，并由中标人项目经理签字后，重新提交监理人批复，监理人应在图纸的角签部位和文件的签署栏签注处理意见后，发还中标人执行。</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(3) 凡合同约定由中标人提交监理人批准的图纸和文件，必须由项目经理或其授权代表签名，否则均属无效。凡未经监理人按上述第1款规定签署的图纸和文件，均属无效。</w:t>
      </w:r>
    </w:p>
    <w:p>
      <w:pPr>
        <w:pStyle w:val="8"/>
        <w:snapToGrid w:val="0"/>
        <w:spacing w:line="360" w:lineRule="exact"/>
        <w:rPr>
          <w:rFonts w:hint="eastAsia" w:ascii="仿宋" w:hAnsi="仿宋" w:eastAsia="仿宋" w:cs="仿宋"/>
          <w:bCs/>
          <w:color w:val="auto"/>
          <w:sz w:val="21"/>
          <w:szCs w:val="21"/>
        </w:rPr>
      </w:pPr>
      <w:r>
        <w:rPr>
          <w:rFonts w:hint="eastAsia" w:ascii="仿宋" w:hAnsi="仿宋" w:eastAsia="仿宋" w:cs="仿宋"/>
          <w:bCs/>
          <w:color w:val="auto"/>
          <w:sz w:val="21"/>
          <w:szCs w:val="21"/>
        </w:rPr>
        <w:t>1.5 招标人提供的材料和工程设备</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招标人无材料和工程设备提供。</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1.6 中标人提供的材料和设备</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1.6.1 中标人提供的材料</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 中标人提供的材料应由监理人按以下程序进行检查和验收：</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1）查验证件：中标人应按供货合同的要求查验每批材料的发货单、计量单、装箱材料的合格证书、化验单以及其它有关图纸、文件和证件，并应将上述图纸，以及文件、证件的复印件提交监理人；</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2）抽样检验：中标人应会同监理人按本合同约定和技术条款各章的有关规定进行材料抽样检验，检验结果应提交监理人。并对每批材料是否合格作出鉴定；</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3）材料验收：经鉴定合格的材料方能验收，中标人应与监理人共同核对每批材料的品名、规格、数量，并作好记录，共同验点入库。</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(2) 不合格材料的处理</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经监理人查库发现的不合格材料，应禁止使用，并清除出场。中标人违约使用了不合格材料，应按本合同约定予以清除或返工至合格为止。</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(3) 代用材料</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中标人申请代用材料，应将代用材料的技术标准、质量证明书和试验报告提交监理人。经监理人批准后，才能采用代用材料。</w:t>
      </w:r>
    </w:p>
    <w:p>
      <w:pPr>
        <w:pStyle w:val="8"/>
        <w:snapToGrid w:val="0"/>
        <w:spacing w:line="360" w:lineRule="exact"/>
        <w:rPr>
          <w:rFonts w:hint="eastAsia" w:ascii="仿宋" w:hAnsi="仿宋" w:eastAsia="仿宋" w:cs="仿宋"/>
          <w:b w:val="0"/>
          <w:bCs/>
          <w:color w:val="auto"/>
          <w:sz w:val="21"/>
          <w:szCs w:val="21"/>
        </w:rPr>
      </w:pPr>
      <w:r>
        <w:rPr>
          <w:rFonts w:hint="eastAsia" w:ascii="仿宋" w:hAnsi="仿宋" w:eastAsia="仿宋" w:cs="仿宋"/>
          <w:bCs/>
          <w:color w:val="auto"/>
          <w:sz w:val="21"/>
          <w:szCs w:val="21"/>
        </w:rPr>
        <w:t>1.6.2 中标人提供的工程设备</w:t>
      </w:r>
    </w:p>
    <w:p>
      <w:pPr>
        <w:pStyle w:val="15"/>
        <w:adjustRightInd w:val="0"/>
        <w:snapToGrid w:val="0"/>
        <w:spacing w:line="360" w:lineRule="exact"/>
        <w:ind w:firstLine="502"/>
        <w:rPr>
          <w:rFonts w:hint="eastAsia" w:ascii="仿宋" w:hAnsi="仿宋" w:eastAsia="仿宋" w:cs="仿宋"/>
          <w:color w:val="auto"/>
          <w:szCs w:val="21"/>
        </w:rPr>
      </w:pPr>
      <w:r>
        <w:rPr>
          <w:rFonts w:hint="eastAsia" w:ascii="仿宋" w:hAnsi="仿宋" w:eastAsia="仿宋" w:cs="仿宋"/>
          <w:color w:val="auto"/>
          <w:szCs w:val="21"/>
        </w:rPr>
        <w:t>按合同约定由中标人负责采购和安装的工程设备，应由中标人将工程设备的订货清单提交监理人批准。中标人应按监理人批准的工程设备订货清单办理订货，并应将订货协议副本提交监理人。中标人应承担工程设备的采购、验收、运输和保管的责任。中标人应承担工程设备的采购、验收、运输和保管的责任。</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1.6.3 中标人施工设备</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 中标人应在签署合同协议书后</w:t>
      </w:r>
      <w:r>
        <w:rPr>
          <w:rFonts w:hint="eastAsia" w:ascii="仿宋" w:hAnsi="仿宋" w:eastAsia="仿宋" w:cs="仿宋"/>
          <w:color w:val="auto"/>
          <w:sz w:val="21"/>
          <w:szCs w:val="21"/>
          <w:u w:val="single"/>
        </w:rPr>
        <w:t xml:space="preserve"> 14 </w:t>
      </w:r>
      <w:r>
        <w:rPr>
          <w:rFonts w:hint="eastAsia" w:ascii="仿宋" w:hAnsi="仿宋" w:eastAsia="仿宋" w:cs="仿宋"/>
          <w:color w:val="auto"/>
          <w:sz w:val="21"/>
          <w:szCs w:val="21"/>
        </w:rPr>
        <w:t>天内，提交一份为完成本合同各项工作所需的施工设备清单，提交监理人批准。施工设备清单的内容应包括：</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1）新购设备的生产厂家、品名、型号、规格、主要性能、数量和预计进场时间，中标人应向监理人提交新购置主要施工设备的订货协议复印件；</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2）旧施工设备的购置时间、残值、运行和检修记录以及维修保养证书等；</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3）租赁设备的购置时间、租赁期限、租赁价格、运行检修记录以及维修保养证书等。</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(2) 中标人配置的旧施工设备（包括租赁的旧设备），应由监理人进行检查，并须进行试运行，确认其符合使用要求后方可投人使用。</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(3) 中标人施工设备进场后，监理人应按中标人提供的施工设备清单，仔细核查进场施工设备的数量、规格和性能是否符合施工进度计划和质量控制的要求，监理人有权索取必要的施工设备资料，如发现进场的施工设备不能满足施工要求时，监理人有权责令撤换。</w:t>
      </w:r>
    </w:p>
    <w:p>
      <w:pPr>
        <w:pStyle w:val="8"/>
        <w:snapToGrid w:val="0"/>
        <w:spacing w:line="360" w:lineRule="exact"/>
        <w:rPr>
          <w:rFonts w:hint="eastAsia" w:ascii="仿宋" w:hAnsi="仿宋" w:eastAsia="仿宋" w:cs="仿宋"/>
          <w:bCs/>
          <w:color w:val="auto"/>
          <w:sz w:val="21"/>
          <w:szCs w:val="21"/>
        </w:rPr>
      </w:pPr>
      <w:r>
        <w:rPr>
          <w:rFonts w:hint="eastAsia" w:ascii="仿宋" w:hAnsi="仿宋" w:eastAsia="仿宋" w:cs="仿宋"/>
          <w:bCs/>
          <w:color w:val="auto"/>
          <w:sz w:val="21"/>
          <w:szCs w:val="21"/>
        </w:rPr>
        <w:t>1.6.4 不合格的材料和工程设备的处理</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由于中标人使用了不合格材料和工程设备造成了工程损害，监理人可要求中标人立即采取措施进行补救，直至彻底清除工程的不合格部位以及不合格的材料或工程设备，由此增加的费用和工期延误责任由中标人承担。</w:t>
      </w:r>
    </w:p>
    <w:p>
      <w:pPr>
        <w:pStyle w:val="8"/>
        <w:snapToGrid w:val="0"/>
        <w:spacing w:line="360" w:lineRule="exact"/>
        <w:rPr>
          <w:rFonts w:hint="eastAsia" w:ascii="仿宋" w:hAnsi="仿宋" w:eastAsia="仿宋" w:cs="仿宋"/>
          <w:bCs/>
          <w:color w:val="auto"/>
          <w:sz w:val="21"/>
          <w:szCs w:val="21"/>
        </w:rPr>
      </w:pPr>
      <w:r>
        <w:rPr>
          <w:rFonts w:hint="eastAsia" w:ascii="仿宋" w:hAnsi="仿宋" w:eastAsia="仿宋" w:cs="仿宋"/>
          <w:bCs/>
          <w:color w:val="auto"/>
          <w:sz w:val="21"/>
          <w:szCs w:val="21"/>
        </w:rPr>
        <w:t>1.7 进度计划的实施</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1.7.1 施工总进度实施措施</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中标人应按监理人根据本章第1.4.3条要求批准的施工总进度实施计划，编制详细的施工总进度计划的实施措施，提交监理人批准。实施措施应说明以下内容：</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 各永久工程和临时工程项目按期完成的年、月工程量计划和各年度形象面貌。</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(2) 主要物资材料（如钢材、钢筋、木材、水泥、砂石骨料、土料和石料、柴油、用水和用电等）使用计划及主要材料订货安排。</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(3) 施工现场各类人员配备和劳务计划。</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(4) 工程设备的订货、交货计划。</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(5) 其它说明。</w:t>
      </w:r>
    </w:p>
    <w:p>
      <w:pPr>
        <w:pStyle w:val="8"/>
        <w:snapToGrid w:val="0"/>
        <w:spacing w:line="360" w:lineRule="exact"/>
        <w:rPr>
          <w:rFonts w:hint="eastAsia" w:ascii="仿宋" w:hAnsi="仿宋" w:eastAsia="仿宋" w:cs="仿宋"/>
          <w:bCs/>
          <w:color w:val="auto"/>
          <w:sz w:val="21"/>
          <w:szCs w:val="21"/>
        </w:rPr>
      </w:pPr>
      <w:r>
        <w:rPr>
          <w:rFonts w:hint="eastAsia" w:ascii="仿宋" w:hAnsi="仿宋" w:eastAsia="仿宋" w:cs="仿宋"/>
          <w:bCs/>
          <w:color w:val="auto"/>
          <w:sz w:val="21"/>
          <w:szCs w:val="21"/>
        </w:rPr>
        <w:t>1.7.2 年进度计划</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中标人应在每年</w:t>
      </w:r>
      <w:r>
        <w:rPr>
          <w:rFonts w:hint="eastAsia" w:ascii="仿宋" w:hAnsi="仿宋" w:eastAsia="仿宋" w:cs="仿宋"/>
          <w:color w:val="auto"/>
          <w:sz w:val="21"/>
          <w:szCs w:val="21"/>
          <w:u w:val="single"/>
        </w:rPr>
        <w:t xml:space="preserve"> 12 </w:t>
      </w:r>
      <w:r>
        <w:rPr>
          <w:rFonts w:hint="eastAsia" w:ascii="仿宋" w:hAnsi="仿宋" w:eastAsia="仿宋" w:cs="仿宋"/>
          <w:color w:val="auto"/>
          <w:sz w:val="21"/>
          <w:szCs w:val="21"/>
        </w:rPr>
        <w:t>月，将下年度的进度计划，提交监理人批准，其内容包括：</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 计划完成的年工程量及其施工面貌。</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(2) 该年施工所需的机具、设备、材料的数量和需要补充采购的计划。</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(3) 要求招标人提供的施工图纸计划。</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(4) 提出招标人和其它中标人提供工程设备预埋件的计划要求。</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(5) 该年施工工作面移交计划日期和要求其它中标人提供工作面的计划日期。</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(6) 该年各施工工程项目的试验检验计划。</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(7) 工程安全措施实施计划等。</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1.7.3 季、月进度计划</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监理人认为有必要时，可要求中标人向监理人提交季、月进度计划，其内容包括：</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 季、月工程量及其施工面貌。</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(2) 该季、月所需施工设备数量及材料用量。</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(3) 该季、月招标人应提供的施工图纸目录等。</w:t>
      </w:r>
    </w:p>
    <w:p>
      <w:pPr>
        <w:pStyle w:val="8"/>
        <w:snapToGrid w:val="0"/>
        <w:spacing w:line="360" w:lineRule="exact"/>
        <w:rPr>
          <w:rFonts w:hint="eastAsia" w:ascii="仿宋" w:hAnsi="仿宋" w:eastAsia="仿宋" w:cs="仿宋"/>
          <w:bCs/>
          <w:color w:val="auto"/>
          <w:sz w:val="21"/>
          <w:szCs w:val="21"/>
        </w:rPr>
      </w:pPr>
      <w:r>
        <w:rPr>
          <w:rFonts w:hint="eastAsia" w:ascii="仿宋" w:hAnsi="仿宋" w:eastAsia="仿宋" w:cs="仿宋"/>
          <w:bCs/>
          <w:color w:val="auto"/>
          <w:sz w:val="21"/>
          <w:szCs w:val="21"/>
        </w:rPr>
        <w:t>1.7.4 月进度报告</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（1）中标人应在每月底按批准的格式，向监理人提交月进度实施报告，其内容包括：</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1）月完成工程量和累计完成工程量（包括永久工程和临时工程）；</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2）月完成的工程面貌图；</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3）材料实际进货、消耗和库存量；</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4）现场施工设备的投运数量和运行状况；</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5）工程设备的到货情况；</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6）劳动力数量（本月及预计未来3个月劳动力的数量）；</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7）当前影响施工进度计划的因素和采取的改进措施；</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8）质量事故和质量缺陷处理纪录，质量状况评价；</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9）安全施工措施实施情况（包括安全事故处理情况）；</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10）环境保护及水土保持措施实施情况。</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月进度报告应附有一组充分显示工程施工面貌与实际进度相对应的定点摄影照片。</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（2）中标人应在每周进度会议上按批准的格式，向监理人提交周进度报表，其内容包括：</w:t>
      </w:r>
    </w:p>
    <w:p>
      <w:pPr>
        <w:pStyle w:val="5"/>
        <w:snapToGrid w:val="0"/>
        <w:spacing w:line="360" w:lineRule="exact"/>
        <w:ind w:firstLine="592" w:firstLineChars="282"/>
        <w:rPr>
          <w:rFonts w:hint="eastAsia" w:ascii="仿宋" w:hAnsi="仿宋" w:eastAsia="仿宋" w:cs="仿宋"/>
          <w:color w:val="auto"/>
          <w:sz w:val="21"/>
          <w:szCs w:val="21"/>
        </w:rPr>
      </w:pPr>
      <w:r>
        <w:rPr>
          <w:rFonts w:hint="eastAsia" w:ascii="仿宋" w:hAnsi="仿宋" w:eastAsia="仿宋" w:cs="仿宋"/>
          <w:color w:val="auto"/>
          <w:sz w:val="21"/>
          <w:szCs w:val="21"/>
        </w:rPr>
        <w:t>1）上周之前合同进度计划要求和实际完成工程量和累计完成工程量统计；</w:t>
      </w:r>
    </w:p>
    <w:p>
      <w:pPr>
        <w:pStyle w:val="5"/>
        <w:snapToGrid w:val="0"/>
        <w:spacing w:line="360" w:lineRule="exact"/>
        <w:ind w:firstLine="592" w:firstLineChars="282"/>
        <w:rPr>
          <w:rFonts w:hint="eastAsia" w:ascii="仿宋" w:hAnsi="仿宋" w:eastAsia="仿宋" w:cs="仿宋"/>
          <w:color w:val="auto"/>
          <w:sz w:val="21"/>
          <w:szCs w:val="21"/>
        </w:rPr>
      </w:pPr>
      <w:r>
        <w:rPr>
          <w:rFonts w:hint="eastAsia" w:ascii="仿宋" w:hAnsi="仿宋" w:eastAsia="仿宋" w:cs="仿宋"/>
          <w:color w:val="auto"/>
          <w:sz w:val="21"/>
          <w:szCs w:val="21"/>
        </w:rPr>
        <w:t>2）上周实际完成工程量统计；</w:t>
      </w:r>
    </w:p>
    <w:p>
      <w:pPr>
        <w:pStyle w:val="5"/>
        <w:snapToGrid w:val="0"/>
        <w:spacing w:line="360" w:lineRule="exact"/>
        <w:ind w:firstLine="592" w:firstLineChars="282"/>
        <w:rPr>
          <w:rFonts w:hint="eastAsia" w:ascii="仿宋" w:hAnsi="仿宋" w:eastAsia="仿宋" w:cs="仿宋"/>
          <w:color w:val="auto"/>
          <w:sz w:val="21"/>
          <w:szCs w:val="21"/>
        </w:rPr>
      </w:pPr>
      <w:r>
        <w:rPr>
          <w:rFonts w:hint="eastAsia" w:ascii="仿宋" w:hAnsi="仿宋" w:eastAsia="仿宋" w:cs="仿宋"/>
          <w:color w:val="auto"/>
          <w:sz w:val="21"/>
          <w:szCs w:val="21"/>
        </w:rPr>
        <w:t>3）下周计划完成的工程量；</w:t>
      </w:r>
    </w:p>
    <w:p>
      <w:pPr>
        <w:pStyle w:val="5"/>
        <w:snapToGrid w:val="0"/>
        <w:spacing w:line="360" w:lineRule="exact"/>
        <w:ind w:firstLine="592" w:firstLineChars="282"/>
        <w:rPr>
          <w:rFonts w:hint="eastAsia" w:ascii="仿宋" w:hAnsi="仿宋" w:eastAsia="仿宋" w:cs="仿宋"/>
          <w:color w:val="auto"/>
          <w:sz w:val="21"/>
          <w:szCs w:val="21"/>
        </w:rPr>
      </w:pPr>
      <w:r>
        <w:rPr>
          <w:rFonts w:hint="eastAsia" w:ascii="仿宋" w:hAnsi="仿宋" w:eastAsia="仿宋" w:cs="仿宋"/>
          <w:color w:val="auto"/>
          <w:sz w:val="21"/>
          <w:szCs w:val="21"/>
        </w:rPr>
        <w:t>4）要求监理人协调解决的主要问题</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1.7.5 进度会议</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（1）监理人应在每月末定期召开月进度会议，检查中标人合同进度计划的执行情况，协调解决工程施工中发生的工程变更、质量缺陷处理等问题，以及与其它中标人的相互干扰和矛盾。</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（2）中标人应在每月进度会议上按规定的格式提交月进度报表。</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1.8 工程质量的检查、检验和验收</w:t>
      </w:r>
    </w:p>
    <w:p>
      <w:pPr>
        <w:pStyle w:val="8"/>
        <w:snapToGrid w:val="0"/>
        <w:spacing w:line="360" w:lineRule="exact"/>
        <w:rPr>
          <w:rFonts w:hint="eastAsia" w:ascii="仿宋" w:hAnsi="仿宋" w:eastAsia="仿宋" w:cs="仿宋"/>
          <w:bCs/>
          <w:color w:val="auto"/>
          <w:sz w:val="21"/>
          <w:szCs w:val="21"/>
        </w:rPr>
      </w:pPr>
      <w:r>
        <w:rPr>
          <w:rFonts w:hint="eastAsia" w:ascii="仿宋" w:hAnsi="仿宋" w:eastAsia="仿宋" w:cs="仿宋"/>
          <w:bCs/>
          <w:color w:val="auto"/>
          <w:sz w:val="21"/>
          <w:szCs w:val="21"/>
        </w:rPr>
        <w:t>1.8.1 中标人的质量自检</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（1）中标人应在收到开工通知后的</w:t>
      </w:r>
      <w:r>
        <w:rPr>
          <w:rFonts w:hint="eastAsia" w:ascii="仿宋" w:hAnsi="仿宋" w:eastAsia="仿宋" w:cs="仿宋"/>
          <w:color w:val="auto"/>
          <w:sz w:val="21"/>
          <w:szCs w:val="21"/>
          <w:u w:val="single"/>
        </w:rPr>
        <w:t xml:space="preserve"> 14 </w:t>
      </w:r>
      <w:r>
        <w:rPr>
          <w:rFonts w:hint="eastAsia" w:ascii="仿宋" w:hAnsi="仿宋" w:eastAsia="仿宋" w:cs="仿宋"/>
          <w:color w:val="auto"/>
          <w:sz w:val="21"/>
          <w:szCs w:val="21"/>
        </w:rPr>
        <w:t>天内，向监理人提交本工程质量保证措施文件，其内容包括：</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1）质量检查机构的组织框图；</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2）质量检查的岗位设置及检查人员名单；</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3）各主要工程建筑物施工，以及各施工工种的质量检查程序；</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4）隐蔽工程和工程隐蔽部位的质量检查程序；</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5）质量检查记录及验收单格式。</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（2）中标人应按监理人指示和批准的格式，编制工程质量报表，定期提交监理人。</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（3）工程发生质量事故时，中标人应约请监理人共同对工程质量事故进行检查，做好质量事故检查的同期记录和事故处理的自检报告。自检报告应提交监理人。</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1.8.2 监理人的质量检查</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（1）监理人为检查工程和工程设备质量的需要，可要求中标人提交材料质量和设备出厂合格证、材料试验和设备检测成果、施工和安装记录等，中标人应及时予以提供。</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（2）监理人有权要求中标人按合同约定提供试验用的材料样品或在现场钻取试件，并使用中标人的测试设备进行试验检验；监理人还可要求中标人进行补充的试验检验。</w:t>
      </w:r>
    </w:p>
    <w:p>
      <w:pPr>
        <w:pStyle w:val="8"/>
        <w:snapToGrid w:val="0"/>
        <w:spacing w:line="360" w:lineRule="exact"/>
        <w:rPr>
          <w:rFonts w:hint="eastAsia" w:ascii="仿宋" w:hAnsi="仿宋" w:eastAsia="仿宋" w:cs="仿宋"/>
          <w:bCs/>
          <w:color w:val="auto"/>
          <w:sz w:val="21"/>
          <w:szCs w:val="21"/>
        </w:rPr>
      </w:pPr>
      <w:r>
        <w:rPr>
          <w:rFonts w:hint="eastAsia" w:ascii="仿宋" w:hAnsi="仿宋" w:eastAsia="仿宋" w:cs="仿宋"/>
          <w:bCs/>
          <w:color w:val="auto"/>
          <w:sz w:val="21"/>
          <w:szCs w:val="21"/>
        </w:rPr>
        <w:t>1.9 验收</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1.9.1 分部工程验收</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（1）分部工程验收应遵守《水利工程建设项目验收管理规定》水利部30号令和《水利水电建设工程验收规程》（SL 223-2008）的规定。</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2）分部工程验收应根据合同约定由招标人或招标人委托监理人主持。验收工作组由招标人以及合同工程有关的勘测、设计、监理、施工、主要设备（供应）商等单位代表组成，可根据情况邀请运行管理单位人员参加。验收工作组成员应具有相应的专业知识或执业资格。参加分部工程验收的每个单位代表人数不宜超过2名。</w:t>
      </w:r>
    </w:p>
    <w:p>
      <w:pPr>
        <w:pStyle w:val="5"/>
        <w:snapToGrid w:val="0"/>
        <w:spacing w:line="360" w:lineRule="exact"/>
        <w:ind w:firstLine="315" w:firstLineChars="150"/>
        <w:rPr>
          <w:rFonts w:hint="eastAsia" w:ascii="仿宋" w:hAnsi="仿宋" w:eastAsia="仿宋" w:cs="仿宋"/>
          <w:color w:val="auto"/>
          <w:sz w:val="21"/>
          <w:szCs w:val="21"/>
        </w:rPr>
      </w:pPr>
      <w:r>
        <w:rPr>
          <w:rFonts w:hint="eastAsia" w:ascii="仿宋" w:hAnsi="仿宋" w:eastAsia="仿宋" w:cs="仿宋"/>
          <w:color w:val="auto"/>
          <w:sz w:val="21"/>
          <w:szCs w:val="21"/>
        </w:rPr>
        <w:t>（3）分部工程验收应具备的条件、验收主要内容和验收程序分别按《水利水电建设工程验收规程》（SL 223-2008）第3章3.0.4条、3.0.5条和3.0.6条要求进行。</w:t>
      </w:r>
    </w:p>
    <w:p>
      <w:pPr>
        <w:pStyle w:val="5"/>
        <w:snapToGrid w:val="0"/>
        <w:spacing w:line="360" w:lineRule="exact"/>
        <w:ind w:firstLine="315" w:firstLineChars="150"/>
        <w:rPr>
          <w:rFonts w:hint="eastAsia" w:ascii="仿宋" w:hAnsi="仿宋" w:eastAsia="仿宋" w:cs="仿宋"/>
          <w:color w:val="auto"/>
          <w:sz w:val="21"/>
          <w:szCs w:val="21"/>
        </w:rPr>
      </w:pPr>
      <w:r>
        <w:rPr>
          <w:rFonts w:hint="eastAsia" w:ascii="仿宋" w:hAnsi="仿宋" w:eastAsia="仿宋" w:cs="仿宋"/>
          <w:color w:val="auto"/>
          <w:sz w:val="21"/>
          <w:szCs w:val="21"/>
        </w:rPr>
        <w:t>（4）招标人应在分部工程验收通过之日起10个工作日内，将验收质量结论和相关资料报质量监督机构备案。</w:t>
      </w:r>
    </w:p>
    <w:p>
      <w:pPr>
        <w:pStyle w:val="8"/>
        <w:snapToGrid w:val="0"/>
        <w:spacing w:line="360" w:lineRule="exact"/>
        <w:rPr>
          <w:rFonts w:hint="eastAsia" w:ascii="仿宋" w:hAnsi="仿宋" w:eastAsia="仿宋" w:cs="仿宋"/>
          <w:bCs/>
          <w:color w:val="auto"/>
          <w:sz w:val="21"/>
          <w:szCs w:val="21"/>
        </w:rPr>
      </w:pPr>
      <w:r>
        <w:rPr>
          <w:rFonts w:hint="eastAsia" w:ascii="仿宋" w:hAnsi="仿宋" w:eastAsia="仿宋" w:cs="仿宋"/>
          <w:bCs/>
          <w:color w:val="auto"/>
          <w:sz w:val="21"/>
          <w:szCs w:val="21"/>
        </w:rPr>
        <w:t>1.9.2单位工程验收</w:t>
      </w:r>
    </w:p>
    <w:p>
      <w:pPr>
        <w:pStyle w:val="5"/>
        <w:snapToGrid w:val="0"/>
        <w:spacing w:line="360" w:lineRule="exact"/>
        <w:ind w:firstLine="315" w:firstLineChars="150"/>
        <w:rPr>
          <w:rFonts w:hint="eastAsia" w:ascii="仿宋" w:hAnsi="仿宋" w:eastAsia="仿宋" w:cs="仿宋"/>
          <w:color w:val="auto"/>
          <w:sz w:val="21"/>
          <w:szCs w:val="21"/>
        </w:rPr>
      </w:pPr>
      <w:r>
        <w:rPr>
          <w:rFonts w:hint="eastAsia" w:ascii="仿宋" w:hAnsi="仿宋" w:eastAsia="仿宋" w:cs="仿宋"/>
          <w:color w:val="auto"/>
          <w:sz w:val="21"/>
          <w:szCs w:val="21"/>
        </w:rPr>
        <w:t>（1）单位工程验收应遵守《水利工程建设项目验收管理规定》水利部30号令和《水利水电建设工程验收规程》（SL 223-2008）的规定。</w:t>
      </w:r>
    </w:p>
    <w:p>
      <w:pPr>
        <w:pStyle w:val="5"/>
        <w:snapToGrid w:val="0"/>
        <w:spacing w:line="360" w:lineRule="exact"/>
        <w:ind w:firstLine="315" w:firstLineChars="150"/>
        <w:rPr>
          <w:rFonts w:hint="eastAsia" w:ascii="仿宋" w:hAnsi="仿宋" w:eastAsia="仿宋" w:cs="仿宋"/>
          <w:color w:val="auto"/>
          <w:sz w:val="21"/>
          <w:szCs w:val="21"/>
        </w:rPr>
      </w:pPr>
      <w:r>
        <w:rPr>
          <w:rFonts w:hint="eastAsia" w:ascii="仿宋" w:hAnsi="仿宋" w:eastAsia="仿宋" w:cs="仿宋"/>
          <w:color w:val="auto"/>
          <w:sz w:val="21"/>
          <w:szCs w:val="21"/>
        </w:rPr>
        <w:t>（2）单位工程验收应由招标人主持。验收工作组由招标人以及合同工程有关的勘测、设计、监理、施工、主要设备（供应）商、运行管理等单位代表组成，必要时，可邀请上述单位以外的相关专家参加。验收工作组成员应具有中级及以上技术职称或相应执业资格，每个单位代表人数不宜超过3名。</w:t>
      </w:r>
    </w:p>
    <w:p>
      <w:pPr>
        <w:pStyle w:val="5"/>
        <w:snapToGrid w:val="0"/>
        <w:spacing w:line="360" w:lineRule="exact"/>
        <w:ind w:firstLine="315" w:firstLineChars="150"/>
        <w:rPr>
          <w:rFonts w:hint="eastAsia" w:ascii="仿宋" w:hAnsi="仿宋" w:eastAsia="仿宋" w:cs="仿宋"/>
          <w:color w:val="auto"/>
          <w:sz w:val="21"/>
          <w:szCs w:val="21"/>
        </w:rPr>
      </w:pPr>
      <w:r>
        <w:rPr>
          <w:rFonts w:hint="eastAsia" w:ascii="仿宋" w:hAnsi="仿宋" w:eastAsia="仿宋" w:cs="仿宋"/>
          <w:color w:val="auto"/>
          <w:sz w:val="21"/>
          <w:szCs w:val="21"/>
        </w:rPr>
        <w:t>（3）单位工程完工并具备验收条件时，施工单位应向招标人提出验收申请报告，招标人应在收到验收申请报告之日起10个工作日内决定是否同意验收。</w:t>
      </w:r>
    </w:p>
    <w:p>
      <w:pPr>
        <w:pStyle w:val="5"/>
        <w:snapToGrid w:val="0"/>
        <w:spacing w:line="360" w:lineRule="exact"/>
        <w:ind w:firstLine="315" w:firstLineChars="150"/>
        <w:rPr>
          <w:rFonts w:hint="eastAsia" w:ascii="仿宋" w:hAnsi="仿宋" w:eastAsia="仿宋" w:cs="仿宋"/>
          <w:color w:val="auto"/>
          <w:sz w:val="21"/>
          <w:szCs w:val="21"/>
        </w:rPr>
      </w:pPr>
      <w:r>
        <w:rPr>
          <w:rFonts w:hint="eastAsia" w:ascii="仿宋" w:hAnsi="仿宋" w:eastAsia="仿宋" w:cs="仿宋"/>
          <w:color w:val="auto"/>
          <w:sz w:val="21"/>
          <w:szCs w:val="21"/>
        </w:rPr>
        <w:t>（4）单位工程验收应具备的条件、验收主要内容和验收程序分别按《水利水电建设工程验收规程》（SL 223-2008）第4章4.0.5条、4.0.6条和4.0.7条要求进行。</w:t>
      </w:r>
    </w:p>
    <w:p>
      <w:pPr>
        <w:pStyle w:val="5"/>
        <w:snapToGrid w:val="0"/>
        <w:spacing w:line="360" w:lineRule="exact"/>
        <w:ind w:firstLine="315" w:firstLineChars="150"/>
        <w:rPr>
          <w:rFonts w:hint="eastAsia" w:ascii="仿宋" w:hAnsi="仿宋" w:eastAsia="仿宋" w:cs="仿宋"/>
          <w:color w:val="auto"/>
          <w:sz w:val="21"/>
          <w:szCs w:val="21"/>
        </w:rPr>
      </w:pPr>
      <w:r>
        <w:rPr>
          <w:rFonts w:hint="eastAsia" w:ascii="仿宋" w:hAnsi="仿宋" w:eastAsia="仿宋" w:cs="仿宋"/>
          <w:color w:val="auto"/>
          <w:sz w:val="21"/>
          <w:szCs w:val="21"/>
        </w:rPr>
        <w:t>（5）需提前投入使用的单位工程应进行单位工程投入使用验收。单位工程投入使用验收应由招标人主持，根据工程具体情况，经竣工验收主持单位同意，单位工程投入使用验收也可由竣工验收主持单位或其委托的单位主持。</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1.9.3 合同工程完工验收</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（1）合同工程完工验收应遵守《水利工程建设项目验收管理规定》水利部30号令和《水利水电建设工程验收规程》（SL 223-2008）的规定。</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2）施工合同约定的建设内容全部完成后，应进行合同工程完工验收。当合同工程仅包含一个单位工程（分部工程）时，宜将单位工程（分部工程）验收与合同完工验收一并进行，但应同时满足相应的验收条件。</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（3）合同工程完工验收由招标人主持。验收工作组由招标人以及合同工程有关的勘测、设计、</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监理、施工、主要设备（供应）商等单位代表组成。</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（4）合同工程具备验收条件时，施工单位应向招标人提出验收申请报告，招标人应在收到验收申请报告之日起20个工作日内决定是否同意进行验收。</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（5）合同工程完工验收应具备的条件按《水利水电建设工程验收规程》（SL 223-2008）第5</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章5.0.4条要求进行。</w:t>
      </w:r>
    </w:p>
    <w:p>
      <w:pPr>
        <w:pStyle w:val="5"/>
        <w:snapToGrid w:val="0"/>
        <w:spacing w:line="360"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1.9.4 阶段验收</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（1）阶段验收应遵守《水利工程建设项目验收管理规定》水利部30号令和《水利水电建设工程验收规程》（SL 223-2008）的规定。</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（2）根据国家对工程施工过程的安全管理需要，本工程应进行以下项目的阶段验收：</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1）工程通水验收；</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2）部分工程投入使用验收；</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3）工程建设需要增加的其它验收。</w:t>
      </w:r>
    </w:p>
    <w:p>
      <w:pPr>
        <w:pStyle w:val="5"/>
        <w:snapToGrid w:val="0"/>
        <w:spacing w:line="360" w:lineRule="exact"/>
        <w:ind w:firstLine="525" w:firstLineChars="250"/>
        <w:rPr>
          <w:rFonts w:hint="eastAsia" w:ascii="仿宋" w:hAnsi="仿宋" w:eastAsia="仿宋" w:cs="仿宋"/>
          <w:color w:val="auto"/>
          <w:sz w:val="21"/>
          <w:szCs w:val="21"/>
        </w:rPr>
      </w:pPr>
      <w:r>
        <w:rPr>
          <w:rFonts w:hint="eastAsia" w:ascii="仿宋" w:hAnsi="仿宋" w:eastAsia="仿宋" w:cs="仿宋"/>
          <w:color w:val="auto"/>
          <w:sz w:val="21"/>
          <w:szCs w:val="21"/>
        </w:rPr>
        <w:t>（3）阶段验收应由竣工验收主持单位或其委托的单位主持。阶段验收委员会应由验收主持单位、</w:t>
      </w:r>
    </w:p>
    <w:p>
      <w:pPr>
        <w:pStyle w:val="5"/>
        <w:snapToGrid w:val="0"/>
        <w:spacing w:line="360" w:lineRule="exact"/>
        <w:ind w:firstLine="0"/>
        <w:rPr>
          <w:rFonts w:hint="eastAsia" w:ascii="仿宋" w:hAnsi="仿宋" w:eastAsia="仿宋" w:cs="仿宋"/>
          <w:color w:val="auto"/>
          <w:sz w:val="21"/>
          <w:szCs w:val="21"/>
        </w:rPr>
      </w:pPr>
      <w:r>
        <w:rPr>
          <w:rFonts w:hint="eastAsia" w:ascii="仿宋" w:hAnsi="仿宋" w:eastAsia="仿宋" w:cs="仿宋"/>
          <w:color w:val="auto"/>
          <w:sz w:val="21"/>
          <w:szCs w:val="21"/>
        </w:rPr>
        <w:t>质量和安全监督机构、运行管理单位的代表和有关专家组成；必要时，可邀请地方人民政府以及有</w:t>
      </w:r>
    </w:p>
    <w:p>
      <w:pPr>
        <w:pStyle w:val="5"/>
        <w:snapToGrid w:val="0"/>
        <w:spacing w:line="360" w:lineRule="exact"/>
        <w:ind w:firstLine="0"/>
        <w:rPr>
          <w:rFonts w:hint="eastAsia" w:ascii="仿宋" w:hAnsi="仿宋" w:eastAsia="仿宋" w:cs="仿宋"/>
          <w:color w:val="auto"/>
          <w:sz w:val="21"/>
          <w:szCs w:val="21"/>
        </w:rPr>
      </w:pPr>
      <w:r>
        <w:rPr>
          <w:rFonts w:hint="eastAsia" w:ascii="仿宋" w:hAnsi="仿宋" w:eastAsia="仿宋" w:cs="仿宋"/>
          <w:color w:val="auto"/>
          <w:sz w:val="21"/>
          <w:szCs w:val="21"/>
        </w:rPr>
        <w:t>关部门参加。</w:t>
      </w:r>
    </w:p>
    <w:p>
      <w:pPr>
        <w:pStyle w:val="5"/>
        <w:snapToGrid w:val="0"/>
        <w:spacing w:line="360"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1.9.5 专项验收</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（1）工程竣工验收前，应按有关规定进行专项验收。专项验收主持单位应按国家和有关行业的有关规定确定。</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（2）专项验收是指与国家和地方有关的对外永久交通、移民安置、环境保护、水土保待及通航等的专项工程验收。</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（3）项目法人应按国家和相关行业主管部门的规定，向有关部门提出专项验收申请报告，并做好准备和配合工作。</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（4）专项验收成果性文件应是工程竣工验收成果性文件的组成部分，其工程竣工验收资料的整编内容可参照本章第1.9.6项的要求进行。</w:t>
      </w:r>
    </w:p>
    <w:p>
      <w:pPr>
        <w:pStyle w:val="5"/>
        <w:snapToGrid w:val="0"/>
        <w:spacing w:line="360"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1.9.6 工程竣工验收</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（1）工程竣工验收应遵守《水利工程建设项目验收管理规定》水利部30号令和《水利水电建设工程验收规程》（SL 223-2008）的规定。</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（2）工程竣工验收前，中标人应积极配合招标人整编以下竣工验收资料提交招标人，其内容包括（但不限于）：</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1）验收工程的各项施工材料的试验检验成果；</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2）监理人对验收工程及其工程设备的质量检查记录；</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3）施工过程中，本项工程及其工程设备的变更文件及资料；</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4）质量事故记录以及工程及其工程设备的缺陷处理报告；</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5）施工过程中，对验收工程质量的专题评定报告；</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6）质量监督机构签认的质量鉴定报告和有关文件；</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7）验收工程施工期的安全监测成果，以及工程设备的试运行检测成果；</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8）监理人指示提交的其它竣工验收资料。</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（3）工程竣工验收应在工程建设项目全部完成，各单位工程、分部工程和单项工程的验收全部合格，并已满足一定运行条件后1年内进行。</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（4）工程竣工验收应由招标人向国家主管部门提出工程竣工验收申请，并经国家主管部门批准后，由国家主管部门主持、招标人组织进行。</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1.10 工程量计算</w:t>
      </w:r>
    </w:p>
    <w:p>
      <w:pPr>
        <w:pStyle w:val="8"/>
        <w:snapToGrid w:val="0"/>
        <w:spacing w:line="360" w:lineRule="exact"/>
        <w:rPr>
          <w:rFonts w:hint="eastAsia" w:ascii="仿宋" w:hAnsi="仿宋" w:eastAsia="仿宋" w:cs="仿宋"/>
          <w:bCs/>
          <w:color w:val="auto"/>
          <w:sz w:val="21"/>
          <w:szCs w:val="21"/>
        </w:rPr>
      </w:pPr>
      <w:r>
        <w:rPr>
          <w:rFonts w:hint="eastAsia" w:ascii="仿宋" w:hAnsi="仿宋" w:eastAsia="仿宋" w:cs="仿宋"/>
          <w:bCs/>
          <w:color w:val="auto"/>
          <w:sz w:val="21"/>
          <w:szCs w:val="21"/>
        </w:rPr>
        <w:t>1.10.1 说明</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(1)本合同的工程项目应按本合同《通用合同条款》和专用合同条款的有关规定进行计量，所</w:t>
      </w:r>
    </w:p>
    <w:p>
      <w:pPr>
        <w:pStyle w:val="5"/>
        <w:snapToGrid w:val="0"/>
        <w:spacing w:line="360" w:lineRule="exact"/>
        <w:ind w:firstLine="0"/>
        <w:rPr>
          <w:rFonts w:hint="eastAsia" w:ascii="仿宋" w:hAnsi="仿宋" w:eastAsia="仿宋" w:cs="仿宋"/>
          <w:color w:val="auto"/>
          <w:sz w:val="21"/>
          <w:szCs w:val="21"/>
        </w:rPr>
      </w:pPr>
      <w:r>
        <w:rPr>
          <w:rFonts w:hint="eastAsia" w:ascii="仿宋" w:hAnsi="仿宋" w:eastAsia="仿宋" w:cs="仿宋"/>
          <w:color w:val="auto"/>
          <w:sz w:val="21"/>
          <w:szCs w:val="21"/>
        </w:rPr>
        <w:t>有工程项目的计量方法均应符合本技术条款各章的规定。</w:t>
      </w:r>
    </w:p>
    <w:p>
      <w:pPr>
        <w:pStyle w:val="5"/>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（2）中标人应保证自供的一切计量设备和用具符合国家度量衡标准的精度要求。</w:t>
      </w:r>
    </w:p>
    <w:p>
      <w:pPr>
        <w:pStyle w:val="5"/>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（3）凡超出施工图纸和本技术条款规定的计量范围以外的长度、面积或体积，均不予计量或计</w:t>
      </w:r>
    </w:p>
    <w:p>
      <w:pPr>
        <w:pStyle w:val="5"/>
        <w:snapToGrid w:val="0"/>
        <w:spacing w:line="360" w:lineRule="exact"/>
        <w:ind w:firstLine="315" w:firstLineChars="150"/>
        <w:rPr>
          <w:rFonts w:hint="eastAsia" w:ascii="仿宋" w:hAnsi="仿宋" w:eastAsia="仿宋" w:cs="仿宋"/>
          <w:color w:val="auto"/>
          <w:sz w:val="21"/>
          <w:szCs w:val="21"/>
        </w:rPr>
      </w:pPr>
      <w:r>
        <w:rPr>
          <w:rFonts w:hint="eastAsia" w:ascii="仿宋" w:hAnsi="仿宋" w:eastAsia="仿宋" w:cs="仿宋"/>
          <w:color w:val="auto"/>
          <w:sz w:val="21"/>
          <w:szCs w:val="21"/>
        </w:rPr>
        <w:t>算。</w:t>
      </w:r>
    </w:p>
    <w:p>
      <w:pPr>
        <w:pStyle w:val="5"/>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根据合同完成的有效工程量，由中标人按施工图纸计算，或采用标准的计量设备进行秤量，并经监理人签认后，列入中标人的每月完成工程量报表。当分次结算累计工程量与按完成施工图纸所示及合同文件规定计算的有效工程量不一致时，以按完成施工图纸所示及合同文件规定计算的有效工程量为准。</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（5）分次结算工程量的测量工作，应在监理人在场的情况下，由中标人负责。必要时，监理人有权指示中标人对结算工程量重新进行复核测量，并由监理人核查确认。</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1.10.2 重量计算</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（1）按施工图纸所示计算的有效重量以吨或千克为单位计量。</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（2）凡以重量计量并需秤量的材料，由中标人合格的测量人员使用经国家计量监督部门检验合格的秤量设备，根据合同约定，在监理人指定的地点进行秤量。</w:t>
      </w:r>
    </w:p>
    <w:p>
      <w:pPr>
        <w:pStyle w:val="8"/>
        <w:snapToGrid w:val="0"/>
        <w:spacing w:line="360" w:lineRule="exact"/>
        <w:rPr>
          <w:rFonts w:hint="eastAsia" w:ascii="仿宋" w:hAnsi="仿宋" w:eastAsia="仿宋" w:cs="仿宋"/>
          <w:bCs/>
          <w:color w:val="auto"/>
          <w:sz w:val="21"/>
          <w:szCs w:val="21"/>
        </w:rPr>
      </w:pPr>
      <w:r>
        <w:rPr>
          <w:rFonts w:hint="eastAsia" w:ascii="仿宋" w:hAnsi="仿宋" w:eastAsia="仿宋" w:cs="仿宋"/>
          <w:bCs/>
          <w:color w:val="auto"/>
          <w:sz w:val="21"/>
          <w:szCs w:val="21"/>
        </w:rPr>
        <w:t>1.10.3 面积计量</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按施工图纸所示施工轮廓尺寸或结构物尺寸计算的有效面积以平方米为单位计量。</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1.10.4 体积计量</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按施工图纸所示施工轮廓尺寸或结构物尺寸计算的有效体积以立方米为单位计量。</w:t>
      </w:r>
    </w:p>
    <w:p>
      <w:pPr>
        <w:pStyle w:val="8"/>
        <w:snapToGrid w:val="0"/>
        <w:spacing w:line="360" w:lineRule="exact"/>
        <w:rPr>
          <w:rFonts w:hint="eastAsia" w:ascii="仿宋" w:hAnsi="仿宋" w:eastAsia="仿宋" w:cs="仿宋"/>
          <w:bCs/>
          <w:color w:val="auto"/>
          <w:sz w:val="21"/>
          <w:szCs w:val="21"/>
        </w:rPr>
      </w:pPr>
      <w:r>
        <w:rPr>
          <w:rFonts w:hint="eastAsia" w:ascii="仿宋" w:hAnsi="仿宋" w:eastAsia="仿宋" w:cs="仿宋"/>
          <w:bCs/>
          <w:color w:val="auto"/>
          <w:sz w:val="21"/>
          <w:szCs w:val="21"/>
        </w:rPr>
        <w:t>1.10.5 长度计量</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按施工图纸所示施工轮廓尺寸或结构物尺寸计算的有效长度以米为单位计量。</w:t>
      </w:r>
    </w:p>
    <w:p>
      <w:pPr>
        <w:pStyle w:val="8"/>
        <w:snapToGrid w:val="0"/>
        <w:spacing w:line="360" w:lineRule="exact"/>
        <w:rPr>
          <w:rFonts w:hint="eastAsia" w:ascii="仿宋" w:hAnsi="仿宋" w:eastAsia="仿宋" w:cs="仿宋"/>
          <w:bCs/>
          <w:color w:val="auto"/>
          <w:sz w:val="21"/>
          <w:szCs w:val="21"/>
        </w:rPr>
      </w:pPr>
      <w:r>
        <w:rPr>
          <w:rFonts w:hint="eastAsia" w:ascii="仿宋" w:hAnsi="仿宋" w:eastAsia="仿宋" w:cs="仿宋"/>
          <w:bCs/>
          <w:color w:val="auto"/>
          <w:sz w:val="21"/>
          <w:szCs w:val="21"/>
        </w:rPr>
        <w:t>1.11技术标准和规程规范</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1.11.1 遵守国家和行业标准的强制性规定</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技术条款中有关工程等级、防洪标准和工程安全鉴定标准等涉及工程安全的施工安装技术要求及其验收标准，必须严格遵守国家和行业标准中的强制性规定。遇有矛盾时，应由监理人按国家和行业标准的强制性规定进行修正。</w:t>
      </w:r>
    </w:p>
    <w:p>
      <w:pPr>
        <w:pStyle w:val="8"/>
        <w:snapToGrid w:val="0"/>
        <w:spacing w:line="360" w:lineRule="exact"/>
        <w:rPr>
          <w:rFonts w:hint="eastAsia" w:ascii="仿宋" w:hAnsi="仿宋" w:eastAsia="仿宋" w:cs="仿宋"/>
          <w:bCs/>
          <w:color w:val="auto"/>
          <w:sz w:val="21"/>
          <w:szCs w:val="21"/>
        </w:rPr>
      </w:pPr>
      <w:r>
        <w:rPr>
          <w:rFonts w:hint="eastAsia" w:ascii="仿宋" w:hAnsi="仿宋" w:eastAsia="仿宋" w:cs="仿宋"/>
          <w:bCs/>
          <w:color w:val="auto"/>
          <w:sz w:val="21"/>
          <w:szCs w:val="21"/>
        </w:rPr>
        <w:t>1.11.2 引用标准和规程规范以最新版本为准</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新技术条款中引用的标准和规程规范均标有出版年代，引用截止期为2012年底，应用时执行国家和各行业最新出版的版本。</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1.12 工程保险</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1.12.1 投保险种</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招标人和中标人应按本合同通用合同条款第20条的约定投保以下险种：</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（1）建筑安装工程的一切险（包括材料和工程设备，以招标人和中标人共同名义投保）；</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（2）人员工伤事故险（按各自管辖的人员投保）；</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（3）人身意外伤害险（按各自管辖的人员投保）；</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（4）第三者责任险（按各自管辖区，以招标人和中标人共同名义投保）；</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（5）施工设备险（由中标人负责投保）。</w:t>
      </w:r>
    </w:p>
    <w:p>
      <w:pPr>
        <w:pStyle w:val="8"/>
        <w:snapToGrid w:val="0"/>
        <w:spacing w:line="360" w:lineRule="exact"/>
        <w:rPr>
          <w:rFonts w:hint="eastAsia" w:ascii="仿宋" w:hAnsi="仿宋" w:eastAsia="仿宋" w:cs="仿宋"/>
          <w:bCs/>
          <w:color w:val="auto"/>
          <w:sz w:val="21"/>
          <w:szCs w:val="21"/>
        </w:rPr>
      </w:pPr>
      <w:r>
        <w:rPr>
          <w:rFonts w:hint="eastAsia" w:ascii="仿宋" w:hAnsi="仿宋" w:eastAsia="仿宋" w:cs="仿宋"/>
          <w:bCs/>
          <w:color w:val="auto"/>
          <w:sz w:val="21"/>
          <w:szCs w:val="21"/>
        </w:rPr>
        <w:t>1.12.2 保险费用</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（1）按本合同约定由中标人负责投保建筑安装工程一切险，中标人应按本合同通用合同条款第20.1款约定的责任和内容，在本章工程量清单中专项列报。</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（2）中标人人员的工伤事故险和人身意外伤害险应由中标人按本合同通用合同条款第20.2款、第20.3款约定的责任和内容，为全部现场施工人员办理保险，并按本章《工程量清单》所列项目专项列报。</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（3）中标人管辖区内的第三者责任险应由中标人，根据本合同通用合同条款第20.4款约定的责任和内容与本章《工程量清单》所列项目专项列报。</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（4）施工设备险由中标人负责投保，保险费用包括在施工设备运行费内。</w:t>
      </w:r>
    </w:p>
    <w:p>
      <w:pPr>
        <w:pStyle w:val="8"/>
        <w:snapToGrid w:val="0"/>
        <w:spacing w:line="360" w:lineRule="exact"/>
        <w:rPr>
          <w:rFonts w:hint="eastAsia" w:ascii="仿宋" w:hAnsi="仿宋" w:eastAsia="仿宋" w:cs="仿宋"/>
          <w:bCs/>
          <w:color w:val="auto"/>
          <w:sz w:val="21"/>
          <w:szCs w:val="21"/>
        </w:rPr>
      </w:pPr>
      <w:r>
        <w:rPr>
          <w:rFonts w:hint="eastAsia" w:ascii="仿宋" w:hAnsi="仿宋" w:eastAsia="仿宋" w:cs="仿宋"/>
          <w:bCs/>
          <w:color w:val="auto"/>
          <w:sz w:val="21"/>
          <w:szCs w:val="21"/>
        </w:rPr>
        <w:t>1.13 工程价款支付方法</w:t>
      </w:r>
    </w:p>
    <w:p>
      <w:pPr>
        <w:pStyle w:val="8"/>
        <w:snapToGrid w:val="0"/>
        <w:spacing w:line="360" w:lineRule="exact"/>
        <w:rPr>
          <w:rFonts w:hint="eastAsia" w:ascii="仿宋" w:hAnsi="仿宋" w:eastAsia="仿宋" w:cs="仿宋"/>
          <w:bCs/>
          <w:color w:val="auto"/>
          <w:sz w:val="21"/>
          <w:szCs w:val="21"/>
        </w:rPr>
      </w:pPr>
      <w:r>
        <w:rPr>
          <w:rFonts w:hint="eastAsia" w:ascii="仿宋" w:hAnsi="仿宋" w:eastAsia="仿宋" w:cs="仿宋"/>
          <w:bCs/>
          <w:color w:val="auto"/>
          <w:sz w:val="21"/>
          <w:szCs w:val="21"/>
        </w:rPr>
        <w:t>1.13.1 单价支付项目</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除合同另有约定外，中标人在《工程量清单》以单价形式列报的所有工程项目，招标人均按《工程量清单》相应项目的工程单价支付。</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1.13.2 一般总价支付项目</w:t>
      </w:r>
    </w:p>
    <w:p>
      <w:pPr>
        <w:pStyle w:val="5"/>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除合同另有约定外，中标人在《工程量清单》以总价形式列报的所有工程项目，招标人均按《工程量清单》相应项目（不包括以总价形式列报的暂列金额）的总价支付。</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1.13.3 特殊约定的总价支付项目</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（1）进场费</w:t>
      </w:r>
    </w:p>
    <w:p>
      <w:pPr>
        <w:pStyle w:val="15"/>
        <w:snapToGrid w:val="0"/>
        <w:spacing w:line="360" w:lineRule="exact"/>
        <w:ind w:firstLine="476" w:firstLineChars="227"/>
        <w:rPr>
          <w:rFonts w:hint="eastAsia" w:ascii="仿宋" w:hAnsi="仿宋" w:eastAsia="仿宋" w:cs="仿宋"/>
          <w:color w:val="auto"/>
          <w:szCs w:val="21"/>
        </w:rPr>
      </w:pPr>
      <w:r>
        <w:rPr>
          <w:rFonts w:hint="eastAsia" w:ascii="仿宋" w:hAnsi="仿宋" w:eastAsia="仿宋" w:cs="仿宋"/>
          <w:snapToGrid w:val="0"/>
          <w:color w:val="auto"/>
          <w:kern w:val="0"/>
          <w:szCs w:val="21"/>
        </w:rPr>
        <w:t>中标人为进行施工准备所需的人员和施工设备的调遣费和进场开办费，已包括在工程量单价中，中标人不应另立项目要求招标人予以支付。</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（2）退场费</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snapToGrid w:val="0"/>
          <w:color w:val="auto"/>
          <w:sz w:val="21"/>
          <w:szCs w:val="21"/>
        </w:rPr>
        <w:t>工程完工验收后，中标人进行完工清场、撤退人员和设备、撤离临时工程、场地平整和环境恢复等所需的费用，已包括在工程量单价中，中标人不应另立项目要求招标人予以支付。</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（3）保险费</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中标人按本章第1.12款规定列报，由招标人按中标人提交的保险单及保险发票按实支付，最高</w:t>
      </w:r>
    </w:p>
    <w:p>
      <w:pPr>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、不超过《工程量清单》所列报的保险费用。</w:t>
      </w:r>
    </w:p>
    <w:p>
      <w:pPr>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（4）其它费用</w:t>
      </w:r>
    </w:p>
    <w:p>
      <w:pPr>
        <w:pStyle w:val="15"/>
        <w:snapToGrid w:val="0"/>
        <w:spacing w:line="360" w:lineRule="exact"/>
        <w:ind w:firstLine="411" w:firstLineChars="196"/>
        <w:rPr>
          <w:rFonts w:hint="eastAsia" w:ascii="仿宋" w:hAnsi="仿宋" w:eastAsia="仿宋" w:cs="仿宋"/>
          <w:snapToGrid w:val="0"/>
          <w:color w:val="auto"/>
          <w:kern w:val="0"/>
          <w:szCs w:val="21"/>
        </w:rPr>
      </w:pPr>
      <w:r>
        <w:rPr>
          <w:rFonts w:hint="eastAsia" w:ascii="仿宋" w:hAnsi="仿宋" w:eastAsia="仿宋" w:cs="仿宋"/>
          <w:color w:val="auto"/>
          <w:szCs w:val="21"/>
        </w:rPr>
        <w:t>除《工程量清单》所列的全部总价和单价项目所包含的工程项目及其工作内容外，中标人按本章规定进行的各项工作，其所需费用均应分摊在各项目的报价中，招标人不再另行支付。</w:t>
      </w:r>
    </w:p>
    <w:p>
      <w:pPr>
        <w:pStyle w:val="6"/>
        <w:spacing w:line="360" w:lineRule="auto"/>
        <w:jc w:val="center"/>
        <w:rPr>
          <w:rFonts w:hint="eastAsia" w:ascii="仿宋" w:hAnsi="仿宋" w:eastAsia="仿宋" w:cs="仿宋"/>
          <w:color w:val="auto"/>
          <w:szCs w:val="30"/>
        </w:rPr>
      </w:pPr>
      <w:bookmarkStart w:id="657" w:name="_Toc336325325"/>
      <w:bookmarkStart w:id="658" w:name="_Toc17650"/>
      <w:bookmarkStart w:id="659" w:name="_Toc19822"/>
      <w:bookmarkStart w:id="660" w:name="_Toc311407727"/>
      <w:r>
        <w:rPr>
          <w:rFonts w:hint="eastAsia" w:ascii="仿宋" w:hAnsi="仿宋" w:eastAsia="仿宋" w:cs="仿宋"/>
          <w:color w:val="auto"/>
          <w:szCs w:val="30"/>
        </w:rPr>
        <w:t>第2节施工临时设施</w:t>
      </w:r>
      <w:bookmarkEnd w:id="657"/>
      <w:bookmarkEnd w:id="658"/>
      <w:bookmarkEnd w:id="659"/>
      <w:bookmarkEnd w:id="660"/>
    </w:p>
    <w:p>
      <w:pPr>
        <w:pStyle w:val="7"/>
        <w:snapToGrid w:val="0"/>
        <w:spacing w:line="360" w:lineRule="exact"/>
        <w:rPr>
          <w:rStyle w:val="52"/>
          <w:rFonts w:hint="eastAsia" w:ascii="仿宋" w:hAnsi="仿宋" w:eastAsia="仿宋" w:cs="仿宋"/>
          <w:b/>
          <w:color w:val="auto"/>
          <w:sz w:val="21"/>
          <w:szCs w:val="21"/>
        </w:rPr>
      </w:pPr>
      <w:bookmarkStart w:id="661" w:name="_Toc12159"/>
      <w:bookmarkStart w:id="662" w:name="_Toc341965011"/>
      <w:bookmarkStart w:id="663" w:name="_Toc336255213"/>
      <w:bookmarkStart w:id="664" w:name="_Toc339983400"/>
      <w:bookmarkStart w:id="665" w:name="_Toc6721"/>
      <w:bookmarkStart w:id="666" w:name="_Toc336325326"/>
      <w:bookmarkStart w:id="667" w:name="_Toc339224628"/>
      <w:bookmarkStart w:id="668" w:name="_Toc339482494"/>
      <w:bookmarkStart w:id="669" w:name="_Toc282782358"/>
      <w:r>
        <w:rPr>
          <w:rStyle w:val="52"/>
          <w:rFonts w:hint="eastAsia" w:ascii="仿宋" w:hAnsi="仿宋" w:eastAsia="仿宋" w:cs="仿宋"/>
          <w:b/>
          <w:color w:val="auto"/>
          <w:sz w:val="21"/>
          <w:szCs w:val="21"/>
        </w:rPr>
        <w:t>2.1 一般规定</w:t>
      </w:r>
      <w:bookmarkEnd w:id="661"/>
      <w:bookmarkEnd w:id="662"/>
      <w:bookmarkEnd w:id="663"/>
      <w:bookmarkEnd w:id="664"/>
      <w:bookmarkEnd w:id="665"/>
      <w:bookmarkEnd w:id="666"/>
      <w:bookmarkEnd w:id="667"/>
      <w:bookmarkEnd w:id="668"/>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2.1.1 应用范围</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本章规定适用于本合同工程施工临时设施的设计、施工及其附属设备的采购和配置、安装、运</w:t>
      </w:r>
    </w:p>
    <w:p>
      <w:pPr>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行、维护、管理和拆除等全部工作。其工作项目包括：现场施工测量、现场试验、施工交通、施工</w:t>
      </w:r>
    </w:p>
    <w:p>
      <w:pPr>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供电、施工供水、施工供风、施工照明、施工通信、施工排水、砂石料加工系统、混凝土生产系统、</w:t>
      </w:r>
    </w:p>
    <w:p>
      <w:pPr>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机械修配厂、加工厂、仓库、存料场、弃料场以及施工现场办公和生活建筑设施等。</w:t>
      </w:r>
    </w:p>
    <w:p>
      <w:pPr>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2.1.2 中标人责任</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（1）中标人应按本章第2.2节、第2.3节的规定，负责本工程的现场施工测量和现场试验工作。并对其提供的测量和试验成果负全部责任。</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（2）中标人应负责修建完成本章第2.4~2.13节所列的各项施工临时设施，并在各项永久工程建筑物施工前，完成全部施工临时设施及其附属设备的安装和试运行。</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（3）中标人应按招标人提供的施工交通规划及本章第2.4节的规定，负责场内施工临时道路及其交通设施、设备的设计、施工、采购和配置、安装、运行和维护。</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（4）中标人应按本章第2.5~2.8节的规定，负责设计和配置施工供水、供电、供风、通信等施工临时设施。</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（5）中标人应按本章第2.10~2.12节的规定，负责设计、建造混凝土生产系统、钢筋加工、机械修配加工、汽车修理保养、仓储设施、弃渣场等的临时生产设施。</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（6）中标人应按本章第2.13节的规定，负责现场办公和生活建筑等临时设施的规划、布置、设计、施工和维护，并应对现场办公和生活建筑物的使用安全负责。</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2.1.3 主要提交件</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中标人应按本技术条款第1.4.2条，以及批准的施工总布置设计和本章第2.4~2.15节的规定，编制各项施工临时设施的设计文件，提交监理人批准。其内容包括：</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（1）施工临时设施布置图；</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（2）施工工艺流程和（或）施工程序说明；</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（3）安全和环境保护措施；</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（4）施工期运行管理方式。</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2.1.4 引用标准</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（1）《生活饮用水卫生标准》（GB 5749-2006）；</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（2）《水工建筑物地下开挖工程施工规范》（SL 378-2007）；</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（3）《水利水电工程施工组织设计规范》（SL 303-2017) ；</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（4）《水利水电工程施工测量规范》（SL 52-2015）。</w:t>
      </w:r>
    </w:p>
    <w:p>
      <w:pPr>
        <w:pStyle w:val="7"/>
        <w:snapToGrid w:val="0"/>
        <w:spacing w:line="360" w:lineRule="exact"/>
        <w:rPr>
          <w:rStyle w:val="52"/>
          <w:rFonts w:hint="eastAsia" w:ascii="仿宋" w:hAnsi="仿宋" w:eastAsia="仿宋" w:cs="仿宋"/>
          <w:b/>
          <w:color w:val="auto"/>
          <w:sz w:val="21"/>
          <w:szCs w:val="21"/>
        </w:rPr>
      </w:pPr>
      <w:bookmarkStart w:id="670" w:name="_Toc21915"/>
      <w:bookmarkStart w:id="671" w:name="_Toc339983401"/>
      <w:bookmarkStart w:id="672" w:name="_Toc9365"/>
      <w:bookmarkStart w:id="673" w:name="_Toc339482495"/>
      <w:bookmarkStart w:id="674" w:name="_Toc341965012"/>
      <w:bookmarkStart w:id="675" w:name="_Toc336325327"/>
      <w:bookmarkStart w:id="676" w:name="_Toc336255214"/>
      <w:bookmarkStart w:id="677" w:name="_Toc339224629"/>
      <w:r>
        <w:rPr>
          <w:rStyle w:val="52"/>
          <w:rFonts w:hint="eastAsia" w:ascii="仿宋" w:hAnsi="仿宋" w:eastAsia="仿宋" w:cs="仿宋"/>
          <w:b/>
          <w:color w:val="auto"/>
          <w:sz w:val="21"/>
          <w:szCs w:val="21"/>
        </w:rPr>
        <w:t>2.2 现场施工测量</w:t>
      </w:r>
      <w:bookmarkEnd w:id="670"/>
      <w:bookmarkEnd w:id="671"/>
      <w:bookmarkEnd w:id="672"/>
      <w:bookmarkEnd w:id="673"/>
      <w:bookmarkEnd w:id="674"/>
      <w:bookmarkEnd w:id="675"/>
      <w:bookmarkEnd w:id="676"/>
      <w:bookmarkEnd w:id="677"/>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中标人应按本合同通用合同条款第8.1~8.4款的规定执行。</w:t>
      </w:r>
    </w:p>
    <w:p>
      <w:pPr>
        <w:pStyle w:val="7"/>
        <w:snapToGrid w:val="0"/>
        <w:spacing w:line="360" w:lineRule="exact"/>
        <w:rPr>
          <w:rStyle w:val="52"/>
          <w:rFonts w:hint="eastAsia" w:ascii="仿宋" w:hAnsi="仿宋" w:eastAsia="仿宋" w:cs="仿宋"/>
          <w:b/>
          <w:color w:val="auto"/>
          <w:sz w:val="21"/>
          <w:szCs w:val="21"/>
        </w:rPr>
      </w:pPr>
      <w:bookmarkStart w:id="678" w:name="_Toc336325328"/>
      <w:bookmarkStart w:id="679" w:name="_Toc341965013"/>
      <w:bookmarkStart w:id="680" w:name="_Toc336255215"/>
      <w:bookmarkStart w:id="681" w:name="_Toc339482496"/>
      <w:bookmarkStart w:id="682" w:name="_Toc339224630"/>
      <w:bookmarkStart w:id="683" w:name="_Toc28069"/>
      <w:bookmarkStart w:id="684" w:name="_Toc8475"/>
      <w:bookmarkStart w:id="685" w:name="_Toc339983402"/>
      <w:r>
        <w:rPr>
          <w:rStyle w:val="52"/>
          <w:rFonts w:hint="eastAsia" w:ascii="仿宋" w:hAnsi="仿宋" w:eastAsia="仿宋" w:cs="仿宋"/>
          <w:b/>
          <w:color w:val="auto"/>
          <w:sz w:val="21"/>
          <w:szCs w:val="21"/>
        </w:rPr>
        <w:t>2.3 现场试验</w:t>
      </w:r>
      <w:bookmarkEnd w:id="678"/>
      <w:bookmarkEnd w:id="679"/>
      <w:bookmarkEnd w:id="680"/>
      <w:bookmarkEnd w:id="681"/>
      <w:bookmarkEnd w:id="682"/>
      <w:bookmarkEnd w:id="683"/>
      <w:bookmarkEnd w:id="684"/>
      <w:bookmarkEnd w:id="685"/>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中标人应按本合同通用合同条款第14.2款、第14.3款的规定执行。</w:t>
      </w:r>
    </w:p>
    <w:p>
      <w:pPr>
        <w:pStyle w:val="7"/>
        <w:snapToGrid w:val="0"/>
        <w:spacing w:line="360" w:lineRule="exact"/>
        <w:rPr>
          <w:rStyle w:val="52"/>
          <w:rFonts w:hint="eastAsia" w:ascii="仿宋" w:hAnsi="仿宋" w:eastAsia="仿宋" w:cs="仿宋"/>
          <w:b/>
          <w:color w:val="auto"/>
          <w:sz w:val="21"/>
          <w:szCs w:val="21"/>
        </w:rPr>
      </w:pPr>
      <w:bookmarkStart w:id="686" w:name="_Toc27390"/>
      <w:bookmarkStart w:id="687" w:name="_Toc341965014"/>
      <w:bookmarkStart w:id="688" w:name="_Toc336255216"/>
      <w:bookmarkStart w:id="689" w:name="_Toc339983403"/>
      <w:bookmarkStart w:id="690" w:name="_Toc339224631"/>
      <w:bookmarkStart w:id="691" w:name="_Toc336325329"/>
      <w:bookmarkStart w:id="692" w:name="_Toc339482497"/>
      <w:bookmarkStart w:id="693" w:name="_Toc17026"/>
      <w:r>
        <w:rPr>
          <w:rStyle w:val="52"/>
          <w:rFonts w:hint="eastAsia" w:ascii="仿宋" w:hAnsi="仿宋" w:eastAsia="仿宋" w:cs="仿宋"/>
          <w:b/>
          <w:color w:val="auto"/>
          <w:sz w:val="21"/>
          <w:szCs w:val="21"/>
        </w:rPr>
        <w:t>2.4 施工交通</w:t>
      </w:r>
      <w:bookmarkEnd w:id="686"/>
      <w:bookmarkEnd w:id="687"/>
      <w:bookmarkEnd w:id="688"/>
      <w:bookmarkEnd w:id="689"/>
      <w:bookmarkEnd w:id="690"/>
      <w:bookmarkEnd w:id="691"/>
      <w:bookmarkEnd w:id="692"/>
      <w:bookmarkEnd w:id="693"/>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2.4.1 场内施工道路</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(1)除本合同约定由招标人提供的施工道路外，中标人应负责修建本合同施工区内的全部施工</w:t>
      </w:r>
    </w:p>
    <w:p>
      <w:pPr>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道路、桥涵和停车场，并在合同实施期间负责管理和维护。</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 中标人修建道路应做好路基和路面的排水设施，进行洒水除尘，将施工作业的扬尘公害减少至最低程度。</w:t>
      </w:r>
    </w:p>
    <w:p>
      <w:pPr>
        <w:snapToGrid w:val="0"/>
        <w:spacing w:line="360" w:lineRule="exact"/>
        <w:ind w:firstLine="404" w:firstLineChars="200"/>
        <w:rPr>
          <w:rFonts w:hint="eastAsia" w:ascii="仿宋" w:hAnsi="仿宋" w:eastAsia="仿宋" w:cs="仿宋"/>
          <w:color w:val="auto"/>
          <w:spacing w:val="-4"/>
          <w:sz w:val="21"/>
          <w:szCs w:val="21"/>
        </w:rPr>
      </w:pPr>
      <w:r>
        <w:rPr>
          <w:rFonts w:hint="eastAsia" w:ascii="仿宋" w:hAnsi="仿宋" w:eastAsia="仿宋" w:cs="仿宋"/>
          <w:color w:val="auto"/>
          <w:spacing w:val="-4"/>
          <w:sz w:val="21"/>
          <w:szCs w:val="21"/>
        </w:rPr>
        <w:t>(3) 中标人修建道路不应危害邻近道路两侧的农田和民舍，维护好道路两侧的开挖和填筑边坡。</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 本合同中标人负责修建的施工道路、桥涵和停车场，应免费提供招标人和监理人使用，其他中标人需要使用时，应按本合同《通用合同条款》的有关规定办理。</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2.4.2 场外公共交通</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中标人应按本合同通用合同条款第7.3~7.5款的规定执行。</w:t>
      </w:r>
    </w:p>
    <w:p>
      <w:pPr>
        <w:pStyle w:val="7"/>
        <w:snapToGrid w:val="0"/>
        <w:spacing w:line="360" w:lineRule="exact"/>
        <w:rPr>
          <w:rStyle w:val="52"/>
          <w:rFonts w:hint="eastAsia" w:ascii="仿宋" w:hAnsi="仿宋" w:eastAsia="仿宋" w:cs="仿宋"/>
          <w:b/>
          <w:color w:val="auto"/>
          <w:sz w:val="21"/>
          <w:szCs w:val="21"/>
        </w:rPr>
      </w:pPr>
      <w:bookmarkStart w:id="694" w:name="_Toc24408"/>
      <w:bookmarkStart w:id="695" w:name="_Toc341965015"/>
      <w:bookmarkStart w:id="696" w:name="_Toc339983404"/>
      <w:bookmarkStart w:id="697" w:name="_Toc339224632"/>
      <w:bookmarkStart w:id="698" w:name="_Toc336255217"/>
      <w:bookmarkStart w:id="699" w:name="_Toc336325330"/>
      <w:bookmarkStart w:id="700" w:name="_Toc30532"/>
      <w:bookmarkStart w:id="701" w:name="_Toc339482498"/>
      <w:r>
        <w:rPr>
          <w:rStyle w:val="52"/>
          <w:rFonts w:hint="eastAsia" w:ascii="仿宋" w:hAnsi="仿宋" w:eastAsia="仿宋" w:cs="仿宋"/>
          <w:b/>
          <w:color w:val="auto"/>
          <w:sz w:val="21"/>
          <w:szCs w:val="21"/>
        </w:rPr>
        <w:t>2.5 施工供电</w:t>
      </w:r>
      <w:bookmarkEnd w:id="694"/>
      <w:bookmarkEnd w:id="695"/>
      <w:bookmarkEnd w:id="696"/>
      <w:bookmarkEnd w:id="697"/>
      <w:bookmarkEnd w:id="698"/>
      <w:bookmarkEnd w:id="699"/>
      <w:bookmarkEnd w:id="700"/>
      <w:bookmarkEnd w:id="701"/>
    </w:p>
    <w:p>
      <w:pPr>
        <w:pStyle w:val="5"/>
        <w:ind w:firstLine="0"/>
        <w:rPr>
          <w:rFonts w:hint="eastAsia" w:ascii="仿宋" w:hAnsi="仿宋" w:eastAsia="仿宋" w:cs="仿宋"/>
          <w:b/>
          <w:color w:val="auto"/>
        </w:rPr>
      </w:pPr>
      <w:r>
        <w:rPr>
          <w:rFonts w:hint="eastAsia" w:ascii="仿宋" w:hAnsi="仿宋" w:eastAsia="仿宋" w:cs="仿宋"/>
          <w:b/>
          <w:color w:val="auto"/>
        </w:rPr>
        <w:t>2.5.1施工电源</w:t>
      </w:r>
    </w:p>
    <w:p>
      <w:pPr>
        <w:pStyle w:val="5"/>
        <w:rPr>
          <w:rFonts w:hint="eastAsia" w:ascii="仿宋" w:hAnsi="仿宋" w:eastAsia="仿宋" w:cs="仿宋"/>
          <w:color w:val="auto"/>
        </w:rPr>
      </w:pPr>
      <w:r>
        <w:rPr>
          <w:rFonts w:hint="eastAsia" w:ascii="仿宋" w:hAnsi="仿宋" w:eastAsia="仿宋" w:cs="仿宋"/>
          <w:color w:val="auto"/>
          <w:sz w:val="21"/>
          <w:szCs w:val="21"/>
        </w:rPr>
        <w:t>(1)除合同另有约定外，本项目施工用电电源由中标人自行负责。</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 (2) 中标人应负责设计、施工、采购、安装、调试、管理和维修由招标人指定的地点至所有施工区和生活区的输电线路及其全部配电装置和功率补偿装置，并在工程实施期间，负责保管业主提供的变压器。</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 除合同另有规定外，中标人应按本合同《通用合同条款》的有关规定和监理人的指示，为进入现场的其他中标人提供用电方便。</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 中标人应为其出现停电事故后急需恢复用电的重要工程部位（如地下工程照明和排水、基</w:t>
      </w:r>
    </w:p>
    <w:p>
      <w:pPr>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坑抽水、补救中断的混凝土浇筑、混凝土温控冷却水、办公和生活区的安全照明等）配备一定容量的事故备用电源，为紧急供电之用。中标人应负责电网不能正常供电或备用电源出现故障所引起的损失。</w:t>
      </w:r>
    </w:p>
    <w:p>
      <w:pPr>
        <w:jc w:val="left"/>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2.5.2 施工用电计划</w:t>
      </w:r>
    </w:p>
    <w:p>
      <w:pPr>
        <w:ind w:firstLine="315" w:firstLineChars="15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中标人应在每年末、每季开始前</w:t>
      </w:r>
      <w:r>
        <w:rPr>
          <w:rFonts w:hint="eastAsia" w:ascii="仿宋" w:hAnsi="仿宋" w:eastAsia="仿宋" w:cs="仿宋"/>
          <w:color w:val="auto"/>
          <w:sz w:val="21"/>
          <w:szCs w:val="21"/>
          <w:u w:val="single"/>
        </w:rPr>
        <w:t>28</w:t>
      </w:r>
      <w:r>
        <w:rPr>
          <w:rFonts w:hint="eastAsia" w:ascii="仿宋" w:hAnsi="仿宋" w:eastAsia="仿宋" w:cs="仿宋"/>
          <w:color w:val="auto"/>
          <w:sz w:val="21"/>
          <w:szCs w:val="21"/>
        </w:rPr>
        <w:t>天向监理人提供下一年、各季度和各月的施工用电计划，并</w:t>
      </w:r>
    </w:p>
    <w:p>
      <w:pPr>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按监理人批准的用电计划执行。</w:t>
      </w:r>
    </w:p>
    <w:p>
      <w:pPr>
        <w:pStyle w:val="7"/>
        <w:snapToGrid w:val="0"/>
        <w:spacing w:line="360" w:lineRule="exact"/>
        <w:rPr>
          <w:rStyle w:val="52"/>
          <w:rFonts w:hint="eastAsia" w:ascii="仿宋" w:hAnsi="仿宋" w:eastAsia="仿宋" w:cs="仿宋"/>
          <w:b/>
          <w:color w:val="auto"/>
          <w:sz w:val="21"/>
          <w:szCs w:val="21"/>
        </w:rPr>
      </w:pPr>
      <w:bookmarkStart w:id="702" w:name="_Toc336325331"/>
      <w:bookmarkStart w:id="703" w:name="_Toc23473"/>
      <w:bookmarkStart w:id="704" w:name="_Toc341965016"/>
      <w:bookmarkStart w:id="705" w:name="_Toc339482499"/>
      <w:bookmarkStart w:id="706" w:name="_Toc339224633"/>
      <w:bookmarkStart w:id="707" w:name="_Toc339983405"/>
      <w:bookmarkStart w:id="708" w:name="_Toc19105"/>
      <w:bookmarkStart w:id="709" w:name="_Toc336255218"/>
      <w:r>
        <w:rPr>
          <w:rStyle w:val="52"/>
          <w:rFonts w:hint="eastAsia" w:ascii="仿宋" w:hAnsi="仿宋" w:eastAsia="仿宋" w:cs="仿宋"/>
          <w:b/>
          <w:color w:val="auto"/>
          <w:sz w:val="21"/>
          <w:szCs w:val="21"/>
        </w:rPr>
        <w:t>2.6 施工供水</w:t>
      </w:r>
      <w:bookmarkEnd w:id="702"/>
      <w:bookmarkEnd w:id="703"/>
      <w:bookmarkEnd w:id="704"/>
      <w:bookmarkEnd w:id="705"/>
      <w:bookmarkEnd w:id="706"/>
      <w:bookmarkEnd w:id="707"/>
      <w:bookmarkEnd w:id="708"/>
      <w:bookmarkEnd w:id="709"/>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snapToGrid w:val="0"/>
          <w:color w:val="auto"/>
          <w:sz w:val="21"/>
          <w:szCs w:val="21"/>
        </w:rPr>
        <w:t>(1) 除合同另有规定外，中标人应负责提供本工程施工和生活用水，</w:t>
      </w:r>
      <w:r>
        <w:rPr>
          <w:rFonts w:hint="eastAsia" w:ascii="仿宋" w:hAnsi="仿宋" w:eastAsia="仿宋" w:cs="仿宋"/>
          <w:color w:val="auto"/>
          <w:sz w:val="21"/>
          <w:szCs w:val="21"/>
        </w:rPr>
        <w:t>水质应符合GB 5749-2006有关的规定。</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（2）中标人应按合同规定负责设计、施工、采购、安装、管理和维修施工区和生活区的供水系统，包括修建为保证正常供水的引水、储水、水处理和抽排水设施等。</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中标人应负责向招标人和监理人提供现场办公和生活用水，包括引向招标人和监理人办公地点和生活区的引水、储水和水处理设施及其设备、设施的施工、安装和日常维修等工作。上述供水设施建设和日常供水费用包括在供水项目的总价内，招标人不再另行支付。</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（4）除合同另有规定外，中标人应按本合同《通用合同条款》的有关规定和监理人的指示，为进入现场的其它中标人提供施工和生活用水方便，具体提供措施和收费办法由双方协商确定。</w:t>
      </w:r>
    </w:p>
    <w:p>
      <w:pPr>
        <w:pStyle w:val="7"/>
        <w:snapToGrid w:val="0"/>
        <w:spacing w:line="360" w:lineRule="exact"/>
        <w:rPr>
          <w:rStyle w:val="52"/>
          <w:rFonts w:hint="eastAsia" w:ascii="仿宋" w:hAnsi="仿宋" w:eastAsia="仿宋" w:cs="仿宋"/>
          <w:b/>
          <w:color w:val="auto"/>
          <w:sz w:val="21"/>
          <w:szCs w:val="21"/>
        </w:rPr>
      </w:pPr>
      <w:bookmarkStart w:id="710" w:name="_Toc336255219"/>
      <w:bookmarkStart w:id="711" w:name="_Toc339482500"/>
      <w:bookmarkStart w:id="712" w:name="_Toc339224634"/>
      <w:bookmarkStart w:id="713" w:name="_Toc339983406"/>
      <w:bookmarkStart w:id="714" w:name="_Toc13463"/>
      <w:bookmarkStart w:id="715" w:name="_Toc336325332"/>
      <w:bookmarkStart w:id="716" w:name="_Toc341965017"/>
      <w:bookmarkStart w:id="717" w:name="_Toc4122"/>
      <w:r>
        <w:rPr>
          <w:rStyle w:val="52"/>
          <w:rFonts w:hint="eastAsia" w:ascii="仿宋" w:hAnsi="仿宋" w:eastAsia="仿宋" w:cs="仿宋"/>
          <w:b/>
          <w:color w:val="auto"/>
          <w:sz w:val="21"/>
          <w:szCs w:val="21"/>
        </w:rPr>
        <w:t>2.7 施工供风</w:t>
      </w:r>
      <w:bookmarkEnd w:id="710"/>
      <w:bookmarkEnd w:id="711"/>
      <w:bookmarkEnd w:id="712"/>
      <w:bookmarkEnd w:id="713"/>
      <w:bookmarkEnd w:id="714"/>
      <w:bookmarkEnd w:id="715"/>
      <w:bookmarkEnd w:id="716"/>
      <w:bookmarkEnd w:id="717"/>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中标人应负责提供本合同工程所需的施工供风，包括负责施工供风系统的设计、建造、运行管理和维护。</w:t>
      </w:r>
    </w:p>
    <w:p>
      <w:pPr>
        <w:pStyle w:val="7"/>
        <w:snapToGrid w:val="0"/>
        <w:spacing w:line="360" w:lineRule="exact"/>
        <w:rPr>
          <w:rStyle w:val="52"/>
          <w:rFonts w:hint="eastAsia" w:ascii="仿宋" w:hAnsi="仿宋" w:eastAsia="仿宋" w:cs="仿宋"/>
          <w:b/>
          <w:color w:val="auto"/>
          <w:sz w:val="21"/>
          <w:szCs w:val="21"/>
        </w:rPr>
      </w:pPr>
      <w:bookmarkStart w:id="718" w:name="_Toc341965018"/>
      <w:bookmarkStart w:id="719" w:name="_Toc336325333"/>
      <w:bookmarkStart w:id="720" w:name="_Toc339224635"/>
      <w:bookmarkStart w:id="721" w:name="_Toc339482501"/>
      <w:bookmarkStart w:id="722" w:name="_Toc336255220"/>
      <w:bookmarkStart w:id="723" w:name="_Toc339983407"/>
      <w:bookmarkStart w:id="724" w:name="_Toc5508"/>
      <w:bookmarkStart w:id="725" w:name="_Toc24499"/>
      <w:r>
        <w:rPr>
          <w:rStyle w:val="52"/>
          <w:rFonts w:hint="eastAsia" w:ascii="仿宋" w:hAnsi="仿宋" w:eastAsia="仿宋" w:cs="仿宋"/>
          <w:b/>
          <w:color w:val="auto"/>
          <w:sz w:val="21"/>
          <w:szCs w:val="21"/>
        </w:rPr>
        <w:t>2.8 施工照明</w:t>
      </w:r>
      <w:bookmarkEnd w:id="718"/>
      <w:bookmarkEnd w:id="719"/>
      <w:bookmarkEnd w:id="720"/>
      <w:bookmarkEnd w:id="721"/>
      <w:bookmarkEnd w:id="722"/>
      <w:bookmarkEnd w:id="723"/>
      <w:bookmarkEnd w:id="724"/>
      <w:bookmarkEnd w:id="725"/>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（1）中标人应负责设计、施工、采购、安装、管理和维修其工程所有施工作业区、办公区和生活区以及相关的道路、桥涵在内的施工区照明线路和照明设施。</w:t>
      </w:r>
      <w:r>
        <w:rPr>
          <w:rFonts w:hint="eastAsia" w:ascii="仿宋" w:hAnsi="仿宋" w:eastAsia="仿宋" w:cs="仿宋"/>
          <w:snapToGrid w:val="0"/>
          <w:color w:val="auto"/>
          <w:sz w:val="21"/>
          <w:szCs w:val="21"/>
        </w:rPr>
        <w:t>各区的最低照明度应符合3.2.5款的规定。</w:t>
      </w:r>
    </w:p>
    <w:p>
      <w:pPr>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（2）中标人应按本合同《通用合同条款》的有关规定和监理人的指示，为进入现场工作的其他承</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包人架设施工和生活区的室外照明线路提供方便。</w:t>
      </w:r>
    </w:p>
    <w:p>
      <w:pPr>
        <w:pStyle w:val="7"/>
        <w:snapToGrid w:val="0"/>
        <w:spacing w:line="360" w:lineRule="exact"/>
        <w:rPr>
          <w:rStyle w:val="52"/>
          <w:rFonts w:hint="eastAsia" w:ascii="仿宋" w:hAnsi="仿宋" w:eastAsia="仿宋" w:cs="仿宋"/>
          <w:b/>
          <w:color w:val="auto"/>
          <w:sz w:val="21"/>
          <w:szCs w:val="21"/>
        </w:rPr>
      </w:pPr>
      <w:bookmarkStart w:id="726" w:name="_Toc339224636"/>
      <w:bookmarkStart w:id="727" w:name="_Toc341965019"/>
      <w:bookmarkStart w:id="728" w:name="_Toc336325334"/>
      <w:bookmarkStart w:id="729" w:name="_Toc339983408"/>
      <w:bookmarkStart w:id="730" w:name="_Toc1605"/>
      <w:bookmarkStart w:id="731" w:name="_Toc7700"/>
      <w:bookmarkStart w:id="732" w:name="_Toc339482502"/>
      <w:bookmarkStart w:id="733" w:name="_Toc336255221"/>
      <w:r>
        <w:rPr>
          <w:rStyle w:val="52"/>
          <w:rFonts w:hint="eastAsia" w:ascii="仿宋" w:hAnsi="仿宋" w:eastAsia="仿宋" w:cs="仿宋"/>
          <w:b/>
          <w:color w:val="auto"/>
          <w:sz w:val="21"/>
          <w:szCs w:val="21"/>
        </w:rPr>
        <w:t>2.9 施工通信</w:t>
      </w:r>
      <w:bookmarkEnd w:id="726"/>
      <w:bookmarkEnd w:id="727"/>
      <w:bookmarkEnd w:id="728"/>
      <w:bookmarkEnd w:id="729"/>
      <w:bookmarkEnd w:id="730"/>
      <w:bookmarkEnd w:id="731"/>
      <w:bookmarkEnd w:id="732"/>
      <w:bookmarkEnd w:id="733"/>
    </w:p>
    <w:p>
      <w:pPr>
        <w:snapToGrid w:val="0"/>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 除合同另有规定外，中标人应在工程开工前与当地电讯部门协商解决通向施工现场的通讯线路和现场的电讯服务设施，并由中标人与电讯部门签订协议。</w:t>
      </w:r>
    </w:p>
    <w:p>
      <w:pPr>
        <w:snapToGrid w:val="0"/>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 中标人应负责设计、施工、采购、安装、管理和维修施工现场的内部通讯服务设施。招标人和监理人有权使用中标人的内部通讯设施。其他中标人需要使用内部通讯设施时，应按本合同《通用合同条款》的有关规定办理。</w:t>
      </w:r>
    </w:p>
    <w:p>
      <w:pPr>
        <w:pStyle w:val="7"/>
        <w:snapToGrid w:val="0"/>
        <w:spacing w:line="360" w:lineRule="exact"/>
        <w:rPr>
          <w:rStyle w:val="52"/>
          <w:rFonts w:hint="eastAsia" w:ascii="仿宋" w:hAnsi="仿宋" w:eastAsia="仿宋" w:cs="仿宋"/>
          <w:b/>
          <w:color w:val="auto"/>
          <w:sz w:val="21"/>
          <w:szCs w:val="21"/>
        </w:rPr>
      </w:pPr>
      <w:bookmarkStart w:id="734" w:name="_Toc13876"/>
      <w:bookmarkStart w:id="735" w:name="_Toc339224638"/>
      <w:bookmarkStart w:id="736" w:name="_Toc336325336"/>
      <w:bookmarkStart w:id="737" w:name="_Toc339983410"/>
      <w:bookmarkStart w:id="738" w:name="_Toc29640"/>
      <w:bookmarkStart w:id="739" w:name="_Toc339482504"/>
      <w:bookmarkStart w:id="740" w:name="_Toc336255223"/>
      <w:bookmarkStart w:id="741" w:name="_Toc341965020"/>
      <w:r>
        <w:rPr>
          <w:rStyle w:val="52"/>
          <w:rFonts w:hint="eastAsia" w:ascii="仿宋" w:hAnsi="仿宋" w:eastAsia="仿宋" w:cs="仿宋"/>
          <w:b/>
          <w:color w:val="auto"/>
          <w:sz w:val="21"/>
          <w:szCs w:val="21"/>
        </w:rPr>
        <w:t>2.10 混凝土生产系统</w:t>
      </w:r>
      <w:bookmarkEnd w:id="734"/>
      <w:bookmarkEnd w:id="735"/>
      <w:bookmarkEnd w:id="736"/>
      <w:bookmarkEnd w:id="737"/>
      <w:bookmarkEnd w:id="738"/>
      <w:bookmarkEnd w:id="739"/>
      <w:bookmarkEnd w:id="740"/>
      <w:bookmarkEnd w:id="741"/>
    </w:p>
    <w:p>
      <w:pPr>
        <w:snapToGrid w:val="0"/>
        <w:spacing w:line="360" w:lineRule="exact"/>
        <w:ind w:firstLine="420" w:firstLineChars="200"/>
        <w:rPr>
          <w:rFonts w:hint="eastAsia" w:ascii="仿宋" w:hAnsi="仿宋" w:eastAsia="仿宋" w:cs="仿宋"/>
          <w:snapToGrid w:val="0"/>
          <w:color w:val="auto"/>
          <w:sz w:val="21"/>
          <w:szCs w:val="21"/>
        </w:rPr>
      </w:pPr>
      <w:bookmarkStart w:id="742" w:name="_Toc341965021"/>
      <w:bookmarkStart w:id="743" w:name="_Toc339482505"/>
      <w:bookmarkStart w:id="744" w:name="_Toc339224639"/>
      <w:bookmarkStart w:id="745" w:name="_Toc339983411"/>
      <w:bookmarkStart w:id="746" w:name="_Toc336325337"/>
      <w:bookmarkStart w:id="747" w:name="_Toc336255224"/>
      <w:r>
        <w:rPr>
          <w:rFonts w:hint="eastAsia" w:ascii="仿宋" w:hAnsi="仿宋" w:eastAsia="仿宋" w:cs="仿宋"/>
          <w:snapToGrid w:val="0"/>
          <w:color w:val="auto"/>
          <w:sz w:val="21"/>
          <w:szCs w:val="21"/>
        </w:rPr>
        <w:t>（1）由中标人自建混凝土生产系统，中标人应按批准的施工总布置规划，进行混凝土生产系统（包括混凝土骨料储存系统）的设计和施工（包括场地的开挖、回填与平整）、混凝土浇注设备和设施的采购、安装、调试、运行管理和维修，以及混凝土骨料储存和混凝土的拌和、运输等。中标人的混凝土生产系统还应做好场地排水和弃渣处理，以及防止污染环境等措施。</w:t>
      </w:r>
    </w:p>
    <w:p>
      <w:pPr>
        <w:snapToGrid w:val="0"/>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（2）中标人应按施工图纸和本合同技术条款规定的温控要求，负责混凝土制冷（热）系统的设计和施工，并负责制冷（热）设备的采购、安装、调试、运行管理和维修等。</w:t>
      </w:r>
    </w:p>
    <w:p>
      <w:pPr>
        <w:pStyle w:val="7"/>
        <w:snapToGrid w:val="0"/>
        <w:spacing w:line="360" w:lineRule="exact"/>
        <w:rPr>
          <w:rStyle w:val="52"/>
          <w:rFonts w:hint="eastAsia" w:ascii="仿宋" w:hAnsi="仿宋" w:eastAsia="仿宋" w:cs="仿宋"/>
          <w:b/>
          <w:color w:val="auto"/>
          <w:sz w:val="21"/>
          <w:szCs w:val="21"/>
        </w:rPr>
      </w:pPr>
      <w:bookmarkStart w:id="748" w:name="_Toc20547"/>
      <w:bookmarkStart w:id="749" w:name="_Toc4185"/>
      <w:r>
        <w:rPr>
          <w:rStyle w:val="52"/>
          <w:rFonts w:hint="eastAsia" w:ascii="仿宋" w:hAnsi="仿宋" w:eastAsia="仿宋" w:cs="仿宋"/>
          <w:b/>
          <w:color w:val="auto"/>
          <w:sz w:val="21"/>
          <w:szCs w:val="21"/>
        </w:rPr>
        <w:t>2.11 临时工厂设施</w:t>
      </w:r>
      <w:bookmarkEnd w:id="742"/>
      <w:bookmarkEnd w:id="743"/>
      <w:bookmarkEnd w:id="744"/>
      <w:bookmarkEnd w:id="745"/>
      <w:bookmarkEnd w:id="746"/>
      <w:bookmarkEnd w:id="747"/>
      <w:bookmarkEnd w:id="748"/>
      <w:bookmarkEnd w:id="749"/>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中标人应按批准的施工总进度和施工图纸的要求，修建以下临时工厂设施，并各工厂设施施工前，将临时工厂设施的设计文件提交监理人批准。</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（1）钢筋加工厂；</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（2）木材加工厂；</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（3）混凝土构件预制厂</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（4）机械修配工厂；</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（5）汽车保养站；</w:t>
      </w:r>
    </w:p>
    <w:p>
      <w:pPr>
        <w:pStyle w:val="7"/>
        <w:snapToGrid w:val="0"/>
        <w:spacing w:line="360" w:lineRule="exact"/>
        <w:rPr>
          <w:rStyle w:val="52"/>
          <w:rFonts w:hint="eastAsia" w:ascii="仿宋" w:hAnsi="仿宋" w:eastAsia="仿宋" w:cs="仿宋"/>
          <w:b/>
          <w:color w:val="auto"/>
          <w:sz w:val="21"/>
          <w:szCs w:val="21"/>
        </w:rPr>
      </w:pPr>
      <w:bookmarkStart w:id="750" w:name="_Toc339983412"/>
      <w:bookmarkStart w:id="751" w:name="_Toc341965022"/>
      <w:bookmarkStart w:id="752" w:name="_Toc339224640"/>
      <w:bookmarkStart w:id="753" w:name="_Toc336255225"/>
      <w:bookmarkStart w:id="754" w:name="_Toc336325338"/>
      <w:bookmarkStart w:id="755" w:name="_Toc12558"/>
      <w:bookmarkStart w:id="756" w:name="_Toc339482506"/>
      <w:bookmarkStart w:id="757" w:name="_Toc13107"/>
      <w:r>
        <w:rPr>
          <w:rStyle w:val="52"/>
          <w:rFonts w:hint="eastAsia" w:ascii="仿宋" w:hAnsi="仿宋" w:eastAsia="仿宋" w:cs="仿宋"/>
          <w:b/>
          <w:color w:val="auto"/>
          <w:sz w:val="21"/>
          <w:szCs w:val="21"/>
        </w:rPr>
        <w:t>2.12 仓库和堆、存料场</w:t>
      </w:r>
      <w:bookmarkEnd w:id="750"/>
      <w:bookmarkEnd w:id="751"/>
      <w:bookmarkEnd w:id="752"/>
      <w:bookmarkEnd w:id="753"/>
      <w:bookmarkEnd w:id="754"/>
      <w:bookmarkEnd w:id="755"/>
      <w:bookmarkEnd w:id="756"/>
      <w:bookmarkEnd w:id="757"/>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（1）中标人应按批准的施工组织设计和合同进度计划的要求，修建本工程的仓库和堆、存料场，并在开始施工前，将仓库和堆、存料场的设计图纸与文件提交监理人批准。</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（2）中标人应负责本合同工程所需的各项材料和设备仓库的设计、修建、管理和维护。</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（3）除合同另有约定外，储存炸药、雷管和油料等特殊材料仓库应按监理人批准的地点进行布置和修建，并应严格遵守国家有关安全管理的规定。</w:t>
      </w:r>
    </w:p>
    <w:p>
      <w:pPr>
        <w:pStyle w:val="7"/>
        <w:snapToGrid w:val="0"/>
        <w:spacing w:line="360" w:lineRule="exact"/>
        <w:rPr>
          <w:rStyle w:val="52"/>
          <w:rFonts w:hint="eastAsia" w:ascii="仿宋" w:hAnsi="仿宋" w:eastAsia="仿宋" w:cs="仿宋"/>
          <w:b/>
          <w:color w:val="auto"/>
          <w:sz w:val="21"/>
          <w:szCs w:val="21"/>
        </w:rPr>
      </w:pPr>
      <w:bookmarkStart w:id="758" w:name="_Toc11006"/>
      <w:bookmarkStart w:id="759" w:name="_Toc336255226"/>
      <w:bookmarkStart w:id="760" w:name="_Toc15717"/>
      <w:bookmarkStart w:id="761" w:name="_Toc339983413"/>
      <w:bookmarkStart w:id="762" w:name="_Toc339224641"/>
      <w:bookmarkStart w:id="763" w:name="_Toc339482507"/>
      <w:bookmarkStart w:id="764" w:name="_Toc336325339"/>
      <w:bookmarkStart w:id="765" w:name="_Toc341965023"/>
      <w:r>
        <w:rPr>
          <w:rStyle w:val="52"/>
          <w:rFonts w:hint="eastAsia" w:ascii="仿宋" w:hAnsi="仿宋" w:eastAsia="仿宋" w:cs="仿宋"/>
          <w:b/>
          <w:color w:val="auto"/>
          <w:sz w:val="21"/>
          <w:szCs w:val="21"/>
        </w:rPr>
        <w:t>2.13 弃渣场</w:t>
      </w:r>
      <w:bookmarkEnd w:id="758"/>
      <w:bookmarkEnd w:id="759"/>
      <w:bookmarkEnd w:id="760"/>
      <w:bookmarkEnd w:id="761"/>
      <w:bookmarkEnd w:id="762"/>
      <w:bookmarkEnd w:id="763"/>
      <w:bookmarkEnd w:id="764"/>
      <w:bookmarkEnd w:id="765"/>
    </w:p>
    <w:p>
      <w:pPr>
        <w:snapToGrid w:val="0"/>
        <w:spacing w:line="360" w:lineRule="exact"/>
        <w:ind w:firstLine="420" w:firstLineChars="200"/>
        <w:rPr>
          <w:rFonts w:hint="eastAsia" w:ascii="仿宋" w:hAnsi="仿宋" w:eastAsia="仿宋" w:cs="仿宋"/>
          <w:snapToGrid w:val="0"/>
          <w:color w:val="auto"/>
          <w:sz w:val="21"/>
          <w:szCs w:val="21"/>
        </w:rPr>
      </w:pPr>
      <w:bookmarkStart w:id="766" w:name="_Toc336325340"/>
      <w:bookmarkStart w:id="767" w:name="_Toc339224642"/>
      <w:bookmarkStart w:id="768" w:name="_Toc339482508"/>
      <w:bookmarkStart w:id="769" w:name="_Toc341965024"/>
      <w:bookmarkStart w:id="770" w:name="_Toc339983414"/>
      <w:bookmarkStart w:id="771" w:name="_Toc336255227"/>
      <w:r>
        <w:rPr>
          <w:rFonts w:hint="eastAsia" w:ascii="仿宋" w:hAnsi="仿宋" w:eastAsia="仿宋" w:cs="仿宋"/>
          <w:snapToGrid w:val="0"/>
          <w:color w:val="auto"/>
          <w:sz w:val="21"/>
          <w:szCs w:val="21"/>
        </w:rPr>
        <w:t>中标人应按监理人批准的环境保护措施计划，在弃渣场周围及场地内设置防洪和排水设施，防</w:t>
      </w:r>
    </w:p>
    <w:p>
      <w:pPr>
        <w:snapToGrid w:val="0"/>
        <w:spacing w:line="360" w:lineRule="exact"/>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止冲刷弃渣，造成水土流失。</w:t>
      </w:r>
    </w:p>
    <w:p>
      <w:pPr>
        <w:snapToGrid w:val="0"/>
        <w:spacing w:line="360" w:lineRule="exact"/>
        <w:rPr>
          <w:rStyle w:val="52"/>
          <w:rFonts w:hint="eastAsia" w:ascii="仿宋" w:hAnsi="仿宋" w:eastAsia="仿宋" w:cs="仿宋"/>
          <w:color w:val="auto"/>
          <w:sz w:val="21"/>
          <w:szCs w:val="21"/>
        </w:rPr>
      </w:pPr>
      <w:bookmarkStart w:id="772" w:name="_Toc6125"/>
      <w:bookmarkStart w:id="773" w:name="_Toc1530"/>
      <w:r>
        <w:rPr>
          <w:rStyle w:val="52"/>
          <w:rFonts w:hint="eastAsia" w:ascii="仿宋" w:hAnsi="仿宋" w:eastAsia="仿宋" w:cs="仿宋"/>
          <w:color w:val="auto"/>
          <w:sz w:val="21"/>
          <w:szCs w:val="21"/>
        </w:rPr>
        <w:t>2.14 临时生产管理和生活设施</w:t>
      </w:r>
      <w:bookmarkEnd w:id="766"/>
      <w:bookmarkEnd w:id="767"/>
      <w:bookmarkEnd w:id="768"/>
      <w:bookmarkEnd w:id="769"/>
      <w:bookmarkEnd w:id="770"/>
      <w:bookmarkEnd w:id="771"/>
    </w:p>
    <w:bookmarkEnd w:id="772"/>
    <w:bookmarkEnd w:id="773"/>
    <w:p>
      <w:pPr>
        <w:ind w:firstLine="210" w:firstLineChars="100"/>
        <w:jc w:val="left"/>
        <w:textAlignment w:val="auto"/>
        <w:rPr>
          <w:rFonts w:hint="eastAsia" w:ascii="仿宋" w:hAnsi="仿宋" w:eastAsia="仿宋" w:cs="仿宋"/>
          <w:color w:val="auto"/>
          <w:sz w:val="21"/>
          <w:szCs w:val="21"/>
        </w:rPr>
      </w:pPr>
      <w:bookmarkStart w:id="774" w:name="_Toc339224643"/>
      <w:bookmarkStart w:id="775" w:name="_Toc339482509"/>
      <w:bookmarkStart w:id="776" w:name="_Toc336325341"/>
      <w:bookmarkStart w:id="777" w:name="_Toc339983415"/>
      <w:bookmarkStart w:id="778" w:name="_Toc341965025"/>
      <w:bookmarkStart w:id="779" w:name="_Toc336255228"/>
      <w:r>
        <w:rPr>
          <w:rFonts w:hint="eastAsia" w:ascii="仿宋" w:hAnsi="仿宋" w:eastAsia="仿宋" w:cs="仿宋"/>
          <w:color w:val="auto"/>
          <w:sz w:val="21"/>
          <w:szCs w:val="21"/>
        </w:rPr>
        <w:t>（1）除合同另有约定外，中标人应负责其施工需要的全部临时生产管理与生活设施的设计、建</w:t>
      </w:r>
    </w:p>
    <w:p>
      <w:pPr>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造及其设备的采购、安装、管理和维护等。</w:t>
      </w:r>
    </w:p>
    <w:p>
      <w:pPr>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（2）中标人应在收到开工通知后的21天内，按招标人批准的施工规划总布置，向监理人编制一</w:t>
      </w:r>
    </w:p>
    <w:p>
      <w:pPr>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份临时生产管理和生活设施的布置和房屋建筑物设计的图纸和文件提交监理人批准。中标人应按施</w:t>
      </w:r>
    </w:p>
    <w:p>
      <w:pPr>
        <w:pStyle w:val="17"/>
        <w:ind w:firstLine="0"/>
        <w:rPr>
          <w:rStyle w:val="52"/>
          <w:rFonts w:hint="eastAsia" w:ascii="仿宋" w:hAnsi="仿宋" w:eastAsia="仿宋" w:cs="仿宋"/>
          <w:color w:val="auto"/>
          <w:sz w:val="21"/>
          <w:szCs w:val="21"/>
        </w:rPr>
      </w:pPr>
      <w:r>
        <w:rPr>
          <w:rFonts w:hint="eastAsia" w:ascii="仿宋" w:hAnsi="仿宋" w:eastAsia="仿宋" w:cs="仿宋"/>
          <w:color w:val="auto"/>
          <w:sz w:val="21"/>
          <w:szCs w:val="21"/>
        </w:rPr>
        <w:t>工图纸和监理人的指示，负责上述临时房屋和公用设施的设备和设施的采购、安装、管理和维护等。</w:t>
      </w:r>
      <w:r>
        <w:rPr>
          <w:rStyle w:val="52"/>
          <w:rFonts w:hint="eastAsia" w:ascii="仿宋" w:hAnsi="仿宋" w:eastAsia="仿宋" w:cs="仿宋"/>
          <w:color w:val="auto"/>
          <w:sz w:val="21"/>
          <w:szCs w:val="21"/>
        </w:rPr>
        <w:t>2.15 计量和支付</w:t>
      </w:r>
      <w:bookmarkEnd w:id="774"/>
      <w:bookmarkEnd w:id="775"/>
      <w:bookmarkEnd w:id="776"/>
      <w:bookmarkEnd w:id="777"/>
      <w:bookmarkEnd w:id="778"/>
      <w:bookmarkEnd w:id="779"/>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2.15.1 现场施工测量</w:t>
      </w:r>
    </w:p>
    <w:p>
      <w:pPr>
        <w:snapToGrid w:val="0"/>
        <w:spacing w:line="360" w:lineRule="exact"/>
        <w:ind w:firstLine="404" w:firstLineChars="200"/>
        <w:rPr>
          <w:rFonts w:hint="eastAsia" w:ascii="仿宋" w:hAnsi="仿宋" w:eastAsia="仿宋" w:cs="仿宋"/>
          <w:color w:val="auto"/>
          <w:spacing w:val="-4"/>
          <w:sz w:val="21"/>
          <w:szCs w:val="21"/>
        </w:rPr>
      </w:pPr>
      <w:r>
        <w:rPr>
          <w:rFonts w:hint="eastAsia" w:ascii="仿宋" w:hAnsi="仿宋" w:eastAsia="仿宋" w:cs="仿宋"/>
          <w:color w:val="auto"/>
          <w:spacing w:val="-4"/>
          <w:sz w:val="21"/>
          <w:szCs w:val="21"/>
        </w:rPr>
        <w:t>现场施工测量（包括根据合同约定由中标人测设的施工控制网、工程施工阶段的全部施工测量放样工作等）所需费用，包含在《工程量清单》所列各项目的工程单价或总价中，招标人不另行支付。</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2.15.2 现场试验</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（1）现场室内试验：除合同另有约定外，中标人现场试验室的建设费用，均包含在《工程量清单》项目的工程单价中，招标人不另行支付。</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（2）现场工艺试验：除合同另有约定外，现场工艺试验所需费用，均包含在《工程量清单》项目的工程单价中，招标人不另行支付。</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现场生产性试验：除合同约定的大型现场生产性试验项目由招标人按《工程量清单》所列项目的总价支付外，其它各项生产性试验费用均包含在《工程量清单》相应项目的工程单价或总价中，招标人不另行支付。</w:t>
      </w:r>
    </w:p>
    <w:p>
      <w:pPr>
        <w:snapToGrid w:val="0"/>
        <w:spacing w:line="360" w:lineRule="exact"/>
        <w:ind w:firstLine="480" w:firstLineChars="200"/>
        <w:rPr>
          <w:rFonts w:hint="eastAsia" w:ascii="仿宋" w:hAnsi="仿宋" w:eastAsia="仿宋" w:cs="仿宋"/>
          <w:color w:val="auto"/>
          <w:sz w:val="21"/>
          <w:szCs w:val="21"/>
        </w:rPr>
      </w:pPr>
      <w:r>
        <w:rPr>
          <w:rFonts w:hint="eastAsia" w:ascii="仿宋" w:hAnsi="仿宋" w:eastAsia="仿宋" w:cs="仿宋"/>
          <w:b/>
          <w:bCs/>
          <w:snapToGrid w:val="0"/>
          <w:color w:val="auto"/>
        </w:rPr>
        <w:t>2.15.3 施工交通设施</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（1）除合同另有约定外，中标人根据合同要求完成场内施工道路的建设和施工期的管理维护工作所需的费用，由招标人按《工程量清单》相应项目的工程总价支付。</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（2）场外公共交通的费用，除合同约定由中标人为场外公共交通修建和（或）维护的临时设施外，中标人在施工场地外的一切交通费用，均由中标人自行承担，招标人不另行支付。</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（3）中标人承担的超大、超重件的运输费用，均由中标人自行负责，招标人不另行支付。超大、超重件的尺寸或重量超出合同约定的限度时，增加的费用由招标人承担。</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2.15.4 施工及生活供电设施</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除合同另有约定外，中标人根据合同要求完成施工用电设施的建设、移设和拆除工作所需的费用，由招标人按《工程量清单》相应项目的工程单价或总价支付。</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2.15.5 施工及生活供水设施</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除合同另有约定外，中标人根据合同要求完成施工及生活供水设施的建设、移设和拆除工作所需的费用，由招标人按《工程量清单》相应项目的工程单价或总价支付。</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2.15.6 施工供风设施</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除合同另有约定外，中标人根据合同要求完成施工供风设施的建设、移设和拆除工作所需的费用，由招标人按《工程量清单》相应项目的工程单价或总价支付。</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2.15.7 施工照明设施</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除合同另有约定外，中标人根据合同要求完成施工照明设施的建设、移置、维护管理和拆除工作所需的费用，由招标人按《工程量清单》相应项目的工程单价或总价中支付。</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2.15.8 施工通信</w:t>
      </w:r>
    </w:p>
    <w:p>
      <w:pPr>
        <w:snapToGrid w:val="0"/>
        <w:spacing w:line="360" w:lineRule="exact"/>
        <w:ind w:firstLine="404" w:firstLineChars="200"/>
        <w:rPr>
          <w:rFonts w:hint="eastAsia" w:ascii="仿宋" w:hAnsi="仿宋" w:eastAsia="仿宋" w:cs="仿宋"/>
          <w:color w:val="auto"/>
          <w:spacing w:val="-4"/>
          <w:sz w:val="21"/>
          <w:szCs w:val="21"/>
        </w:rPr>
      </w:pPr>
      <w:r>
        <w:rPr>
          <w:rFonts w:hint="eastAsia" w:ascii="仿宋" w:hAnsi="仿宋" w:eastAsia="仿宋" w:cs="仿宋"/>
          <w:color w:val="auto"/>
          <w:spacing w:val="-4"/>
          <w:sz w:val="21"/>
          <w:szCs w:val="21"/>
        </w:rPr>
        <w:t>除合同另有约定外，中标人根据合同要求完成现场施工通信和邮政设施的建设、移设、维护管理和拆除工作所需的费用，</w:t>
      </w:r>
      <w:r>
        <w:rPr>
          <w:rFonts w:hint="eastAsia" w:ascii="仿宋" w:hAnsi="仿宋" w:eastAsia="仿宋" w:cs="仿宋"/>
          <w:color w:val="auto"/>
          <w:sz w:val="21"/>
          <w:szCs w:val="21"/>
        </w:rPr>
        <w:t>由招标人按</w:t>
      </w:r>
      <w:r>
        <w:rPr>
          <w:rFonts w:hint="eastAsia" w:ascii="仿宋" w:hAnsi="仿宋" w:eastAsia="仿宋" w:cs="仿宋"/>
          <w:color w:val="auto"/>
          <w:spacing w:val="-4"/>
          <w:sz w:val="21"/>
          <w:szCs w:val="21"/>
        </w:rPr>
        <w:t>《工程量清单》相应项目的工程单价或总价支付。</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2.15.9 混凝土生产系统</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除合同另有约定外，中标人根据合同要求完成混凝土生产系统的建设和拆除工作所需的费用，由招标人按《工程量清单》相应项目的工程单价或总价支付。</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2.15.10 附属加工厂</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除合同另有约定外，中标人根据合同要求完成附属加工厂的建设、维护管理和拆除工作所需的费用，由招标人按《工程量清单》相应项目的工程单价或总价支付。</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2.15.11 仓库和存料场</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除合同另有约定外，中标人根据合同要求完成仓库或存料场的建设、维护管理和拆除工作所需的费用，由招标人按《工程量清单》相应项目的工程单价或总价支付。</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2.15.12 弃渣场</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除合同另有约定外，中标人根据合同要求完成弃渣场的建设和维护管理等工作所需的费用，由招标人按《工程量清单》相应项目的工程单价或总价支付。</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2.15.13 临时生产管理和生活设施</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除合同另有约定外，中标人根据合同要求完成临时生产管理和生活设施的建设、移设、维护管理和拆除工作所需的费用，由招标人按《工程量清单》相应项目的工程单价或总价支付。</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2.15.14 其它临时设施</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未列人《工程量清单》的其它临时设施，中标人根据合同要求完成这些设施的建设、移置、维护管理和拆除工作所需的费用，包含在相应永久工程项目的工程单价或总价中，招标人不另行支付。</w:t>
      </w:r>
    </w:p>
    <w:bookmarkEnd w:id="669"/>
    <w:p>
      <w:pPr>
        <w:pStyle w:val="6"/>
        <w:spacing w:line="360" w:lineRule="auto"/>
        <w:rPr>
          <w:rFonts w:hint="eastAsia" w:ascii="仿宋" w:hAnsi="仿宋" w:eastAsia="仿宋" w:cs="仿宋"/>
          <w:color w:val="auto"/>
          <w:szCs w:val="30"/>
        </w:rPr>
      </w:pPr>
      <w:bookmarkStart w:id="780" w:name="_Toc336325342"/>
      <w:bookmarkStart w:id="781" w:name="_Toc311407728"/>
      <w:bookmarkStart w:id="782" w:name="_Toc282782374"/>
    </w:p>
    <w:bookmarkEnd w:id="780"/>
    <w:bookmarkEnd w:id="781"/>
    <w:bookmarkEnd w:id="782"/>
    <w:p>
      <w:pPr>
        <w:pStyle w:val="6"/>
        <w:spacing w:line="360" w:lineRule="exact"/>
        <w:jc w:val="center"/>
        <w:rPr>
          <w:rFonts w:hint="eastAsia" w:ascii="仿宋" w:hAnsi="仿宋" w:eastAsia="仿宋" w:cs="仿宋"/>
          <w:color w:val="auto"/>
          <w:sz w:val="21"/>
          <w:szCs w:val="21"/>
        </w:rPr>
      </w:pPr>
      <w:bookmarkStart w:id="783" w:name="_Toc348"/>
      <w:bookmarkStart w:id="784" w:name="_Toc32632"/>
      <w:bookmarkStart w:id="785" w:name="_Toc26844"/>
      <w:bookmarkStart w:id="786" w:name="_Toc336325346"/>
      <w:bookmarkStart w:id="787" w:name="_Toc282782376"/>
      <w:bookmarkStart w:id="788" w:name="_Toc311407729"/>
      <w:r>
        <w:rPr>
          <w:rFonts w:hint="eastAsia" w:ascii="仿宋" w:hAnsi="仿宋" w:eastAsia="仿宋" w:cs="仿宋"/>
          <w:color w:val="auto"/>
          <w:sz w:val="21"/>
          <w:szCs w:val="21"/>
        </w:rPr>
        <w:t>第3节施工安全措施</w:t>
      </w:r>
      <w:bookmarkEnd w:id="783"/>
      <w:bookmarkEnd w:id="784"/>
      <w:bookmarkEnd w:id="785"/>
    </w:p>
    <w:p>
      <w:pPr>
        <w:pStyle w:val="17"/>
        <w:ind w:firstLine="0"/>
        <w:rPr>
          <w:rStyle w:val="52"/>
          <w:rFonts w:hint="eastAsia" w:ascii="仿宋" w:hAnsi="仿宋" w:eastAsia="仿宋" w:cs="仿宋"/>
          <w:color w:val="auto"/>
          <w:sz w:val="21"/>
          <w:szCs w:val="21"/>
        </w:rPr>
      </w:pPr>
      <w:bookmarkStart w:id="789" w:name="_Toc30443"/>
      <w:bookmarkStart w:id="790" w:name="_Toc12261"/>
      <w:bookmarkStart w:id="791" w:name="_Toc23538"/>
      <w:r>
        <w:rPr>
          <w:rStyle w:val="52"/>
          <w:rFonts w:hint="eastAsia" w:ascii="仿宋" w:hAnsi="仿宋" w:eastAsia="仿宋" w:cs="仿宋"/>
          <w:color w:val="auto"/>
          <w:sz w:val="21"/>
          <w:szCs w:val="21"/>
        </w:rPr>
        <w:t>3.1一般规定</w:t>
      </w:r>
    </w:p>
    <w:bookmarkEnd w:id="789"/>
    <w:bookmarkEnd w:id="790"/>
    <w:bookmarkEnd w:id="791"/>
    <w:p>
      <w:pPr>
        <w:pStyle w:val="9"/>
        <w:numPr>
          <w:ilvl w:val="0"/>
          <w:numId w:val="0"/>
        </w:numPr>
        <w:adjustRightInd/>
        <w:snapToGrid/>
        <w:spacing w:before="0" w:beforeAutospacing="0" w:after="0" w:afterAutospacing="0" w:line="360" w:lineRule="exact"/>
        <w:rPr>
          <w:rFonts w:hint="eastAsia" w:ascii="仿宋" w:hAnsi="仿宋" w:eastAsia="仿宋" w:cs="仿宋"/>
          <w:b/>
          <w:color w:val="auto"/>
          <w:szCs w:val="21"/>
        </w:rPr>
      </w:pPr>
      <w:r>
        <w:rPr>
          <w:rFonts w:hint="eastAsia" w:ascii="仿宋" w:hAnsi="仿宋" w:eastAsia="仿宋" w:cs="仿宋"/>
          <w:b/>
          <w:color w:val="auto"/>
          <w:szCs w:val="21"/>
        </w:rPr>
        <w:t>3.1.1应用范围</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本章适用于水利工程施工现场的文明施工及施工安全管理工作等，包括创建文明工地，作业环境安全保护，施工安全监测、监控及施工安全的防控等。</w:t>
      </w:r>
    </w:p>
    <w:p>
      <w:pPr>
        <w:pStyle w:val="9"/>
        <w:numPr>
          <w:ilvl w:val="0"/>
          <w:numId w:val="0"/>
        </w:numPr>
        <w:adjustRightInd/>
        <w:snapToGrid/>
        <w:spacing w:before="0" w:beforeAutospacing="0" w:after="0" w:afterAutospacing="0" w:line="360" w:lineRule="exact"/>
        <w:rPr>
          <w:rFonts w:hint="eastAsia" w:ascii="仿宋" w:hAnsi="仿宋" w:eastAsia="仿宋" w:cs="仿宋"/>
          <w:b/>
          <w:color w:val="auto"/>
          <w:szCs w:val="21"/>
        </w:rPr>
      </w:pPr>
      <w:r>
        <w:rPr>
          <w:rFonts w:hint="eastAsia" w:ascii="仿宋" w:hAnsi="仿宋" w:eastAsia="仿宋" w:cs="仿宋"/>
          <w:b/>
          <w:color w:val="auto"/>
          <w:szCs w:val="21"/>
        </w:rPr>
        <w:t>3.1.2中标人责任</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（1）中标人应按本合同通用合同条款第9.2款的约定和《水利水电工程施工通用安全技本规程》（SL 398-2007）的规定履行其文明施工和安全施工职责，对本工程的文明施工和施工安全负责。</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中标人应坚持“安全第一，预防为主，综合治理”的方针，建立、健全安全生产责任制度，制定各项安全生产规章制度和操作规程，建立完善的施工安全生产设施，健全安全生产保证体系，加强监督管理，切实保障全体人员的生命和财产安全。</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（3）中标人应加强对职工进行施工安全教育，应按本章第3.2款规定的内容，编印安全保护手册发给全体职工。工人上岗前应进行安全操作的培训和考核。合格者才准上岗。</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（4）中标人必须遵守国家颁布的有关安全规程。若中标人责任区内发生重大安全事故时，中标人应立即报告招标人，并在事故发生后</w:t>
      </w:r>
      <w:r>
        <w:rPr>
          <w:rFonts w:hint="eastAsia" w:ascii="仿宋" w:hAnsi="仿宋" w:eastAsia="仿宋" w:cs="仿宋"/>
          <w:snapToGrid w:val="0"/>
          <w:color w:val="auto"/>
          <w:sz w:val="21"/>
          <w:szCs w:val="21"/>
          <w:u w:val="single"/>
        </w:rPr>
        <w:t xml:space="preserve"> 12～24</w:t>
      </w:r>
      <w:r>
        <w:rPr>
          <w:rFonts w:hint="eastAsia" w:ascii="仿宋" w:hAnsi="仿宋" w:eastAsia="仿宋" w:cs="仿宋"/>
          <w:snapToGrid w:val="0"/>
          <w:color w:val="auto"/>
          <w:sz w:val="21"/>
          <w:szCs w:val="21"/>
        </w:rPr>
        <w:t>小时内提交事故情况的书面报告。</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（5）中标人应为施工作业人员配置必需的劳动保护用品。中标人应对其施工安全措施不到位而发生的安全事故承担责任。</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（6）中标人应负责全部施工作业的安全检查，建立专门的安全检查机构，配备专职的安检人员，进行经常性的安全生产检查，并及时作好安全记录。</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（7）中标人应按相关规定积极创建文明施工标准化工地建设，文明施工。</w:t>
      </w:r>
    </w:p>
    <w:p>
      <w:pPr>
        <w:pStyle w:val="9"/>
        <w:numPr>
          <w:ilvl w:val="0"/>
          <w:numId w:val="0"/>
        </w:numPr>
        <w:adjustRightInd/>
        <w:snapToGrid/>
        <w:spacing w:before="0" w:beforeAutospacing="0" w:after="0" w:afterAutospacing="0" w:line="360" w:lineRule="exact"/>
        <w:rPr>
          <w:rFonts w:hint="eastAsia" w:ascii="仿宋" w:hAnsi="仿宋" w:eastAsia="仿宋" w:cs="仿宋"/>
          <w:b/>
          <w:color w:val="auto"/>
          <w:szCs w:val="21"/>
        </w:rPr>
      </w:pPr>
      <w:r>
        <w:rPr>
          <w:rFonts w:hint="eastAsia" w:ascii="仿宋" w:hAnsi="仿宋" w:eastAsia="仿宋" w:cs="仿宋"/>
          <w:b/>
          <w:color w:val="auto"/>
          <w:szCs w:val="21"/>
        </w:rPr>
        <w:t>3.1.3主要提交件</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（1）中标人应在本工程开工前 28 天，编制一份文明施工及创建标化工地措施计划，提交监理人批准。</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（2）中标人应在本工程开工前</w:t>
      </w:r>
      <w:r>
        <w:rPr>
          <w:rFonts w:hint="eastAsia" w:ascii="仿宋" w:hAnsi="仿宋" w:eastAsia="仿宋" w:cs="仿宋"/>
          <w:b/>
          <w:i/>
          <w:snapToGrid w:val="0"/>
          <w:color w:val="auto"/>
          <w:sz w:val="21"/>
          <w:szCs w:val="21"/>
          <w:u w:val="single"/>
        </w:rPr>
        <w:t xml:space="preserve"> 28 </w:t>
      </w:r>
      <w:r>
        <w:rPr>
          <w:rFonts w:hint="eastAsia" w:ascii="仿宋" w:hAnsi="仿宋" w:eastAsia="仿宋" w:cs="仿宋"/>
          <w:snapToGrid w:val="0"/>
          <w:color w:val="auto"/>
          <w:sz w:val="21"/>
          <w:szCs w:val="21"/>
        </w:rPr>
        <w:t>天，根据《中华人民共和国安全产法》《中华人民共和国消防法》《中华人民共和国道路交通安全法》《中华人民共和国传染病防治法》《水利工程建设安全生产管理规定》《浙江省水利工程施工安全生产工作导则》等国家行业和地方有关法规规章，以及本章第3.2.1项规定的内容和要求，编制一份施工安全措施计划，提交监理人批准。</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中标人应在每年、每季和每月的进度报告中，按本章规定的各项安全工作内容，详细说明本工程安全措施计划的实施情况，包括对重大危险源和事故隐患分析、评估、监控和整改，以及按规定的格式提交安全检查和事故处理记录。</w:t>
      </w:r>
    </w:p>
    <w:p>
      <w:pPr>
        <w:pStyle w:val="9"/>
        <w:numPr>
          <w:ilvl w:val="0"/>
          <w:numId w:val="0"/>
        </w:numPr>
        <w:adjustRightInd/>
        <w:snapToGrid/>
        <w:spacing w:before="0" w:beforeAutospacing="0" w:after="0" w:afterAutospacing="0" w:line="360" w:lineRule="exact"/>
        <w:rPr>
          <w:rFonts w:hint="eastAsia" w:ascii="仿宋" w:hAnsi="仿宋" w:eastAsia="仿宋" w:cs="仿宋"/>
          <w:b/>
          <w:color w:val="auto"/>
          <w:szCs w:val="21"/>
        </w:rPr>
      </w:pPr>
      <w:r>
        <w:rPr>
          <w:rFonts w:hint="eastAsia" w:ascii="仿宋" w:hAnsi="仿宋" w:eastAsia="仿宋" w:cs="仿宋"/>
          <w:b/>
          <w:color w:val="auto"/>
          <w:szCs w:val="21"/>
        </w:rPr>
        <w:t>3.1.4引用的法律法规规章</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（1）《水利工程建设安全生产管理规定》。</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（2）《安全技术措施计划的项目总名称表》。</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（3）《中华人民共和国道路交通安全法》。</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（4）《中华人民共和国安全生产法》。</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（5）《中华人民共和国消防法》。</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（6）《中华人民共和国传染病防治法实施办法》。</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（7）《中华人民共和国食品卫生法》。</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（8）《中华人民共和国劳动法》。</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（9）《浙江省安全生产条例》。</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（10）《浙江省水利工程施工安全生产工作导则》。</w:t>
      </w:r>
    </w:p>
    <w:p>
      <w:pPr>
        <w:pStyle w:val="9"/>
        <w:numPr>
          <w:ilvl w:val="0"/>
          <w:numId w:val="0"/>
        </w:numPr>
        <w:adjustRightInd/>
        <w:snapToGrid/>
        <w:spacing w:before="0" w:beforeAutospacing="0" w:after="0" w:afterAutospacing="0" w:line="360" w:lineRule="exact"/>
        <w:rPr>
          <w:rFonts w:hint="eastAsia" w:ascii="仿宋" w:hAnsi="仿宋" w:eastAsia="仿宋" w:cs="仿宋"/>
          <w:b/>
          <w:color w:val="auto"/>
          <w:szCs w:val="21"/>
        </w:rPr>
      </w:pPr>
      <w:r>
        <w:rPr>
          <w:rFonts w:hint="eastAsia" w:ascii="仿宋" w:hAnsi="仿宋" w:eastAsia="仿宋" w:cs="仿宋"/>
          <w:b/>
          <w:color w:val="auto"/>
          <w:szCs w:val="21"/>
        </w:rPr>
        <w:t>3.1.5引用标准</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（1）《爆破安全规程》（GB 6722-20l4）。</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（2）《安全标志及其使用导则》（GB 2894-2008）。</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（3）《水利水电工程施工通用安全技术规程》（SL 398-2007）。</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（4）《水工建筑物地下开挖工程施工规范》 （SL 378-2007）。</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（5）《职业健康安全管理体系要求》（GB/T 28001-201l）。</w:t>
      </w:r>
    </w:p>
    <w:p>
      <w:pPr>
        <w:pStyle w:val="8"/>
        <w:spacing w:line="360" w:lineRule="exact"/>
        <w:rPr>
          <w:rFonts w:hint="eastAsia" w:ascii="仿宋" w:hAnsi="仿宋" w:eastAsia="仿宋" w:cs="仿宋"/>
          <w:color w:val="auto"/>
          <w:sz w:val="21"/>
          <w:szCs w:val="21"/>
        </w:rPr>
      </w:pPr>
      <w:bookmarkStart w:id="792" w:name="_Toc8916"/>
      <w:bookmarkStart w:id="793" w:name="_Toc2788"/>
      <w:bookmarkStart w:id="794" w:name="_Toc12589"/>
      <w:r>
        <w:rPr>
          <w:rStyle w:val="52"/>
          <w:rFonts w:hint="eastAsia" w:ascii="仿宋" w:hAnsi="仿宋" w:eastAsia="仿宋" w:cs="仿宋"/>
          <w:b/>
          <w:color w:val="auto"/>
          <w:sz w:val="21"/>
          <w:szCs w:val="21"/>
        </w:rPr>
        <w:t>3.2  文明施工措施</w:t>
      </w:r>
      <w:bookmarkEnd w:id="792"/>
      <w:bookmarkEnd w:id="793"/>
      <w:bookmarkEnd w:id="794"/>
    </w:p>
    <w:p>
      <w:pPr>
        <w:pStyle w:val="9"/>
        <w:numPr>
          <w:ilvl w:val="0"/>
          <w:numId w:val="0"/>
        </w:numPr>
        <w:adjustRightInd/>
        <w:snapToGrid/>
        <w:spacing w:before="0" w:beforeAutospacing="0" w:after="0" w:afterAutospacing="0" w:line="360" w:lineRule="exact"/>
        <w:rPr>
          <w:rFonts w:hint="eastAsia" w:ascii="仿宋" w:hAnsi="仿宋" w:eastAsia="仿宋" w:cs="仿宋"/>
          <w:b/>
          <w:color w:val="auto"/>
          <w:szCs w:val="21"/>
        </w:rPr>
      </w:pPr>
      <w:r>
        <w:rPr>
          <w:rFonts w:hint="eastAsia" w:ascii="仿宋" w:hAnsi="仿宋" w:eastAsia="仿宋" w:cs="仿宋"/>
          <w:b/>
          <w:color w:val="auto"/>
          <w:szCs w:val="21"/>
        </w:rPr>
        <w:t>3.2.1  文明施工措施计划</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中标人应按本章第3.1.3项的规定提交文明施工措施计划，主要内容包括“六牌一图”（概况、名单、安全、文明、消防、重大危险源公示牌，总平面图）、现场标牌（安全警示标志、文明标识、宣传标语等）设置，围护设施（围墙、围挡、彩条布固栏等）、场容场貌整洁（清扫、清洗、绿化等），现场地面整治及创建标化下地的措施计划等。</w:t>
      </w:r>
    </w:p>
    <w:p>
      <w:pPr>
        <w:pStyle w:val="9"/>
        <w:numPr>
          <w:ilvl w:val="0"/>
          <w:numId w:val="0"/>
        </w:numPr>
        <w:adjustRightInd/>
        <w:snapToGrid/>
        <w:spacing w:before="0" w:beforeAutospacing="0" w:after="0" w:afterAutospacing="0" w:line="360" w:lineRule="exact"/>
        <w:rPr>
          <w:rFonts w:hint="eastAsia" w:ascii="仿宋" w:hAnsi="仿宋" w:eastAsia="仿宋" w:cs="仿宋"/>
          <w:b/>
          <w:color w:val="auto"/>
          <w:szCs w:val="21"/>
        </w:rPr>
      </w:pPr>
      <w:r>
        <w:rPr>
          <w:rFonts w:hint="eastAsia" w:ascii="仿宋" w:hAnsi="仿宋" w:eastAsia="仿宋" w:cs="仿宋"/>
          <w:b/>
          <w:color w:val="auto"/>
          <w:szCs w:val="21"/>
        </w:rPr>
        <w:t>3.2.2  六牌一图</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六牌一图（概况、名单、安全、文明、消防、重大危险源公示牌，总平面图）应设在项日部及其他醒目位置，尺寸不宜过小。</w:t>
      </w:r>
    </w:p>
    <w:p>
      <w:pPr>
        <w:pStyle w:val="9"/>
        <w:numPr>
          <w:ilvl w:val="0"/>
          <w:numId w:val="0"/>
        </w:numPr>
        <w:adjustRightInd/>
        <w:snapToGrid/>
        <w:spacing w:before="0" w:beforeAutospacing="0" w:after="0" w:afterAutospacing="0" w:line="360" w:lineRule="exact"/>
        <w:rPr>
          <w:rFonts w:hint="eastAsia" w:ascii="仿宋" w:hAnsi="仿宋" w:eastAsia="仿宋" w:cs="仿宋"/>
          <w:b/>
          <w:color w:val="auto"/>
          <w:szCs w:val="21"/>
        </w:rPr>
      </w:pPr>
      <w:r>
        <w:rPr>
          <w:rFonts w:hint="eastAsia" w:ascii="仿宋" w:hAnsi="仿宋" w:eastAsia="仿宋" w:cs="仿宋"/>
          <w:b/>
          <w:color w:val="auto"/>
          <w:szCs w:val="21"/>
        </w:rPr>
        <w:t>3.2.3  现场标牌</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（1）安全警示标志垃设置在施工现场事故易发地，规格建议为宽12Ocm，高9Ocm。</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（2）安全警示标志应按监理人指示补充或更换失效的标志。</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（3）现场标牌中需公布监督电话，主动接受社会各界的监督。</w:t>
      </w:r>
    </w:p>
    <w:p>
      <w:pPr>
        <w:pStyle w:val="9"/>
        <w:numPr>
          <w:ilvl w:val="0"/>
          <w:numId w:val="0"/>
        </w:numPr>
        <w:adjustRightInd/>
        <w:snapToGrid/>
        <w:spacing w:before="0" w:beforeAutospacing="0" w:after="0" w:afterAutospacing="0" w:line="360" w:lineRule="exact"/>
        <w:rPr>
          <w:rFonts w:hint="eastAsia" w:ascii="仿宋" w:hAnsi="仿宋" w:eastAsia="仿宋" w:cs="仿宋"/>
          <w:b/>
          <w:color w:val="auto"/>
          <w:szCs w:val="21"/>
        </w:rPr>
      </w:pPr>
      <w:r>
        <w:rPr>
          <w:rFonts w:hint="eastAsia" w:ascii="仿宋" w:hAnsi="仿宋" w:eastAsia="仿宋" w:cs="仿宋"/>
          <w:b/>
          <w:color w:val="auto"/>
          <w:szCs w:val="21"/>
        </w:rPr>
        <w:t>3.2.4  围护设施</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（1）根据施工现场情况，需尽量修建维护设施进行封闭施工，减轻对周边环境的影响。</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（2）围护设施需满足安全要求。</w:t>
      </w:r>
    </w:p>
    <w:p>
      <w:pPr>
        <w:pStyle w:val="8"/>
        <w:spacing w:line="360" w:lineRule="exact"/>
        <w:rPr>
          <w:rStyle w:val="52"/>
          <w:rFonts w:hint="eastAsia" w:ascii="仿宋" w:hAnsi="仿宋" w:eastAsia="仿宋" w:cs="仿宋"/>
          <w:b/>
          <w:color w:val="auto"/>
          <w:sz w:val="21"/>
          <w:szCs w:val="21"/>
        </w:rPr>
      </w:pPr>
      <w:bookmarkStart w:id="795" w:name="_Toc31195"/>
      <w:bookmarkStart w:id="796" w:name="_Toc21195"/>
      <w:bookmarkStart w:id="797" w:name="_Toc24600"/>
      <w:r>
        <w:rPr>
          <w:rStyle w:val="52"/>
          <w:rFonts w:hint="eastAsia" w:ascii="仿宋" w:hAnsi="仿宋" w:eastAsia="仿宋" w:cs="仿宋"/>
          <w:b/>
          <w:color w:val="auto"/>
          <w:sz w:val="21"/>
          <w:szCs w:val="21"/>
        </w:rPr>
        <w:t>3.3施工安全措施</w:t>
      </w:r>
    </w:p>
    <w:bookmarkEnd w:id="795"/>
    <w:bookmarkEnd w:id="796"/>
    <w:bookmarkEnd w:id="797"/>
    <w:p>
      <w:pPr>
        <w:pStyle w:val="9"/>
        <w:numPr>
          <w:ilvl w:val="0"/>
          <w:numId w:val="0"/>
        </w:numPr>
        <w:adjustRightInd/>
        <w:snapToGrid/>
        <w:spacing w:before="0" w:beforeAutospacing="0" w:after="0" w:afterAutospacing="0" w:line="360" w:lineRule="exact"/>
        <w:rPr>
          <w:rFonts w:hint="eastAsia" w:ascii="仿宋" w:hAnsi="仿宋" w:eastAsia="仿宋" w:cs="仿宋"/>
          <w:b/>
          <w:color w:val="auto"/>
          <w:szCs w:val="21"/>
        </w:rPr>
      </w:pPr>
      <w:r>
        <w:rPr>
          <w:rFonts w:hint="eastAsia" w:ascii="仿宋" w:hAnsi="仿宋" w:eastAsia="仿宋" w:cs="仿宋"/>
          <w:b/>
          <w:color w:val="auto"/>
          <w:szCs w:val="21"/>
        </w:rPr>
        <w:t>3.3.1施工安全措施计划</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中标人应按本章第3.1.3项的规定提交施工安全措施计划，其内容应包括施工安全机构的设置、专职安全人员的配备，安全作业环境和安全防护措施及用具、装备，安全设施及特种设备的监测、监控，特殊安全作业防护用品、救生设施、防毒面具、有毒气体检测仪器，安全警示、安全保卫设施，以及防洪、防火、防毒、防噪声、防爆破烟尘、救护、警报、治安和炸药管理等。施工安全措施的项目和范围，还应符合国家颁发的《安全技术措施计划的项目总名称表》及其附录H、附录1、附录J的规定。并对重大危险源和事故隐患分析、评估、监控和整改。</w:t>
      </w:r>
    </w:p>
    <w:p>
      <w:pPr>
        <w:pStyle w:val="9"/>
        <w:numPr>
          <w:ilvl w:val="0"/>
          <w:numId w:val="0"/>
        </w:numPr>
        <w:adjustRightInd/>
        <w:snapToGrid/>
        <w:spacing w:before="0" w:beforeAutospacing="0" w:after="0" w:afterAutospacing="0" w:line="360" w:lineRule="exact"/>
        <w:rPr>
          <w:rFonts w:hint="eastAsia" w:ascii="仿宋" w:hAnsi="仿宋" w:eastAsia="仿宋" w:cs="仿宋"/>
          <w:b/>
          <w:color w:val="auto"/>
          <w:szCs w:val="21"/>
        </w:rPr>
      </w:pPr>
      <w:r>
        <w:rPr>
          <w:rFonts w:hint="eastAsia" w:ascii="仿宋" w:hAnsi="仿宋" w:eastAsia="仿宋" w:cs="仿宋"/>
          <w:b/>
          <w:color w:val="auto"/>
          <w:szCs w:val="21"/>
        </w:rPr>
        <w:t>3.3.2劳动保护</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（1）中标人应定期向所有现场施工人员发放安全帽、水鞋、雨衣、手套、手灯、防护面具和安全带等劳动保护用品，以及特殊工种作业人员的劳动保护津贴和营养补助等。</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（2）按《中华人民共和国劳动法》的有关规定安排现场作业人员的劳动和休息时间，加班时间不得超过《中华人民共和国劳动法》第四章的规定。</w:t>
      </w:r>
    </w:p>
    <w:p>
      <w:pPr>
        <w:pStyle w:val="9"/>
        <w:numPr>
          <w:ilvl w:val="0"/>
          <w:numId w:val="0"/>
        </w:numPr>
        <w:adjustRightInd/>
        <w:snapToGrid/>
        <w:spacing w:before="0" w:beforeAutospacing="0" w:after="0" w:afterAutospacing="0" w:line="360" w:lineRule="exact"/>
        <w:rPr>
          <w:rFonts w:hint="eastAsia" w:ascii="仿宋" w:hAnsi="仿宋" w:eastAsia="仿宋" w:cs="仿宋"/>
          <w:b/>
          <w:color w:val="auto"/>
          <w:szCs w:val="21"/>
        </w:rPr>
      </w:pPr>
      <w:r>
        <w:rPr>
          <w:rFonts w:hint="eastAsia" w:ascii="仿宋" w:hAnsi="仿宋" w:eastAsia="仿宋" w:cs="仿宋"/>
          <w:b/>
          <w:color w:val="auto"/>
          <w:szCs w:val="21"/>
        </w:rPr>
        <w:t>3.3.3伤病防治和卫生保健</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（1）中标人应在施工现场设置医疗卫生机构，负责施工人员的伤病防治和卫生保健工作。</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（2）施工人员进入生活区和作业面前，应对环境进行卫生清理，以及采取消毒、杀虫、灭鼠等卫生措施，并对饮用水进行消毒。</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（3）及时做好病源和疫情监测。一旦发现疫情，应立即采取措施控制感染源和感染者。</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（4）职工食堂应严格执行《中华人民共和国食品卫生法》的有关规定。</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（5）所有传染病人、病原携带者和疑似病人一律不得从事易于使该病传播的工作。</w:t>
      </w:r>
    </w:p>
    <w:p>
      <w:pPr>
        <w:pStyle w:val="9"/>
        <w:numPr>
          <w:ilvl w:val="0"/>
          <w:numId w:val="0"/>
        </w:numPr>
        <w:adjustRightInd/>
        <w:snapToGrid/>
        <w:spacing w:before="0" w:beforeAutospacing="0" w:after="0" w:afterAutospacing="0" w:line="360" w:lineRule="exact"/>
        <w:rPr>
          <w:rFonts w:hint="eastAsia" w:ascii="仿宋" w:hAnsi="仿宋" w:eastAsia="仿宋" w:cs="仿宋"/>
          <w:b/>
          <w:color w:val="auto"/>
          <w:szCs w:val="21"/>
        </w:rPr>
      </w:pPr>
      <w:r>
        <w:rPr>
          <w:rFonts w:hint="eastAsia" w:ascii="仿宋" w:hAnsi="仿宋" w:eastAsia="仿宋" w:cs="仿宋"/>
          <w:b/>
          <w:color w:val="auto"/>
          <w:szCs w:val="21"/>
        </w:rPr>
        <w:t>3.3.4危险物品的安全管理</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中标人运输和存放爆破器材，应遵守《水利水电施工通用安全技术规程》（SL 398-2007）第8.3.3条、第8.3.4条的规定；油料的运输和管理应遵守《水利水电施工通用安全技术规程》（SL 398-2007）第11.5节的规定。</w:t>
      </w:r>
    </w:p>
    <w:p>
      <w:pPr>
        <w:pStyle w:val="9"/>
        <w:numPr>
          <w:ilvl w:val="0"/>
          <w:numId w:val="0"/>
        </w:numPr>
        <w:adjustRightInd/>
        <w:snapToGrid/>
        <w:spacing w:before="0" w:beforeAutospacing="0" w:after="0" w:afterAutospacing="0" w:line="360" w:lineRule="exact"/>
        <w:rPr>
          <w:rFonts w:hint="eastAsia" w:ascii="仿宋" w:hAnsi="仿宋" w:eastAsia="仿宋" w:cs="仿宋"/>
          <w:b/>
          <w:color w:val="auto"/>
          <w:szCs w:val="21"/>
        </w:rPr>
      </w:pPr>
      <w:r>
        <w:rPr>
          <w:rFonts w:hint="eastAsia" w:ascii="仿宋" w:hAnsi="仿宋" w:eastAsia="仿宋" w:cs="仿宋"/>
          <w:b/>
          <w:color w:val="auto"/>
          <w:szCs w:val="21"/>
        </w:rPr>
        <w:t>3.3.5照明安全</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中标人应在施工作业区、施工道路、临时设施、办公区和生活区设置足够的照明，地下洞室的施工作业区、运输通道应布置照明设施符合《水利水电施工通用安全技术规程》（SL 398-2007）第4.5.9～4.5.14条的规定。</w:t>
      </w:r>
    </w:p>
    <w:p>
      <w:pPr>
        <w:pStyle w:val="9"/>
        <w:numPr>
          <w:ilvl w:val="0"/>
          <w:numId w:val="0"/>
        </w:numPr>
        <w:adjustRightInd/>
        <w:snapToGrid/>
        <w:spacing w:before="0" w:beforeAutospacing="0" w:after="0" w:afterAutospacing="0" w:line="360" w:lineRule="exact"/>
        <w:rPr>
          <w:rFonts w:hint="eastAsia" w:ascii="仿宋" w:hAnsi="仿宋" w:eastAsia="仿宋" w:cs="仿宋"/>
          <w:b/>
          <w:color w:val="auto"/>
          <w:szCs w:val="21"/>
        </w:rPr>
      </w:pPr>
      <w:r>
        <w:rPr>
          <w:rFonts w:hint="eastAsia" w:ascii="仿宋" w:hAnsi="仿宋" w:eastAsia="仿宋" w:cs="仿宋"/>
          <w:b/>
          <w:color w:val="auto"/>
          <w:szCs w:val="21"/>
        </w:rPr>
        <w:t>3.3.6接地及防雷装置</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接地及防雷装置应符合《水利水电施工通用安全技术规程》（SL 398-2007）第4.2节接地（接零）与防雷规定的要求。凡可能漏电伤人或易受雷击的电器及建筑物均应设置接地或防雷装置。</w:t>
      </w:r>
    </w:p>
    <w:p>
      <w:pPr>
        <w:pStyle w:val="9"/>
        <w:numPr>
          <w:ilvl w:val="0"/>
          <w:numId w:val="0"/>
        </w:numPr>
        <w:adjustRightInd/>
        <w:snapToGrid/>
        <w:spacing w:before="0" w:beforeAutospacing="0" w:after="0" w:afterAutospacing="0" w:line="360" w:lineRule="exact"/>
        <w:rPr>
          <w:rFonts w:hint="eastAsia" w:ascii="仿宋" w:hAnsi="仿宋" w:eastAsia="仿宋" w:cs="仿宋"/>
          <w:b/>
          <w:color w:val="auto"/>
          <w:szCs w:val="21"/>
        </w:rPr>
      </w:pPr>
      <w:r>
        <w:rPr>
          <w:rFonts w:hint="eastAsia" w:ascii="仿宋" w:hAnsi="仿宋" w:eastAsia="仿宋" w:cs="仿宋"/>
          <w:b/>
          <w:color w:val="auto"/>
          <w:szCs w:val="21"/>
        </w:rPr>
        <w:t>3.3.7防有毒、有害物品的控制</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中标人应遵守《水工建筑物地下开挖工程施工规范》（SL 378-2007）第11.3节防尘、有害气体的规定。</w:t>
      </w:r>
    </w:p>
    <w:p>
      <w:pPr>
        <w:pStyle w:val="9"/>
        <w:numPr>
          <w:ilvl w:val="0"/>
          <w:numId w:val="0"/>
        </w:numPr>
        <w:adjustRightInd/>
        <w:snapToGrid/>
        <w:spacing w:before="0" w:beforeAutospacing="0" w:after="0" w:afterAutospacing="0" w:line="360" w:lineRule="exact"/>
        <w:rPr>
          <w:rFonts w:hint="eastAsia" w:ascii="仿宋" w:hAnsi="仿宋" w:eastAsia="仿宋" w:cs="仿宋"/>
          <w:b/>
          <w:color w:val="auto"/>
          <w:szCs w:val="21"/>
        </w:rPr>
      </w:pPr>
      <w:r>
        <w:rPr>
          <w:rFonts w:hint="eastAsia" w:ascii="仿宋" w:hAnsi="仿宋" w:eastAsia="仿宋" w:cs="仿宋"/>
          <w:b/>
          <w:color w:val="auto"/>
          <w:szCs w:val="21"/>
        </w:rPr>
        <w:t>3.3.8爆破作业安全</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（1）中标人的施工爆破作业应严格遵照《爆破安全规程》（GB 6722-2014）及国家有关爆破安全管理的规定。中标人应对爆破造成的工程和人身损害和财产损失承担责任。</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（2）对实施电引爆的作业区，中标人应采用必要的特殊安全装置，以防止暴风雨时的大气或邻近电气设备放电的影响。特殊安全装置应经过试验证明其确保安全可靠时方可使用。试验报告应提交监理人。</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（3）当中标人的现场爆破作业对其他中标人的施工造成干扰及影响临近设施和人员的安全时，应由监理人协调解决。现场爆破时，各方均应服从爆破作业指挥人员的命令。</w:t>
      </w:r>
    </w:p>
    <w:p>
      <w:pPr>
        <w:pStyle w:val="9"/>
        <w:numPr>
          <w:ilvl w:val="0"/>
          <w:numId w:val="0"/>
        </w:numPr>
        <w:adjustRightInd/>
        <w:snapToGrid/>
        <w:spacing w:before="0" w:beforeAutospacing="0" w:after="0" w:afterAutospacing="0" w:line="360" w:lineRule="exact"/>
        <w:rPr>
          <w:rFonts w:hint="eastAsia" w:ascii="仿宋" w:hAnsi="仿宋" w:eastAsia="仿宋" w:cs="仿宋"/>
          <w:b/>
          <w:color w:val="auto"/>
          <w:szCs w:val="21"/>
        </w:rPr>
      </w:pPr>
      <w:r>
        <w:rPr>
          <w:rFonts w:hint="eastAsia" w:ascii="仿宋" w:hAnsi="仿宋" w:eastAsia="仿宋" w:cs="仿宋"/>
          <w:b/>
          <w:color w:val="auto"/>
          <w:szCs w:val="21"/>
        </w:rPr>
        <w:t>3.3.9消防</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（1）中标人应遵守《中华人民共和国消防法》，并负责其自己辖区内的消防工作。中标人应对其辖区内发生的火灾及其造成的人员伤亡和财产损失负责。</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（2）中标人应按《水利水电施工通用安全技术规程》（SL 398-2007）第3.5节的规定，建立现场消防组织，配置必要的消防专职人员和消防设备器材。消防设备的型号和功率应满足消防任务的需要。在现场配备必要的灭火器材、设置防火警示标志，保持畅通的消防通道。</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（3）中标人应对职工进行经常性的消防知识教育和消防安全训练，消防设备器材应经常检查和保养，使其处于良好的待命状态。</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（4）中标人应制定经常性的消防检查制度，划分施工现场的防火责任区。中标人的消防专职人员应定期检查各施工现场，以及办公与生活区的消防安全，特别是用电安全。</w:t>
      </w:r>
    </w:p>
    <w:p>
      <w:pPr>
        <w:pStyle w:val="9"/>
        <w:numPr>
          <w:ilvl w:val="0"/>
          <w:numId w:val="0"/>
        </w:numPr>
        <w:adjustRightInd/>
        <w:snapToGrid/>
        <w:spacing w:before="0" w:beforeAutospacing="0" w:after="0" w:afterAutospacing="0" w:line="360" w:lineRule="exact"/>
        <w:rPr>
          <w:rFonts w:hint="eastAsia" w:ascii="仿宋" w:hAnsi="仿宋" w:eastAsia="仿宋" w:cs="仿宋"/>
          <w:b/>
          <w:color w:val="auto"/>
          <w:szCs w:val="21"/>
        </w:rPr>
      </w:pPr>
      <w:r>
        <w:rPr>
          <w:rFonts w:hint="eastAsia" w:ascii="仿宋" w:hAnsi="仿宋" w:eastAsia="仿宋" w:cs="仿宋"/>
          <w:b/>
          <w:color w:val="auto"/>
          <w:szCs w:val="21"/>
        </w:rPr>
        <w:t>3.3.10洪水和气象灾害的防护</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中标人应做好水情和气象预报工作。中标人应向招标人或地方主管水文、气象预报工作的部门获取工程所在区域短、中、长期水文、气象预报资料。一旦发现有可能危及工程和人身财产安全的灾害预兆时，应立即采取确保安全的有效措施。</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（2）每年汛前，中标人应编制防洪度汛预案，并按《水利水电工程施工通用安全技术规程》（SL 398-2007）第3.6节、第3.7节的规定，制定切实可行的预防和减灾措施。</w:t>
      </w:r>
    </w:p>
    <w:p>
      <w:pPr>
        <w:pStyle w:val="9"/>
        <w:numPr>
          <w:ilvl w:val="0"/>
          <w:numId w:val="0"/>
        </w:numPr>
        <w:adjustRightInd/>
        <w:snapToGrid/>
        <w:spacing w:before="0" w:beforeAutospacing="0" w:after="0" w:afterAutospacing="0" w:line="360" w:lineRule="exact"/>
        <w:rPr>
          <w:rFonts w:hint="eastAsia" w:ascii="仿宋" w:hAnsi="仿宋" w:eastAsia="仿宋" w:cs="仿宋"/>
          <w:b/>
          <w:color w:val="auto"/>
          <w:szCs w:val="21"/>
        </w:rPr>
      </w:pPr>
      <w:r>
        <w:rPr>
          <w:rFonts w:hint="eastAsia" w:ascii="仿宋" w:hAnsi="仿宋" w:eastAsia="仿宋" w:cs="仿宋"/>
          <w:b/>
          <w:color w:val="auto"/>
          <w:szCs w:val="21"/>
        </w:rPr>
        <w:t>3.3.11安全标志</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（1）中标人应按《安全标志及其使用导则》（GB 2894-2008）的要求，在施工区内设置一切必需的安全标志，其标志类型包括：</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1）禁止标志。</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2）警告标志。</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3）指令标志。</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4）提示标志。</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（2）中标人应负责保护施工区内的所有标志，并按监理人指示补充或更换失效的标志。</w:t>
      </w:r>
    </w:p>
    <w:p>
      <w:pPr>
        <w:pStyle w:val="9"/>
        <w:numPr>
          <w:ilvl w:val="0"/>
          <w:numId w:val="0"/>
        </w:numPr>
        <w:adjustRightInd/>
        <w:snapToGrid/>
        <w:spacing w:before="0" w:beforeAutospacing="0" w:after="0" w:afterAutospacing="0" w:line="360" w:lineRule="exact"/>
        <w:rPr>
          <w:rFonts w:hint="eastAsia" w:ascii="仿宋" w:hAnsi="仿宋" w:eastAsia="仿宋" w:cs="仿宋"/>
          <w:b/>
          <w:color w:val="auto"/>
          <w:szCs w:val="21"/>
        </w:rPr>
      </w:pPr>
      <w:r>
        <w:rPr>
          <w:rFonts w:hint="eastAsia" w:ascii="仿宋" w:hAnsi="仿宋" w:eastAsia="仿宋" w:cs="仿宋"/>
          <w:b/>
          <w:color w:val="auto"/>
          <w:szCs w:val="21"/>
        </w:rPr>
        <w:t>3.3.12施工安全监测</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有关施工期的安全监测详见本技术条款第25章。</w:t>
      </w:r>
    </w:p>
    <w:p>
      <w:pPr>
        <w:pStyle w:val="8"/>
        <w:spacing w:line="360" w:lineRule="exact"/>
        <w:rPr>
          <w:rFonts w:hint="eastAsia" w:ascii="仿宋" w:hAnsi="仿宋" w:eastAsia="仿宋" w:cs="仿宋"/>
          <w:color w:val="auto"/>
          <w:sz w:val="21"/>
          <w:szCs w:val="21"/>
        </w:rPr>
      </w:pPr>
      <w:bookmarkStart w:id="798" w:name="_Toc27854"/>
      <w:bookmarkStart w:id="799" w:name="_Toc8365"/>
      <w:bookmarkStart w:id="800" w:name="_Toc17920"/>
      <w:r>
        <w:rPr>
          <w:rStyle w:val="52"/>
          <w:rFonts w:hint="eastAsia" w:ascii="仿宋" w:hAnsi="仿宋" w:eastAsia="仿宋" w:cs="仿宋"/>
          <w:b/>
          <w:color w:val="auto"/>
          <w:sz w:val="21"/>
          <w:szCs w:val="21"/>
        </w:rPr>
        <w:t>3.4应急救援措施</w:t>
      </w:r>
      <w:bookmarkEnd w:id="798"/>
      <w:bookmarkEnd w:id="799"/>
      <w:bookmarkEnd w:id="800"/>
    </w:p>
    <w:p>
      <w:pPr>
        <w:pStyle w:val="9"/>
        <w:numPr>
          <w:ilvl w:val="0"/>
          <w:numId w:val="0"/>
        </w:numPr>
        <w:adjustRightInd/>
        <w:snapToGrid/>
        <w:spacing w:before="0" w:beforeAutospacing="0" w:after="0" w:afterAutospacing="0" w:line="360" w:lineRule="exact"/>
        <w:rPr>
          <w:rFonts w:hint="eastAsia" w:ascii="仿宋" w:hAnsi="仿宋" w:eastAsia="仿宋" w:cs="仿宋"/>
          <w:b/>
          <w:color w:val="auto"/>
          <w:szCs w:val="21"/>
        </w:rPr>
      </w:pPr>
      <w:r>
        <w:rPr>
          <w:rFonts w:hint="eastAsia" w:ascii="仿宋" w:hAnsi="仿宋" w:eastAsia="仿宋" w:cs="仿宋"/>
          <w:b/>
          <w:color w:val="auto"/>
          <w:szCs w:val="21"/>
        </w:rPr>
        <w:t>3.4.1事故应急救援预案</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（1）中标人应制定生产安全事故的应急救援预案，应急救援预案应能随时紧急调动应对人员，救援专职人员应定期组织应急预案的演练。</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（2）发生事故后，中标人应按应急救援要求，配备必需的应急救援器材和设备，并及时将应急救援的措施报告提交监理人。</w:t>
      </w:r>
    </w:p>
    <w:p>
      <w:pPr>
        <w:pStyle w:val="9"/>
        <w:numPr>
          <w:ilvl w:val="0"/>
          <w:numId w:val="0"/>
        </w:numPr>
        <w:adjustRightInd/>
        <w:snapToGrid/>
        <w:spacing w:before="0" w:beforeAutospacing="0" w:after="0" w:afterAutospacing="0" w:line="360" w:lineRule="exact"/>
        <w:rPr>
          <w:rFonts w:hint="eastAsia" w:ascii="仿宋" w:hAnsi="仿宋" w:eastAsia="仿宋" w:cs="仿宋"/>
          <w:b/>
          <w:color w:val="auto"/>
          <w:szCs w:val="21"/>
        </w:rPr>
      </w:pPr>
      <w:r>
        <w:rPr>
          <w:rFonts w:hint="eastAsia" w:ascii="仿宋" w:hAnsi="仿宋" w:eastAsia="仿宋" w:cs="仿宋"/>
          <w:b/>
          <w:color w:val="auto"/>
          <w:szCs w:val="21"/>
        </w:rPr>
        <w:t>3.4.2伤亡事故处理</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（1）施工过程中，若发生施工生产人员或第三者人员的伤亡事故时，中标人应按本合同通用合同条款第9.5款的约定，及时进行处理，并立即报告监理人。</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（2）发生重大伤亡或特大事故时，中标人必须保护事故现场，立即报告招标人和当地政府的安全管理部门，并在当地政府的支持和协助下，按国家有关规定妥善处理好事故。</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（3）事故处理结案后，中标人应向公众张榜告示处理事故结果。</w:t>
      </w:r>
    </w:p>
    <w:p>
      <w:pPr>
        <w:pStyle w:val="9"/>
        <w:numPr>
          <w:ilvl w:val="0"/>
          <w:numId w:val="0"/>
        </w:numPr>
        <w:adjustRightInd/>
        <w:snapToGrid/>
        <w:spacing w:before="0" w:beforeAutospacing="0" w:after="0" w:afterAutospacing="0" w:line="360" w:lineRule="exact"/>
        <w:rPr>
          <w:rFonts w:hint="eastAsia" w:ascii="仿宋" w:hAnsi="仿宋" w:eastAsia="仿宋" w:cs="仿宋"/>
          <w:b/>
          <w:color w:val="auto"/>
          <w:szCs w:val="21"/>
        </w:rPr>
      </w:pPr>
      <w:r>
        <w:rPr>
          <w:rFonts w:hint="eastAsia" w:ascii="仿宋" w:hAnsi="仿宋" w:eastAsia="仿宋" w:cs="仿宋"/>
          <w:b/>
          <w:color w:val="auto"/>
          <w:szCs w:val="21"/>
        </w:rPr>
        <w:t>3.4.3预防自然灾害措施</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（1）施工期间一旦发生洪水、或可能危及人身财产安全事故的预兆时，中标人应立即采取有效的防灾措施，确保工程人员和财产的安全。</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一旦发生安全事故，中标人应立即按其安全职责分工，组织人员、设备和物资，尽快制止事故发展，及时消除隐患，划定警戒范围，并在最短时间内组织好人员、车辆和设备的疏散，避免再次发生人员伤亡和财产损失。</w:t>
      </w:r>
    </w:p>
    <w:p>
      <w:pPr>
        <w:spacing w:line="360" w:lineRule="exact"/>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中标人应保护好事故现场，为事故调查分析提供直接证据，做好现场标志和书面记录，绘制现场简图，并妥善保存现场重要痕迹、物证，必要时应对事故现场和伤亡情况进行录像或拍照，待事故调查部门有明确指令后，才能清除事故现场。</w:t>
      </w:r>
    </w:p>
    <w:p>
      <w:pPr>
        <w:pStyle w:val="8"/>
        <w:spacing w:line="360" w:lineRule="exact"/>
        <w:rPr>
          <w:rStyle w:val="52"/>
          <w:rFonts w:hint="eastAsia" w:ascii="仿宋" w:hAnsi="仿宋" w:eastAsia="仿宋" w:cs="仿宋"/>
          <w:b/>
          <w:color w:val="auto"/>
          <w:sz w:val="21"/>
          <w:szCs w:val="21"/>
        </w:rPr>
      </w:pPr>
      <w:bookmarkStart w:id="801" w:name="_Toc13909"/>
      <w:bookmarkStart w:id="802" w:name="_Toc18563"/>
      <w:bookmarkStart w:id="803" w:name="_Toc19046"/>
      <w:r>
        <w:rPr>
          <w:rStyle w:val="52"/>
          <w:rFonts w:hint="eastAsia" w:ascii="仿宋" w:hAnsi="仿宋" w:eastAsia="仿宋" w:cs="仿宋"/>
          <w:b/>
          <w:color w:val="auto"/>
          <w:sz w:val="21"/>
          <w:szCs w:val="21"/>
        </w:rPr>
        <w:t>3.5  计量和支付</w:t>
      </w:r>
    </w:p>
    <w:bookmarkEnd w:id="801"/>
    <w:bookmarkEnd w:id="802"/>
    <w:bookmarkEnd w:id="803"/>
    <w:p>
      <w:pPr>
        <w:kinsoku w:val="0"/>
        <w:overflowPunct w:val="0"/>
        <w:spacing w:line="360" w:lineRule="exact"/>
        <w:ind w:firstLine="412" w:firstLineChars="200"/>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3.5.1 中标人按本节第 3.2 款、第 3.3 款、第 3.4 款要求进行的，指施工现场文明施工、安全施工所需要的各项费用，应在《工程量清单》以安全施工费用总价形式专项列报。安全施工费的使用范围按国家和浙江省水利水电工程设计概（预）算编制规定（2018年）等有关规定执行，中标人应提出具体实施方案和预算，经监理和第三方中介机构审核，招标人批准后按方案实施进度支付</w:t>
      </w:r>
    </w:p>
    <w:p>
      <w:pPr>
        <w:kinsoku w:val="0"/>
        <w:overflowPunct w:val="0"/>
        <w:spacing w:line="360" w:lineRule="exact"/>
        <w:ind w:firstLine="412" w:firstLineChars="200"/>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3.5.2 中标人按合同要求完成施工期观测（包括巡视检查和现场监测）、设备维护、资料记录和整理、资料分析等工作所需的费用，包含在相应项目的单价或总价中，招标人不再另行支付。</w:t>
      </w:r>
    </w:p>
    <w:p>
      <w:pPr>
        <w:kinsoku w:val="0"/>
        <w:overflowPunct w:val="0"/>
        <w:spacing w:line="360" w:lineRule="exact"/>
        <w:ind w:firstLine="412" w:firstLineChars="200"/>
        <w:rPr>
          <w:rFonts w:hint="eastAsia" w:ascii="仿宋" w:hAnsi="仿宋" w:eastAsia="仿宋" w:cs="仿宋"/>
          <w:snapToGrid w:val="0"/>
          <w:color w:val="auto"/>
          <w:sz w:val="21"/>
          <w:szCs w:val="21"/>
        </w:rPr>
      </w:pPr>
      <w:r>
        <w:rPr>
          <w:rFonts w:hint="eastAsia" w:ascii="仿宋" w:hAnsi="仿宋" w:eastAsia="仿宋" w:cs="仿宋"/>
          <w:color w:val="auto"/>
          <w:spacing w:val="-2"/>
          <w:sz w:val="21"/>
          <w:szCs w:val="21"/>
        </w:rPr>
        <w:t>3.5.3 施工图纸明示的永久性标志牌、闸铭牌、成品警示牌（含设计详图中所有内容，包括基础）等以个、处、块等为单位计量，由招标人按《工程量清单》相应项目有效工程量的每个、处、块等工程单价支付。</w:t>
      </w:r>
    </w:p>
    <w:p>
      <w:pPr>
        <w:pStyle w:val="6"/>
        <w:spacing w:line="360" w:lineRule="auto"/>
        <w:rPr>
          <w:rFonts w:hint="eastAsia" w:ascii="仿宋" w:hAnsi="仿宋" w:eastAsia="仿宋" w:cs="仿宋"/>
          <w:color w:val="auto"/>
          <w:sz w:val="21"/>
          <w:szCs w:val="21"/>
        </w:rPr>
      </w:pPr>
      <w:bookmarkStart w:id="804" w:name="_Toc15433"/>
      <w:bookmarkStart w:id="805" w:name="_Toc28917"/>
      <w:r>
        <w:rPr>
          <w:rFonts w:hint="eastAsia" w:ascii="仿宋" w:hAnsi="仿宋" w:eastAsia="仿宋" w:cs="仿宋"/>
          <w:color w:val="auto"/>
          <w:sz w:val="21"/>
          <w:szCs w:val="21"/>
        </w:rPr>
        <w:t>3.6本招标文件中未体现的，按国家、省、市有关法律法规执行。</w:t>
      </w:r>
      <w:bookmarkEnd w:id="804"/>
      <w:bookmarkEnd w:id="805"/>
    </w:p>
    <w:p>
      <w:pPr>
        <w:pStyle w:val="6"/>
        <w:spacing w:line="360" w:lineRule="auto"/>
        <w:jc w:val="center"/>
        <w:rPr>
          <w:rFonts w:hint="eastAsia" w:ascii="仿宋" w:hAnsi="仿宋" w:eastAsia="仿宋" w:cs="仿宋"/>
          <w:color w:val="auto"/>
          <w:sz w:val="21"/>
          <w:szCs w:val="21"/>
        </w:rPr>
      </w:pPr>
      <w:bookmarkStart w:id="806" w:name="_Toc16512"/>
      <w:bookmarkStart w:id="807" w:name="_Toc32761"/>
      <w:r>
        <w:rPr>
          <w:rFonts w:hint="eastAsia" w:ascii="仿宋" w:hAnsi="仿宋" w:eastAsia="仿宋" w:cs="仿宋"/>
          <w:color w:val="auto"/>
          <w:szCs w:val="30"/>
        </w:rPr>
        <w:t>第4节环境保护和水土保持</w:t>
      </w:r>
      <w:bookmarkEnd w:id="786"/>
      <w:bookmarkEnd w:id="787"/>
      <w:bookmarkEnd w:id="788"/>
      <w:bookmarkEnd w:id="806"/>
      <w:bookmarkEnd w:id="807"/>
    </w:p>
    <w:p>
      <w:pPr>
        <w:pStyle w:val="7"/>
        <w:snapToGrid w:val="0"/>
        <w:spacing w:line="360" w:lineRule="exact"/>
        <w:rPr>
          <w:rStyle w:val="52"/>
          <w:rFonts w:hint="eastAsia" w:ascii="仿宋" w:hAnsi="仿宋" w:eastAsia="仿宋" w:cs="仿宋"/>
          <w:b/>
          <w:color w:val="auto"/>
          <w:sz w:val="21"/>
          <w:szCs w:val="21"/>
        </w:rPr>
      </w:pPr>
      <w:bookmarkStart w:id="808" w:name="_Toc339983421"/>
      <w:bookmarkStart w:id="809" w:name="_Toc339482515"/>
      <w:bookmarkStart w:id="810" w:name="_Toc341965031"/>
      <w:bookmarkStart w:id="811" w:name="_Toc25876"/>
      <w:bookmarkStart w:id="812" w:name="_Toc15629"/>
      <w:bookmarkStart w:id="813" w:name="_Toc336255234"/>
      <w:bookmarkStart w:id="814" w:name="_Toc339224649"/>
      <w:bookmarkStart w:id="815" w:name="_Toc336325347"/>
      <w:bookmarkStart w:id="816" w:name="_Toc282782377"/>
      <w:r>
        <w:rPr>
          <w:rStyle w:val="52"/>
          <w:rFonts w:hint="eastAsia" w:ascii="仿宋" w:hAnsi="仿宋" w:eastAsia="仿宋" w:cs="仿宋"/>
          <w:b/>
          <w:color w:val="auto"/>
          <w:sz w:val="21"/>
          <w:szCs w:val="21"/>
        </w:rPr>
        <w:t>4.1 一般规定</w:t>
      </w:r>
      <w:bookmarkEnd w:id="808"/>
      <w:bookmarkEnd w:id="809"/>
      <w:bookmarkEnd w:id="810"/>
      <w:bookmarkEnd w:id="811"/>
      <w:bookmarkEnd w:id="812"/>
      <w:bookmarkEnd w:id="813"/>
      <w:bookmarkEnd w:id="814"/>
      <w:bookmarkEnd w:id="815"/>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4.1.1 应用范围</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本章规定适用于本工程施工期的生产、生活区环境保护和水土保持的有关工作，其主要工作范围和内容包括：施工、生活污水和废水处理、大气环境与声环境保护、固体废弃物处理、水土保持、完工后的场地清理、农田复耕与植被恢复等。</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4.1.2 中标人责任</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（1）中标人必须遵守有关环境保护和水土保持的法律、法规和规章，并按照本合同技术条款的有关规定，做好施工区及生活区的环境保护与水土保持工作。</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对本合同划定的施工场地界线附近的树木和植被必须尽力加以保护。中标人不得让有害物质（如燃料、油料、化学品、酸等，以及超过剂量的有害气体和尘埃、污水、泥土或水、弃渣等），污染施工场地及场地以外的土地和河川。</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中标人应按合同约定和监理人指示，接受国家和地方环境保护与水行政主管部门的监督和检查。中标人应对其违反上述法律、法规和规章以及本合同规定所造成的环境污染、水土流失、人员伤害和财产损失等承担责任。</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4.1.3 主要提交件</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（1）环境保护及水土保持措施计划：</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中标人在提交施工总布置设计文件的同时，提交本合同施工期的环境保护和水土保持措施计划，提交监理人批准，其内容包括（但不限于）：</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1）中标人生活区的生活用水和生活污水处理措施；</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2）中标人对生活垃圾、粪便处理措施</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3）办公、生活场所清洁措施</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4）施工生产废水（如隧道排水、基坑废水、混凝土生产系统废水、砂石料加工系统废水、机修废水等）处理措施；</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5）施工区扬尘、粉尘、废气的处理措施；</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6）施工区强光、噪声控制措施；</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7）固体废弃物处理措施；</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8）人群健康保护措施；</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9）本工程存料场、弃渣场的挡护工程、坡面保护工程和排水工程；</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10）环境风险应急措施；</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11）施工辅助生产区（如混凝土系统、砂石加工系统的生产区及加工场等）、工程施工区、施工生活营地等所有场地周边的截、排水措施，开挖边坡支护措施、挡护建筑物的排水措施等；</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12）施工区边坡工程的水土保护措施；</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13）完工后场地清理及农田复耕和植被恢复措施。</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（2）中标人应按监理人指示，在工程开工后</w:t>
      </w:r>
      <w:r>
        <w:rPr>
          <w:rFonts w:hint="eastAsia" w:ascii="仿宋" w:hAnsi="仿宋" w:eastAsia="仿宋" w:cs="仿宋"/>
          <w:color w:val="auto"/>
          <w:sz w:val="21"/>
          <w:szCs w:val="21"/>
          <w:u w:val="single"/>
        </w:rPr>
        <w:t xml:space="preserve"> 28  </w:t>
      </w:r>
      <w:r>
        <w:rPr>
          <w:rFonts w:hint="eastAsia" w:ascii="仿宋" w:hAnsi="仿宋" w:eastAsia="仿宋" w:cs="仿宋"/>
          <w:color w:val="auto"/>
          <w:sz w:val="21"/>
          <w:szCs w:val="21"/>
        </w:rPr>
        <w:t>天内，将废水处理系统的设计与施工计划以及维护系统的运行措施等生产废水处理的专项报告提交监理人批准。</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（3）验收报告和资料：</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l）环境保护措施质量检查及验收报告；</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2）水土保持措施的质量检查及验收报告；</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3）监理人要求提供的其它资料。</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4.1.4 引用的法律法规</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（1）《水利工程建设项目验收管理规定》（水利部第30号令）；</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（2）《中华人民共和国水法》；</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（3）《中华人民共和国水污染防治法实施细则》；</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（4）《中华人民共和国大气污染防治法》；</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（5）《建设项目环境保护管理条例》；</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（6）《中华人民共和国环境噪声污染防治法》；</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（7）《中华人民共和国水污染防治法》；</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（8）《中华人民共和国固体废弃物污染环境防治法》；</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（9）《中华人民共和国水土保持法》；</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（10）《中华人民共和国环境保护法》。</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4.1.5 引用标准</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（1）《生活饮用水卫生标准》（GB 5749-2006)；</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（2）《地表水环境质量标准》（GB 3838-2002)；</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（3）《环境空气质量标准》（GB 3095-2012）；</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（4）《污水综合排放标准》(GB 8978-1996)；</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（5）《大气污染物综合排放标准》（GB 16297-1996)；</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（6）《建筑施工场界噪声限值》（GB 12523-2011)；</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（7）《水利水电工程施工通用安全技术规程》（SL 398-2007)；</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（8）《水土保持监测技术规程》（SL 277-2002)；</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（9）《水环境监测规范》(SL 219-2013)；</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（10）《生活垃圾卫生填埋技术规范》（CJJ 17-2004）；</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（11）《水土保持综合治理验收规范》（GB/T 15773-2008）。</w:t>
      </w:r>
    </w:p>
    <w:p>
      <w:pPr>
        <w:pStyle w:val="7"/>
        <w:snapToGrid w:val="0"/>
        <w:spacing w:line="360" w:lineRule="exact"/>
        <w:rPr>
          <w:rStyle w:val="52"/>
          <w:rFonts w:hint="eastAsia" w:ascii="仿宋" w:hAnsi="仿宋" w:eastAsia="仿宋" w:cs="仿宋"/>
          <w:b/>
          <w:color w:val="auto"/>
          <w:sz w:val="21"/>
          <w:szCs w:val="21"/>
        </w:rPr>
      </w:pPr>
      <w:bookmarkStart w:id="817" w:name="_Toc336325348"/>
      <w:bookmarkStart w:id="818" w:name="_Toc339482516"/>
      <w:bookmarkStart w:id="819" w:name="_Toc2446"/>
      <w:bookmarkStart w:id="820" w:name="_Toc336255235"/>
      <w:bookmarkStart w:id="821" w:name="_Toc339983422"/>
      <w:bookmarkStart w:id="822" w:name="_Toc341965032"/>
      <w:bookmarkStart w:id="823" w:name="_Toc339224650"/>
      <w:bookmarkStart w:id="824" w:name="_Toc15792"/>
      <w:r>
        <w:rPr>
          <w:rStyle w:val="52"/>
          <w:rFonts w:hint="eastAsia" w:ascii="仿宋" w:hAnsi="仿宋" w:eastAsia="仿宋" w:cs="仿宋"/>
          <w:b/>
          <w:color w:val="auto"/>
          <w:sz w:val="21"/>
          <w:szCs w:val="21"/>
        </w:rPr>
        <w:t>4.2 施工环境保护</w:t>
      </w:r>
      <w:bookmarkEnd w:id="817"/>
      <w:bookmarkEnd w:id="818"/>
      <w:bookmarkEnd w:id="819"/>
      <w:bookmarkEnd w:id="820"/>
      <w:bookmarkEnd w:id="821"/>
      <w:bookmarkEnd w:id="822"/>
      <w:bookmarkEnd w:id="823"/>
      <w:bookmarkEnd w:id="824"/>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4.2.1 生活供水及生活废水处理</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（1）饮用水水质应符合GB 5749-2006的规定。</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（2）处理后的废水水质应符合受纳水体环境功能区规划规定的排放要求，或应遵守GB 8978-1996的规定，不得将未处理的生活污水直接或间接排人河流水体中，或造成生活供水系统的污染。</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4.2.2 生产废水处理</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基坑排水的排放口位置尽可能设置在靠近河流中的流速较大处，以尽量满足水质保护要求。基坑的经常性排水，应在基坑排水末端设沉淀池，排水量视沉淀池水的浑浊程度而定，做到蓄浑排清。尽量控制水体pH值接近中性时排放。</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（2）、混凝土生产及其它辅助生产系统等的废水处理应实行雨污分流，建立完善的废水处理系统，将各生产系统经常性排放的废水统一收集处理。</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（3）废水处理系统排出的污泥需进行必要的脱水（或沉淀）处理后，运至指定的弃渣场堆存。防止污泥进入排水系统或排入河道。</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（4）机修及汽修系统的废水收集、处理系统应建立专用的废水收集管道，对含油较高的机修废水应选用成套油水分离设备进行油水分离，不得任意设置未经处理的废水排污口。</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（5）混凝土浇筑面的冲洗、冲毛废水，以及灌浆工作面冲洗岩粉的污水和废弃浆液应由专设的沟道集中排放，严禁污水漫流。</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4.2.3 施工区粉尘控制</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（1）中标人应根据施工设备类型和施工方法制定除尘实施细则，提交监理人批准。</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（2）施工过程中，中标人应会同监理人根据批准的除尘实施细则，随时进行除尘措施的检查和检测。检查和检测记录应提交监理人。</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（3）施工期间，中标人应根据工程所在区域环境空气功能区划要求，保证施工场界及敏感受体附近空气中允许粉尘浓度限值控制在SL 398-2007表3.4.2规定范围内。</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（4）中标人制定的除尘措施，应遵守SL 398-2007第3.4.3条的有关规定外，还应做到：</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1）施工期间，除尘设备应与生产设备同时运行，并保持良好运行状态；</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2）选用低尘工艺，钻孔要安装除尘装置；</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3）混凝土系统配置除尘装置，及时更换和修理无法运行的除尘设备；</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4）中标人不得任意安装和使用对空气可能产生污染的锅炉、炉具，以及使用易产生烟尘或其它空气污染物的燃料；</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5）散装水泥、粉煤灰、磷矿渣粉应由封闭系统从罐车卸载到储存罐，所有出口应配有袋式过滤器；</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6）中标人应经常清扫施工场地和道路，向多尘工地和路面充分洒水；</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7）施工场地内应限制卡车、推土机等的车速以减少扬尘；运输可能产生粉尘物料的敞篷运输车，其车厢两侧及尾部均应配备挡板。运输粉尘物料应用干净的雨布加以遮盖；</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4.2.4 施工区噪声污染控制</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（1）施工过程中，中标人应会同监理人根据批准的降低噪声的措施，对施工场地进行噪声的检查和监测，检查和监测记录应提交监理人。</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（2）施工期间，中标人应按SL 398-2007第3.4.4条的规定，控制生产车间和作业场所地点噪声级卫生限值。</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（3）生活区噪声声级的限值应遵守SL 398-2007表3.2.8的规定。</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4.2.5 固体废弃物处理</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（1）中标人应负责对其施工场地以及生活区范围内的生产和生活垃圾进行清运填埋，并应设置必要的生活卫生设施，及时清扫生活垃圾，统一运至指定地点。</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（2）生产垃圾中的金属类废品，应由中标人负责回收利用。</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（3）中标人应按指定的渣场弃渣，弃渣场应采取碾压、挡护或绿化等措施进行处理。</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（4）对施工中难以避免滑入河道的渣土、因施工造成的场地塌滑与泥沙漫流等问题，应根据监理人指示和地方环境保护部门要求，采取合理措施进行处理。</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（5）废弃混凝土应运至专设的弃料场，不得在施工场地内任意弃置。</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4.2.6 有毒有害物质和危险品的管理</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有毒有害物质和危险品的管理应遵守SL 398-2007第11.3.1条、第11.3.2条的规定。</w:t>
      </w:r>
    </w:p>
    <w:p>
      <w:pPr>
        <w:pStyle w:val="7"/>
        <w:snapToGrid w:val="0"/>
        <w:spacing w:line="360" w:lineRule="exact"/>
        <w:rPr>
          <w:rStyle w:val="52"/>
          <w:rFonts w:hint="eastAsia" w:ascii="仿宋" w:hAnsi="仿宋" w:eastAsia="仿宋" w:cs="仿宋"/>
          <w:b/>
          <w:color w:val="auto"/>
          <w:sz w:val="21"/>
          <w:szCs w:val="21"/>
        </w:rPr>
      </w:pPr>
      <w:bookmarkStart w:id="825" w:name="_Toc339482517"/>
      <w:bookmarkStart w:id="826" w:name="_Toc4737"/>
      <w:bookmarkStart w:id="827" w:name="_Toc339224651"/>
      <w:bookmarkStart w:id="828" w:name="_Toc341965033"/>
      <w:bookmarkStart w:id="829" w:name="_Toc336325349"/>
      <w:bookmarkStart w:id="830" w:name="_Toc4803"/>
      <w:bookmarkStart w:id="831" w:name="_Toc339983423"/>
      <w:bookmarkStart w:id="832" w:name="_Toc336255236"/>
      <w:r>
        <w:rPr>
          <w:rStyle w:val="52"/>
          <w:rFonts w:hint="eastAsia" w:ascii="仿宋" w:hAnsi="仿宋" w:eastAsia="仿宋" w:cs="仿宋"/>
          <w:b/>
          <w:color w:val="auto"/>
          <w:sz w:val="21"/>
          <w:szCs w:val="21"/>
        </w:rPr>
        <w:t>4.3 生态环境保护</w:t>
      </w:r>
      <w:bookmarkEnd w:id="825"/>
      <w:bookmarkEnd w:id="826"/>
      <w:bookmarkEnd w:id="827"/>
      <w:bookmarkEnd w:id="828"/>
      <w:bookmarkEnd w:id="829"/>
      <w:bookmarkEnd w:id="830"/>
      <w:bookmarkEnd w:id="831"/>
      <w:bookmarkEnd w:id="832"/>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4.3.1 陆生动植物及资源保护</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（1）中标人因工程施工需要在施工场地范围内进行砍树、清除表土和草皮时，必须按环境保护主管部门和监理人批准的环境保护规划要求进行。</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（2）中标人在施工场地内发现国家保护级的鸟巢、受保护动物和巢穴，应按国家的有关规定妥善保护。</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（3）中标人在施工区附近的水域，发现受保护的鱼类应立即报告监理人，并按国家有关规定处理。严禁在施工区以外的保护林区捕猎野生动物。</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4.3.2 景观与视觉保护</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（1）施工期间，中标人应负责保护好施工场地附近的风景区、自然保护区及温泉等的景观免受工程施工的影响。</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（2）中标人应做好生活营地周围的绿化和美化工作，保护生态，改善生活环境。修建的各项临时设施应尽可能与周围环境协调。</w:t>
      </w:r>
    </w:p>
    <w:p>
      <w:pPr>
        <w:pStyle w:val="7"/>
        <w:snapToGrid w:val="0"/>
        <w:spacing w:line="360" w:lineRule="exact"/>
        <w:rPr>
          <w:rStyle w:val="52"/>
          <w:rFonts w:hint="eastAsia" w:ascii="仿宋" w:hAnsi="仿宋" w:eastAsia="仿宋" w:cs="仿宋"/>
          <w:b/>
          <w:color w:val="auto"/>
          <w:sz w:val="21"/>
          <w:szCs w:val="21"/>
        </w:rPr>
      </w:pPr>
      <w:bookmarkStart w:id="833" w:name="_Toc339983424"/>
      <w:bookmarkStart w:id="834" w:name="_Toc341965034"/>
      <w:bookmarkStart w:id="835" w:name="_Toc19828"/>
      <w:bookmarkStart w:id="836" w:name="_Toc339224652"/>
      <w:bookmarkStart w:id="837" w:name="_Toc21191"/>
      <w:bookmarkStart w:id="838" w:name="_Toc339482518"/>
      <w:bookmarkStart w:id="839" w:name="_Toc336325350"/>
      <w:bookmarkStart w:id="840" w:name="_Toc336255237"/>
      <w:r>
        <w:rPr>
          <w:rStyle w:val="52"/>
          <w:rFonts w:hint="eastAsia" w:ascii="仿宋" w:hAnsi="仿宋" w:eastAsia="仿宋" w:cs="仿宋"/>
          <w:b/>
          <w:color w:val="auto"/>
          <w:sz w:val="21"/>
          <w:szCs w:val="21"/>
        </w:rPr>
        <w:t>4.4 水土保持</w:t>
      </w:r>
      <w:bookmarkEnd w:id="833"/>
      <w:bookmarkEnd w:id="834"/>
      <w:bookmarkEnd w:id="835"/>
      <w:bookmarkEnd w:id="836"/>
      <w:bookmarkEnd w:id="837"/>
      <w:bookmarkEnd w:id="838"/>
      <w:bookmarkEnd w:id="839"/>
      <w:bookmarkEnd w:id="840"/>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4.4.1 执行水土保持措施计划</w:t>
      </w:r>
    </w:p>
    <w:p>
      <w:pPr>
        <w:snapToGrid w:val="0"/>
        <w:spacing w:line="360" w:lineRule="exact"/>
        <w:ind w:firstLine="404" w:firstLineChars="200"/>
        <w:rPr>
          <w:rFonts w:hint="eastAsia" w:ascii="仿宋" w:hAnsi="仿宋" w:eastAsia="仿宋" w:cs="仿宋"/>
          <w:color w:val="auto"/>
          <w:spacing w:val="-4"/>
          <w:sz w:val="21"/>
          <w:szCs w:val="21"/>
        </w:rPr>
      </w:pPr>
      <w:r>
        <w:rPr>
          <w:rFonts w:hint="eastAsia" w:ascii="仿宋" w:hAnsi="仿宋" w:eastAsia="仿宋" w:cs="仿宋"/>
          <w:color w:val="auto"/>
          <w:spacing w:val="-4"/>
          <w:sz w:val="21"/>
          <w:szCs w:val="21"/>
        </w:rPr>
        <w:t>中标人应按监理人批准的水土保持措施计划，负责实施本合同责任范围内（包括施工开挖的场地、生活区、施工道路和渣场等）的水土保持措施，并在工程结束后，按合同要求进行场地清理和整治。</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4.4.2 做好水土保持工程措施</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（1）中标人应做好场内道路上下边坡水土流失的防治工程措施；施工场地应设置完善的排水系统，防止降雨径流对施工场地和渣场的冲刷。</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（2）中标人应按监理人批准的水土保持工程措施，做好料场、渣场的挡护、排水等工程措施和植物种植保护措施，并负责料场和渣场施工期的维护管理工作。</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（3）中标人应选择不易受径流冲刷侵蚀的场地堆放开挖料和弃渣，并在其堆放场地周边修建临时排水沟引排周边汇水。</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（4）中标人应保护施工场地周边的林草和水土保持设施（包括水库、渠、塘坝、梯田和拦渣坝等），避免或减少由于施工造成的水土流失。</w:t>
      </w:r>
    </w:p>
    <w:p>
      <w:pPr>
        <w:pStyle w:val="7"/>
        <w:snapToGrid w:val="0"/>
        <w:spacing w:line="360" w:lineRule="exact"/>
        <w:rPr>
          <w:rStyle w:val="52"/>
          <w:rFonts w:hint="eastAsia" w:ascii="仿宋" w:hAnsi="仿宋" w:eastAsia="仿宋" w:cs="仿宋"/>
          <w:b/>
          <w:color w:val="auto"/>
          <w:sz w:val="21"/>
          <w:szCs w:val="21"/>
        </w:rPr>
      </w:pPr>
      <w:bookmarkStart w:id="841" w:name="_Toc336255238"/>
      <w:bookmarkStart w:id="842" w:name="_Toc308"/>
      <w:bookmarkStart w:id="843" w:name="_Toc336325351"/>
      <w:bookmarkStart w:id="844" w:name="_Toc30629"/>
      <w:bookmarkStart w:id="845" w:name="_Toc341965035"/>
      <w:bookmarkStart w:id="846" w:name="_Toc339224653"/>
      <w:bookmarkStart w:id="847" w:name="_Toc339482519"/>
      <w:bookmarkStart w:id="848" w:name="_Toc339983425"/>
      <w:r>
        <w:rPr>
          <w:rStyle w:val="52"/>
          <w:rFonts w:hint="eastAsia" w:ascii="仿宋" w:hAnsi="仿宋" w:eastAsia="仿宋" w:cs="仿宋"/>
          <w:b/>
          <w:color w:val="auto"/>
          <w:sz w:val="21"/>
          <w:szCs w:val="21"/>
        </w:rPr>
        <w:t>4.5 环境清理</w:t>
      </w:r>
      <w:bookmarkEnd w:id="841"/>
      <w:bookmarkEnd w:id="842"/>
      <w:bookmarkEnd w:id="843"/>
      <w:bookmarkEnd w:id="844"/>
      <w:bookmarkEnd w:id="845"/>
      <w:bookmarkEnd w:id="846"/>
      <w:bookmarkEnd w:id="847"/>
      <w:bookmarkEnd w:id="848"/>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4.5.1 环境清理措施计划</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中标人应按监理人指示，在工程基本完工后，制定一份环境清理措施计划，提交监理人批准，其内容应包括：</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（1）环境清理范围（包括本合同施工场地及施工场地以外遭受施工损坏的地区）；</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（2）环境保护辅助工程设施；</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（3）植被种植措施。</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4.5.2 环境清理</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（1）在每一施工作业区施工结束后，中标人应及时拆除各种临时建筑结构和各种临时设施（包括已废弃的沉淀池和临时挡洪设施等）。</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（2）完工后，中标人应按计划将所有材料和设备撤离现场，工地范围内废弃的材料、设备及其它生产垃圾应按环境规划要求和（或）监理人指示的方式处理。</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（3）对防治范围内的排水沟道、挡护措施等永久性水土保持设施，应在撤离前进行疏通和修整。按合同要求拆除和撤离的其它设施和结构应及时清理出场。</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（4）中标人应有责任保证其种植的林草按SL 277-2002第7.2.2条第2款规定的“林草恢复期”内成活。</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（5）占用耕地的料场，应在开采前将剥离的耕植土妥善堆存保管，完工后将其返还摊铺，还田复耕。</w:t>
      </w:r>
    </w:p>
    <w:p>
      <w:pPr>
        <w:pStyle w:val="7"/>
        <w:snapToGrid w:val="0"/>
        <w:spacing w:line="360" w:lineRule="exact"/>
        <w:rPr>
          <w:rStyle w:val="52"/>
          <w:rFonts w:hint="eastAsia" w:ascii="仿宋" w:hAnsi="仿宋" w:eastAsia="仿宋" w:cs="仿宋"/>
          <w:b/>
          <w:color w:val="auto"/>
          <w:sz w:val="21"/>
          <w:szCs w:val="21"/>
        </w:rPr>
      </w:pPr>
      <w:bookmarkStart w:id="849" w:name="_Toc336255239"/>
      <w:bookmarkStart w:id="850" w:name="_Toc341965036"/>
      <w:bookmarkStart w:id="851" w:name="_Toc339983426"/>
      <w:bookmarkStart w:id="852" w:name="_Toc4771"/>
      <w:bookmarkStart w:id="853" w:name="_Toc339224654"/>
      <w:bookmarkStart w:id="854" w:name="_Toc339482520"/>
      <w:bookmarkStart w:id="855" w:name="_Toc336325352"/>
      <w:bookmarkStart w:id="856" w:name="_Toc26100"/>
      <w:r>
        <w:rPr>
          <w:rStyle w:val="52"/>
          <w:rFonts w:hint="eastAsia" w:ascii="仿宋" w:hAnsi="仿宋" w:eastAsia="仿宋" w:cs="仿宋"/>
          <w:b/>
          <w:color w:val="auto"/>
          <w:sz w:val="21"/>
          <w:szCs w:val="21"/>
        </w:rPr>
        <w:t>4.6 环境保护工程的验收</w:t>
      </w:r>
      <w:bookmarkEnd w:id="849"/>
      <w:bookmarkEnd w:id="850"/>
      <w:bookmarkEnd w:id="851"/>
      <w:bookmarkEnd w:id="852"/>
      <w:bookmarkEnd w:id="853"/>
      <w:bookmarkEnd w:id="854"/>
      <w:bookmarkEnd w:id="855"/>
      <w:bookmarkEnd w:id="856"/>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4.6.1 施工期环境保护临时设施的检查和验收</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各项施工期环境保护临时设施投入使用前，应由监理人会同环保部门代表与中标人共同进行环境保护临时设施的质量检查和验收。中标人应为上述检查和验收提供以下资料：</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（1）监理人批准的“环境保护及水土保持工程”的施工措施计划；</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（2）各项环境保护临时设施布置图；</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（3）施工质量检查记录；</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（4）生活和生产供水水质、污水和废水处理水质，以及固体废弃物处理效果等的检验和实测资料。</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4.6.2 环境保护和水土保持工程的质量检查和验收</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本章第4.2~4.5节所涉及的本工程环境保护和水土保持设施，包括为环境清理修建的永久性设施，均应由监理人会同环境保护部门代表与中标人共同按国家的环境保护法规和本合同技术条款的有关规定进行质量检查和验收。</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中标人应为上述永久性环境保护设施的检查和验收提供以下资料：</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（1）永久性环境保护工程和设施的各项工程布置图；</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（2）永久性环境保护工程和设施的工程质量检查验收记录；</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（3）植被种植计划的完成情况和检查验收记录；</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（4）“林草恢复期”内，各区植被的维护管理措施。</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4.6.3 永久性环境保护工程的完工验收</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上述条款所列的全部永久性环境保护和水土保持设施项目验收合格后，中标人应按监理人的指示，向招标人提交要求对全部永久性环境保护工程和设施进行完工验收的申请报告。经招标人同意后，由监理人会同中标人和环境保护部门代表共同进行完工验收。中标人应为永久性环境保护工程的完工验收提供以下资料：</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（1）各项永久性环境保护工程的竣工图及其有关的竣工资料；</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（2）各项永久性环境保护工程的质量检查记录和质量鉴定成果；</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（3）监理人要求提交的其它完工验收资料。</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4.7 计量和支付</w:t>
      </w:r>
      <w:bookmarkEnd w:id="816"/>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（1）施工临时设施（包括混凝土生产系统、机修车间、施工现场和生活区临时设施等）的废、</w:t>
      </w:r>
    </w:p>
    <w:p>
      <w:pPr>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污水（或废油）处理设施，应分别包含在与本技术条款第2章“施工临时设施”各自相关的施工临时设施项目中。中标人根据合同要求完成各废、污（或废油）处理设施的建设、移设和拆除工作所需的费用，由招标人按《工程量清单》相应“施工临时设施”的各项总价支付，招标人不另行支付。</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除合同另有约定外，施工场地和生活区的其它零星污水、零星废弃物和生活垃圾处理费用，大气环境保护措施费用和声环境保护措施费用，包含在《工程量清单》相应项目工程单价或总价中，招标人不另行支付。</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（3）未列入《工程量清单》的其它环境保护和水土保持措施，中标人完成这些措施的建设、运行、维护管理和施工期监测等工作所需费用，包含在《工程量清单》相应项目工程单价或总价中，</w:t>
      </w:r>
    </w:p>
    <w:p>
      <w:pPr>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招标人不另行支付。</w:t>
      </w:r>
    </w:p>
    <w:p>
      <w:pPr>
        <w:pStyle w:val="6"/>
        <w:spacing w:line="360" w:lineRule="exact"/>
        <w:jc w:val="center"/>
        <w:rPr>
          <w:rFonts w:hint="eastAsia" w:ascii="仿宋" w:hAnsi="仿宋" w:eastAsia="仿宋" w:cs="仿宋"/>
          <w:color w:val="auto"/>
          <w:sz w:val="21"/>
          <w:szCs w:val="21"/>
        </w:rPr>
      </w:pPr>
      <w:bookmarkStart w:id="857" w:name="_Toc311407730"/>
    </w:p>
    <w:p>
      <w:pPr>
        <w:pStyle w:val="5"/>
        <w:rPr>
          <w:rFonts w:hint="eastAsia" w:ascii="仿宋" w:hAnsi="仿宋" w:eastAsia="仿宋" w:cs="仿宋"/>
          <w:color w:val="auto"/>
        </w:rPr>
      </w:pPr>
    </w:p>
    <w:p>
      <w:pPr>
        <w:pStyle w:val="6"/>
        <w:spacing w:line="360" w:lineRule="auto"/>
        <w:jc w:val="center"/>
        <w:rPr>
          <w:rFonts w:hint="eastAsia" w:ascii="仿宋" w:hAnsi="仿宋" w:eastAsia="仿宋" w:cs="仿宋"/>
          <w:color w:val="auto"/>
          <w:szCs w:val="30"/>
        </w:rPr>
      </w:pPr>
      <w:bookmarkStart w:id="858" w:name="_Toc30028"/>
      <w:bookmarkStart w:id="859" w:name="_Toc13546"/>
      <w:bookmarkStart w:id="860" w:name="_Toc336325360"/>
      <w:r>
        <w:rPr>
          <w:rFonts w:hint="eastAsia" w:ascii="仿宋" w:hAnsi="仿宋" w:eastAsia="仿宋" w:cs="仿宋"/>
          <w:color w:val="auto"/>
          <w:szCs w:val="30"/>
        </w:rPr>
        <w:t>第5节土方明挖</w:t>
      </w:r>
      <w:bookmarkEnd w:id="857"/>
      <w:bookmarkEnd w:id="858"/>
      <w:bookmarkEnd w:id="859"/>
      <w:bookmarkEnd w:id="860"/>
    </w:p>
    <w:p>
      <w:pPr>
        <w:pStyle w:val="7"/>
        <w:snapToGrid w:val="0"/>
        <w:spacing w:line="360" w:lineRule="exact"/>
        <w:rPr>
          <w:rStyle w:val="52"/>
          <w:rFonts w:hint="eastAsia" w:ascii="仿宋" w:hAnsi="仿宋" w:eastAsia="仿宋" w:cs="仿宋"/>
          <w:b/>
          <w:color w:val="auto"/>
          <w:sz w:val="21"/>
          <w:szCs w:val="21"/>
        </w:rPr>
      </w:pPr>
      <w:bookmarkStart w:id="861" w:name="_Toc339983435"/>
      <w:bookmarkStart w:id="862" w:name="_Toc336255248"/>
      <w:bookmarkStart w:id="863" w:name="_Toc339224663"/>
      <w:bookmarkStart w:id="864" w:name="_Toc30165"/>
      <w:bookmarkStart w:id="865" w:name="_Toc29822"/>
      <w:bookmarkStart w:id="866" w:name="_Toc339482529"/>
      <w:bookmarkStart w:id="867" w:name="_Toc341965038"/>
      <w:bookmarkStart w:id="868" w:name="_Toc336325361"/>
      <w:bookmarkStart w:id="869" w:name="_Toc282782379"/>
      <w:r>
        <w:rPr>
          <w:rStyle w:val="52"/>
          <w:rFonts w:hint="eastAsia" w:ascii="仿宋" w:hAnsi="仿宋" w:eastAsia="仿宋" w:cs="仿宋"/>
          <w:b/>
          <w:color w:val="auto"/>
          <w:sz w:val="21"/>
          <w:szCs w:val="21"/>
        </w:rPr>
        <w:t>5.1 一般规定</w:t>
      </w:r>
      <w:bookmarkEnd w:id="861"/>
      <w:bookmarkEnd w:id="862"/>
      <w:bookmarkEnd w:id="863"/>
      <w:bookmarkEnd w:id="864"/>
      <w:bookmarkEnd w:id="865"/>
      <w:bookmarkEnd w:id="866"/>
      <w:bookmarkEnd w:id="867"/>
      <w:bookmarkEnd w:id="868"/>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5.1.1 应用范围</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（1）本章规定适用于本合同施工图纸所示的永久和临时工程建筑物的基础、边坡、土料场和砂石料场及其覆盖层等的明挖工程。</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（2）本章不包括膨胀性土、多年冻土等特殊地质条件的土方工程。</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5.1.2 中标人责任</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（1）中标人应根据本合同施工图纸和监理人的指示，按建筑物土方明挖工程的开挖进行开挖施工。</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（2）中标人应对开挖过程中可能引起的滑坡和崩塌体，采取有效的预防性保护措施；在陡坡下施工，应事先做好安全清理和支护。</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（3）在已有建筑物附近进行开挖时，中标人必须采取可靠的施工措施，保证其原有建物的稳定和安全，并尽可能做到不影响其正常使用。</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（4）中标人应在开挖的危险作业地带设置安全防护设施和明显的安全警示标志。</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5.1.3 主要提交件</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（1）开挖放样资料</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每项单位工程开工前</w:t>
      </w:r>
      <w:r>
        <w:rPr>
          <w:rFonts w:hint="eastAsia" w:ascii="仿宋" w:hAnsi="仿宋" w:eastAsia="仿宋" w:cs="仿宋"/>
          <w:color w:val="auto"/>
          <w:sz w:val="21"/>
          <w:szCs w:val="21"/>
          <w:u w:val="single"/>
        </w:rPr>
        <w:t>_14_</w:t>
      </w:r>
      <w:r>
        <w:rPr>
          <w:rFonts w:hint="eastAsia" w:ascii="仿宋" w:hAnsi="仿宋" w:eastAsia="仿宋" w:cs="仿宋"/>
          <w:color w:val="auto"/>
          <w:sz w:val="21"/>
          <w:szCs w:val="21"/>
        </w:rPr>
        <w:t>天，中标人应将开挖前实测地形和开挖放样剖面图提交监理人批准，批准后方可进行开挖。</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（2）施工措施计划</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中标人应在本工程或每项单位工程开工前</w:t>
      </w:r>
      <w:r>
        <w:rPr>
          <w:rFonts w:hint="eastAsia" w:ascii="仿宋" w:hAnsi="仿宋" w:eastAsia="仿宋" w:cs="仿宋"/>
          <w:color w:val="auto"/>
          <w:sz w:val="21"/>
          <w:szCs w:val="21"/>
          <w:u w:val="single"/>
        </w:rPr>
        <w:t>_14_</w:t>
      </w:r>
      <w:r>
        <w:rPr>
          <w:rFonts w:hint="eastAsia" w:ascii="仿宋" w:hAnsi="仿宋" w:eastAsia="仿宋" w:cs="仿宋"/>
          <w:color w:val="auto"/>
          <w:sz w:val="21"/>
          <w:szCs w:val="21"/>
        </w:rPr>
        <w:t>天，按施工图纸和监理人指示，编制土方明挖工程的施工措施计划，提交监理人批准，其内容包括：</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1）开挖施工平面布置图（含施工交通线路布置图）；</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2）开挖程序与开挖方法；</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3）施工设备的配置和劳动力安排；</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4）开挖边坡的排水和边坡保护措施；</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5）土料利用和弃渣措施；</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6）质量与安全保证措施；</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7）主要开挖工程施工进度计划等。</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5.1.4 引用标准</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（1）《水利工程工程量清单计价规范》（GB 50501-2007)；</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（2）《水利水电工程施工组织设计规范》（SL 303-2017）。</w:t>
      </w:r>
    </w:p>
    <w:p>
      <w:pPr>
        <w:pStyle w:val="7"/>
        <w:snapToGrid w:val="0"/>
        <w:spacing w:line="360" w:lineRule="exact"/>
        <w:rPr>
          <w:rStyle w:val="52"/>
          <w:rFonts w:hint="eastAsia" w:ascii="仿宋" w:hAnsi="仿宋" w:eastAsia="仿宋" w:cs="仿宋"/>
          <w:b/>
          <w:color w:val="auto"/>
          <w:sz w:val="21"/>
          <w:szCs w:val="21"/>
        </w:rPr>
      </w:pPr>
      <w:bookmarkStart w:id="870" w:name="_Toc502"/>
      <w:bookmarkStart w:id="871" w:name="_Toc336255249"/>
      <w:bookmarkStart w:id="872" w:name="_Toc339482530"/>
      <w:bookmarkStart w:id="873" w:name="_Toc339224664"/>
      <w:bookmarkStart w:id="874" w:name="_Toc341965039"/>
      <w:bookmarkStart w:id="875" w:name="_Toc336325362"/>
      <w:bookmarkStart w:id="876" w:name="_Toc12477"/>
      <w:bookmarkStart w:id="877" w:name="_Toc339983436"/>
      <w:r>
        <w:rPr>
          <w:rStyle w:val="52"/>
          <w:rFonts w:hint="eastAsia" w:ascii="仿宋" w:hAnsi="仿宋" w:eastAsia="仿宋" w:cs="仿宋"/>
          <w:b/>
          <w:color w:val="auto"/>
          <w:sz w:val="21"/>
          <w:szCs w:val="21"/>
        </w:rPr>
        <w:t>5.2 场地清理</w:t>
      </w:r>
      <w:bookmarkEnd w:id="870"/>
      <w:bookmarkEnd w:id="871"/>
      <w:bookmarkEnd w:id="872"/>
      <w:bookmarkEnd w:id="873"/>
      <w:bookmarkEnd w:id="874"/>
      <w:bookmarkEnd w:id="875"/>
      <w:bookmarkEnd w:id="876"/>
      <w:bookmarkEnd w:id="877"/>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场地清理包括植被清理和表土开挖。其范围包括永久和临时工程、料场、存弃渣场等施工用地需要清理的区域地表。</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5.2.1 植被清理</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（1）在场地开挖前，中标人应清理开挖区域内的树根、杂草、垃圾、废渣及其它有碍物，主体工程植被清理的挖除树根范围应延伸到离施工图纸所示最大开挖边线、填筑线或建筑物基础外侧3m距离。</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（2）除合同另有约定外，主体工程施工场地地表的植被清理，必须延伸至离施工图纸所示最大开挖边线或建筑物基础边线（或填筑坡脚线）外侧至少5m距离。</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（3）中标人应注意保护清理区域附近的天然植被，避免因施工不当造成清理区域附近林业和天然植被资源的毁坏，以及对环境保护工作造成的不良后果。</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（4）场地清理范围内，中标人砍伐的成材或清理获得具有商业价值的材料应归招标人所有，中标人应按监理人指示将其运到指定地点。</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（5）凡属无价值的可燃物，中标人应尽快将其焚毁，并按本技术条款第3章规定确保其周边地区的安全。中标人应按指定的地点掩埋废弃物，掩埋物不得妨碍自然排水或污染河川。</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（6）场地清理中发现文物古迹，中标人应按本合同通用合同条款第1.10款的约定办理。</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5.2.2 表土的清挖、堆放和有机土壤的使用</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含细根须、草本植物及覆盖草等植物的表层有机土壤，中标人应按监理人指示和本技术条款第5.5节的规定合理使用有机土壤，并运到指定地点堆放保存，不得任意处置。</w:t>
      </w:r>
    </w:p>
    <w:p>
      <w:pPr>
        <w:pStyle w:val="7"/>
        <w:snapToGrid w:val="0"/>
        <w:spacing w:line="360" w:lineRule="exact"/>
        <w:rPr>
          <w:rStyle w:val="52"/>
          <w:rFonts w:hint="eastAsia" w:ascii="仿宋" w:hAnsi="仿宋" w:eastAsia="仿宋" w:cs="仿宋"/>
          <w:b/>
          <w:color w:val="auto"/>
          <w:sz w:val="21"/>
          <w:szCs w:val="21"/>
        </w:rPr>
      </w:pPr>
      <w:bookmarkStart w:id="878" w:name="_Toc336255250"/>
      <w:bookmarkStart w:id="879" w:name="_Toc341965040"/>
      <w:bookmarkStart w:id="880" w:name="_Toc339983437"/>
      <w:bookmarkStart w:id="881" w:name="_Toc339482531"/>
      <w:bookmarkStart w:id="882" w:name="_Toc20525"/>
      <w:bookmarkStart w:id="883" w:name="_Toc30369"/>
      <w:bookmarkStart w:id="884" w:name="_Toc339224665"/>
      <w:bookmarkStart w:id="885" w:name="_Toc336325363"/>
      <w:r>
        <w:rPr>
          <w:rStyle w:val="52"/>
          <w:rFonts w:hint="eastAsia" w:ascii="仿宋" w:hAnsi="仿宋" w:eastAsia="仿宋" w:cs="仿宋"/>
          <w:b/>
          <w:color w:val="auto"/>
          <w:sz w:val="21"/>
          <w:szCs w:val="21"/>
        </w:rPr>
        <w:t>5.3 土方开</w:t>
      </w:r>
      <w:bookmarkEnd w:id="878"/>
      <w:r>
        <w:rPr>
          <w:rStyle w:val="52"/>
          <w:rFonts w:hint="eastAsia" w:ascii="仿宋" w:hAnsi="仿宋" w:eastAsia="仿宋" w:cs="仿宋"/>
          <w:b/>
          <w:color w:val="auto"/>
          <w:sz w:val="21"/>
          <w:szCs w:val="21"/>
        </w:rPr>
        <w:t>挖</w:t>
      </w:r>
      <w:bookmarkEnd w:id="879"/>
      <w:bookmarkEnd w:id="880"/>
      <w:bookmarkEnd w:id="881"/>
      <w:bookmarkEnd w:id="882"/>
      <w:bookmarkEnd w:id="883"/>
      <w:bookmarkEnd w:id="884"/>
      <w:bookmarkEnd w:id="885"/>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5.3.1 土方定义</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（1）指黄土、粘土、砂土（包括淤沙、粉砂、河砂等）、淤泥、砾质土、砂砾石、松散坍塌体、石渣混合料、软弱的全风化岩体，无须采用爆破技术，直接用手工工具或土方开挖机械进行开挖的土方工程。</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（2）土类开挖级别划分，应符合SL 303-2017表C.1.1的规定。</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5.3.2 开挖区临时道路</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中标人应按SL 303-2017第5.3节的规定，以及监理人批准的施工总布置设计进行场内交通道路布置。</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5.3.3校核测量</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中标人应按施工图纸的要求，校核测量开挖区域的平面位置、水平标高、控制桩号、水准点和边坡坡度等。监理人有权随时抽验中标人的校核测量成果，有必要时，监理人可与中标人联合进行校核测量。</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5.3.4 临时边坡的稳定</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主体工程的临时开挖边坡，应按施工图纸所示或监理人指示进行开挖。对于中标人自行确定的开挖边坡，或临时边坡保留时间过长，经监理人检查有不安全因素时，中标人应立即进行补充开挖和采取保护措施。</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5.3.5 基础和边坡开挖</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基础和边坡开挖的施工方法应符合SL 303-2017第4. 2节的规定。</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5.3.6 边坡的护面和加固</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为防止修整后的开挖边坡遭受雨水冲刷，边坡的护面和加固工作应在雨季前严格按施图纸要求完成。冬季施工的开挖边坡修整及其护面和加固工作，应在解冻后进行。</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5.3.7 开挖线的变更</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在开挖过程中，经监理人批准，中标人可根据土方明挖边坡和基础揭示的地质特性，对施工图纸所示的开挖线作必要修改，涉及合同变更的，应按本合同通用合同条款第15条约定办理。</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5.3.8 边坡安全的应急措施</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若开挖过程中出现裂缝和滑动迹象时，中标人应立即暂停施工，并通知监理人。必要时中标人应按监理人的指示设置观测点，及时观测边坡变化情况，并做好记录。</w:t>
      </w:r>
    </w:p>
    <w:p>
      <w:pPr>
        <w:pStyle w:val="7"/>
        <w:snapToGrid w:val="0"/>
        <w:spacing w:line="360" w:lineRule="exact"/>
        <w:rPr>
          <w:rStyle w:val="52"/>
          <w:rFonts w:hint="eastAsia" w:ascii="仿宋" w:hAnsi="仿宋" w:eastAsia="仿宋" w:cs="仿宋"/>
          <w:b/>
          <w:color w:val="auto"/>
          <w:sz w:val="21"/>
          <w:szCs w:val="21"/>
        </w:rPr>
      </w:pPr>
      <w:bookmarkStart w:id="886" w:name="_Toc31835"/>
      <w:bookmarkStart w:id="887" w:name="_Toc336255251"/>
      <w:bookmarkStart w:id="888" w:name="_Toc17239"/>
      <w:bookmarkStart w:id="889" w:name="_Toc339224666"/>
      <w:bookmarkStart w:id="890" w:name="_Toc341965041"/>
      <w:bookmarkStart w:id="891" w:name="_Toc339482532"/>
      <w:bookmarkStart w:id="892" w:name="_Toc336325364"/>
      <w:bookmarkStart w:id="893" w:name="_Toc339983438"/>
      <w:r>
        <w:rPr>
          <w:rStyle w:val="52"/>
          <w:rFonts w:hint="eastAsia" w:ascii="仿宋" w:hAnsi="仿宋" w:eastAsia="仿宋" w:cs="仿宋"/>
          <w:b/>
          <w:color w:val="auto"/>
          <w:sz w:val="21"/>
          <w:szCs w:val="21"/>
        </w:rPr>
        <w:t>5.4 施工期临时排水</w:t>
      </w:r>
      <w:bookmarkEnd w:id="886"/>
      <w:bookmarkEnd w:id="887"/>
      <w:bookmarkEnd w:id="888"/>
      <w:bookmarkEnd w:id="889"/>
      <w:bookmarkEnd w:id="890"/>
      <w:bookmarkEnd w:id="891"/>
      <w:bookmarkEnd w:id="892"/>
      <w:bookmarkEnd w:id="893"/>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5.4.1 排水措施</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（1）中标人应在每项开挖工程开始前，结合永久性排水设施的布置，规划好开挖区域内的临时性排水措施，保证主体工程建筑物的基础开挖在干地施工。</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（2）中标人应在边坡开挖前，按施工图纸要求完成边坡上部永久性山坡截水沟的开挖和衬护。对其上部未设置永久性山坡截水沟的边坡面，应由中标人自行加设临时性山坡截水沟。</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（3）在开挖过程中，中标人应做好地面排水设施，包括保持必要的地面排水坡度、设置临时坑槽、使用机械排除积水，以及开挖排水沟道排走雨水和地面积水等。</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（4）在平地或凹地进行开挖时，中标人应在开挖区周围设置挡水堤和开挖周边排水沟，以及采取集水坑抽水等措施，阻止场外水流进入场地，并有效排除积水。</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5.4.2 保护永久建筑物和永久边坡免受冲刷</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中标人的临时排水措施，应注意保护已开挖的永久边坡面及附近建筑物及其基础免受冲刷和侵蚀破坏。</w:t>
      </w:r>
    </w:p>
    <w:p>
      <w:pPr>
        <w:pStyle w:val="7"/>
        <w:snapToGrid w:val="0"/>
        <w:spacing w:line="360" w:lineRule="exact"/>
        <w:rPr>
          <w:rStyle w:val="52"/>
          <w:rFonts w:hint="eastAsia" w:ascii="仿宋" w:hAnsi="仿宋" w:eastAsia="仿宋" w:cs="仿宋"/>
          <w:b/>
          <w:color w:val="auto"/>
          <w:sz w:val="21"/>
          <w:szCs w:val="21"/>
        </w:rPr>
      </w:pPr>
      <w:bookmarkStart w:id="894" w:name="_Toc339482533"/>
      <w:bookmarkStart w:id="895" w:name="_Toc28574"/>
      <w:bookmarkStart w:id="896" w:name="_Toc339224667"/>
      <w:bookmarkStart w:id="897" w:name="_Toc336325365"/>
      <w:bookmarkStart w:id="898" w:name="_Toc20271"/>
      <w:bookmarkStart w:id="899" w:name="_Toc341965042"/>
      <w:bookmarkStart w:id="900" w:name="_Toc339983439"/>
      <w:bookmarkStart w:id="901" w:name="_Toc336255252"/>
      <w:r>
        <w:rPr>
          <w:rStyle w:val="52"/>
          <w:rFonts w:hint="eastAsia" w:ascii="仿宋" w:hAnsi="仿宋" w:eastAsia="仿宋" w:cs="仿宋"/>
          <w:b/>
          <w:color w:val="auto"/>
          <w:sz w:val="21"/>
          <w:szCs w:val="21"/>
        </w:rPr>
        <w:t>5.5 土料场</w:t>
      </w:r>
      <w:bookmarkEnd w:id="894"/>
      <w:bookmarkEnd w:id="895"/>
      <w:bookmarkEnd w:id="896"/>
      <w:bookmarkEnd w:id="897"/>
      <w:bookmarkEnd w:id="898"/>
      <w:bookmarkEnd w:id="899"/>
      <w:bookmarkEnd w:id="900"/>
      <w:bookmarkEnd w:id="901"/>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5.5.1 料场开采</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（1）土料场周围及开采区内，应按本章第5.4节的规定设置有效的排水系统和采取必要的防洪措施，以保证土料质量和开挖工作的顺利进行。</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（2）土料的开采和加工处理应符合SL 303-2017第4.4.9条、第4.4.10条的规定。</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5.5.2 开采结束后的料场整治</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料场取料结束后，中标人应按招标人的环境恢复设计及其施工措施计划，以及监理人指示，进行以下料场整治和环境恢复工作。包括：</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（1）开挖边坡面的整治。</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（2）修建环境保护的辅助工程设施。</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（3）按批准的环境恢复要求恢复植被和农田。</w:t>
      </w:r>
    </w:p>
    <w:p>
      <w:pPr>
        <w:pStyle w:val="7"/>
        <w:snapToGrid w:val="0"/>
        <w:spacing w:line="360" w:lineRule="exact"/>
        <w:rPr>
          <w:rStyle w:val="52"/>
          <w:rFonts w:hint="eastAsia" w:ascii="仿宋" w:hAnsi="仿宋" w:eastAsia="仿宋" w:cs="仿宋"/>
          <w:b/>
          <w:color w:val="auto"/>
          <w:sz w:val="21"/>
          <w:szCs w:val="21"/>
        </w:rPr>
      </w:pPr>
      <w:bookmarkStart w:id="902" w:name="_Toc341965043"/>
      <w:bookmarkStart w:id="903" w:name="_Toc10983"/>
      <w:bookmarkStart w:id="904" w:name="_Toc339482534"/>
      <w:bookmarkStart w:id="905" w:name="_Toc336325366"/>
      <w:bookmarkStart w:id="906" w:name="_Toc336255253"/>
      <w:bookmarkStart w:id="907" w:name="_Toc339983440"/>
      <w:bookmarkStart w:id="908" w:name="_Toc339224668"/>
      <w:bookmarkStart w:id="909" w:name="_Toc15646"/>
      <w:r>
        <w:rPr>
          <w:rStyle w:val="52"/>
          <w:rFonts w:hint="eastAsia" w:ascii="仿宋" w:hAnsi="仿宋" w:eastAsia="仿宋" w:cs="仿宋"/>
          <w:b/>
          <w:color w:val="auto"/>
          <w:sz w:val="21"/>
          <w:szCs w:val="21"/>
        </w:rPr>
        <w:t>5.6 开挖渣料的利用和弃渣处理</w:t>
      </w:r>
      <w:bookmarkEnd w:id="902"/>
      <w:bookmarkEnd w:id="903"/>
      <w:bookmarkEnd w:id="904"/>
      <w:bookmarkEnd w:id="905"/>
      <w:bookmarkEnd w:id="906"/>
      <w:bookmarkEnd w:id="907"/>
      <w:bookmarkEnd w:id="908"/>
      <w:bookmarkEnd w:id="909"/>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5.5.1 可利用渣料的利用</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（1）中标人提交的土方开挖施工措施计划中，应对开挖获得的可利用渣料进行统一规划，渣料应首先专用于本工程永久和临时工程的填筑及场地平整等。</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（2）中标人应按批准的堆渣地点和堆渣方式，将可利用渣料运至指定地点分类堆存。渣料堆体应保持边坡稳定，并设有良好的自由排水措施。</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（3）对监理人确认的可用料，中标人应在开挖、装运、堆存和其它作业时，采取有效的保质措施，保护可利用渣料免受污染和侵蚀。</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5.6.2 弃渣处理</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弃渣应按批准的土方开挖施工措施计划指定的地点有序堆存，防止雨水冲刷流失，危及施工区及周边地区安全。</w:t>
      </w:r>
    </w:p>
    <w:p>
      <w:pPr>
        <w:pStyle w:val="7"/>
        <w:snapToGrid w:val="0"/>
        <w:spacing w:line="360" w:lineRule="exact"/>
        <w:rPr>
          <w:rStyle w:val="52"/>
          <w:rFonts w:hint="eastAsia" w:ascii="仿宋" w:hAnsi="仿宋" w:eastAsia="仿宋" w:cs="仿宋"/>
          <w:b/>
          <w:color w:val="auto"/>
          <w:sz w:val="21"/>
          <w:szCs w:val="21"/>
        </w:rPr>
      </w:pPr>
      <w:bookmarkStart w:id="910" w:name="_Toc339983441"/>
      <w:bookmarkStart w:id="911" w:name="_Toc18626"/>
      <w:bookmarkStart w:id="912" w:name="_Toc336325367"/>
      <w:bookmarkStart w:id="913" w:name="_Toc336255254"/>
      <w:bookmarkStart w:id="914" w:name="_Toc339482535"/>
      <w:bookmarkStart w:id="915" w:name="_Toc341965044"/>
      <w:bookmarkStart w:id="916" w:name="_Toc1118"/>
      <w:bookmarkStart w:id="917" w:name="_Toc339224669"/>
      <w:r>
        <w:rPr>
          <w:rStyle w:val="52"/>
          <w:rFonts w:hint="eastAsia" w:ascii="仿宋" w:hAnsi="仿宋" w:eastAsia="仿宋" w:cs="仿宋"/>
          <w:b/>
          <w:color w:val="auto"/>
          <w:sz w:val="21"/>
          <w:szCs w:val="21"/>
        </w:rPr>
        <w:t>5.7 检查和验收</w:t>
      </w:r>
      <w:bookmarkEnd w:id="910"/>
      <w:bookmarkEnd w:id="911"/>
      <w:bookmarkEnd w:id="912"/>
      <w:bookmarkEnd w:id="913"/>
      <w:bookmarkEnd w:id="914"/>
      <w:bookmarkEnd w:id="915"/>
      <w:bookmarkEnd w:id="916"/>
      <w:bookmarkEnd w:id="917"/>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5.7.1 土方开挖前的检查和验收</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土方开挖前，中标人应会同监理人进行以下各项检查：</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（1）用于开挖工程量计量的原地形测量剖面的复核检查。</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（2）按施工图纸所示的工程建筑物开挖尺寸进行开挖剖面测量放样成果的检查。中标人的开挖剖面放样成果作为工程量计量的原始依据。</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（3）按施工图纸所示进行开挖区周围排水和防洪保护设施的质量检查和验收。</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5.7.2 土方明挖工程完成后的质量检查和验收</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（1）土方基础明挖工程完成后，中标人应会同监理人进行以下各项质量检查和验收：</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1）按施工图纸要求检查工程基础开挖面的平面尺寸、标高和场地平整度；</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2）取样检测基础土的物理力学性质指标。</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（2）基础面覆盖前的质量检验和验收：</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1）基础面覆盖前，应复核检查基础面是否满足本章第5.7.3条第1款的规定；</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2）对已开挖完成的土基基础开挖面，应在坝体（或砌体）填筑前清除表面的松土层，并按监理人批准的施工方法进行压实，受积水侵蚀软化的土壤应予清除，并应在监理人检验合格后立即进行覆盖；</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上述第（1）项基础面开挖完成后的检查验收，与本项规定的在基础面覆盖前进行的基础清理作业后的检验验收是检查和检验目的和性质不同的两次作业，未经监理人同意，中标人不得将这两次作业合并为一次完成。</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（3）永久边坡的检查和验收：</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1）永久边坡的坡度和平整度的复测检查；</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2）边坡永久性排水沟道的坡度和尺寸的复测检查。</w:t>
      </w:r>
    </w:p>
    <w:p>
      <w:pPr>
        <w:pStyle w:val="8"/>
        <w:snapToGrid w:val="0"/>
        <w:spacing w:line="360" w:lineRule="exact"/>
        <w:rPr>
          <w:rStyle w:val="50"/>
          <w:rFonts w:hint="eastAsia" w:ascii="仿宋" w:hAnsi="仿宋" w:eastAsia="仿宋" w:cs="仿宋"/>
          <w:color w:val="auto"/>
          <w:sz w:val="21"/>
          <w:szCs w:val="21"/>
        </w:rPr>
      </w:pPr>
      <w:r>
        <w:rPr>
          <w:rStyle w:val="50"/>
          <w:rFonts w:hint="eastAsia" w:ascii="仿宋" w:hAnsi="仿宋" w:eastAsia="仿宋" w:cs="仿宋"/>
          <w:color w:val="auto"/>
          <w:sz w:val="21"/>
          <w:szCs w:val="21"/>
        </w:rPr>
        <w:t>5.7.3 完工验收</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各项土方明挖工程完工后，中标人应申请完工验收，并提交以下完工验收资料：</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（1）土方明挖工程竣工平面和剖面图；</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（2）质量检查和验收记录；</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（3）监理人要求提供的其它资料。</w:t>
      </w:r>
    </w:p>
    <w:p>
      <w:pPr>
        <w:pStyle w:val="8"/>
        <w:snapToGrid w:val="0"/>
        <w:spacing w:line="360" w:lineRule="exact"/>
        <w:rPr>
          <w:rFonts w:hint="eastAsia" w:ascii="仿宋" w:hAnsi="仿宋" w:eastAsia="仿宋" w:cs="仿宋"/>
          <w:bCs/>
          <w:color w:val="auto"/>
          <w:sz w:val="21"/>
          <w:szCs w:val="21"/>
        </w:rPr>
      </w:pPr>
      <w:r>
        <w:rPr>
          <w:rFonts w:hint="eastAsia" w:ascii="仿宋" w:hAnsi="仿宋" w:eastAsia="仿宋" w:cs="仿宋"/>
          <w:bCs/>
          <w:color w:val="auto"/>
          <w:sz w:val="21"/>
          <w:szCs w:val="21"/>
        </w:rPr>
        <w:t>5.8 计量和支付</w:t>
      </w:r>
      <w:bookmarkEnd w:id="869"/>
    </w:p>
    <w:p>
      <w:pPr>
        <w:tabs>
          <w:tab w:val="left" w:pos="720"/>
        </w:tabs>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 土方明挖的计量和支付应按不同工程项目以及施工图纸所示的不同区域分别列项，以自然方体积立方米（m3）为单位计量，并按《工程量清单》中各相应项目有效工程的每立方米单价进行支付。</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 本章有关所列的植被清理和表土清理工作内容，其所需的全部清理费用应分摊在《工程量清单》相应的土方明挖项目的每立方米单价中，不再单独进行计量和支付。</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 上述土方明挖的单价应包括土方的开挖（含人工辅助开挖）、装卸、运输及其表土开挖、植被清理、边坡整治、基础和边坡面的检查和验收以及地面平整等全部费用。</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 土方明挖开始前，中标人应按监理人指示测量开挖区的地形和计量剖面，报监理人复核，并应按施工图纸或监理人批准的开挖线进行有效工程量的计量。中标人所有计量测量成果都必须经监理人签认。超出支付线的任何超挖工程量和施工附加量的费用均应包括在《工程量清单》所列工程量的每立方米单价中，招标人不再另行支付。</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 在施工前或在开挖过程中，监理人对施工图纸作出的修改，其相应的工程量应按监理人签发的设计修改图进行计算，属于变更范畴的应按本合同《通用合同条款》第39条规定办理。</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(6) 除施工图纸承包明或监理人指定作为永久性排水工程的设施外，一切为土方明挖所需的临时性排水费用（包括排水设备的采购、安装、运行和维修等），均应包括在《工程量清单》各土方明挖项目的单价中。</w:t>
      </w:r>
    </w:p>
    <w:p>
      <w:pPr>
        <w:pStyle w:val="6"/>
        <w:spacing w:line="360" w:lineRule="auto"/>
        <w:jc w:val="center"/>
        <w:rPr>
          <w:rFonts w:hint="eastAsia" w:ascii="仿宋" w:hAnsi="仿宋" w:eastAsia="仿宋" w:cs="仿宋"/>
          <w:color w:val="auto"/>
          <w:sz w:val="21"/>
          <w:szCs w:val="21"/>
        </w:rPr>
      </w:pPr>
      <w:bookmarkStart w:id="918" w:name="_Toc311407731"/>
      <w:bookmarkStart w:id="919" w:name="_Toc336325376"/>
      <w:bookmarkStart w:id="920" w:name="_Toc13043"/>
      <w:bookmarkStart w:id="921" w:name="_Toc19315"/>
      <w:r>
        <w:rPr>
          <w:rFonts w:hint="eastAsia" w:ascii="仿宋" w:hAnsi="仿宋" w:eastAsia="仿宋" w:cs="仿宋"/>
          <w:color w:val="auto"/>
          <w:szCs w:val="30"/>
        </w:rPr>
        <w:t>第6节</w:t>
      </w:r>
      <w:bookmarkEnd w:id="918"/>
      <w:r>
        <w:rPr>
          <w:rFonts w:hint="eastAsia" w:ascii="仿宋" w:hAnsi="仿宋" w:eastAsia="仿宋" w:cs="仿宋"/>
          <w:color w:val="auto"/>
          <w:szCs w:val="30"/>
        </w:rPr>
        <w:t>土石方填筑工程</w:t>
      </w:r>
      <w:bookmarkEnd w:id="919"/>
      <w:bookmarkEnd w:id="920"/>
      <w:bookmarkEnd w:id="921"/>
    </w:p>
    <w:p>
      <w:pPr>
        <w:snapToGrid w:val="0"/>
        <w:spacing w:line="360" w:lineRule="exact"/>
        <w:rPr>
          <w:rFonts w:hint="eastAsia" w:ascii="仿宋" w:hAnsi="仿宋" w:eastAsia="仿宋" w:cs="仿宋"/>
          <w:b/>
          <w:snapToGrid w:val="0"/>
          <w:color w:val="auto"/>
          <w:sz w:val="21"/>
          <w:szCs w:val="21"/>
        </w:rPr>
      </w:pPr>
      <w:r>
        <w:rPr>
          <w:rFonts w:hint="eastAsia" w:ascii="仿宋" w:hAnsi="仿宋" w:eastAsia="仿宋" w:cs="仿宋"/>
          <w:b/>
          <w:snapToGrid w:val="0"/>
          <w:color w:val="auto"/>
          <w:sz w:val="21"/>
          <w:szCs w:val="21"/>
        </w:rPr>
        <w:t>6.1 说明</w:t>
      </w:r>
    </w:p>
    <w:p>
      <w:pPr>
        <w:snapToGrid w:val="0"/>
        <w:spacing w:line="360" w:lineRule="exact"/>
        <w:rPr>
          <w:rFonts w:hint="eastAsia" w:ascii="仿宋" w:hAnsi="仿宋" w:eastAsia="仿宋" w:cs="仿宋"/>
          <w:b/>
          <w:snapToGrid w:val="0"/>
          <w:color w:val="auto"/>
          <w:sz w:val="21"/>
          <w:szCs w:val="21"/>
        </w:rPr>
      </w:pPr>
      <w:r>
        <w:rPr>
          <w:rFonts w:hint="eastAsia" w:ascii="仿宋" w:hAnsi="仿宋" w:eastAsia="仿宋" w:cs="仿宋"/>
          <w:b/>
          <w:snapToGrid w:val="0"/>
          <w:color w:val="auto"/>
          <w:sz w:val="21"/>
          <w:szCs w:val="21"/>
        </w:rPr>
        <w:t>6.1.1 范围</w:t>
      </w:r>
    </w:p>
    <w:p>
      <w:pPr>
        <w:pStyle w:val="5"/>
        <w:snapToGrid w:val="0"/>
        <w:spacing w:line="360" w:lineRule="exact"/>
        <w:ind w:firstLine="476" w:firstLineChars="227"/>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本章规定适用于本工程施工图纸所示的堤的填筑的施工。其工作内容包括：土方料源平衡；各种土料（含反滤层、垫层、过渡层等）的填筑、碾压和接缝处理；排水设施和护坡以及各项工作内容的质量检查和验收等。</w:t>
      </w:r>
    </w:p>
    <w:p>
      <w:pPr>
        <w:snapToGrid w:val="0"/>
        <w:spacing w:line="360" w:lineRule="exact"/>
        <w:rPr>
          <w:rFonts w:hint="eastAsia" w:ascii="仿宋" w:hAnsi="仿宋" w:eastAsia="仿宋" w:cs="仿宋"/>
          <w:b/>
          <w:snapToGrid w:val="0"/>
          <w:color w:val="auto"/>
          <w:sz w:val="21"/>
          <w:szCs w:val="21"/>
        </w:rPr>
      </w:pPr>
      <w:r>
        <w:rPr>
          <w:rFonts w:hint="eastAsia" w:ascii="仿宋" w:hAnsi="仿宋" w:eastAsia="仿宋" w:cs="仿宋"/>
          <w:b/>
          <w:snapToGrid w:val="0"/>
          <w:color w:val="auto"/>
          <w:sz w:val="21"/>
          <w:szCs w:val="21"/>
        </w:rPr>
        <w:t>6.1.2 中标人的责任</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(1)中标人应根据本工程土、石料的统一规划，以及工程施工总进度的安排，做好建筑物开挖料、料场开采料和回填填筑料的供求平衡。</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(2)在施工过程中，中标人应做到施工的合理安排，填筑面层次分明，作业面平整。填筑竣工后，应修整堤坝坡面平整，颜色均匀。</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(3)在填筑过程中，中标人应采取有效措施，保护已埋设仪器和测量标志。</w:t>
      </w:r>
    </w:p>
    <w:p>
      <w:pPr>
        <w:snapToGrid w:val="0"/>
        <w:spacing w:line="360" w:lineRule="exact"/>
        <w:rPr>
          <w:rFonts w:hint="eastAsia" w:ascii="仿宋" w:hAnsi="仿宋" w:eastAsia="仿宋" w:cs="仿宋"/>
          <w:b/>
          <w:snapToGrid w:val="0"/>
          <w:color w:val="auto"/>
          <w:sz w:val="21"/>
          <w:szCs w:val="21"/>
        </w:rPr>
      </w:pPr>
      <w:r>
        <w:rPr>
          <w:rFonts w:hint="eastAsia" w:ascii="仿宋" w:hAnsi="仿宋" w:eastAsia="仿宋" w:cs="仿宋"/>
          <w:b/>
          <w:snapToGrid w:val="0"/>
          <w:color w:val="auto"/>
          <w:sz w:val="21"/>
          <w:szCs w:val="21"/>
        </w:rPr>
        <w:t>6.2 主要提交件</w:t>
      </w:r>
    </w:p>
    <w:p>
      <w:pPr>
        <w:snapToGrid w:val="0"/>
        <w:spacing w:line="360" w:lineRule="exact"/>
        <w:rPr>
          <w:rFonts w:hint="eastAsia" w:ascii="仿宋" w:hAnsi="仿宋" w:eastAsia="仿宋" w:cs="仿宋"/>
          <w:b/>
          <w:snapToGrid w:val="0"/>
          <w:color w:val="auto"/>
          <w:sz w:val="21"/>
          <w:szCs w:val="21"/>
        </w:rPr>
      </w:pPr>
      <w:r>
        <w:rPr>
          <w:rFonts w:hint="eastAsia" w:ascii="仿宋" w:hAnsi="仿宋" w:eastAsia="仿宋" w:cs="仿宋"/>
          <w:b/>
          <w:snapToGrid w:val="0"/>
          <w:color w:val="auto"/>
          <w:sz w:val="21"/>
          <w:szCs w:val="21"/>
        </w:rPr>
        <w:t>6.2.1 土石方填筑施工措施计划</w:t>
      </w:r>
    </w:p>
    <w:p>
      <w:pPr>
        <w:pStyle w:val="5"/>
        <w:snapToGrid w:val="0"/>
        <w:spacing w:line="360" w:lineRule="exact"/>
        <w:ind w:firstLine="476" w:firstLineChars="227"/>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在土石料填筑工程开工前28天，中标人应按施工图纸要求和监理人指示，提交一份包括下列内容的施工措施计划，报送监理人审批。</w:t>
      </w:r>
    </w:p>
    <w:p>
      <w:pPr>
        <w:pStyle w:val="5"/>
        <w:snapToGrid w:val="0"/>
        <w:spacing w:line="360" w:lineRule="exact"/>
        <w:ind w:firstLine="476" w:firstLineChars="227"/>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（1）施工布置图；</w:t>
      </w:r>
    </w:p>
    <w:p>
      <w:pPr>
        <w:pStyle w:val="5"/>
        <w:snapToGrid w:val="0"/>
        <w:spacing w:line="360" w:lineRule="exact"/>
        <w:ind w:firstLine="476" w:firstLineChars="227"/>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（2）土石方填筑程序和方法；</w:t>
      </w:r>
    </w:p>
    <w:p>
      <w:pPr>
        <w:pStyle w:val="5"/>
        <w:snapToGrid w:val="0"/>
        <w:spacing w:line="360" w:lineRule="exact"/>
        <w:ind w:firstLine="476" w:firstLineChars="227"/>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（3）填料加工的要求和料物供应；</w:t>
      </w:r>
    </w:p>
    <w:p>
      <w:pPr>
        <w:pStyle w:val="5"/>
        <w:snapToGrid w:val="0"/>
        <w:spacing w:line="360" w:lineRule="exact"/>
        <w:ind w:firstLine="476" w:firstLineChars="227"/>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（4）土石方平衡计划；</w:t>
      </w:r>
    </w:p>
    <w:p>
      <w:pPr>
        <w:pStyle w:val="5"/>
        <w:snapToGrid w:val="0"/>
        <w:spacing w:line="360" w:lineRule="exact"/>
        <w:ind w:firstLine="476" w:firstLineChars="227"/>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（5）防渗结构的施工措施和方法；</w:t>
      </w:r>
    </w:p>
    <w:p>
      <w:pPr>
        <w:pStyle w:val="5"/>
        <w:snapToGrid w:val="0"/>
        <w:spacing w:line="360" w:lineRule="exact"/>
        <w:ind w:firstLine="476" w:firstLineChars="227"/>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（6）施工设备和设施的配置；</w:t>
      </w:r>
    </w:p>
    <w:p>
      <w:pPr>
        <w:pStyle w:val="5"/>
        <w:snapToGrid w:val="0"/>
        <w:spacing w:line="360" w:lineRule="exact"/>
        <w:ind w:firstLine="476" w:firstLineChars="227"/>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（7）质量与安全保证措施；</w:t>
      </w:r>
    </w:p>
    <w:p>
      <w:pPr>
        <w:pStyle w:val="5"/>
        <w:snapToGrid w:val="0"/>
        <w:spacing w:line="360" w:lineRule="exact"/>
        <w:ind w:firstLine="476" w:firstLineChars="227"/>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（8）施工进度计划。</w:t>
      </w:r>
    </w:p>
    <w:p>
      <w:pPr>
        <w:snapToGrid w:val="0"/>
        <w:spacing w:line="360" w:lineRule="exact"/>
        <w:rPr>
          <w:rFonts w:hint="eastAsia" w:ascii="仿宋" w:hAnsi="仿宋" w:eastAsia="仿宋" w:cs="仿宋"/>
          <w:color w:val="auto"/>
          <w:sz w:val="21"/>
          <w:szCs w:val="21"/>
        </w:rPr>
      </w:pPr>
      <w:r>
        <w:rPr>
          <w:rFonts w:hint="eastAsia" w:ascii="仿宋" w:hAnsi="仿宋" w:eastAsia="仿宋" w:cs="仿宋"/>
          <w:b/>
          <w:snapToGrid w:val="0"/>
          <w:color w:val="auto"/>
          <w:sz w:val="21"/>
          <w:szCs w:val="21"/>
        </w:rPr>
        <w:t>6.2.2 地形测量资料</w:t>
      </w:r>
    </w:p>
    <w:p>
      <w:pPr>
        <w:pStyle w:val="5"/>
        <w:snapToGrid w:val="0"/>
        <w:spacing w:line="360" w:lineRule="exact"/>
        <w:ind w:firstLine="476" w:firstLineChars="227"/>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土石方填筑工程开工前</w:t>
      </w:r>
      <w:r>
        <w:rPr>
          <w:rFonts w:hint="eastAsia" w:ascii="仿宋" w:hAnsi="仿宋" w:eastAsia="仿宋" w:cs="仿宋"/>
          <w:snapToGrid w:val="0"/>
          <w:color w:val="auto"/>
          <w:sz w:val="21"/>
          <w:szCs w:val="21"/>
          <w:u w:val="single"/>
        </w:rPr>
        <w:t>28</w:t>
      </w:r>
      <w:r>
        <w:rPr>
          <w:rFonts w:hint="eastAsia" w:ascii="仿宋" w:hAnsi="仿宋" w:eastAsia="仿宋" w:cs="仿宋"/>
          <w:snapToGrid w:val="0"/>
          <w:color w:val="auto"/>
          <w:sz w:val="21"/>
          <w:szCs w:val="21"/>
        </w:rPr>
        <w:t>天，中标人应将填筑区基础开挖验收后实测的平、剖面地形测量资料报送监理人，经监理人签认的地形测量资料作为填筑工程量计量的原始依据。</w:t>
      </w:r>
    </w:p>
    <w:p>
      <w:pPr>
        <w:snapToGrid w:val="0"/>
        <w:spacing w:line="360" w:lineRule="exact"/>
        <w:rPr>
          <w:rFonts w:hint="eastAsia" w:ascii="仿宋" w:hAnsi="仿宋" w:eastAsia="仿宋" w:cs="仿宋"/>
          <w:b/>
          <w:snapToGrid w:val="0"/>
          <w:color w:val="auto"/>
          <w:sz w:val="21"/>
          <w:szCs w:val="21"/>
        </w:rPr>
      </w:pPr>
      <w:r>
        <w:rPr>
          <w:rFonts w:hint="eastAsia" w:ascii="仿宋" w:hAnsi="仿宋" w:eastAsia="仿宋" w:cs="仿宋"/>
          <w:b/>
          <w:snapToGrid w:val="0"/>
          <w:color w:val="auto"/>
          <w:sz w:val="21"/>
          <w:szCs w:val="21"/>
        </w:rPr>
        <w:t>6.2.3 现场生产性试验计划和试验成果报告</w:t>
      </w:r>
    </w:p>
    <w:p>
      <w:pPr>
        <w:pStyle w:val="5"/>
        <w:snapToGrid w:val="0"/>
        <w:spacing w:line="360" w:lineRule="exact"/>
        <w:ind w:firstLine="476" w:firstLineChars="227"/>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土石方填筑工程开工前42天，中标人应根据本技术条款有关规定获得的料场复查资料，以及根据本技术条款有关料场规划中提供的各种土石方填筑料源，提交一份包括本章有关所列工作内容的现场生产性试验计划，报送监理人审批，试验成果应报送监理人。</w:t>
      </w:r>
    </w:p>
    <w:p>
      <w:pPr>
        <w:snapToGrid w:val="0"/>
        <w:spacing w:line="360" w:lineRule="exact"/>
        <w:rPr>
          <w:rFonts w:hint="eastAsia" w:ascii="仿宋" w:hAnsi="仿宋" w:eastAsia="仿宋" w:cs="仿宋"/>
          <w:b/>
          <w:snapToGrid w:val="0"/>
          <w:color w:val="auto"/>
          <w:sz w:val="21"/>
          <w:szCs w:val="21"/>
        </w:rPr>
      </w:pPr>
      <w:r>
        <w:rPr>
          <w:rFonts w:hint="eastAsia" w:ascii="仿宋" w:hAnsi="仿宋" w:eastAsia="仿宋" w:cs="仿宋"/>
          <w:b/>
          <w:snapToGrid w:val="0"/>
          <w:color w:val="auto"/>
          <w:sz w:val="21"/>
          <w:szCs w:val="21"/>
        </w:rPr>
        <w:t>6.2.4 完工验收资料</w:t>
      </w:r>
    </w:p>
    <w:p>
      <w:pPr>
        <w:pStyle w:val="5"/>
        <w:snapToGrid w:val="0"/>
        <w:spacing w:line="360" w:lineRule="exact"/>
        <w:ind w:firstLine="476" w:firstLineChars="227"/>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土石方填筑工程完工后，中标人应按本合同《通用合同条款》的规定，为监理人进行完工验收提交以下完工资料：</w:t>
      </w:r>
    </w:p>
    <w:p>
      <w:pPr>
        <w:pStyle w:val="5"/>
        <w:snapToGrid w:val="0"/>
        <w:spacing w:line="360" w:lineRule="exact"/>
        <w:ind w:firstLine="476" w:firstLineChars="227"/>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（1）土石方填筑工程（包括填筑体防渗结构）竣工图；</w:t>
      </w:r>
    </w:p>
    <w:p>
      <w:pPr>
        <w:pStyle w:val="5"/>
        <w:snapToGrid w:val="0"/>
        <w:spacing w:line="360" w:lineRule="exact"/>
        <w:ind w:firstLine="476" w:firstLineChars="227"/>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（2）土石方填筑工程基础地质编录资料；</w:t>
      </w:r>
    </w:p>
    <w:p>
      <w:pPr>
        <w:pStyle w:val="5"/>
        <w:snapToGrid w:val="0"/>
        <w:spacing w:line="360" w:lineRule="exact"/>
        <w:ind w:firstLine="476" w:firstLineChars="227"/>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（3）土石料填筑现场生产性试验成果；</w:t>
      </w:r>
    </w:p>
    <w:p>
      <w:pPr>
        <w:pStyle w:val="5"/>
        <w:snapToGrid w:val="0"/>
        <w:spacing w:line="360" w:lineRule="exact"/>
        <w:ind w:firstLine="476" w:firstLineChars="227"/>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（4）各土石方填筑体的材料填筑质量和防渗结构施工质量报告；</w:t>
      </w:r>
    </w:p>
    <w:p>
      <w:pPr>
        <w:pStyle w:val="5"/>
        <w:snapToGrid w:val="0"/>
        <w:spacing w:line="360" w:lineRule="exact"/>
        <w:ind w:firstLine="476" w:firstLineChars="227"/>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（5）施工期的观测成果；</w:t>
      </w:r>
    </w:p>
    <w:p>
      <w:pPr>
        <w:pStyle w:val="5"/>
        <w:snapToGrid w:val="0"/>
        <w:spacing w:line="360" w:lineRule="exact"/>
        <w:ind w:firstLine="476" w:firstLineChars="227"/>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（6）质量事故处理报告；</w:t>
      </w:r>
    </w:p>
    <w:p>
      <w:pPr>
        <w:pStyle w:val="5"/>
        <w:snapToGrid w:val="0"/>
        <w:spacing w:line="360" w:lineRule="exact"/>
        <w:ind w:firstLine="476" w:firstLineChars="227"/>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（7）工程隐蔽部位的检查验收报告；</w:t>
      </w:r>
    </w:p>
    <w:p>
      <w:pPr>
        <w:pStyle w:val="5"/>
        <w:snapToGrid w:val="0"/>
        <w:spacing w:line="360" w:lineRule="exact"/>
        <w:ind w:firstLine="476" w:firstLineChars="227"/>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（8）监理人要求提供的其他资料。</w:t>
      </w:r>
    </w:p>
    <w:p>
      <w:pPr>
        <w:snapToGrid w:val="0"/>
        <w:spacing w:line="360" w:lineRule="exact"/>
        <w:rPr>
          <w:rFonts w:hint="eastAsia" w:ascii="仿宋" w:hAnsi="仿宋" w:eastAsia="仿宋" w:cs="仿宋"/>
          <w:b/>
          <w:snapToGrid w:val="0"/>
          <w:color w:val="auto"/>
          <w:sz w:val="21"/>
          <w:szCs w:val="21"/>
        </w:rPr>
      </w:pPr>
      <w:r>
        <w:rPr>
          <w:rFonts w:hint="eastAsia" w:ascii="仿宋" w:hAnsi="仿宋" w:eastAsia="仿宋" w:cs="仿宋"/>
          <w:b/>
          <w:snapToGrid w:val="0"/>
          <w:color w:val="auto"/>
          <w:sz w:val="21"/>
          <w:szCs w:val="21"/>
        </w:rPr>
        <w:t>6.3 引用标准和规程规范</w:t>
      </w:r>
    </w:p>
    <w:p>
      <w:pPr>
        <w:pStyle w:val="5"/>
        <w:snapToGrid w:val="0"/>
        <w:spacing w:line="360" w:lineRule="exact"/>
        <w:ind w:firstLine="476" w:firstLineChars="227"/>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⑴ 《碾压式土石坝施工规范》 DL/T5129－2013；</w:t>
      </w:r>
    </w:p>
    <w:p>
      <w:pPr>
        <w:pStyle w:val="5"/>
        <w:snapToGrid w:val="0"/>
        <w:spacing w:line="360" w:lineRule="exact"/>
        <w:ind w:firstLine="476" w:firstLineChars="227"/>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⑵《水利水电工程施工组织设计规范》(SL303-2017)；</w:t>
      </w:r>
    </w:p>
    <w:p>
      <w:pPr>
        <w:pStyle w:val="5"/>
        <w:snapToGrid w:val="0"/>
        <w:spacing w:line="360" w:lineRule="exact"/>
        <w:ind w:firstLine="476" w:firstLineChars="227"/>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⑶《堤防工程施工规范》SL260-2014；</w:t>
      </w:r>
    </w:p>
    <w:p>
      <w:pPr>
        <w:pStyle w:val="5"/>
        <w:snapToGrid w:val="0"/>
        <w:spacing w:line="360" w:lineRule="exact"/>
        <w:ind w:firstLine="476" w:firstLineChars="227"/>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⑷《土工试验规程》 SL237－1999；</w:t>
      </w:r>
    </w:p>
    <w:p>
      <w:pPr>
        <w:pStyle w:val="5"/>
        <w:snapToGrid w:val="0"/>
        <w:spacing w:line="360" w:lineRule="exact"/>
        <w:ind w:firstLine="476" w:firstLineChars="227"/>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⑸ 本章各专项施工技术涉及的其它有关标准和规程规范。</w:t>
      </w:r>
    </w:p>
    <w:p>
      <w:pPr>
        <w:snapToGrid w:val="0"/>
        <w:spacing w:line="360" w:lineRule="exact"/>
        <w:rPr>
          <w:rFonts w:hint="eastAsia" w:ascii="仿宋" w:hAnsi="仿宋" w:eastAsia="仿宋" w:cs="仿宋"/>
          <w:b/>
          <w:snapToGrid w:val="0"/>
          <w:color w:val="auto"/>
          <w:sz w:val="21"/>
          <w:szCs w:val="21"/>
        </w:rPr>
      </w:pPr>
      <w:bookmarkStart w:id="922" w:name="_Toc333835511"/>
      <w:r>
        <w:rPr>
          <w:rFonts w:hint="eastAsia" w:ascii="仿宋" w:hAnsi="仿宋" w:eastAsia="仿宋" w:cs="仿宋"/>
          <w:b/>
          <w:snapToGrid w:val="0"/>
          <w:color w:val="auto"/>
          <w:sz w:val="21"/>
          <w:szCs w:val="21"/>
        </w:rPr>
        <w:t>6.4　料源要求</w:t>
      </w:r>
      <w:bookmarkEnd w:id="922"/>
    </w:p>
    <w:p>
      <w:pPr>
        <w:pStyle w:val="15"/>
        <w:snapToGrid w:val="0"/>
        <w:spacing w:line="360" w:lineRule="exact"/>
        <w:ind w:firstLine="308" w:firstLineChars="147"/>
        <w:rPr>
          <w:rFonts w:hint="eastAsia" w:ascii="仿宋" w:hAnsi="仿宋" w:eastAsia="仿宋" w:cs="仿宋"/>
          <w:snapToGrid w:val="0"/>
          <w:color w:val="auto"/>
          <w:szCs w:val="21"/>
        </w:rPr>
      </w:pPr>
      <w:r>
        <w:rPr>
          <w:rFonts w:hint="eastAsia" w:ascii="仿宋" w:hAnsi="仿宋" w:eastAsia="仿宋" w:cs="仿宋"/>
          <w:snapToGrid w:val="0"/>
          <w:color w:val="auto"/>
          <w:szCs w:val="21"/>
        </w:rPr>
        <w:t xml:space="preserve"> 本工程填筑料利用开挖料，若利用开挖料不满足填筑要求，填筑料由中标人自行解决料源，填筑料的各大项性能指标应满足设计及规范要求，只有合格的土料才可运到堤上填筑。</w:t>
      </w:r>
    </w:p>
    <w:p>
      <w:pPr>
        <w:snapToGrid w:val="0"/>
        <w:spacing w:line="360" w:lineRule="exact"/>
        <w:rPr>
          <w:rFonts w:hint="eastAsia" w:ascii="仿宋" w:hAnsi="仿宋" w:eastAsia="仿宋" w:cs="仿宋"/>
          <w:b/>
          <w:snapToGrid w:val="0"/>
          <w:color w:val="auto"/>
          <w:sz w:val="21"/>
          <w:szCs w:val="21"/>
        </w:rPr>
      </w:pPr>
      <w:bookmarkStart w:id="923" w:name="_Toc333835513"/>
      <w:r>
        <w:rPr>
          <w:rFonts w:hint="eastAsia" w:ascii="仿宋" w:hAnsi="仿宋" w:eastAsia="仿宋" w:cs="仿宋"/>
          <w:b/>
          <w:snapToGrid w:val="0"/>
          <w:color w:val="auto"/>
          <w:sz w:val="21"/>
          <w:szCs w:val="21"/>
        </w:rPr>
        <w:t>6.5　填筑工程施工</w:t>
      </w:r>
      <w:bookmarkEnd w:id="923"/>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1、一般要求</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 清除填筑范围内残留存的朽木、树根、杂草的腐蚀物质，并排除基坑积水；填筑应在基础处理经监理人验收合格进行。</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(2)填筑工程的施工测量、放样应遵守SL260-2014第2.2节的规定。</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(3)填筑工程的料场核查应遵守SL260-</w:t>
      </w:r>
      <w:bookmarkStart w:id="924" w:name="第13章05"/>
      <w:bookmarkEnd w:id="924"/>
      <w:bookmarkStart w:id="925" w:name="第13章04"/>
      <w:bookmarkEnd w:id="925"/>
      <w:bookmarkStart w:id="926" w:name="_Toc311292621"/>
      <w:bookmarkStart w:id="927" w:name="_Toc314906128"/>
      <w:bookmarkStart w:id="928" w:name="_Toc321644452"/>
      <w:bookmarkStart w:id="929" w:name="_Toc303001174"/>
      <w:bookmarkStart w:id="930" w:name="_Toc314500843"/>
      <w:r>
        <w:rPr>
          <w:rFonts w:hint="eastAsia" w:ascii="仿宋" w:hAnsi="仿宋" w:eastAsia="仿宋" w:cs="仿宋"/>
          <w:color w:val="auto"/>
          <w:sz w:val="21"/>
          <w:szCs w:val="21"/>
        </w:rPr>
        <w:t>2014第2.3节的</w:t>
      </w:r>
      <w:bookmarkEnd w:id="926"/>
      <w:bookmarkEnd w:id="927"/>
      <w:bookmarkEnd w:id="928"/>
      <w:bookmarkEnd w:id="929"/>
      <w:bookmarkEnd w:id="930"/>
      <w:r>
        <w:rPr>
          <w:rFonts w:hint="eastAsia" w:ascii="仿宋" w:hAnsi="仿宋" w:eastAsia="仿宋" w:cs="仿宋"/>
          <w:color w:val="auto"/>
          <w:sz w:val="21"/>
          <w:szCs w:val="21"/>
        </w:rPr>
        <w:t>规定。</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(4)机械设备及材料准备应遵守SL260-2014第2.4节的规定。</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(5)度汛、导流的洪水标准应遵守SL260-2014第3章的规定。</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2、填筑施工</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(1)筑堤材料应遵守SL260-2014第4章的规定。</w:t>
      </w:r>
    </w:p>
    <w:p>
      <w:pPr>
        <w:snapToGrid w:val="0"/>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(2)土方填筑应遵守按SL260-2014第5章、第6章的规定。</w:t>
      </w:r>
    </w:p>
    <w:p>
      <w:pPr>
        <w:snapToGrid w:val="0"/>
        <w:spacing w:line="360" w:lineRule="exact"/>
        <w:rPr>
          <w:rFonts w:hint="eastAsia" w:ascii="仿宋" w:hAnsi="仿宋" w:eastAsia="仿宋" w:cs="仿宋"/>
          <w:b/>
          <w:snapToGrid w:val="0"/>
          <w:color w:val="auto"/>
          <w:sz w:val="21"/>
          <w:szCs w:val="21"/>
        </w:rPr>
      </w:pPr>
      <w:r>
        <w:rPr>
          <w:rFonts w:hint="eastAsia" w:ascii="仿宋" w:hAnsi="仿宋" w:eastAsia="仿宋" w:cs="仿宋"/>
          <w:b/>
          <w:snapToGrid w:val="0"/>
          <w:color w:val="auto"/>
          <w:sz w:val="21"/>
          <w:szCs w:val="21"/>
        </w:rPr>
        <w:t>6.7 质量检查和验收</w:t>
      </w:r>
    </w:p>
    <w:p>
      <w:pPr>
        <w:snapToGrid w:val="0"/>
        <w:spacing w:line="360" w:lineRule="exact"/>
        <w:rPr>
          <w:rFonts w:hint="eastAsia" w:ascii="仿宋" w:hAnsi="仿宋" w:eastAsia="仿宋" w:cs="仿宋"/>
          <w:b/>
          <w:snapToGrid w:val="0"/>
          <w:color w:val="auto"/>
          <w:sz w:val="21"/>
          <w:szCs w:val="21"/>
        </w:rPr>
      </w:pPr>
      <w:r>
        <w:rPr>
          <w:rFonts w:hint="eastAsia" w:ascii="仿宋" w:hAnsi="仿宋" w:eastAsia="仿宋" w:cs="仿宋"/>
          <w:b/>
          <w:snapToGrid w:val="0"/>
          <w:color w:val="auto"/>
          <w:sz w:val="21"/>
          <w:szCs w:val="21"/>
        </w:rPr>
        <w:t>6.7.1 土石方填筑前的质量检查和验收</w:t>
      </w:r>
    </w:p>
    <w:p>
      <w:pPr>
        <w:pStyle w:val="15"/>
        <w:snapToGrid w:val="0"/>
        <w:spacing w:line="360" w:lineRule="exact"/>
        <w:ind w:firstLine="308" w:firstLineChars="147"/>
        <w:rPr>
          <w:rFonts w:hint="eastAsia" w:ascii="仿宋" w:hAnsi="仿宋" w:eastAsia="仿宋" w:cs="仿宋"/>
          <w:snapToGrid w:val="0"/>
          <w:color w:val="auto"/>
          <w:szCs w:val="21"/>
        </w:rPr>
      </w:pPr>
      <w:r>
        <w:rPr>
          <w:rFonts w:hint="eastAsia" w:ascii="仿宋" w:hAnsi="仿宋" w:eastAsia="仿宋" w:cs="仿宋"/>
          <w:snapToGrid w:val="0"/>
          <w:color w:val="auto"/>
          <w:szCs w:val="21"/>
        </w:rPr>
        <w:t>土石方填筑前，中标人应会同监理人进行以下各项目的质量检查和验收：</w:t>
      </w:r>
    </w:p>
    <w:p>
      <w:pPr>
        <w:pStyle w:val="15"/>
        <w:snapToGrid w:val="0"/>
        <w:spacing w:line="360" w:lineRule="exact"/>
        <w:ind w:firstLine="308" w:firstLineChars="147"/>
        <w:rPr>
          <w:rFonts w:hint="eastAsia" w:ascii="仿宋" w:hAnsi="仿宋" w:eastAsia="仿宋" w:cs="仿宋"/>
          <w:snapToGrid w:val="0"/>
          <w:color w:val="auto"/>
          <w:szCs w:val="21"/>
        </w:rPr>
      </w:pPr>
      <w:r>
        <w:rPr>
          <w:rFonts w:hint="eastAsia" w:ascii="仿宋" w:hAnsi="仿宋" w:eastAsia="仿宋" w:cs="仿宋"/>
          <w:snapToGrid w:val="0"/>
          <w:color w:val="auto"/>
          <w:szCs w:val="21"/>
        </w:rPr>
        <w:t xml:space="preserve">（1）填筑前用于计量的地形平、剖面测量资料的复核检查； </w:t>
      </w:r>
    </w:p>
    <w:p>
      <w:pPr>
        <w:pStyle w:val="15"/>
        <w:snapToGrid w:val="0"/>
        <w:spacing w:line="360" w:lineRule="exact"/>
        <w:ind w:firstLine="308" w:firstLineChars="147"/>
        <w:rPr>
          <w:rFonts w:hint="eastAsia" w:ascii="仿宋" w:hAnsi="仿宋" w:eastAsia="仿宋" w:cs="仿宋"/>
          <w:snapToGrid w:val="0"/>
          <w:color w:val="auto"/>
          <w:szCs w:val="21"/>
        </w:rPr>
      </w:pPr>
      <w:r>
        <w:rPr>
          <w:rFonts w:hint="eastAsia" w:ascii="仿宋" w:hAnsi="仿宋" w:eastAsia="仿宋" w:cs="仿宋"/>
          <w:snapToGrid w:val="0"/>
          <w:color w:val="auto"/>
          <w:szCs w:val="21"/>
        </w:rPr>
        <w:t>（2）填筑前按本章有关规定进行基础面清理质量的检查和验收；</w:t>
      </w:r>
    </w:p>
    <w:p>
      <w:pPr>
        <w:pStyle w:val="15"/>
        <w:snapToGrid w:val="0"/>
        <w:spacing w:line="360" w:lineRule="exact"/>
        <w:ind w:firstLine="308" w:firstLineChars="147"/>
        <w:rPr>
          <w:rFonts w:hint="eastAsia" w:ascii="仿宋" w:hAnsi="仿宋" w:eastAsia="仿宋" w:cs="仿宋"/>
          <w:snapToGrid w:val="0"/>
          <w:color w:val="auto"/>
          <w:szCs w:val="21"/>
        </w:rPr>
      </w:pPr>
      <w:r>
        <w:rPr>
          <w:rFonts w:hint="eastAsia" w:ascii="仿宋" w:hAnsi="仿宋" w:eastAsia="仿宋" w:cs="仿宋"/>
          <w:snapToGrid w:val="0"/>
          <w:color w:val="auto"/>
          <w:szCs w:val="21"/>
        </w:rPr>
        <w:t>（3）料场开采区各种土石方填筑料的物理力学性质的抽样检验；</w:t>
      </w:r>
    </w:p>
    <w:p>
      <w:pPr>
        <w:pStyle w:val="15"/>
        <w:snapToGrid w:val="0"/>
        <w:spacing w:line="360" w:lineRule="exact"/>
        <w:ind w:firstLine="308" w:firstLineChars="147"/>
        <w:rPr>
          <w:rFonts w:hint="eastAsia" w:ascii="仿宋" w:hAnsi="仿宋" w:eastAsia="仿宋" w:cs="仿宋"/>
          <w:snapToGrid w:val="0"/>
          <w:color w:val="auto"/>
          <w:szCs w:val="21"/>
        </w:rPr>
      </w:pPr>
      <w:r>
        <w:rPr>
          <w:rFonts w:hint="eastAsia" w:ascii="仿宋" w:hAnsi="仿宋" w:eastAsia="仿宋" w:cs="仿宋"/>
          <w:snapToGrid w:val="0"/>
          <w:color w:val="auto"/>
          <w:szCs w:val="21"/>
        </w:rPr>
        <w:t>（4）现场生产性试验选定的施工碾压参数及其各项试验成果的检查和验收。</w:t>
      </w:r>
    </w:p>
    <w:p>
      <w:pPr>
        <w:snapToGrid w:val="0"/>
        <w:spacing w:line="360" w:lineRule="exact"/>
        <w:rPr>
          <w:rFonts w:hint="eastAsia" w:ascii="仿宋" w:hAnsi="仿宋" w:eastAsia="仿宋" w:cs="仿宋"/>
          <w:b/>
          <w:snapToGrid w:val="0"/>
          <w:color w:val="auto"/>
          <w:sz w:val="21"/>
          <w:szCs w:val="21"/>
        </w:rPr>
      </w:pPr>
      <w:r>
        <w:rPr>
          <w:rFonts w:hint="eastAsia" w:ascii="仿宋" w:hAnsi="仿宋" w:eastAsia="仿宋" w:cs="仿宋"/>
          <w:b/>
          <w:snapToGrid w:val="0"/>
          <w:color w:val="auto"/>
          <w:sz w:val="21"/>
          <w:szCs w:val="21"/>
        </w:rPr>
        <w:t>6.7.2 施工期的质量检查和验收：</w:t>
      </w:r>
    </w:p>
    <w:p>
      <w:pPr>
        <w:pStyle w:val="15"/>
        <w:snapToGrid w:val="0"/>
        <w:spacing w:line="360" w:lineRule="exact"/>
        <w:ind w:firstLine="476" w:firstLineChars="227"/>
        <w:rPr>
          <w:rFonts w:hint="eastAsia" w:ascii="仿宋" w:hAnsi="仿宋" w:eastAsia="仿宋" w:cs="仿宋"/>
          <w:snapToGrid w:val="0"/>
          <w:color w:val="auto"/>
          <w:szCs w:val="21"/>
        </w:rPr>
      </w:pPr>
      <w:r>
        <w:rPr>
          <w:rFonts w:hint="eastAsia" w:ascii="仿宋" w:hAnsi="仿宋" w:eastAsia="仿宋" w:cs="仿宋"/>
          <w:snapToGrid w:val="0"/>
          <w:color w:val="auto"/>
          <w:szCs w:val="21"/>
        </w:rPr>
        <w:t>施工过程中中标人应会同监理人定期进行以下各项土石方填筑材料的质量检查和检验：</w:t>
      </w:r>
    </w:p>
    <w:p>
      <w:pPr>
        <w:pStyle w:val="15"/>
        <w:snapToGrid w:val="0"/>
        <w:spacing w:line="360" w:lineRule="exact"/>
        <w:ind w:firstLine="476" w:firstLineChars="227"/>
        <w:rPr>
          <w:rFonts w:hint="eastAsia" w:ascii="仿宋" w:hAnsi="仿宋" w:eastAsia="仿宋" w:cs="仿宋"/>
          <w:snapToGrid w:val="0"/>
          <w:color w:val="auto"/>
          <w:szCs w:val="21"/>
        </w:rPr>
      </w:pPr>
      <w:r>
        <w:rPr>
          <w:rFonts w:hint="eastAsia" w:ascii="仿宋" w:hAnsi="仿宋" w:eastAsia="仿宋" w:cs="仿宋"/>
          <w:snapToGrid w:val="0"/>
          <w:color w:val="auto"/>
          <w:szCs w:val="21"/>
        </w:rPr>
        <w:t>（1）在石料场，对石料质量和尺寸外形进行检查。</w:t>
      </w:r>
    </w:p>
    <w:p>
      <w:pPr>
        <w:pStyle w:val="15"/>
        <w:snapToGrid w:val="0"/>
        <w:spacing w:line="360" w:lineRule="exact"/>
        <w:ind w:firstLine="476" w:firstLineChars="227"/>
        <w:rPr>
          <w:rFonts w:hint="eastAsia" w:ascii="仿宋" w:hAnsi="仿宋" w:eastAsia="仿宋" w:cs="仿宋"/>
          <w:snapToGrid w:val="0"/>
          <w:color w:val="auto"/>
          <w:szCs w:val="21"/>
        </w:rPr>
      </w:pPr>
      <w:r>
        <w:rPr>
          <w:rFonts w:hint="eastAsia" w:ascii="仿宋" w:hAnsi="仿宋" w:eastAsia="仿宋" w:cs="仿宋"/>
          <w:snapToGrid w:val="0"/>
          <w:color w:val="auto"/>
          <w:szCs w:val="21"/>
        </w:rPr>
        <w:t>（2）对填筑体每一层填筑面，应按本合同《通用合同条款》和本章有关的规定进行工程隐蔽部位的验收。</w:t>
      </w:r>
    </w:p>
    <w:p>
      <w:pPr>
        <w:snapToGrid w:val="0"/>
        <w:spacing w:line="360" w:lineRule="exact"/>
        <w:rPr>
          <w:rFonts w:hint="eastAsia" w:ascii="仿宋" w:hAnsi="仿宋" w:eastAsia="仿宋" w:cs="仿宋"/>
          <w:b/>
          <w:snapToGrid w:val="0"/>
          <w:color w:val="auto"/>
          <w:sz w:val="21"/>
          <w:szCs w:val="21"/>
        </w:rPr>
      </w:pPr>
      <w:r>
        <w:rPr>
          <w:rFonts w:hint="eastAsia" w:ascii="仿宋" w:hAnsi="仿宋" w:eastAsia="仿宋" w:cs="仿宋"/>
          <w:b/>
          <w:snapToGrid w:val="0"/>
          <w:color w:val="auto"/>
          <w:sz w:val="21"/>
          <w:szCs w:val="21"/>
        </w:rPr>
        <w:t>6.7.3 完工验收</w:t>
      </w:r>
    </w:p>
    <w:p>
      <w:pPr>
        <w:pStyle w:val="15"/>
        <w:snapToGrid w:val="0"/>
        <w:spacing w:line="360" w:lineRule="exact"/>
        <w:ind w:firstLine="420"/>
        <w:rPr>
          <w:rFonts w:hint="eastAsia" w:ascii="仿宋" w:hAnsi="仿宋" w:eastAsia="仿宋" w:cs="仿宋"/>
          <w:snapToGrid w:val="0"/>
          <w:color w:val="auto"/>
          <w:szCs w:val="21"/>
        </w:rPr>
      </w:pPr>
      <w:r>
        <w:rPr>
          <w:rFonts w:hint="eastAsia" w:ascii="仿宋" w:hAnsi="仿宋" w:eastAsia="仿宋" w:cs="仿宋"/>
          <w:snapToGrid w:val="0"/>
          <w:color w:val="auto"/>
          <w:szCs w:val="21"/>
        </w:rPr>
        <w:t>土石方填筑工程全部完工后，中标人应按本合同《通用合同条款》的规定，向监理人申请完工验收，并按本章有关的规定提交完工验收资料。</w:t>
      </w:r>
    </w:p>
    <w:p>
      <w:pPr>
        <w:snapToGrid w:val="0"/>
        <w:spacing w:line="360" w:lineRule="exact"/>
        <w:rPr>
          <w:rFonts w:hint="eastAsia" w:ascii="仿宋" w:hAnsi="仿宋" w:eastAsia="仿宋" w:cs="仿宋"/>
          <w:b/>
          <w:snapToGrid w:val="0"/>
          <w:color w:val="auto"/>
          <w:sz w:val="21"/>
          <w:szCs w:val="21"/>
        </w:rPr>
      </w:pPr>
      <w:r>
        <w:rPr>
          <w:rFonts w:hint="eastAsia" w:ascii="仿宋" w:hAnsi="仿宋" w:eastAsia="仿宋" w:cs="仿宋"/>
          <w:b/>
          <w:snapToGrid w:val="0"/>
          <w:color w:val="auto"/>
          <w:sz w:val="21"/>
          <w:szCs w:val="21"/>
        </w:rPr>
        <w:t>6.6 计量和支付</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snapToGrid w:val="0"/>
          <w:color w:val="auto"/>
          <w:szCs w:val="21"/>
        </w:rPr>
        <w:t>（1）土石方填筑按施工图纸所示尺寸计算的有效压实方体积以立方米为单位计量，</w:t>
      </w:r>
      <w:r>
        <w:rPr>
          <w:rFonts w:hint="eastAsia" w:ascii="仿宋" w:hAnsi="仿宋" w:eastAsia="仿宋" w:cs="仿宋"/>
          <w:color w:val="auto"/>
          <w:szCs w:val="21"/>
        </w:rPr>
        <w:t>由招标人按《工程量清单》相应项目有效工程量的每立方米工程单价支付。</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(2)  各种填筑料的每立方米单价是指利用可利开挖料回填和借土回填经平衡后的综合单价，单价中已包括填筑所需的土石料的料源费用、填筑土石料开采、加工、运输、堆存、填筑、以及试验、土料填筑过程中的含水量调整、质量检查和验收等工作所需的全部人工、材料、使用设备和辅助设施等一切费用，还包括现场生产性试验（包括碾压试验）所需的费用。</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(3) 由中标人进行的料场复查所需的费用包括在《工程量清单》各有关填料的单价中，招标人不再另行支付。</w:t>
      </w:r>
    </w:p>
    <w:p>
      <w:pPr>
        <w:pStyle w:val="15"/>
        <w:spacing w:line="360" w:lineRule="exact"/>
        <w:rPr>
          <w:rFonts w:hint="eastAsia" w:ascii="仿宋" w:hAnsi="仿宋" w:eastAsia="仿宋" w:cs="仿宋"/>
          <w:snapToGrid w:val="0"/>
          <w:color w:val="auto"/>
          <w:kern w:val="0"/>
          <w:szCs w:val="21"/>
        </w:rPr>
      </w:pPr>
    </w:p>
    <w:p>
      <w:pPr>
        <w:pStyle w:val="6"/>
        <w:spacing w:line="360" w:lineRule="auto"/>
        <w:jc w:val="center"/>
        <w:rPr>
          <w:rFonts w:hint="eastAsia" w:ascii="仿宋" w:hAnsi="仿宋" w:eastAsia="仿宋" w:cs="仿宋"/>
          <w:color w:val="auto"/>
          <w:szCs w:val="30"/>
        </w:rPr>
      </w:pPr>
      <w:bookmarkStart w:id="931" w:name="_Toc8058"/>
      <w:bookmarkStart w:id="932" w:name="_Toc8375"/>
      <w:r>
        <w:rPr>
          <w:rFonts w:hint="eastAsia" w:ascii="仿宋" w:hAnsi="仿宋" w:eastAsia="仿宋" w:cs="仿宋"/>
          <w:color w:val="auto"/>
          <w:szCs w:val="30"/>
        </w:rPr>
        <w:t>第7节砌体工程</w:t>
      </w:r>
      <w:bookmarkEnd w:id="931"/>
      <w:bookmarkEnd w:id="932"/>
    </w:p>
    <w:p>
      <w:pPr>
        <w:pStyle w:val="7"/>
        <w:snapToGrid w:val="0"/>
        <w:spacing w:line="360" w:lineRule="exact"/>
        <w:rPr>
          <w:rFonts w:hint="eastAsia" w:ascii="仿宋" w:hAnsi="仿宋" w:eastAsia="仿宋" w:cs="仿宋"/>
          <w:snapToGrid w:val="0"/>
          <w:color w:val="auto"/>
          <w:sz w:val="21"/>
          <w:szCs w:val="21"/>
        </w:rPr>
      </w:pPr>
      <w:bookmarkStart w:id="933" w:name="_Toc339983444"/>
      <w:bookmarkStart w:id="934" w:name="_Toc339482538"/>
      <w:bookmarkStart w:id="935" w:name="_Toc13699"/>
      <w:bookmarkStart w:id="936" w:name="_Toc339224672"/>
      <w:bookmarkStart w:id="937" w:name="_Toc24150"/>
      <w:bookmarkStart w:id="938" w:name="_Toc341965047"/>
      <w:r>
        <w:rPr>
          <w:rFonts w:hint="eastAsia" w:ascii="仿宋" w:hAnsi="仿宋" w:eastAsia="仿宋" w:cs="仿宋"/>
          <w:snapToGrid w:val="0"/>
          <w:color w:val="auto"/>
          <w:sz w:val="21"/>
          <w:szCs w:val="21"/>
        </w:rPr>
        <w:t>7.1 一般规定</w:t>
      </w:r>
      <w:bookmarkEnd w:id="933"/>
      <w:bookmarkEnd w:id="934"/>
      <w:bookmarkEnd w:id="935"/>
      <w:bookmarkEnd w:id="936"/>
      <w:bookmarkEnd w:id="937"/>
      <w:bookmarkEnd w:id="938"/>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7.1.1应用范围</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本章规定适用于本合同施工图纸所示的各类砌体工程建筑物，其工程项目包括坝、厂房、引水渠道、永久生活建筑、道路、桥涵、挡墙、管道支墩、护坡和排水沟等建筑物的石砌体（包括浆砌石、干砌石砌体）工程，以及混凝土小砌块砌体和砖砌体工程。</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7.1.2中标人责任</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（1）中标人应按本合同施工图纸、技术条款的规定和监理人的指示，负责砌体工程基础的场地清理、材料的加工制备、砌体工程的施工及质量检查和验收等工作。</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（2）除合同另有约定外，中标人应负责提供本工程砌体工程的各种石材、胶结材料，以及砌体工程施工所需的人工、施工设备和辅助设施。</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（3）中标人应负责砌体胶结材料及其配合比的试验和选择，以及砌筑工艺的选择。</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7.1.3主要提交件</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（1）施工措施计划</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中标人应在砌体工程开工前，将砌体工程施工措施计划提交监理人批准，其内容包括：</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1）施工布置图及其说明；</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2）砌体工程施工工艺和方法；</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3）主要施工设备的配置；</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4）质量控制和安全保证措施；</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5）施工进度计划等。</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（2）砌体材料试验报告</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中标人应在砌体工程施工前，将各项材料试验成果、提交监理人，其内容包括：</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1）砌体材料的强度等级试验；</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2）胶结材料的强度及其配合比选择试验。</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（3）质量检查记录和报表</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砌体工程施工过程中，中标人应按监理人指示，提交以下施工质量检查记录和报表：</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1）砌体材料和砌筑胶结材料的取样试验报告；</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2）砌体工程基础的质量检查记录和报表；</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3）砌体工程的砌筑质量检查记录和报表；</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4）质量事故处理记录。</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7.1.4引用标准</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（1）《浆砌石坝设计规范》（SL25—2006）；</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（2）《水利水电工程天然建筑材料勘察规程》（SL 251—2015）；</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（3）《浆砌石坝施工技术规定》（SD120—1984）；</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（4）《普通混凝土用砂、石质量及检验方法标准》（JGJ52—2006）；</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（5）《混凝土用水标准》（JGJ63—2006）；</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（6）《砌筑砂浆配合比设计规程》（JGJ98—2010）。</w:t>
      </w:r>
    </w:p>
    <w:p>
      <w:pPr>
        <w:pStyle w:val="7"/>
        <w:snapToGrid w:val="0"/>
        <w:spacing w:line="360" w:lineRule="exact"/>
        <w:rPr>
          <w:rFonts w:hint="eastAsia" w:ascii="仿宋" w:hAnsi="仿宋" w:eastAsia="仿宋" w:cs="仿宋"/>
          <w:snapToGrid w:val="0"/>
          <w:color w:val="auto"/>
          <w:sz w:val="21"/>
          <w:szCs w:val="21"/>
        </w:rPr>
      </w:pPr>
      <w:bookmarkStart w:id="939" w:name="_Toc11491"/>
      <w:bookmarkStart w:id="940" w:name="_Toc341965048"/>
      <w:bookmarkStart w:id="941" w:name="_Toc339482539"/>
      <w:bookmarkStart w:id="942" w:name="_Toc339983445"/>
      <w:bookmarkStart w:id="943" w:name="_Toc21312"/>
      <w:bookmarkStart w:id="944" w:name="_Toc339224673"/>
      <w:r>
        <w:rPr>
          <w:rFonts w:hint="eastAsia" w:ascii="仿宋" w:hAnsi="仿宋" w:eastAsia="仿宋" w:cs="仿宋"/>
          <w:snapToGrid w:val="0"/>
          <w:color w:val="auto"/>
          <w:sz w:val="21"/>
          <w:szCs w:val="21"/>
        </w:rPr>
        <w:t>7.2 石砌体工程</w:t>
      </w:r>
      <w:bookmarkEnd w:id="939"/>
      <w:bookmarkEnd w:id="940"/>
      <w:bookmarkEnd w:id="941"/>
      <w:bookmarkEnd w:id="942"/>
      <w:bookmarkEnd w:id="943"/>
      <w:bookmarkEnd w:id="944"/>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7.2.1材料</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（1）石料：</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1）一般石料应遵守GB 50203—2002第7.1.1条和第7.1.2条的规定；</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2）砌石坝石料（包括毛石、块石、粗料石）应遵守SL 25—2006第3.1.1条的规定。</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（2）胶凝材料：</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1）砌体采用的水泥品种和强度等级应遵守本合同技术条款第14.2.1条的规定；</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2）用于砌筑石砌体工程的砂浆和小骨料混凝土，其配合比应通过试验确定，配合比成果应提交监理人；拌制砂浆和小骨料混凝土的用水应遵守JGJ63—2006的有关规定。</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3）胶凝材料应采用机械拌制，局部少量的人工拌和料至少干拌三遍，再湿拌至色泽匀后，方可使用；人工拌和时间应通过试拌确定。拌制过程中应保持粗、细骨料含水率的稳定性，根据骨料含水量的变化情况，随时调整用水量，以保证水灰比的准确性。</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（4）胶凝材料应随拌随用，胶凝材料的允许间歇时间应通过试验确定，在运输或贮存中发生离析、析水的胶凝材料，砌筑前应重新拌和，已初凝的胶凝材料不得使用。</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7.2.2浆砌石砌筑</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（1）浆砌石胶结材料采用的砂和砾石应遵守SD 120—1984第2章的规定。</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（2）浆砌石砌筑体与基岩的连接应遵守SD120—1984第4章第1节的规定。</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（3）浆砌石的砌筑应遵守SD 120—1984第4.2.4~4.2.9条的规定，砌体应密实、无架空和漏浆情况。其砌体容重和空隙率的控制应遵守SD 120—1984第4.2.21条的规定。</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（4）浆砌石的混凝土防渗体施工应遵守SD120—1984第5.1.3~5.1.15条的规定。</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（5）浆砌石的水泥砂浆勾缝防渗应遵守GB50203—2002第7.2节和第7.3节的规定。</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7.2.3 砌体工程的质量检查</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（1）砌体工程砌筑前，中标人应会同监理人对砌筑体基础开挖面的测量放样成果和基础清理质量进行检查，检查记录应提交监理人。</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（2）用于石砌体工程的水泥、水、砂、胶凝材料和砌石等材料，应按监理人指示和本章第7.2.1条规定的质量要求进行检查，检查记录应提交监理人。</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（3）浆砌石砌体的容重和空隙率检查，应遵守SD120—1984第4.2.21条第3款的规定。</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（4）有抗渗要求的部位应按监理人指示和施工图纸的要求确定的部位进行钻孔分段压水试验检查，检查结果应提交监理人。</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（5）浆砌石砌体的质量检查应遵守GB 50203—2002第7章的规定。</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7.2.5 石砌体工程的完工验收</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石砌体工程全部完工后，中标人应向监理人申请完工验收，并提交以下完工验收资料。</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（1）石砌体工程各项石材的现场试验和检测记录；</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（2）浆砌石砌体胶结材料配合比检查和试验检验记录；</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（3）石砌体工程建筑物开挖基面及基础垫层混凝土的质量检查和试验检验记录；</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（4）石砌体工程建筑物的结构允许偏差和附属结构物的质量检测和验收记录；</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（5）浆砌石坝容重（空隙率）和密实度（单位吸水率）的试验检验记录；</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（6）浆砌石坝结构允许偏差和附属结构物的质量检测和验收记录；</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（7）监理人要求提交的其它完工验收资料。</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7.3 砖砌体工程</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7.3.1材料</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（1）砖：砖砌体工程采用的普通烧结砖分为粘土砖、页岩砖、煤矸石砖和粉煤灰砖。其外形尺寸应按GB13544—2000的规定执行。</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（2）砌筑砂浆：砌筑砂浆应遵守GB 50203—2002第4章的有关规定。</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7.3.2砖砌体施工</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砖砌体施工应遵守GB 50203—2002第4.2~4.6节和第5章的有关规定。</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7.3.3 砖砌体工程的质量检查和验收</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砖砌体的质量检查应按GB 50203—2002第5章的规定进行。</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7.3.4 完工验收</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砖砌体工程全部完工后，中标人应向监理人申请完工验收，并提交以下完工验收资料：</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（1）砖砌体工程各项材料的质量证明书、试验报告和现场检测报告。</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（2）各项砌筑砂浆和混凝土配合比试验及其试块的检查检验记录。</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（3）砌体基础面的检查验收记录。</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（4）各项砌体建筑物及其细部结构尺寸和允许偏差以及外观的检查验收记录。</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（5）监理人要求提交的其它完工资料。</w:t>
      </w:r>
    </w:p>
    <w:p>
      <w:pPr>
        <w:pStyle w:val="8"/>
        <w:snapToGrid w:val="0"/>
        <w:spacing w:line="360" w:lineRule="exact"/>
        <w:rPr>
          <w:rFonts w:hint="eastAsia" w:ascii="仿宋" w:hAnsi="仿宋" w:eastAsia="仿宋" w:cs="仿宋"/>
          <w:color w:val="auto"/>
          <w:sz w:val="21"/>
          <w:szCs w:val="21"/>
        </w:rPr>
      </w:pPr>
      <w:bookmarkStart w:id="945" w:name="_Toc339482540"/>
      <w:bookmarkStart w:id="946" w:name="_Toc339224674"/>
      <w:bookmarkStart w:id="947" w:name="_Toc339983446"/>
      <w:r>
        <w:rPr>
          <w:rFonts w:hint="eastAsia" w:ascii="仿宋" w:hAnsi="仿宋" w:eastAsia="仿宋" w:cs="仿宋"/>
          <w:color w:val="auto"/>
          <w:sz w:val="21"/>
          <w:szCs w:val="21"/>
        </w:rPr>
        <w:t>7.4 计量和支付</w:t>
      </w:r>
      <w:bookmarkEnd w:id="945"/>
      <w:bookmarkEnd w:id="946"/>
      <w:bookmarkEnd w:id="947"/>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 xml:space="preserve"> (1) 砌石体和砌砖体以施工图纸所示的建筑物轮廓线或经监理人批准实施的砌体建筑物尺寸量测计算的有效工程量以立方米（m3）为单位计量，并按《工程量清单》所列项目的每立方米单价进行支付。</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 xml:space="preserve"> (2)石砌工程砌体所用的材料（包括水泥、砂石骨料、外加剂等胶凝材料）的采购、运输、保管、材料的加工、砌筑、试验、养护、质量检查和验收等所需的人工、材料以及使用设备和辅助设施等一切费用均包括在砌筑体每立方米单价中。</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 xml:space="preserve"> (3) 因施工需要所进行砌体基础面的清理和施工排水，均应包括在砌筑体工程项目每立方米单价中，不单独计量支付。</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（4）砌筑工程的排水管、止水设施、伸缩缝等按工程量清单相应项目另行计量支付。</w:t>
      </w:r>
    </w:p>
    <w:bookmarkEnd w:id="628"/>
    <w:bookmarkEnd w:id="629"/>
    <w:bookmarkEnd w:id="630"/>
    <w:bookmarkEnd w:id="631"/>
    <w:bookmarkEnd w:id="632"/>
    <w:bookmarkEnd w:id="633"/>
    <w:bookmarkEnd w:id="634"/>
    <w:p>
      <w:pPr>
        <w:spacing w:line="360" w:lineRule="exact"/>
        <w:rPr>
          <w:rFonts w:hint="eastAsia" w:ascii="仿宋" w:hAnsi="仿宋" w:eastAsia="仿宋" w:cs="仿宋"/>
          <w:snapToGrid w:val="0"/>
          <w:color w:val="auto"/>
          <w:sz w:val="21"/>
          <w:szCs w:val="21"/>
        </w:rPr>
      </w:pPr>
    </w:p>
    <w:p>
      <w:pPr>
        <w:spacing w:line="360" w:lineRule="exact"/>
        <w:rPr>
          <w:rFonts w:hint="eastAsia" w:ascii="仿宋" w:hAnsi="仿宋" w:eastAsia="仿宋" w:cs="仿宋"/>
          <w:snapToGrid w:val="0"/>
          <w:color w:val="auto"/>
          <w:sz w:val="21"/>
          <w:szCs w:val="21"/>
        </w:rPr>
      </w:pPr>
    </w:p>
    <w:p>
      <w:pPr>
        <w:pStyle w:val="6"/>
        <w:spacing w:line="360" w:lineRule="auto"/>
        <w:jc w:val="center"/>
        <w:rPr>
          <w:rFonts w:hint="eastAsia" w:ascii="仿宋" w:hAnsi="仿宋" w:eastAsia="仿宋" w:cs="仿宋"/>
          <w:color w:val="auto"/>
          <w:szCs w:val="30"/>
        </w:rPr>
      </w:pPr>
      <w:bookmarkStart w:id="948" w:name="_Toc336325377"/>
      <w:bookmarkStart w:id="949" w:name="_Toc17004"/>
      <w:bookmarkStart w:id="950" w:name="_Toc11242"/>
      <w:r>
        <w:rPr>
          <w:rFonts w:hint="eastAsia" w:ascii="仿宋" w:hAnsi="仿宋" w:eastAsia="仿宋" w:cs="仿宋"/>
          <w:color w:val="auto"/>
          <w:szCs w:val="30"/>
        </w:rPr>
        <w:t>第8节混凝土工程</w:t>
      </w:r>
      <w:bookmarkEnd w:id="948"/>
      <w:bookmarkEnd w:id="949"/>
      <w:bookmarkEnd w:id="950"/>
    </w:p>
    <w:p>
      <w:pPr>
        <w:pStyle w:val="7"/>
        <w:snapToGrid w:val="0"/>
        <w:spacing w:line="360" w:lineRule="exact"/>
        <w:rPr>
          <w:rFonts w:hint="eastAsia" w:ascii="仿宋" w:hAnsi="仿宋" w:eastAsia="仿宋" w:cs="仿宋"/>
          <w:snapToGrid w:val="0"/>
          <w:color w:val="auto"/>
          <w:sz w:val="21"/>
          <w:szCs w:val="21"/>
        </w:rPr>
      </w:pPr>
      <w:bookmarkStart w:id="951" w:name="_Toc341965050"/>
      <w:bookmarkStart w:id="952" w:name="_Toc339983448"/>
      <w:bookmarkStart w:id="953" w:name="_Toc336325378"/>
      <w:bookmarkStart w:id="954" w:name="_Toc339224676"/>
      <w:bookmarkStart w:id="955" w:name="_Toc11261"/>
      <w:bookmarkStart w:id="956" w:name="_Toc9195"/>
      <w:bookmarkStart w:id="957" w:name="_Toc339482542"/>
      <w:r>
        <w:rPr>
          <w:rFonts w:hint="eastAsia" w:ascii="仿宋" w:hAnsi="仿宋" w:eastAsia="仿宋" w:cs="仿宋"/>
          <w:snapToGrid w:val="0"/>
          <w:color w:val="auto"/>
          <w:sz w:val="21"/>
          <w:szCs w:val="21"/>
        </w:rPr>
        <w:t>8.1 一般规定</w:t>
      </w:r>
      <w:bookmarkEnd w:id="951"/>
      <w:bookmarkEnd w:id="952"/>
      <w:bookmarkEnd w:id="953"/>
      <w:bookmarkEnd w:id="954"/>
      <w:bookmarkEnd w:id="955"/>
      <w:bookmarkEnd w:id="956"/>
      <w:bookmarkEnd w:id="957"/>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8.1.1应用范围</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（1）本章规定适用于本合同施工图纸所示的永久和临时建筑物的各类混凝土（含钢筋混凝土）工程的施工，包括混凝土、预制混凝土等。</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2）本章主要的施工内容包括：混凝土生产（包括混凝土材料、配合比设计、混凝拌制及混凝土的取样和检验等），管路和预埋件施工，止水、伸缩缝和坝体排水施工，混凝土运输、浇筑以及温度控制和混凝土养护等。</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（3）本章规定还包括混凝土工程各种类型的模板与钢筋的制作和安装，混凝土模板、钢模板、悬臂模板和特种模板等。</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8.1.2中标人责任</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（1）除合同另有约定外，中标人应按本工程施工图纸的要求，负责砂、石骨料的生产、运输、贮存和使用。</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（2）除合同另有约定外，中标人应负责修建本工程的混凝土拌和厂，包括其生产设备的采购、安装、运行管理、维护和拆除，并使其生产能力满足本合同规定的施工进度要求。</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（3）中标人应负责本工程各种类型模板的制作、安装、拆除和维护，以及钢筋和锚筋的制作和安装。</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（4）中标人应负责进行混凝土的室内试验、现场试验，以选定混凝土的原材料、最优配合比、施工工艺和浇筑程序。</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（5）中标人应根据本合同技术条款和施工图纸所示的各种强度等级混凝土的质量要求，负责混凝土的拌和、运输、浇筑、温度控制和养护。</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（6）中标人应负责本合同技术条款和施工图纸所示预制混凝土和预应力混凝土构件的制作、运输和安装以及水下混凝土和碾压混凝土的施工。</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8.1.3主要提交件</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（1）混凝土浇筑施工措施计划：中标人应在混凝土工程开工前，编制混凝土浇筑的施工措施计划，提交监理人批准，其内容包括：</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1）混凝土浇筑所需的砂石料场（仓）、拌和厂、混凝土运输和浇筑设备、温度控制设施，以及混凝土试验等的布置、设备配置计划及其施工安装措施；</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2）各种混凝土配合比设计与室内混凝土试验计划；</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3）混凝土生产、运输、浇筑等的施工工艺和方法；</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4）现场工艺试验的措施计划；</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5）混凝土温度控制的专项技术措施；</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6）施工质量控制措施及其质量检查和检验方法等。</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（2）混凝土质量检查报表</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中标人应按监理人的指示提供混凝土拌和与浇筑质量的施工记录报表，包括混凝土原材料的品质检查报表、强度等级和配合比试验成果、各种混凝土浇筑分块程序、浇筑记录、质量检查、事故处理、混凝土养护和表面保护等作业记录等。</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8.1.4引用标准</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（1）《低热微膨胀水泥》（GB2935—2008）；</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（2）《通用硅酸盐水泥》（GB175—2007）；</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（3）《混凝土结构工程施工质量验收规范》（GB50204—2015）</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（4）《粉煤灰混凝土应用技术规程》（GBJ146—1990）；</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（5）《预应力混凝土用钢丝》（GB/T5223—2014）；</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（6）《预应力混凝士用钢纹线》（GB/T5224—2014）；</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（7）《预应力筋用锚具、夹具和连接器》（GB/T14370—2015）；</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（8）《水工混凝土试验规程》（SL352—2006）；</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（9）《水工碾压混凝土施工规范》（SL53—1994）；</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（10）《混凝土面板堆石坝施工规范》（SL49—2015）；</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（11）《水工建筑物滑动模板施工技术规范》（SL32—2014）；</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（12） 《水工建筑物抗冲磨防空蚀混凝土技术规范》（DL/T5207—2005）；</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（13）《水工混凝土钢筋施工规范》（DL/T5169—2013）；</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（14）《水工混凝土施工规范》（DL/T5144—2015）；</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（15）《水电水利工程模板施工规范》（DL/T5110—2013）；</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（16）《混凝土用水标准》（JGJ63—2006）；</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（17）《轻骨料混凝土技术规程》（JGJ51—2002）；</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（18）《混凝土泵送施工技术规程》（JGJ/T10—2011）；</w:t>
      </w:r>
    </w:p>
    <w:p>
      <w:pPr>
        <w:pStyle w:val="7"/>
        <w:tabs>
          <w:tab w:val="left" w:pos="7010"/>
        </w:tabs>
        <w:snapToGrid w:val="0"/>
        <w:spacing w:line="360" w:lineRule="exact"/>
        <w:rPr>
          <w:rFonts w:hint="eastAsia" w:ascii="仿宋" w:hAnsi="仿宋" w:eastAsia="仿宋" w:cs="仿宋"/>
          <w:snapToGrid w:val="0"/>
          <w:color w:val="auto"/>
          <w:sz w:val="21"/>
          <w:szCs w:val="21"/>
        </w:rPr>
      </w:pPr>
      <w:bookmarkStart w:id="958" w:name="_Toc336325379"/>
      <w:bookmarkStart w:id="959" w:name="_Toc339482543"/>
      <w:bookmarkStart w:id="960" w:name="_Toc339983449"/>
      <w:bookmarkStart w:id="961" w:name="_Toc339224677"/>
      <w:bookmarkStart w:id="962" w:name="_Toc6615"/>
      <w:bookmarkStart w:id="963" w:name="_Toc15552"/>
      <w:bookmarkStart w:id="964" w:name="_Toc341965051"/>
      <w:r>
        <w:rPr>
          <w:rFonts w:hint="eastAsia" w:ascii="仿宋" w:hAnsi="仿宋" w:eastAsia="仿宋" w:cs="仿宋"/>
          <w:snapToGrid w:val="0"/>
          <w:color w:val="auto"/>
          <w:sz w:val="21"/>
          <w:szCs w:val="21"/>
        </w:rPr>
        <w:t>8.2 混凝土生产</w:t>
      </w:r>
      <w:bookmarkEnd w:id="958"/>
      <w:bookmarkEnd w:id="959"/>
      <w:bookmarkEnd w:id="960"/>
      <w:bookmarkEnd w:id="961"/>
      <w:bookmarkEnd w:id="962"/>
      <w:bookmarkEnd w:id="963"/>
      <w:bookmarkEnd w:id="964"/>
      <w:r>
        <w:rPr>
          <w:rFonts w:hint="eastAsia" w:ascii="仿宋" w:hAnsi="仿宋" w:eastAsia="仿宋" w:cs="仿宋"/>
          <w:snapToGrid w:val="0"/>
          <w:color w:val="auto"/>
          <w:sz w:val="21"/>
          <w:szCs w:val="21"/>
        </w:rPr>
        <w:tab/>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8.2.1 混凝土材料</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（1）水泥。混凝土的水泥应遵守GB175—2007的有关规定，泵送混凝土应遵守JGJ/T10—1995的有关规定。</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（2）骨料。混凝土的骨料应遵守DL/T5144—2001第5.2节规定，泵送混凝土应遵守JGJ/T10—1995的有关规定。</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（3）水。混凝土浇筑用水应遵守JGJ63—2006的规定。</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（4）掺合料。混凝土掺合料应遵守DL/T5144—2001第5.3节规定，泵送混凝土应遵守JGJ/T10—1995的有关规定。</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（5）外加剂。混凝土外加剂应遵守DL/T5144—2001第5.4节的有关规定，泵送混凝土应遵守JGJ/T10—1995的有关规定。</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（6）硅粉。配制水工硅粉混凝土的硅粉质量标准应满足施工图纸的要求。</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8.2.2 混凝土配合比选定</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混凝土配合比选定应遵守DL/T5144—2001第6章的有关规定。</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8.2.3混凝土拌和</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（1）混凝土拌和设备：</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1）拌和厂应选用高效、可靠的固定式拌和设备，并采用自动或半自动控制的计量设备配料，拌和厂设备生产率必须满足本工程高峰浇筑强度的要求。</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2）拌和厂选用的所有称量、指示、记录及控制设备都应有防尘措施，设备称量应满足规定的精度要求，中标人应及时校正称量设备的精度。</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3）施工过程中，中标人若要改变混凝土生产程序或设备，必须将改变后的设备生产前力、技术说明书以及混凝土生产流程等提交监理人批准。</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4）中标人应设置排水沉淀池，分离或同时采取其它有效措施，防止污染环境。并应防止污水或含有悬浮质的水流污染施工现场和排入河流。</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（2）混凝土拌和。混凝土拌和应遵守DL/T5144—2001第7.1节的有关规定。</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8.2.4混凝土的取样和检验</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（1）混凝土原材料的取样和检验。混凝土原材料的取样和检验应遵守DL/T 5144 —2001第11.2节的有关规定。</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（2）混凝土拌和与混凝土拌和物的质量检测：</w:t>
      </w:r>
    </w:p>
    <w:p>
      <w:pPr>
        <w:pStyle w:val="15"/>
        <w:snapToGrid w:val="0"/>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1）混凝土拌和与混凝土拌和物的质量检测应遵守DL/T5144—2001第11.3节的规定。</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2）混凝土施工配合比必须满足本合同技术条款和施工图纸的要求，施工配料必须严格按监理人批准的混凝土配料单进行配料，严禁擅自更改。</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3）混凝土坍落度及混凝土拌和物的水胶比按SL352—2006的规定取样检测。</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4）混凝土拌和温度、气温和原材料温度的检测方法应遵守SL 352—2006 的规定。</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5）各级混凝土试件的各项试验和检测均应遵守SL 352—2006的规定。</w:t>
      </w:r>
    </w:p>
    <w:p>
      <w:pPr>
        <w:pStyle w:val="7"/>
        <w:snapToGrid w:val="0"/>
        <w:spacing w:line="360" w:lineRule="exact"/>
        <w:rPr>
          <w:rFonts w:hint="eastAsia" w:ascii="仿宋" w:hAnsi="仿宋" w:eastAsia="仿宋" w:cs="仿宋"/>
          <w:snapToGrid w:val="0"/>
          <w:color w:val="auto"/>
          <w:sz w:val="21"/>
          <w:szCs w:val="21"/>
        </w:rPr>
      </w:pPr>
      <w:bookmarkStart w:id="965" w:name="_Toc12942"/>
      <w:bookmarkStart w:id="966" w:name="_Toc336325380"/>
      <w:bookmarkStart w:id="967" w:name="_Toc341965052"/>
      <w:bookmarkStart w:id="968" w:name="_Toc339983450"/>
      <w:bookmarkStart w:id="969" w:name="_Toc339224678"/>
      <w:bookmarkStart w:id="970" w:name="_Toc32312"/>
      <w:bookmarkStart w:id="971" w:name="_Toc339482544"/>
      <w:r>
        <w:rPr>
          <w:rFonts w:hint="eastAsia" w:ascii="仿宋" w:hAnsi="仿宋" w:eastAsia="仿宋" w:cs="仿宋"/>
          <w:snapToGrid w:val="0"/>
          <w:color w:val="auto"/>
          <w:sz w:val="21"/>
          <w:szCs w:val="21"/>
        </w:rPr>
        <w:t>8.3 模板</w:t>
      </w:r>
      <w:bookmarkEnd w:id="965"/>
      <w:bookmarkEnd w:id="966"/>
      <w:bookmarkEnd w:id="967"/>
      <w:bookmarkEnd w:id="968"/>
      <w:bookmarkEnd w:id="969"/>
      <w:bookmarkEnd w:id="970"/>
      <w:bookmarkEnd w:id="971"/>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8.3.1 模板材料</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模板材料应遵守DL/T 5110—2000第5章的有关规定。</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8.3.2 模板的设计、制作和安装</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（1）混凝土模板的设计，除应满足本合同施工图纸的规定外，还应遵守DL/T5110—2000第6章的有关规定。</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（2）各种混凝土模板制作的允许偏差不应超过DL/T5110—2000第7章表7.0.1的有关规定。</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kern w:val="2"/>
          <w:sz w:val="21"/>
          <w:szCs w:val="21"/>
        </w:rPr>
        <w:t>（3）中标人应负责异型模板、特种模板（的设计、制作和安装，应遵守DL/T5110—2000第10章的有关规定。</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（4）曲面模板的设计和制作，除应满足本合同施工图纸所示的混凝土建筑物表面的曲度要求外，其允许偏差应遵守DL/T5110—2000第7.0.1条的规定。</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（5）模板之间的接缝必须平整严密，建筑物分层施工时应逐层校正下层偏差，模板下端不应有“错台”。</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（6）模板及支架上严禁堆放超过其设计荷载的材料和设备。</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（7）模板安装应按混凝土结构物的详图测量放样，重要结构多设控制点，以利检查校正。</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（8）建筑结构混凝土与钢筋混凝土模板的安装允许偏差应遵守GB50204—2002第4.2.7条的规定，大体积混凝土模板的安装允许偏差应遵守DL/T5110—2000第9.0.8条的规定。</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8.3.3 模板的清洗和涂料</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（1）钢模板在每次使用前应清洗干净；为防锈和拆模方便，钢模面板应涂刷防锈保护涂料，不得采用污染混凝土和影响混凝土质量的涂剂。</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（2）木模板面应采用烤石蜡或其它监理人批准的保护性涂料进行保护。</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8.3.4模板的拆除和维修</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（1）现浇混凝土的模板（如侧模、底模）以及钢筋混凝土与混凝土结构的承载模板拆除时的混凝土强度应遵守本合同施工图纸和DL/T 5110—2000第9.0.1条的规定。</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（2）墩、台、柱部位的混凝土强度必须达到____MPa时，方可拆除模板。</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（3）特殊模板的拆除时限应由中标人报经监理人批准。</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（4）预制混凝土构件模板拆除的混凝土强度应遵守施工图纸和DL/T5110—2000第9.0.3条的规定。</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（5）经计算和试验复核后，混凝土结构实际强度已能承受自重及其它荷载时，经监理人批准后，方可提前拆模。未经监理人批准．模板及其支架和支撑均不得任意拆除。</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（6）模板的安装及拆除作业必须使用专项设备，并应严格按规定的施工程序进行，以避免施工期发生事故，防止混凝土及其模板的损坏。</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8.3.5模板质量检查</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（1）现场安装质量检查：</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1）模板及其附件的制作质量应满足本合同技术条款和施工图纸的要求；</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2）模板安装应有足够的密封性能，以防止混凝土浇筑过程中的水泥浆流失；</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3）重复使用的模板应保持原设计要求的强度、刚度、密实性和模板表面的光滑度，检查发现模板有损坏时，中标人应按监理人指示进行更换或修补；</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4）模板安装完成后，中标人应会同监理人共同对模板的安装质量进行检查，检查记录应提交监理人；</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5）在混凝土浇筑过程中，中标人应随时检查模板的定线和定位，发现偏差和位移，应采取有效措施予以纠正，检查记录应提交监理人。</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（2）模板拆除后的检查</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拆模时间应经过验算。拆模后，中标人应会同监理人共同检查混凝土结构物及其浇筑面质量是否达到施工图纸要求的混凝土强度和平整度，验算成果和检查记录应提交监理人。</w:t>
      </w:r>
    </w:p>
    <w:p>
      <w:pPr>
        <w:pStyle w:val="7"/>
        <w:snapToGrid w:val="0"/>
        <w:spacing w:line="360" w:lineRule="exact"/>
        <w:rPr>
          <w:rFonts w:hint="eastAsia" w:ascii="仿宋" w:hAnsi="仿宋" w:eastAsia="仿宋" w:cs="仿宋"/>
          <w:snapToGrid w:val="0"/>
          <w:color w:val="auto"/>
          <w:sz w:val="21"/>
          <w:szCs w:val="21"/>
        </w:rPr>
      </w:pPr>
      <w:bookmarkStart w:id="972" w:name="_Toc336325381"/>
      <w:bookmarkStart w:id="973" w:name="_Toc10872"/>
      <w:bookmarkStart w:id="974" w:name="_Toc339482545"/>
      <w:bookmarkStart w:id="975" w:name="_Toc341965053"/>
      <w:bookmarkStart w:id="976" w:name="_Toc339224679"/>
      <w:bookmarkStart w:id="977" w:name="_Toc339983451"/>
      <w:bookmarkStart w:id="978" w:name="_Toc23523"/>
      <w:r>
        <w:rPr>
          <w:rFonts w:hint="eastAsia" w:ascii="仿宋" w:hAnsi="仿宋" w:eastAsia="仿宋" w:cs="仿宋"/>
          <w:snapToGrid w:val="0"/>
          <w:color w:val="auto"/>
          <w:sz w:val="21"/>
          <w:szCs w:val="21"/>
        </w:rPr>
        <w:t>8.4 钢筋</w:t>
      </w:r>
      <w:bookmarkEnd w:id="972"/>
      <w:bookmarkEnd w:id="973"/>
      <w:bookmarkEnd w:id="974"/>
      <w:bookmarkEnd w:id="975"/>
      <w:bookmarkEnd w:id="976"/>
      <w:bookmarkEnd w:id="977"/>
      <w:bookmarkEnd w:id="978"/>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8.4.1材料</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（1）混凝土结构用的钢筋和锚筋的规格和质量应遵守DL/T5169—2002的规定。</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（2）每批钢筋使用前，应按DL/T5169—2002第4.2.2条的规定，分批进行钢筋的机械性能检测。检测合格者才准使用，检测记录应提交监理人。</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（3）对钢号不明的钢筋，中标人应按DL/T5169—2002第4.2.3条的规定进行钢材化学成分和主要机械性能的检验，经检验合格，并经监理人批准后，方可使用。</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8.4.2钢筋的加工和安装</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（1）钢筋表面应洁净无损伤，使用前应将钢筋表面的油漆污染和铁锈等清除干净，带有颗粒状或片状老锈的钢筋不得使用。</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（2）钢筋的弯折、端头和接头的加工应遵守DL/T5169—2002第5.2节、第5.3规定。</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（3）钢筋的焊接应按满足本合同技术条款和施工图纸的要求，并遵守DL/T5169—2002第6章的规定。</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（4）钢筋的气压焊作业应遵守DL/T5169—2002第6.2.8条的规定。</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（5）钢筋的安装和绑扎应遵守DL/T5169—2002第7章的规定。</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8.4.3钢筋的质量检查和检验</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（1）钢筋的机械性能检验应遵守DL/T 5169—2002第4.2.2条的规定。</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（2）钢筋的接头质量检验应遵守DL/T 5169—2002第6.2节的规定，其中气压焊应遵守DL/T 5169—2002第6.2.8条的规定；机械连接应遵守按DL/T 5169—2002第6.2.9条规定。</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（3）钢筋架设完成后，应按本合同技术条款和施工图纸的要求进行检查和检验，并做好记录，若安装好的钢筋和锚筋生锈，应进行现场除锈，对于锈蚀严重的钢筋应予更换。</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（4）在混凝土浇筑施工前，应检查现场钢筋的架立位置，如发现钢筋位置变动应及时校正，严禁在混凝土浇筑中擅自移动或割除钢筋。</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（5）钢筋的安装和清理完成后，中标人应会同监理人在混凝土浇筑前进行检查和验收，并做好记录，经监理人批准后，才能浇筑混凝土。</w:t>
      </w:r>
    </w:p>
    <w:p>
      <w:pPr>
        <w:pStyle w:val="7"/>
        <w:snapToGrid w:val="0"/>
        <w:spacing w:line="360" w:lineRule="exact"/>
        <w:rPr>
          <w:rFonts w:hint="eastAsia" w:ascii="仿宋" w:hAnsi="仿宋" w:eastAsia="仿宋" w:cs="仿宋"/>
          <w:snapToGrid w:val="0"/>
          <w:color w:val="auto"/>
          <w:sz w:val="21"/>
          <w:szCs w:val="21"/>
        </w:rPr>
      </w:pPr>
      <w:bookmarkStart w:id="979" w:name="_Toc12270"/>
      <w:bookmarkStart w:id="980" w:name="_Toc341965054"/>
      <w:bookmarkStart w:id="981" w:name="_Toc336325382"/>
      <w:bookmarkStart w:id="982" w:name="_Toc7329"/>
      <w:bookmarkStart w:id="983" w:name="_Toc339224680"/>
      <w:bookmarkStart w:id="984" w:name="_Toc339482546"/>
      <w:bookmarkStart w:id="985" w:name="_Toc339983452"/>
      <w:r>
        <w:rPr>
          <w:rFonts w:hint="eastAsia" w:ascii="仿宋" w:hAnsi="仿宋" w:eastAsia="仿宋" w:cs="仿宋"/>
          <w:snapToGrid w:val="0"/>
          <w:color w:val="auto"/>
          <w:sz w:val="21"/>
          <w:szCs w:val="21"/>
        </w:rPr>
        <w:t>8.5 混凝土（含钢筋混凝土）</w:t>
      </w:r>
      <w:bookmarkEnd w:id="979"/>
      <w:bookmarkEnd w:id="980"/>
      <w:bookmarkEnd w:id="981"/>
      <w:bookmarkEnd w:id="982"/>
      <w:bookmarkEnd w:id="983"/>
      <w:bookmarkEnd w:id="984"/>
      <w:bookmarkEnd w:id="985"/>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混凝土的材料、配合比设计及拌和应按本章第8.2节的规定执行。</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8.5.1混凝土运输</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混凝土运输应遵守DL/T 5144—2001第7.2节的规定。</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8.5.2 混凝土浇筑</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（1）浇筑前准备应遵守DL/T 5144—2001第7.3.1~7.3.4条的规定。</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（2）在岩基或软基建基面的浇筑混凝土浇筑应遵守DL/T 5144—2001第7.3节的规定。</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（3）混凝土分层浇筑作业应遵守DL/T 5144—2001第7.3.6~7.3.8条的有关规定。</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（4）混凝土浇筑的振捣应遵守DL/T 5144—2001第7.3.9条的规定。</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（5）混凝土浇筑应保持连续性，浇筑混凝土允许间歇时间应通过试验确定，并应遵守DL/T 5144—2001第7.3.11条的有关规定。</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（6）应在混凝土浇筑工艺设计中，根据搅拌、运输和浇筑的设备能力、振捣性能及气温等因素，详细确定混凝土浇筑层厚度。其浇筑层允许最大厚度应参照DL/T 5144—2001表7.3.7的有关数据选定。</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（7）混凝土浇筑施工缝的处理应按DL/T 5144—2001第7.3.14条的规定执行。</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8.5.3混凝土养护</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混凝土养护应遵守DL/T 5144—2001第7.5节的有关规定。</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8.5.4混凝土温度控制</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中标人应根据本合同施工图纸所设置的混凝土工程建筑物的浇筑纵横缝、分层厚度、浇筑间歇时间、混凝土允许最高温度及其它温度控制要求，编制温度控制措施技术文件，提交监理人批准；</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中标人应采取有效措施控制混凝土搅拌机出机口温度，以及运输、浇筑过程中的温度回升，混凝土允许浇筑温度应符合本合同技术条款和施工图纸的要求；</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为提高混凝土抗裂能力，混凝土质量除应满足强度保证率要求外，还至少应达到DL/T5144—2001表11.5.11中混凝土生产质量优良的等级水平。</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混凝土表面保护应遵守DL/T 5144—2001第7.2.4条的规定。混凝土低温季节施工应遵守DL/T5144—2001第9章的有关规定。</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8.5.5止水、伸缩缝和排水</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止水、伸缩缝和排水施工应遵守DL/T 5144—2001第10.2节的有关规定。</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8.5.6 质量检查和验收</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（1）混凝土原材料的质量检验和验收</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中标人应会同监理人，按本章第8.2.1条的规定，对本工程混凝土原材料进行现场抽样检验和入库验收，检验成果应提交监理人。</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（2）混凝土拌和物的质量检验</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中标人应会同监理人，按本章第8.2.3条的规定进行混凝土拌和物的现场抽样检验，检验成果应提交监理人。</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（3）建筑物的混凝土浇筑和成型质量的检查和验收：</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1）建基面混凝土浇筑前，应由中标人会同监理人对建基面的测量放样成果和建基面的基础清理质量进行检查与验收；</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2）混凝土浇筑过程中，中标人应会同监理人对混凝土建筑物的测量放样成果进行检查和验收。其测量放样成果应提交监理人；</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3）监理人应会同中标人按DL/T 5144—2001的有关规定，对现场浇筑的混凝土的强度、浇筑温度和坝体内温度进行检验和检测，其检验和检测成果应提交监理人；</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4）混凝土浇筑过程中，中标人会同监理人对各浇筑面的施工浇筑质量和养护质量，以及各种埋设件的埋设质量进行质量检查和验收，检查和验收记录应提交监理人；</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5）混凝土工程建筑物浇筑完成后，中标人应会同监理人对混凝土工程建筑物永久结构面的成型质量进行检查和验收。检查和验收记录应提交监理人。</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（4）完工验收</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混凝土工程建筑物全部完工后，中标人应向招标人申请完工验收，并提交以下完工资料：</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1）混凝土工程建筑物竣工图（包括布置图和主要结构图）；</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2）混凝土工程建筑物的隐蔽工程及工程隐蔽部位的质量检查验收报告；</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3）混凝土工程建筑物的永久观测设施的竣工资料及建筑物观测成果；</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4）混凝土建筑物的缺陷修补和质量事故处理报告；</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5）混凝土工程建筑物成型复测成果；</w:t>
      </w:r>
    </w:p>
    <w:p>
      <w:pPr>
        <w:pStyle w:val="23"/>
        <w:snapToGrid w:val="0"/>
        <w:spacing w:beforeAutospacing="0" w:afterAutospacing="0" w:line="360" w:lineRule="exact"/>
        <w:ind w:firstLine="420" w:firstLineChars="200"/>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6）监理人要求提交的其它完工资料。</w:t>
      </w:r>
    </w:p>
    <w:p>
      <w:pPr>
        <w:pStyle w:val="7"/>
        <w:snapToGrid w:val="0"/>
        <w:spacing w:line="360" w:lineRule="exact"/>
        <w:rPr>
          <w:rFonts w:hint="eastAsia" w:ascii="仿宋" w:hAnsi="仿宋" w:eastAsia="仿宋" w:cs="仿宋"/>
          <w:snapToGrid w:val="0"/>
          <w:color w:val="auto"/>
          <w:sz w:val="21"/>
          <w:szCs w:val="21"/>
        </w:rPr>
      </w:pPr>
      <w:bookmarkStart w:id="986" w:name="_Toc7845"/>
      <w:bookmarkStart w:id="987" w:name="_Toc339983454"/>
      <w:bookmarkStart w:id="988" w:name="_Toc339224682"/>
      <w:bookmarkStart w:id="989" w:name="_Toc339482548"/>
      <w:bookmarkStart w:id="990" w:name="_Toc336325384"/>
      <w:bookmarkStart w:id="991" w:name="_Toc341965055"/>
      <w:bookmarkStart w:id="992" w:name="_Toc11360"/>
      <w:r>
        <w:rPr>
          <w:rFonts w:hint="eastAsia" w:ascii="仿宋" w:hAnsi="仿宋" w:eastAsia="仿宋" w:cs="仿宋"/>
          <w:snapToGrid w:val="0"/>
          <w:color w:val="auto"/>
          <w:sz w:val="21"/>
          <w:szCs w:val="21"/>
        </w:rPr>
        <w:t>8.6 计量和支付</w:t>
      </w:r>
      <w:bookmarkEnd w:id="986"/>
      <w:bookmarkEnd w:id="987"/>
      <w:bookmarkEnd w:id="988"/>
      <w:bookmarkEnd w:id="989"/>
      <w:bookmarkEnd w:id="990"/>
      <w:bookmarkEnd w:id="991"/>
      <w:bookmarkEnd w:id="992"/>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8.6.1模扳</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（1）除合同另有约定外，现浇混凝土的模板费用，包含在《工程量清单》相应混凝土或钢筋混凝土项目有效工程量的每立方米工程单价中，招标人不另行计量和支付。</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（2）混凝土预制构件模板所需费用，包含在《工程量清单》相应预制混凝土构件项目有效工程量的工程单价中，招标人不另行支付。</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8.7.2钢筋</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按施工图纸所示钢筋强度等级、直径和长度计算的有效重量以吨为单位计量，由招标人按《工程量清单》相应项目有效工程量的每吨工程单价支付。施工架立筋、搭接、套筒连接、加工及安装过程中操作损耗等所需费用，均包含在《工程量清单》相应项目有效工程量的每吨工程单价中，招标人不另行支付。</w:t>
      </w:r>
    </w:p>
    <w:p>
      <w:pPr>
        <w:pStyle w:val="8"/>
        <w:snapToGrid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8.7.3普通混凝土</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（1）普通混凝土按施工图纸所示尺寸计算的有效体积以立方米为单位计量，由招标人按《工程量清单》相应项目有效工程量的每立方米工程单价支付。</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2）混凝土有效工程量不扣除设计单体体积小于0.1m3的圆角或斜角，单体占用的空间体积小于0.1m3的钢筋和金属件，单体横截面积小于0.1m2的孔洞、排水管、预埋管和凹槽等所占的体积，按设计要求对上述孔洞回填的混凝土也不予计量。</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3）不可预见地质原因超挖引起的超填工程量所发生的费用，由招标人按《工程量清单》相应项目或变更项目的每立方米工程单价支付。除此之外，同一中标人由于其他原因超挖引起的超填工程量和由此增加的其他工作所需的费用，均应包含在《工程量清单》相应项目有效工程量的每立方米工程单价中，招标人不另行支付。</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4）混凝土在冲（凿）毛、拌和、运输和浇筑过程中的操作损耗，以及为临时性施工措施增加的附加混凝土量所需的费用，应包含在《工程量清单》相应项目有效工程量的每立方米工程单价中，招标人不另行支付。</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（5）施工过程中，中标人按本合同技术条款规定进行的各项混凝土试验所需的费用</w:t>
      </w:r>
      <w:r>
        <w:rPr>
          <w:rFonts w:hint="eastAsia" w:ascii="仿宋" w:hAnsi="仿宋" w:eastAsia="仿宋" w:cs="仿宋"/>
          <w:snapToGrid w:val="0"/>
          <w:color w:val="auto"/>
          <w:sz w:val="21"/>
          <w:szCs w:val="21"/>
        </w:rPr>
        <w:t>以及按本章有关规定进行质量检查和验收的费用</w:t>
      </w:r>
      <w:r>
        <w:rPr>
          <w:rFonts w:hint="eastAsia" w:ascii="仿宋" w:hAnsi="仿宋" w:eastAsia="仿宋" w:cs="仿宋"/>
          <w:color w:val="auto"/>
          <w:sz w:val="21"/>
          <w:szCs w:val="21"/>
        </w:rPr>
        <w:t>，均包含在《工程量清单》相应项目有效工程量的每立方米工程单价中，招标人不另行支付。</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（6）止水、止浆、伸缩缝等按施工图纸所示各种材料数量以米（或平方米）为单位计量，由招标人按《工程量清单》相应项目有效工程量的每米（或平方米）工程单价支付。</w:t>
      </w:r>
    </w:p>
    <w:p>
      <w:pPr>
        <w:pStyle w:val="23"/>
        <w:snapToGrid w:val="0"/>
        <w:spacing w:beforeAutospacing="0" w:afterAutospacing="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7）混凝土温度控制措施费（包括冷却水管埋设及通水冷却费用、混凝土收缩缝和冷却水管的灌浆费用，以及混凝土坝体的保温费用）包含在《工程量清单》相应混凝土项目有效工程量的每立方米工程单价中，招标人不另行支付。</w:t>
      </w:r>
    </w:p>
    <w:p>
      <w:pPr>
        <w:pStyle w:val="23"/>
        <w:snapToGrid w:val="0"/>
        <w:spacing w:beforeAutospacing="0" w:afterAutospacing="0" w:line="360" w:lineRule="exact"/>
        <w:ind w:firstLine="420" w:firstLineChars="200"/>
        <w:jc w:val="both"/>
        <w:rPr>
          <w:rFonts w:hint="eastAsia" w:ascii="仿宋" w:hAnsi="仿宋" w:eastAsia="仿宋" w:cs="仿宋"/>
          <w:snapToGrid w:val="0"/>
          <w:color w:val="auto"/>
          <w:sz w:val="21"/>
          <w:szCs w:val="21"/>
        </w:rPr>
      </w:pPr>
      <w:r>
        <w:rPr>
          <w:rFonts w:hint="eastAsia" w:ascii="仿宋" w:hAnsi="仿宋" w:eastAsia="仿宋" w:cs="仿宋"/>
          <w:color w:val="auto"/>
          <w:sz w:val="21"/>
          <w:szCs w:val="21"/>
        </w:rPr>
        <w:t>（8）</w:t>
      </w:r>
      <w:r>
        <w:rPr>
          <w:rFonts w:hint="eastAsia" w:ascii="仿宋" w:hAnsi="仿宋" w:eastAsia="仿宋" w:cs="仿宋"/>
          <w:snapToGrid w:val="0"/>
          <w:color w:val="auto"/>
          <w:sz w:val="21"/>
          <w:szCs w:val="21"/>
        </w:rPr>
        <w:t>混凝土浇筑所用的材料（包括水泥、掺和料、骨料、外加剂等）的采购、运输、保管、贮存，立模以及混凝土的生产、浇筑、养护、表面保护、试验和辅助工作等所需的人工、材料及使用设备和辅助设施等一切费用均包括在混凝土每立方米单价中。</w:t>
      </w:r>
    </w:p>
    <w:p>
      <w:pPr>
        <w:pStyle w:val="5"/>
        <w:rPr>
          <w:rFonts w:hint="eastAsia" w:ascii="仿宋" w:hAnsi="仿宋" w:eastAsia="仿宋" w:cs="仿宋"/>
          <w:bCs/>
          <w:color w:val="auto"/>
          <w:sz w:val="32"/>
          <w:szCs w:val="32"/>
        </w:rPr>
      </w:pPr>
      <w:r>
        <w:rPr>
          <w:rFonts w:hint="eastAsia" w:ascii="仿宋" w:hAnsi="仿宋" w:eastAsia="仿宋" w:cs="仿宋"/>
          <w:snapToGrid w:val="0"/>
          <w:color w:val="auto"/>
          <w:sz w:val="21"/>
          <w:szCs w:val="21"/>
        </w:rPr>
        <w:t>（9）混凝土表面的修整费用不予单列，应包括在混凝土每立方米单价。</w:t>
      </w:r>
    </w:p>
    <w:p>
      <w:pPr>
        <w:pStyle w:val="6"/>
        <w:jc w:val="center"/>
        <w:rPr>
          <w:rFonts w:hint="eastAsia" w:ascii="仿宋" w:hAnsi="仿宋" w:eastAsia="仿宋" w:cs="仿宋"/>
          <w:bCs/>
          <w:color w:val="auto"/>
          <w:sz w:val="32"/>
          <w:szCs w:val="32"/>
        </w:rPr>
      </w:pPr>
    </w:p>
    <w:p>
      <w:pPr>
        <w:pStyle w:val="6"/>
        <w:jc w:val="center"/>
        <w:rPr>
          <w:rFonts w:hint="eastAsia" w:ascii="仿宋" w:hAnsi="仿宋" w:eastAsia="仿宋" w:cs="仿宋"/>
          <w:bCs/>
          <w:color w:val="auto"/>
          <w:sz w:val="32"/>
          <w:szCs w:val="32"/>
        </w:rPr>
      </w:pPr>
    </w:p>
    <w:p>
      <w:pPr>
        <w:pStyle w:val="6"/>
        <w:jc w:val="center"/>
        <w:rPr>
          <w:rFonts w:hint="eastAsia" w:ascii="仿宋" w:hAnsi="仿宋" w:eastAsia="仿宋" w:cs="仿宋"/>
          <w:bCs/>
          <w:color w:val="auto"/>
          <w:sz w:val="32"/>
          <w:szCs w:val="32"/>
        </w:rPr>
      </w:pPr>
    </w:p>
    <w:p>
      <w:pPr>
        <w:pStyle w:val="6"/>
        <w:jc w:val="center"/>
        <w:rPr>
          <w:rFonts w:hint="eastAsia" w:ascii="仿宋" w:hAnsi="仿宋" w:eastAsia="仿宋" w:cs="仿宋"/>
          <w:bCs/>
          <w:color w:val="auto"/>
          <w:sz w:val="32"/>
          <w:szCs w:val="32"/>
        </w:rPr>
      </w:pPr>
    </w:p>
    <w:p>
      <w:pPr>
        <w:pStyle w:val="6"/>
        <w:jc w:val="center"/>
        <w:rPr>
          <w:rFonts w:hint="eastAsia" w:ascii="仿宋" w:hAnsi="仿宋" w:eastAsia="仿宋" w:cs="仿宋"/>
          <w:bCs/>
          <w:color w:val="auto"/>
          <w:sz w:val="32"/>
          <w:szCs w:val="32"/>
        </w:rPr>
      </w:pPr>
    </w:p>
    <w:p>
      <w:pPr>
        <w:pStyle w:val="6"/>
        <w:jc w:val="center"/>
        <w:rPr>
          <w:rFonts w:hint="eastAsia" w:ascii="仿宋" w:hAnsi="仿宋" w:eastAsia="仿宋" w:cs="仿宋"/>
          <w:bCs/>
          <w:color w:val="auto"/>
          <w:sz w:val="32"/>
          <w:szCs w:val="32"/>
        </w:rPr>
      </w:pPr>
    </w:p>
    <w:bookmarkEnd w:id="578"/>
    <w:p>
      <w:pPr>
        <w:pStyle w:val="5"/>
        <w:rPr>
          <w:rFonts w:hint="eastAsia" w:ascii="仿宋" w:hAnsi="仿宋" w:eastAsia="仿宋" w:cs="仿宋"/>
          <w:color w:val="auto"/>
        </w:rPr>
      </w:pPr>
      <w:bookmarkStart w:id="993" w:name="_Toc20031"/>
    </w:p>
    <w:p>
      <w:pPr>
        <w:pStyle w:val="5"/>
        <w:rPr>
          <w:rFonts w:hint="eastAsia" w:ascii="仿宋" w:hAnsi="仿宋" w:eastAsia="仿宋" w:cs="仿宋"/>
          <w:color w:val="auto"/>
        </w:rPr>
      </w:pPr>
    </w:p>
    <w:p>
      <w:pPr>
        <w:pStyle w:val="6"/>
        <w:jc w:val="center"/>
        <w:rPr>
          <w:rFonts w:hint="eastAsia" w:ascii="仿宋" w:hAnsi="仿宋" w:eastAsia="仿宋" w:cs="仿宋"/>
          <w:color w:val="auto"/>
          <w:sz w:val="28"/>
          <w:szCs w:val="28"/>
        </w:rPr>
      </w:pPr>
      <w:bookmarkStart w:id="994" w:name="_Toc7313"/>
      <w:r>
        <w:rPr>
          <w:rFonts w:hint="eastAsia" w:ascii="仿宋" w:hAnsi="仿宋" w:eastAsia="仿宋" w:cs="仿宋"/>
          <w:color w:val="auto"/>
          <w:sz w:val="32"/>
          <w:szCs w:val="32"/>
        </w:rPr>
        <w:t>第八章投标文件格式</w:t>
      </w:r>
      <w:bookmarkEnd w:id="993"/>
      <w:bookmarkEnd w:id="994"/>
    </w:p>
    <w:p>
      <w:pPr>
        <w:pStyle w:val="5"/>
        <w:spacing w:line="360" w:lineRule="auto"/>
        <w:ind w:firstLine="3362" w:firstLineChars="1201"/>
        <w:rPr>
          <w:rFonts w:hint="eastAsia" w:ascii="仿宋" w:hAnsi="仿宋" w:eastAsia="仿宋" w:cs="仿宋"/>
          <w:bCs/>
          <w:snapToGrid w:val="0"/>
          <w:color w:val="auto"/>
          <w:sz w:val="28"/>
          <w:szCs w:val="28"/>
        </w:rPr>
      </w:pPr>
      <w:bookmarkStart w:id="995" w:name="_Toc217819174"/>
      <w:bookmarkStart w:id="996" w:name="_Toc10738"/>
      <w:bookmarkStart w:id="997" w:name="_Toc336325393"/>
      <w:bookmarkStart w:id="998" w:name="_Toc217457095"/>
      <w:r>
        <w:rPr>
          <w:rFonts w:hint="eastAsia" w:ascii="仿宋" w:hAnsi="仿宋" w:eastAsia="仿宋" w:cs="仿宋"/>
          <w:bCs/>
          <w:snapToGrid w:val="0"/>
          <w:color w:val="auto"/>
          <w:sz w:val="28"/>
          <w:szCs w:val="28"/>
        </w:rPr>
        <w:t>技术文件目录</w:t>
      </w:r>
      <w:bookmarkEnd w:id="995"/>
      <w:bookmarkEnd w:id="996"/>
      <w:bookmarkEnd w:id="997"/>
      <w:bookmarkEnd w:id="998"/>
    </w:p>
    <w:p>
      <w:pPr>
        <w:pStyle w:val="5"/>
        <w:ind w:firstLine="480" w:firstLineChars="200"/>
        <w:rPr>
          <w:rFonts w:hint="eastAsia" w:ascii="仿宋" w:hAnsi="仿宋" w:eastAsia="仿宋" w:cs="仿宋"/>
          <w:snapToGrid w:val="0"/>
          <w:color w:val="auto"/>
        </w:rPr>
      </w:pPr>
    </w:p>
    <w:p>
      <w:pPr>
        <w:spacing w:line="360" w:lineRule="auto"/>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一、技术文件特征值表</w:t>
      </w:r>
    </w:p>
    <w:p>
      <w:pPr>
        <w:spacing w:line="360" w:lineRule="auto"/>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二、法定代表人身份证明或附有法定代表人身份证明的授权委托书</w:t>
      </w:r>
    </w:p>
    <w:p>
      <w:pPr>
        <w:spacing w:line="360" w:lineRule="auto"/>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三、投标保证金</w:t>
      </w:r>
    </w:p>
    <w:p>
      <w:pPr>
        <w:spacing w:line="360" w:lineRule="auto"/>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四、施工组织设计</w:t>
      </w:r>
    </w:p>
    <w:p>
      <w:pPr>
        <w:spacing w:line="360" w:lineRule="auto"/>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五、项目管理机构</w:t>
      </w:r>
    </w:p>
    <w:p>
      <w:pPr>
        <w:spacing w:line="360" w:lineRule="auto"/>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六、资格审查资料</w:t>
      </w:r>
    </w:p>
    <w:p>
      <w:pPr>
        <w:spacing w:line="360" w:lineRule="auto"/>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七、原件的扫描件或电子件</w:t>
      </w:r>
    </w:p>
    <w:p>
      <w:pPr>
        <w:spacing w:line="360" w:lineRule="auto"/>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八、其他材料</w:t>
      </w:r>
    </w:p>
    <w:p>
      <w:pPr>
        <w:rPr>
          <w:rFonts w:hint="eastAsia" w:ascii="仿宋" w:hAnsi="仿宋" w:eastAsia="仿宋" w:cs="仿宋"/>
          <w:snapToGrid w:val="0"/>
          <w:color w:val="auto"/>
          <w:szCs w:val="21"/>
        </w:rPr>
      </w:pPr>
    </w:p>
    <w:p>
      <w:pPr>
        <w:pStyle w:val="7"/>
        <w:jc w:val="center"/>
        <w:rPr>
          <w:rFonts w:hint="eastAsia" w:ascii="仿宋" w:hAnsi="仿宋" w:eastAsia="仿宋" w:cs="仿宋"/>
          <w:color w:val="auto"/>
          <w:sz w:val="32"/>
          <w:szCs w:val="32"/>
        </w:rPr>
      </w:pPr>
      <w:bookmarkStart w:id="999" w:name="_Toc217457097"/>
      <w:bookmarkStart w:id="1000" w:name="_Toc184635139"/>
      <w:bookmarkStart w:id="1001" w:name="_Toc336325394"/>
      <w:bookmarkStart w:id="1002" w:name="_Toc259802278"/>
      <w:r>
        <w:rPr>
          <w:rFonts w:hint="eastAsia" w:ascii="仿宋" w:hAnsi="仿宋" w:eastAsia="仿宋" w:cs="仿宋"/>
          <w:snapToGrid w:val="0"/>
          <w:color w:val="auto"/>
          <w:sz w:val="28"/>
          <w:szCs w:val="28"/>
        </w:rPr>
        <w:br w:type="page"/>
      </w:r>
      <w:bookmarkStart w:id="1003" w:name="_Toc240864054"/>
      <w:bookmarkStart w:id="1004" w:name="_Toc306762950"/>
      <w:bookmarkStart w:id="1005" w:name="_Toc32276"/>
      <w:bookmarkStart w:id="1006" w:name="_Toc309712972"/>
      <w:bookmarkStart w:id="1007" w:name="_Toc25805"/>
      <w:bookmarkStart w:id="1008" w:name="_Toc232080205"/>
      <w:r>
        <w:rPr>
          <w:rFonts w:hint="eastAsia" w:ascii="仿宋" w:hAnsi="仿宋" w:eastAsia="仿宋" w:cs="仿宋"/>
          <w:snapToGrid w:val="0"/>
          <w:color w:val="auto"/>
          <w:sz w:val="32"/>
          <w:szCs w:val="32"/>
        </w:rPr>
        <w:t>一、技术文件特征值表</w:t>
      </w:r>
      <w:bookmarkEnd w:id="1003"/>
      <w:bookmarkEnd w:id="1004"/>
      <w:bookmarkEnd w:id="1005"/>
      <w:bookmarkEnd w:id="1006"/>
      <w:bookmarkEnd w:id="1007"/>
      <w:bookmarkEnd w:id="1008"/>
    </w:p>
    <w:p>
      <w:pPr>
        <w:tabs>
          <w:tab w:val="left" w:pos="6000"/>
        </w:tabs>
        <w:ind w:firstLine="480" w:firstLineChars="200"/>
        <w:rPr>
          <w:rFonts w:hint="eastAsia" w:ascii="仿宋" w:hAnsi="仿宋" w:eastAsia="仿宋" w:cs="仿宋"/>
          <w:snapToGrid w:val="0"/>
          <w:color w:val="auto"/>
          <w:szCs w:val="21"/>
        </w:rPr>
      </w:pPr>
      <w:r>
        <w:rPr>
          <w:rFonts w:hint="eastAsia" w:ascii="仿宋" w:hAnsi="仿宋" w:eastAsia="仿宋" w:cs="仿宋"/>
          <w:snapToGrid w:val="0"/>
          <w:color w:val="auto"/>
          <w:szCs w:val="21"/>
        </w:rPr>
        <w:tab/>
      </w:r>
    </w:p>
    <w:tbl>
      <w:tblPr>
        <w:tblStyle w:val="25"/>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755"/>
        <w:gridCol w:w="339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spacing w:line="360" w:lineRule="auto"/>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序号</w:t>
            </w:r>
          </w:p>
        </w:tc>
        <w:tc>
          <w:tcPr>
            <w:tcW w:w="2755" w:type="dxa"/>
            <w:vAlign w:val="center"/>
          </w:tcPr>
          <w:p>
            <w:pPr>
              <w:spacing w:line="360" w:lineRule="auto"/>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条款名称</w:t>
            </w:r>
          </w:p>
        </w:tc>
        <w:tc>
          <w:tcPr>
            <w:tcW w:w="3396" w:type="dxa"/>
            <w:vAlign w:val="center"/>
          </w:tcPr>
          <w:p>
            <w:pPr>
              <w:spacing w:line="360" w:lineRule="auto"/>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约定内容</w:t>
            </w:r>
          </w:p>
        </w:tc>
        <w:tc>
          <w:tcPr>
            <w:tcW w:w="1985" w:type="dxa"/>
            <w:vAlign w:val="center"/>
          </w:tcPr>
          <w:p>
            <w:pPr>
              <w:spacing w:line="360" w:lineRule="auto"/>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spacing w:line="360" w:lineRule="auto"/>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1</w:t>
            </w:r>
          </w:p>
        </w:tc>
        <w:tc>
          <w:tcPr>
            <w:tcW w:w="2755" w:type="dxa"/>
            <w:vAlign w:val="center"/>
          </w:tcPr>
          <w:p>
            <w:pPr>
              <w:spacing w:line="360" w:lineRule="auto"/>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项目负责人</w:t>
            </w:r>
          </w:p>
        </w:tc>
        <w:tc>
          <w:tcPr>
            <w:tcW w:w="3396" w:type="dxa"/>
            <w:vAlign w:val="center"/>
          </w:tcPr>
          <w:p>
            <w:pPr>
              <w:spacing w:line="360" w:lineRule="auto"/>
              <w:rPr>
                <w:rFonts w:hint="eastAsia" w:ascii="仿宋" w:hAnsi="仿宋" w:eastAsia="仿宋" w:cs="仿宋"/>
                <w:snapToGrid w:val="0"/>
                <w:color w:val="auto"/>
                <w:kern w:val="2"/>
                <w:szCs w:val="21"/>
                <w:u w:val="single"/>
              </w:rPr>
            </w:pPr>
            <w:r>
              <w:rPr>
                <w:rFonts w:hint="eastAsia" w:ascii="仿宋" w:hAnsi="仿宋" w:eastAsia="仿宋" w:cs="仿宋"/>
                <w:snapToGrid w:val="0"/>
                <w:color w:val="auto"/>
                <w:kern w:val="2"/>
                <w:szCs w:val="21"/>
              </w:rPr>
              <w:t>姓名：</w:t>
            </w:r>
          </w:p>
        </w:tc>
        <w:tc>
          <w:tcPr>
            <w:tcW w:w="1985" w:type="dxa"/>
          </w:tcPr>
          <w:p>
            <w:pPr>
              <w:spacing w:line="360" w:lineRule="auto"/>
              <w:rPr>
                <w:rFonts w:hint="eastAsia" w:ascii="仿宋" w:hAnsi="仿宋" w:eastAsia="仿宋" w:cs="仿宋"/>
                <w:snapToGrid w:val="0"/>
                <w:color w:val="auto"/>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spacing w:line="360" w:lineRule="auto"/>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2</w:t>
            </w:r>
          </w:p>
        </w:tc>
        <w:tc>
          <w:tcPr>
            <w:tcW w:w="2755" w:type="dxa"/>
            <w:vAlign w:val="center"/>
          </w:tcPr>
          <w:p>
            <w:pPr>
              <w:spacing w:line="360" w:lineRule="auto"/>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技术负责人</w:t>
            </w:r>
          </w:p>
        </w:tc>
        <w:tc>
          <w:tcPr>
            <w:tcW w:w="3396" w:type="dxa"/>
            <w:vAlign w:val="center"/>
          </w:tcPr>
          <w:p>
            <w:pPr>
              <w:spacing w:line="360" w:lineRule="auto"/>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姓名：</w:t>
            </w:r>
          </w:p>
        </w:tc>
        <w:tc>
          <w:tcPr>
            <w:tcW w:w="1985" w:type="dxa"/>
          </w:tcPr>
          <w:p>
            <w:pPr>
              <w:spacing w:line="360" w:lineRule="auto"/>
              <w:rPr>
                <w:rFonts w:hint="eastAsia" w:ascii="仿宋" w:hAnsi="仿宋" w:eastAsia="仿宋" w:cs="仿宋"/>
                <w:snapToGrid w:val="0"/>
                <w:color w:val="auto"/>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spacing w:line="360" w:lineRule="auto"/>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3</w:t>
            </w:r>
          </w:p>
        </w:tc>
        <w:tc>
          <w:tcPr>
            <w:tcW w:w="2755" w:type="dxa"/>
            <w:vAlign w:val="center"/>
          </w:tcPr>
          <w:p>
            <w:pPr>
              <w:spacing w:line="360" w:lineRule="auto"/>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工期</w:t>
            </w:r>
          </w:p>
        </w:tc>
        <w:tc>
          <w:tcPr>
            <w:tcW w:w="3396" w:type="dxa"/>
            <w:vAlign w:val="center"/>
          </w:tcPr>
          <w:p>
            <w:pPr>
              <w:spacing w:line="360" w:lineRule="auto"/>
              <w:rPr>
                <w:rFonts w:hint="eastAsia" w:ascii="仿宋" w:hAnsi="仿宋" w:eastAsia="仿宋" w:cs="仿宋"/>
                <w:snapToGrid w:val="0"/>
                <w:color w:val="auto"/>
                <w:kern w:val="2"/>
                <w:szCs w:val="21"/>
              </w:rPr>
            </w:pPr>
          </w:p>
        </w:tc>
        <w:tc>
          <w:tcPr>
            <w:tcW w:w="1985" w:type="dxa"/>
          </w:tcPr>
          <w:p>
            <w:pPr>
              <w:spacing w:line="360" w:lineRule="auto"/>
              <w:rPr>
                <w:rFonts w:hint="eastAsia" w:ascii="仿宋" w:hAnsi="仿宋" w:eastAsia="仿宋" w:cs="仿宋"/>
                <w:snapToGrid w:val="0"/>
                <w:color w:val="auto"/>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spacing w:line="360" w:lineRule="auto"/>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4</w:t>
            </w:r>
          </w:p>
        </w:tc>
        <w:tc>
          <w:tcPr>
            <w:tcW w:w="2755" w:type="dxa"/>
            <w:vAlign w:val="center"/>
          </w:tcPr>
          <w:p>
            <w:pPr>
              <w:spacing w:line="360" w:lineRule="auto"/>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缺陷责任期</w:t>
            </w:r>
          </w:p>
        </w:tc>
        <w:tc>
          <w:tcPr>
            <w:tcW w:w="3396" w:type="dxa"/>
            <w:vAlign w:val="center"/>
          </w:tcPr>
          <w:p>
            <w:pPr>
              <w:spacing w:line="360" w:lineRule="auto"/>
              <w:jc w:val="center"/>
              <w:rPr>
                <w:rFonts w:hint="eastAsia" w:ascii="仿宋" w:hAnsi="仿宋" w:eastAsia="仿宋" w:cs="仿宋"/>
                <w:snapToGrid w:val="0"/>
                <w:color w:val="auto"/>
                <w:kern w:val="2"/>
                <w:szCs w:val="21"/>
                <w:u w:val="single"/>
              </w:rPr>
            </w:pPr>
          </w:p>
        </w:tc>
        <w:tc>
          <w:tcPr>
            <w:tcW w:w="1985" w:type="dxa"/>
          </w:tcPr>
          <w:p>
            <w:pPr>
              <w:spacing w:line="360" w:lineRule="auto"/>
              <w:rPr>
                <w:rFonts w:hint="eastAsia" w:ascii="仿宋" w:hAnsi="仿宋" w:eastAsia="仿宋" w:cs="仿宋"/>
                <w:snapToGrid w:val="0"/>
                <w:color w:val="auto"/>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spacing w:line="360" w:lineRule="auto"/>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5</w:t>
            </w:r>
          </w:p>
        </w:tc>
        <w:tc>
          <w:tcPr>
            <w:tcW w:w="2755" w:type="dxa"/>
            <w:vAlign w:val="center"/>
          </w:tcPr>
          <w:p>
            <w:pPr>
              <w:spacing w:line="360" w:lineRule="auto"/>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分包</w:t>
            </w:r>
          </w:p>
        </w:tc>
        <w:tc>
          <w:tcPr>
            <w:tcW w:w="3396" w:type="dxa"/>
            <w:vAlign w:val="center"/>
          </w:tcPr>
          <w:p>
            <w:pPr>
              <w:spacing w:line="360" w:lineRule="auto"/>
              <w:jc w:val="center"/>
              <w:rPr>
                <w:rFonts w:hint="eastAsia" w:ascii="仿宋" w:hAnsi="仿宋" w:eastAsia="仿宋" w:cs="仿宋"/>
                <w:snapToGrid w:val="0"/>
                <w:color w:val="auto"/>
                <w:kern w:val="2"/>
                <w:szCs w:val="21"/>
              </w:rPr>
            </w:pPr>
          </w:p>
        </w:tc>
        <w:tc>
          <w:tcPr>
            <w:tcW w:w="1985" w:type="dxa"/>
          </w:tcPr>
          <w:p>
            <w:pPr>
              <w:spacing w:line="360" w:lineRule="auto"/>
              <w:rPr>
                <w:rFonts w:hint="eastAsia" w:ascii="仿宋" w:hAnsi="仿宋" w:eastAsia="仿宋" w:cs="仿宋"/>
                <w:snapToGrid w:val="0"/>
                <w:color w:val="auto"/>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spacing w:line="360" w:lineRule="auto"/>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6</w:t>
            </w:r>
          </w:p>
        </w:tc>
        <w:tc>
          <w:tcPr>
            <w:tcW w:w="2755" w:type="dxa"/>
            <w:vAlign w:val="center"/>
          </w:tcPr>
          <w:p>
            <w:pPr>
              <w:spacing w:line="360" w:lineRule="auto"/>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质量目标</w:t>
            </w:r>
          </w:p>
        </w:tc>
        <w:tc>
          <w:tcPr>
            <w:tcW w:w="3396" w:type="dxa"/>
            <w:vAlign w:val="center"/>
          </w:tcPr>
          <w:p>
            <w:pPr>
              <w:spacing w:line="360" w:lineRule="auto"/>
              <w:jc w:val="center"/>
              <w:rPr>
                <w:rFonts w:hint="eastAsia" w:ascii="仿宋" w:hAnsi="仿宋" w:eastAsia="仿宋" w:cs="仿宋"/>
                <w:snapToGrid w:val="0"/>
                <w:color w:val="auto"/>
                <w:kern w:val="2"/>
                <w:szCs w:val="21"/>
              </w:rPr>
            </w:pPr>
          </w:p>
        </w:tc>
        <w:tc>
          <w:tcPr>
            <w:tcW w:w="1985" w:type="dxa"/>
          </w:tcPr>
          <w:p>
            <w:pPr>
              <w:spacing w:line="360" w:lineRule="auto"/>
              <w:rPr>
                <w:rFonts w:hint="eastAsia" w:ascii="仿宋" w:hAnsi="仿宋" w:eastAsia="仿宋" w:cs="仿宋"/>
                <w:snapToGrid w:val="0"/>
                <w:color w:val="auto"/>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spacing w:line="360" w:lineRule="auto"/>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7</w:t>
            </w:r>
          </w:p>
        </w:tc>
        <w:tc>
          <w:tcPr>
            <w:tcW w:w="2755" w:type="dxa"/>
            <w:vAlign w:val="center"/>
          </w:tcPr>
          <w:p>
            <w:pPr>
              <w:spacing w:line="360" w:lineRule="auto"/>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企业资质类别及等级</w:t>
            </w:r>
          </w:p>
        </w:tc>
        <w:tc>
          <w:tcPr>
            <w:tcW w:w="3396" w:type="dxa"/>
            <w:vAlign w:val="center"/>
          </w:tcPr>
          <w:p>
            <w:pPr>
              <w:spacing w:line="360" w:lineRule="auto"/>
              <w:jc w:val="center"/>
              <w:rPr>
                <w:rFonts w:hint="eastAsia" w:ascii="仿宋" w:hAnsi="仿宋" w:eastAsia="仿宋" w:cs="仿宋"/>
                <w:snapToGrid w:val="0"/>
                <w:color w:val="auto"/>
                <w:kern w:val="2"/>
                <w:szCs w:val="21"/>
              </w:rPr>
            </w:pPr>
          </w:p>
        </w:tc>
        <w:tc>
          <w:tcPr>
            <w:tcW w:w="1985" w:type="dxa"/>
          </w:tcPr>
          <w:p>
            <w:pPr>
              <w:spacing w:line="360" w:lineRule="auto"/>
              <w:rPr>
                <w:rFonts w:hint="eastAsia" w:ascii="仿宋" w:hAnsi="仿宋" w:eastAsia="仿宋" w:cs="仿宋"/>
                <w:snapToGrid w:val="0"/>
                <w:color w:val="auto"/>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spacing w:line="360" w:lineRule="auto"/>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w:t>
            </w:r>
          </w:p>
        </w:tc>
        <w:tc>
          <w:tcPr>
            <w:tcW w:w="2755" w:type="dxa"/>
            <w:vAlign w:val="center"/>
          </w:tcPr>
          <w:p>
            <w:pPr>
              <w:spacing w:line="360" w:lineRule="auto"/>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w:t>
            </w:r>
          </w:p>
        </w:tc>
        <w:tc>
          <w:tcPr>
            <w:tcW w:w="3396" w:type="dxa"/>
            <w:vAlign w:val="center"/>
          </w:tcPr>
          <w:p>
            <w:pPr>
              <w:spacing w:line="360" w:lineRule="auto"/>
              <w:rPr>
                <w:rFonts w:hint="eastAsia" w:ascii="仿宋" w:hAnsi="仿宋" w:eastAsia="仿宋" w:cs="仿宋"/>
                <w:snapToGrid w:val="0"/>
                <w:color w:val="auto"/>
                <w:kern w:val="2"/>
                <w:szCs w:val="21"/>
              </w:rPr>
            </w:pPr>
          </w:p>
        </w:tc>
        <w:tc>
          <w:tcPr>
            <w:tcW w:w="1985" w:type="dxa"/>
          </w:tcPr>
          <w:p>
            <w:pPr>
              <w:spacing w:line="360" w:lineRule="auto"/>
              <w:rPr>
                <w:rFonts w:hint="eastAsia" w:ascii="仿宋" w:hAnsi="仿宋" w:eastAsia="仿宋" w:cs="仿宋"/>
                <w:snapToGrid w:val="0"/>
                <w:color w:val="auto"/>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spacing w:line="360" w:lineRule="auto"/>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w:t>
            </w:r>
          </w:p>
        </w:tc>
        <w:tc>
          <w:tcPr>
            <w:tcW w:w="2755" w:type="dxa"/>
            <w:vAlign w:val="center"/>
          </w:tcPr>
          <w:p>
            <w:pPr>
              <w:spacing w:line="360" w:lineRule="auto"/>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w:t>
            </w:r>
          </w:p>
        </w:tc>
        <w:tc>
          <w:tcPr>
            <w:tcW w:w="3396" w:type="dxa"/>
            <w:vAlign w:val="center"/>
          </w:tcPr>
          <w:p>
            <w:pPr>
              <w:spacing w:line="360" w:lineRule="auto"/>
              <w:rPr>
                <w:rFonts w:hint="eastAsia" w:ascii="仿宋" w:hAnsi="仿宋" w:eastAsia="仿宋" w:cs="仿宋"/>
                <w:snapToGrid w:val="0"/>
                <w:color w:val="auto"/>
                <w:kern w:val="2"/>
                <w:szCs w:val="21"/>
              </w:rPr>
            </w:pPr>
          </w:p>
        </w:tc>
        <w:tc>
          <w:tcPr>
            <w:tcW w:w="1985" w:type="dxa"/>
          </w:tcPr>
          <w:p>
            <w:pPr>
              <w:spacing w:line="360" w:lineRule="auto"/>
              <w:rPr>
                <w:rFonts w:hint="eastAsia" w:ascii="仿宋" w:hAnsi="仿宋" w:eastAsia="仿宋" w:cs="仿宋"/>
                <w:snapToGrid w:val="0"/>
                <w:color w:val="auto"/>
                <w:kern w:val="2"/>
                <w:szCs w:val="21"/>
              </w:rPr>
            </w:pPr>
          </w:p>
        </w:tc>
      </w:tr>
    </w:tbl>
    <w:p>
      <w:pPr>
        <w:pStyle w:val="7"/>
        <w:spacing w:line="360" w:lineRule="auto"/>
        <w:jc w:val="center"/>
        <w:rPr>
          <w:rFonts w:hint="eastAsia" w:ascii="仿宋" w:hAnsi="仿宋" w:eastAsia="仿宋" w:cs="仿宋"/>
          <w:snapToGrid w:val="0"/>
          <w:color w:val="auto"/>
          <w:sz w:val="28"/>
          <w:szCs w:val="28"/>
        </w:rPr>
      </w:pPr>
    </w:p>
    <w:p>
      <w:pPr>
        <w:pStyle w:val="7"/>
        <w:jc w:val="center"/>
        <w:rPr>
          <w:rFonts w:hint="eastAsia" w:ascii="仿宋" w:hAnsi="仿宋" w:eastAsia="仿宋" w:cs="仿宋"/>
          <w:snapToGrid w:val="0"/>
          <w:color w:val="auto"/>
          <w:sz w:val="28"/>
          <w:szCs w:val="28"/>
        </w:rPr>
      </w:pPr>
      <w:r>
        <w:rPr>
          <w:rFonts w:hint="eastAsia" w:ascii="仿宋" w:hAnsi="仿宋" w:eastAsia="仿宋" w:cs="仿宋"/>
          <w:snapToGrid w:val="0"/>
          <w:color w:val="auto"/>
          <w:sz w:val="28"/>
          <w:szCs w:val="28"/>
        </w:rPr>
        <w:br w:type="page"/>
      </w:r>
      <w:bookmarkEnd w:id="999"/>
      <w:bookmarkEnd w:id="1000"/>
      <w:bookmarkEnd w:id="1001"/>
      <w:bookmarkEnd w:id="1002"/>
      <w:bookmarkStart w:id="1009" w:name="_Toc7243"/>
      <w:bookmarkStart w:id="1010" w:name="_Toc306762951"/>
      <w:bookmarkStart w:id="1011" w:name="_Toc2663"/>
      <w:bookmarkStart w:id="1012" w:name="_Toc309712973"/>
      <w:r>
        <w:rPr>
          <w:rFonts w:hint="eastAsia" w:ascii="仿宋" w:hAnsi="仿宋" w:eastAsia="仿宋" w:cs="仿宋"/>
          <w:snapToGrid w:val="0"/>
          <w:color w:val="auto"/>
          <w:sz w:val="32"/>
          <w:szCs w:val="32"/>
        </w:rPr>
        <w:t>二、法定代表人身份证明</w:t>
      </w:r>
      <w:bookmarkEnd w:id="1009"/>
      <w:bookmarkEnd w:id="1010"/>
      <w:bookmarkEnd w:id="1011"/>
      <w:bookmarkEnd w:id="1012"/>
    </w:p>
    <w:p>
      <w:pPr>
        <w:ind w:firstLine="480" w:firstLineChars="200"/>
        <w:rPr>
          <w:rFonts w:hint="eastAsia" w:ascii="仿宋" w:hAnsi="仿宋" w:eastAsia="仿宋" w:cs="仿宋"/>
          <w:snapToGrid w:val="0"/>
          <w:color w:val="auto"/>
          <w:szCs w:val="21"/>
        </w:rPr>
      </w:pPr>
    </w:p>
    <w:p>
      <w:pPr>
        <w:spacing w:line="360" w:lineRule="auto"/>
        <w:ind w:firstLine="480" w:firstLineChars="200"/>
        <w:rPr>
          <w:rFonts w:hint="eastAsia" w:ascii="仿宋" w:hAnsi="仿宋" w:eastAsia="仿宋" w:cs="仿宋"/>
          <w:snapToGrid w:val="0"/>
          <w:color w:val="auto"/>
          <w:szCs w:val="21"/>
        </w:rPr>
      </w:pPr>
      <w:r>
        <w:rPr>
          <w:rFonts w:hint="eastAsia" w:ascii="仿宋" w:hAnsi="仿宋" w:eastAsia="仿宋" w:cs="仿宋"/>
          <w:snapToGrid w:val="0"/>
          <w:color w:val="auto"/>
          <w:szCs w:val="21"/>
        </w:rPr>
        <w:t>投标人名称：___________________________________</w:t>
      </w:r>
    </w:p>
    <w:p>
      <w:pPr>
        <w:spacing w:line="360" w:lineRule="auto"/>
        <w:ind w:firstLine="480" w:firstLineChars="200"/>
        <w:rPr>
          <w:rFonts w:hint="eastAsia" w:ascii="仿宋" w:hAnsi="仿宋" w:eastAsia="仿宋" w:cs="仿宋"/>
          <w:snapToGrid w:val="0"/>
          <w:color w:val="auto"/>
          <w:szCs w:val="21"/>
        </w:rPr>
      </w:pPr>
      <w:r>
        <w:rPr>
          <w:rFonts w:hint="eastAsia" w:ascii="仿宋" w:hAnsi="仿宋" w:eastAsia="仿宋" w:cs="仿宋"/>
          <w:snapToGrid w:val="0"/>
          <w:color w:val="auto"/>
          <w:szCs w:val="21"/>
        </w:rPr>
        <w:t>单位性质：________________________________________</w:t>
      </w:r>
    </w:p>
    <w:p>
      <w:pPr>
        <w:spacing w:line="360" w:lineRule="auto"/>
        <w:ind w:firstLine="480" w:firstLineChars="200"/>
        <w:rPr>
          <w:rFonts w:hint="eastAsia" w:ascii="仿宋" w:hAnsi="仿宋" w:eastAsia="仿宋" w:cs="仿宋"/>
          <w:snapToGrid w:val="0"/>
          <w:color w:val="auto"/>
          <w:szCs w:val="21"/>
        </w:rPr>
      </w:pPr>
      <w:r>
        <w:rPr>
          <w:rFonts w:hint="eastAsia" w:ascii="仿宋" w:hAnsi="仿宋" w:eastAsia="仿宋" w:cs="仿宋"/>
          <w:snapToGrid w:val="0"/>
          <w:color w:val="auto"/>
          <w:szCs w:val="21"/>
        </w:rPr>
        <w:t>地址：_____________________________________________</w:t>
      </w:r>
    </w:p>
    <w:p>
      <w:pPr>
        <w:spacing w:line="360" w:lineRule="auto"/>
        <w:ind w:firstLine="480" w:firstLineChars="200"/>
        <w:rPr>
          <w:rFonts w:hint="eastAsia" w:ascii="仿宋" w:hAnsi="仿宋" w:eastAsia="仿宋" w:cs="仿宋"/>
          <w:snapToGrid w:val="0"/>
          <w:color w:val="auto"/>
          <w:szCs w:val="21"/>
        </w:rPr>
      </w:pPr>
      <w:r>
        <w:rPr>
          <w:rFonts w:hint="eastAsia" w:ascii="仿宋" w:hAnsi="仿宋" w:eastAsia="仿宋" w:cs="仿宋"/>
          <w:snapToGrid w:val="0"/>
          <w:color w:val="auto"/>
          <w:szCs w:val="21"/>
        </w:rPr>
        <w:t>成立时间：______年______月______日</w:t>
      </w:r>
    </w:p>
    <w:p>
      <w:pPr>
        <w:spacing w:line="360" w:lineRule="auto"/>
        <w:ind w:firstLine="480" w:firstLineChars="200"/>
        <w:rPr>
          <w:rFonts w:hint="eastAsia" w:ascii="仿宋" w:hAnsi="仿宋" w:eastAsia="仿宋" w:cs="仿宋"/>
          <w:snapToGrid w:val="0"/>
          <w:color w:val="auto"/>
          <w:szCs w:val="21"/>
        </w:rPr>
      </w:pPr>
      <w:r>
        <w:rPr>
          <w:rFonts w:hint="eastAsia" w:ascii="仿宋" w:hAnsi="仿宋" w:eastAsia="仿宋" w:cs="仿宋"/>
          <w:snapToGrid w:val="0"/>
          <w:color w:val="auto"/>
          <w:szCs w:val="21"/>
        </w:rPr>
        <w:t>经营期限：______________________</w:t>
      </w:r>
    </w:p>
    <w:p>
      <w:pPr>
        <w:spacing w:line="360" w:lineRule="auto"/>
        <w:ind w:firstLine="480" w:firstLineChars="200"/>
        <w:rPr>
          <w:rFonts w:hint="eastAsia" w:ascii="仿宋" w:hAnsi="仿宋" w:eastAsia="仿宋" w:cs="仿宋"/>
          <w:snapToGrid w:val="0"/>
          <w:color w:val="auto"/>
          <w:szCs w:val="21"/>
        </w:rPr>
      </w:pPr>
      <w:r>
        <w:rPr>
          <w:rFonts w:hint="eastAsia" w:ascii="仿宋" w:hAnsi="仿宋" w:eastAsia="仿宋" w:cs="仿宋"/>
          <w:snapToGrid w:val="0"/>
          <w:color w:val="auto"/>
          <w:szCs w:val="21"/>
        </w:rPr>
        <w:t>姓名：__________性别：_________年龄：________职务：________</w:t>
      </w:r>
    </w:p>
    <w:p>
      <w:pPr>
        <w:spacing w:line="360" w:lineRule="auto"/>
        <w:ind w:firstLine="480" w:firstLineChars="200"/>
        <w:rPr>
          <w:rFonts w:hint="eastAsia" w:ascii="仿宋" w:hAnsi="仿宋" w:eastAsia="仿宋" w:cs="仿宋"/>
          <w:snapToGrid w:val="0"/>
          <w:color w:val="auto"/>
          <w:szCs w:val="21"/>
        </w:rPr>
      </w:pPr>
      <w:r>
        <w:rPr>
          <w:rFonts w:hint="eastAsia" w:ascii="仿宋" w:hAnsi="仿宋" w:eastAsia="仿宋" w:cs="仿宋"/>
          <w:snapToGrid w:val="0"/>
          <w:color w:val="auto"/>
          <w:szCs w:val="21"/>
        </w:rPr>
        <w:t>系___________________（投标人名称）的法定代表人。</w:t>
      </w:r>
    </w:p>
    <w:p>
      <w:pPr>
        <w:spacing w:line="360" w:lineRule="auto"/>
        <w:ind w:firstLine="960" w:firstLineChars="400"/>
        <w:rPr>
          <w:rFonts w:hint="eastAsia" w:ascii="仿宋" w:hAnsi="仿宋" w:eastAsia="仿宋" w:cs="仿宋"/>
          <w:snapToGrid w:val="0"/>
          <w:color w:val="auto"/>
          <w:szCs w:val="21"/>
        </w:rPr>
      </w:pPr>
      <w:r>
        <w:rPr>
          <w:rFonts w:hint="eastAsia" w:ascii="仿宋" w:hAnsi="仿宋" w:eastAsia="仿宋" w:cs="仿宋"/>
          <w:snapToGrid w:val="0"/>
          <w:color w:val="auto"/>
          <w:szCs w:val="21"/>
        </w:rPr>
        <w:t>特此证明。</w:t>
      </w:r>
    </w:p>
    <w:p>
      <w:pPr>
        <w:spacing w:line="360" w:lineRule="auto"/>
        <w:ind w:firstLine="480" w:firstLineChars="200"/>
        <w:rPr>
          <w:rFonts w:hint="eastAsia" w:ascii="仿宋" w:hAnsi="仿宋" w:eastAsia="仿宋" w:cs="仿宋"/>
          <w:snapToGrid w:val="0"/>
          <w:color w:val="auto"/>
          <w:szCs w:val="21"/>
        </w:rPr>
      </w:pPr>
    </w:p>
    <w:p>
      <w:pPr>
        <w:spacing w:line="360" w:lineRule="auto"/>
        <w:ind w:firstLine="480" w:firstLineChars="200"/>
        <w:rPr>
          <w:rFonts w:hint="eastAsia" w:ascii="仿宋" w:hAnsi="仿宋" w:eastAsia="仿宋" w:cs="仿宋"/>
          <w:snapToGrid w:val="0"/>
          <w:color w:val="auto"/>
          <w:szCs w:val="21"/>
        </w:rPr>
      </w:pPr>
    </w:p>
    <w:p>
      <w:pPr>
        <w:spacing w:line="360" w:lineRule="auto"/>
        <w:ind w:firstLine="4636" w:firstLineChars="1932"/>
        <w:rPr>
          <w:rFonts w:hint="eastAsia" w:ascii="仿宋" w:hAnsi="仿宋" w:eastAsia="仿宋" w:cs="仿宋"/>
          <w:snapToGrid w:val="0"/>
          <w:color w:val="auto"/>
          <w:szCs w:val="21"/>
        </w:rPr>
      </w:pPr>
      <w:r>
        <w:rPr>
          <w:rFonts w:hint="eastAsia" w:ascii="仿宋" w:hAnsi="仿宋" w:eastAsia="仿宋" w:cs="仿宋"/>
          <w:snapToGrid w:val="0"/>
          <w:color w:val="auto"/>
          <w:szCs w:val="21"/>
        </w:rPr>
        <w:t>投标人：_________________（盖单位章）</w:t>
      </w:r>
    </w:p>
    <w:p>
      <w:pPr>
        <w:spacing w:line="360" w:lineRule="auto"/>
        <w:ind w:firstLine="5160" w:firstLineChars="2150"/>
        <w:rPr>
          <w:rFonts w:hint="eastAsia" w:ascii="仿宋" w:hAnsi="仿宋" w:eastAsia="仿宋" w:cs="仿宋"/>
          <w:snapToGrid w:val="0"/>
          <w:color w:val="auto"/>
          <w:szCs w:val="21"/>
          <w:u w:val="single"/>
        </w:rPr>
      </w:pPr>
    </w:p>
    <w:p>
      <w:pPr>
        <w:spacing w:line="360" w:lineRule="auto"/>
        <w:ind w:firstLine="5160" w:firstLineChars="2150"/>
        <w:rPr>
          <w:rFonts w:hint="eastAsia" w:ascii="仿宋" w:hAnsi="仿宋" w:eastAsia="仿宋" w:cs="仿宋"/>
          <w:snapToGrid w:val="0"/>
          <w:color w:val="auto"/>
          <w:szCs w:val="21"/>
        </w:rPr>
      </w:pPr>
      <w:r>
        <w:rPr>
          <w:rFonts w:hint="eastAsia" w:ascii="仿宋" w:hAnsi="仿宋" w:eastAsia="仿宋" w:cs="仿宋"/>
          <w:snapToGrid w:val="0"/>
          <w:color w:val="auto"/>
          <w:szCs w:val="21"/>
        </w:rPr>
        <w:t>_______年______月______日</w:t>
      </w:r>
    </w:p>
    <w:p>
      <w:pPr>
        <w:spacing w:line="360" w:lineRule="auto"/>
        <w:ind w:firstLine="480" w:firstLineChars="200"/>
        <w:rPr>
          <w:rFonts w:hint="eastAsia" w:ascii="仿宋" w:hAnsi="仿宋" w:eastAsia="仿宋" w:cs="仿宋"/>
          <w:snapToGrid w:val="0"/>
          <w:color w:val="auto"/>
          <w:szCs w:val="21"/>
        </w:rPr>
      </w:pPr>
    </w:p>
    <w:p>
      <w:pPr>
        <w:spacing w:line="360" w:lineRule="auto"/>
        <w:ind w:firstLine="480" w:firstLineChars="200"/>
        <w:rPr>
          <w:rFonts w:hint="eastAsia" w:ascii="仿宋" w:hAnsi="仿宋" w:eastAsia="仿宋" w:cs="仿宋"/>
          <w:snapToGrid w:val="0"/>
          <w:color w:val="auto"/>
          <w:szCs w:val="21"/>
        </w:rPr>
      </w:pPr>
    </w:p>
    <w:p>
      <w:pPr>
        <w:pStyle w:val="7"/>
        <w:spacing w:line="360" w:lineRule="auto"/>
        <w:jc w:val="center"/>
        <w:rPr>
          <w:rFonts w:hint="eastAsia" w:ascii="仿宋" w:hAnsi="仿宋" w:eastAsia="仿宋" w:cs="仿宋"/>
          <w:snapToGrid w:val="0"/>
          <w:color w:val="auto"/>
          <w:sz w:val="28"/>
          <w:szCs w:val="28"/>
        </w:rPr>
      </w:pPr>
      <w:r>
        <w:rPr>
          <w:rFonts w:hint="eastAsia" w:ascii="仿宋" w:hAnsi="仿宋" w:eastAsia="仿宋" w:cs="仿宋"/>
          <w:snapToGrid w:val="0"/>
          <w:color w:val="auto"/>
          <w:sz w:val="28"/>
          <w:szCs w:val="28"/>
        </w:rPr>
        <w:br w:type="page"/>
      </w:r>
      <w:bookmarkStart w:id="1013" w:name="_Toc689"/>
      <w:bookmarkStart w:id="1014" w:name="_Toc232080207"/>
      <w:bookmarkStart w:id="1015" w:name="_Toc240864056"/>
      <w:bookmarkStart w:id="1016" w:name="_Toc20466"/>
      <w:bookmarkStart w:id="1017" w:name="_Toc306762952"/>
      <w:bookmarkStart w:id="1018" w:name="_Toc309712974"/>
      <w:r>
        <w:rPr>
          <w:rFonts w:hint="eastAsia" w:ascii="仿宋" w:hAnsi="仿宋" w:eastAsia="仿宋" w:cs="仿宋"/>
          <w:snapToGrid w:val="0"/>
          <w:color w:val="auto"/>
          <w:sz w:val="32"/>
          <w:szCs w:val="32"/>
        </w:rPr>
        <w:t>授权委托书</w:t>
      </w:r>
      <w:bookmarkEnd w:id="1013"/>
      <w:bookmarkEnd w:id="1014"/>
      <w:bookmarkEnd w:id="1015"/>
      <w:bookmarkEnd w:id="1016"/>
      <w:bookmarkEnd w:id="1017"/>
      <w:bookmarkEnd w:id="1018"/>
    </w:p>
    <w:p>
      <w:pPr>
        <w:ind w:firstLine="480" w:firstLineChars="200"/>
        <w:rPr>
          <w:rFonts w:hint="eastAsia" w:ascii="仿宋" w:hAnsi="仿宋" w:eastAsia="仿宋" w:cs="仿宋"/>
          <w:snapToGrid w:val="0"/>
          <w:color w:val="auto"/>
          <w:szCs w:val="21"/>
        </w:rPr>
      </w:pPr>
    </w:p>
    <w:p>
      <w:pPr>
        <w:spacing w:line="360" w:lineRule="auto"/>
        <w:ind w:firstLine="480" w:firstLineChars="200"/>
        <w:rPr>
          <w:rFonts w:hint="eastAsia" w:ascii="仿宋" w:hAnsi="仿宋" w:eastAsia="仿宋" w:cs="仿宋"/>
          <w:snapToGrid w:val="0"/>
          <w:color w:val="auto"/>
          <w:szCs w:val="21"/>
        </w:rPr>
      </w:pPr>
      <w:r>
        <w:rPr>
          <w:rFonts w:hint="eastAsia" w:ascii="仿宋" w:hAnsi="仿宋" w:eastAsia="仿宋" w:cs="仿宋"/>
          <w:snapToGrid w:val="0"/>
          <w:color w:val="auto"/>
          <w:szCs w:val="21"/>
        </w:rPr>
        <w:t>本人_________（姓名）系_____________（投标人名称）的法定代表人，现委托__________（姓名）为我方代理人。代理人根据授权，以我方名义签署、澄清、说明、补正、递交、撤回、修改__________________（项目名称）标段施工投标文件、签订合同和处理有关事宜，其法律后果由我方承担。</w:t>
      </w:r>
    </w:p>
    <w:p>
      <w:pPr>
        <w:spacing w:line="360" w:lineRule="auto"/>
        <w:ind w:firstLine="480" w:firstLineChars="200"/>
        <w:rPr>
          <w:rFonts w:hint="eastAsia" w:ascii="仿宋" w:hAnsi="仿宋" w:eastAsia="仿宋" w:cs="仿宋"/>
          <w:snapToGrid w:val="0"/>
          <w:color w:val="auto"/>
          <w:szCs w:val="21"/>
        </w:rPr>
      </w:pPr>
      <w:r>
        <w:rPr>
          <w:rFonts w:hint="eastAsia" w:ascii="仿宋" w:hAnsi="仿宋" w:eastAsia="仿宋" w:cs="仿宋"/>
          <w:snapToGrid w:val="0"/>
          <w:color w:val="auto"/>
          <w:szCs w:val="21"/>
        </w:rPr>
        <w:t>委托期限：______________________________</w:t>
      </w:r>
    </w:p>
    <w:p>
      <w:pPr>
        <w:spacing w:line="360" w:lineRule="auto"/>
        <w:ind w:firstLine="480" w:firstLineChars="200"/>
        <w:rPr>
          <w:rFonts w:hint="eastAsia" w:ascii="仿宋" w:hAnsi="仿宋" w:eastAsia="仿宋" w:cs="仿宋"/>
          <w:snapToGrid w:val="0"/>
          <w:color w:val="auto"/>
          <w:szCs w:val="21"/>
        </w:rPr>
      </w:pPr>
      <w:r>
        <w:rPr>
          <w:rFonts w:hint="eastAsia" w:ascii="仿宋" w:hAnsi="仿宋" w:eastAsia="仿宋" w:cs="仿宋"/>
          <w:snapToGrid w:val="0"/>
          <w:color w:val="auto"/>
          <w:szCs w:val="21"/>
        </w:rPr>
        <w:t>代理人无转委托权。</w:t>
      </w:r>
    </w:p>
    <w:p>
      <w:pPr>
        <w:spacing w:line="360" w:lineRule="auto"/>
        <w:ind w:firstLine="480" w:firstLineChars="200"/>
        <w:rPr>
          <w:rFonts w:hint="eastAsia" w:ascii="仿宋" w:hAnsi="仿宋" w:eastAsia="仿宋" w:cs="仿宋"/>
          <w:snapToGrid w:val="0"/>
          <w:color w:val="auto"/>
          <w:szCs w:val="21"/>
        </w:rPr>
      </w:pPr>
      <w:r>
        <w:rPr>
          <w:rFonts w:hint="eastAsia" w:ascii="仿宋" w:hAnsi="仿宋" w:eastAsia="仿宋" w:cs="仿宋"/>
          <w:snapToGrid w:val="0"/>
          <w:color w:val="auto"/>
          <w:szCs w:val="21"/>
        </w:rPr>
        <w:t>附：法定代表人身份证明</w:t>
      </w:r>
    </w:p>
    <w:p>
      <w:pPr>
        <w:spacing w:line="360" w:lineRule="auto"/>
        <w:rPr>
          <w:rFonts w:hint="eastAsia" w:ascii="仿宋" w:hAnsi="仿宋" w:eastAsia="仿宋" w:cs="仿宋"/>
          <w:snapToGrid w:val="0"/>
          <w:color w:val="auto"/>
          <w:szCs w:val="21"/>
        </w:rPr>
      </w:pPr>
    </w:p>
    <w:p>
      <w:pPr>
        <w:spacing w:line="360" w:lineRule="auto"/>
        <w:ind w:firstLine="3360" w:firstLineChars="1400"/>
        <w:rPr>
          <w:rFonts w:hint="eastAsia" w:ascii="仿宋" w:hAnsi="仿宋" w:eastAsia="仿宋" w:cs="仿宋"/>
          <w:snapToGrid w:val="0"/>
          <w:color w:val="auto"/>
          <w:szCs w:val="21"/>
        </w:rPr>
      </w:pPr>
      <w:r>
        <w:rPr>
          <w:rFonts w:hint="eastAsia" w:ascii="仿宋" w:hAnsi="仿宋" w:eastAsia="仿宋" w:cs="仿宋"/>
          <w:snapToGrid w:val="0"/>
          <w:color w:val="auto"/>
          <w:szCs w:val="21"/>
        </w:rPr>
        <w:t>投标人：________________________（盖单位章）</w:t>
      </w:r>
    </w:p>
    <w:p>
      <w:pPr>
        <w:spacing w:line="360" w:lineRule="auto"/>
        <w:ind w:firstLine="3360" w:firstLineChars="1400"/>
        <w:rPr>
          <w:rFonts w:hint="eastAsia" w:ascii="仿宋" w:hAnsi="仿宋" w:eastAsia="仿宋" w:cs="仿宋"/>
          <w:snapToGrid w:val="0"/>
          <w:color w:val="auto"/>
          <w:szCs w:val="21"/>
        </w:rPr>
      </w:pPr>
      <w:r>
        <w:rPr>
          <w:rFonts w:hint="eastAsia" w:ascii="仿宋" w:hAnsi="仿宋" w:eastAsia="仿宋" w:cs="仿宋"/>
          <w:snapToGrid w:val="0"/>
          <w:color w:val="auto"/>
          <w:szCs w:val="21"/>
        </w:rPr>
        <w:t>法定代表人：______________（签字）</w:t>
      </w:r>
    </w:p>
    <w:p>
      <w:pPr>
        <w:spacing w:line="360" w:lineRule="auto"/>
        <w:ind w:firstLine="3360" w:firstLineChars="1400"/>
        <w:rPr>
          <w:rFonts w:hint="eastAsia" w:ascii="仿宋" w:hAnsi="仿宋" w:eastAsia="仿宋" w:cs="仿宋"/>
          <w:snapToGrid w:val="0"/>
          <w:color w:val="auto"/>
          <w:szCs w:val="21"/>
        </w:rPr>
      </w:pPr>
      <w:r>
        <w:rPr>
          <w:rFonts w:hint="eastAsia" w:ascii="仿宋" w:hAnsi="仿宋" w:eastAsia="仿宋" w:cs="仿宋"/>
          <w:snapToGrid w:val="0"/>
          <w:color w:val="auto"/>
          <w:szCs w:val="21"/>
        </w:rPr>
        <w:t>身份证号码：_________________________</w:t>
      </w:r>
    </w:p>
    <w:p>
      <w:pPr>
        <w:spacing w:line="360" w:lineRule="auto"/>
        <w:ind w:firstLine="3360" w:firstLineChars="1400"/>
        <w:rPr>
          <w:rFonts w:hint="eastAsia" w:ascii="仿宋" w:hAnsi="仿宋" w:eastAsia="仿宋" w:cs="仿宋"/>
          <w:snapToGrid w:val="0"/>
          <w:color w:val="auto"/>
          <w:szCs w:val="21"/>
        </w:rPr>
      </w:pPr>
      <w:r>
        <w:rPr>
          <w:rFonts w:hint="eastAsia" w:ascii="仿宋" w:hAnsi="仿宋" w:eastAsia="仿宋" w:cs="仿宋"/>
          <w:snapToGrid w:val="0"/>
          <w:color w:val="auto"/>
          <w:szCs w:val="21"/>
        </w:rPr>
        <w:t>委托代理人：_____________________（签字）</w:t>
      </w:r>
    </w:p>
    <w:p>
      <w:pPr>
        <w:spacing w:line="360" w:lineRule="auto"/>
        <w:ind w:firstLine="3360" w:firstLineChars="1400"/>
        <w:rPr>
          <w:rFonts w:hint="eastAsia" w:ascii="仿宋" w:hAnsi="仿宋" w:eastAsia="仿宋" w:cs="仿宋"/>
          <w:snapToGrid w:val="0"/>
          <w:color w:val="auto"/>
          <w:szCs w:val="21"/>
        </w:rPr>
      </w:pPr>
      <w:r>
        <w:rPr>
          <w:rFonts w:hint="eastAsia" w:ascii="仿宋" w:hAnsi="仿宋" w:eastAsia="仿宋" w:cs="仿宋"/>
          <w:snapToGrid w:val="0"/>
          <w:color w:val="auto"/>
          <w:szCs w:val="21"/>
        </w:rPr>
        <w:t>身份证号码：___________________________</w:t>
      </w:r>
    </w:p>
    <w:p>
      <w:pPr>
        <w:spacing w:line="360" w:lineRule="auto"/>
        <w:ind w:firstLine="5040" w:firstLineChars="2100"/>
        <w:rPr>
          <w:rFonts w:hint="eastAsia" w:ascii="仿宋" w:hAnsi="仿宋" w:eastAsia="仿宋" w:cs="仿宋"/>
          <w:snapToGrid w:val="0"/>
          <w:color w:val="auto"/>
          <w:szCs w:val="21"/>
        </w:rPr>
      </w:pPr>
      <w:r>
        <w:rPr>
          <w:rFonts w:hint="eastAsia" w:ascii="仿宋" w:hAnsi="仿宋" w:eastAsia="仿宋" w:cs="仿宋"/>
          <w:snapToGrid w:val="0"/>
          <w:color w:val="auto"/>
          <w:szCs w:val="21"/>
        </w:rPr>
        <w:t>____年_____月______日</w:t>
      </w:r>
    </w:p>
    <w:p>
      <w:pPr>
        <w:ind w:firstLine="5040" w:firstLineChars="2100"/>
        <w:rPr>
          <w:rFonts w:hint="eastAsia" w:ascii="仿宋" w:hAnsi="仿宋" w:eastAsia="仿宋" w:cs="仿宋"/>
          <w:snapToGrid w:val="0"/>
          <w:color w:val="auto"/>
          <w:szCs w:val="21"/>
        </w:rPr>
      </w:pPr>
    </w:p>
    <w:p>
      <w:pPr>
        <w:ind w:firstLine="480" w:firstLineChars="200"/>
        <w:rPr>
          <w:rFonts w:hint="eastAsia" w:ascii="仿宋" w:hAnsi="仿宋" w:eastAsia="仿宋" w:cs="仿宋"/>
          <w:snapToGrid w:val="0"/>
          <w:color w:val="auto"/>
          <w:szCs w:val="21"/>
        </w:rPr>
      </w:pPr>
    </w:p>
    <w:p>
      <w:pPr>
        <w:rPr>
          <w:rFonts w:hint="eastAsia" w:ascii="仿宋" w:hAnsi="仿宋" w:eastAsia="仿宋" w:cs="仿宋"/>
          <w:snapToGrid w:val="0"/>
          <w:color w:val="auto"/>
          <w:szCs w:val="21"/>
        </w:rPr>
      </w:pPr>
    </w:p>
    <w:p>
      <w:pPr>
        <w:ind w:firstLine="5040" w:firstLineChars="2100"/>
        <w:rPr>
          <w:rFonts w:hint="eastAsia" w:ascii="仿宋" w:hAnsi="仿宋" w:eastAsia="仿宋" w:cs="仿宋"/>
          <w:snapToGrid w:val="0"/>
          <w:color w:val="auto"/>
          <w:szCs w:val="21"/>
        </w:rPr>
      </w:pPr>
    </w:p>
    <w:p>
      <w:pPr>
        <w:ind w:firstLine="5040" w:firstLineChars="2100"/>
        <w:rPr>
          <w:rFonts w:hint="eastAsia" w:ascii="仿宋" w:hAnsi="仿宋" w:eastAsia="仿宋" w:cs="仿宋"/>
          <w:snapToGrid w:val="0"/>
          <w:color w:val="auto"/>
          <w:szCs w:val="21"/>
        </w:rPr>
      </w:pPr>
    </w:p>
    <w:p>
      <w:pPr>
        <w:ind w:firstLine="480" w:firstLineChars="200"/>
        <w:jc w:val="center"/>
        <w:rPr>
          <w:rFonts w:hint="eastAsia" w:ascii="仿宋" w:hAnsi="仿宋" w:eastAsia="仿宋" w:cs="仿宋"/>
          <w:color w:val="auto"/>
        </w:rPr>
      </w:pPr>
      <w:r>
        <w:rPr>
          <w:rFonts w:hint="eastAsia" w:ascii="仿宋" w:hAnsi="仿宋" w:eastAsia="仿宋" w:cs="仿宋"/>
          <w:snapToGrid w:val="0"/>
          <w:color w:val="auto"/>
          <w:szCs w:val="21"/>
        </w:rPr>
        <w:br w:type="page"/>
      </w:r>
    </w:p>
    <w:p>
      <w:pPr>
        <w:pStyle w:val="7"/>
        <w:jc w:val="center"/>
        <w:rPr>
          <w:rFonts w:hint="eastAsia" w:ascii="仿宋" w:hAnsi="仿宋" w:eastAsia="仿宋" w:cs="仿宋"/>
          <w:snapToGrid w:val="0"/>
          <w:color w:val="auto"/>
          <w:sz w:val="28"/>
          <w:szCs w:val="28"/>
        </w:rPr>
      </w:pPr>
      <w:bookmarkStart w:id="1019" w:name="_Toc217457101"/>
      <w:bookmarkStart w:id="1020" w:name="_Toc217819180"/>
      <w:bookmarkStart w:id="1021" w:name="_Toc336325397"/>
      <w:bookmarkStart w:id="1022" w:name="_Toc29111"/>
    </w:p>
    <w:p>
      <w:pPr>
        <w:pStyle w:val="7"/>
        <w:jc w:val="center"/>
        <w:rPr>
          <w:rFonts w:hint="eastAsia" w:ascii="仿宋" w:hAnsi="仿宋" w:eastAsia="仿宋" w:cs="仿宋"/>
          <w:snapToGrid w:val="0"/>
          <w:color w:val="auto"/>
          <w:sz w:val="28"/>
          <w:szCs w:val="28"/>
        </w:rPr>
      </w:pPr>
      <w:bookmarkStart w:id="1023" w:name="_Toc12436"/>
      <w:r>
        <w:rPr>
          <w:rFonts w:hint="eastAsia" w:ascii="仿宋" w:hAnsi="仿宋" w:eastAsia="仿宋" w:cs="仿宋"/>
          <w:snapToGrid w:val="0"/>
          <w:color w:val="auto"/>
          <w:sz w:val="28"/>
          <w:szCs w:val="28"/>
        </w:rPr>
        <w:t>三、投标保证金</w:t>
      </w:r>
      <w:bookmarkEnd w:id="1023"/>
    </w:p>
    <w:p>
      <w:pPr>
        <w:pStyle w:val="7"/>
        <w:jc w:val="center"/>
        <w:rPr>
          <w:rFonts w:hint="eastAsia" w:ascii="仿宋" w:hAnsi="仿宋" w:eastAsia="仿宋" w:cs="仿宋"/>
          <w:snapToGrid w:val="0"/>
          <w:color w:val="auto"/>
          <w:sz w:val="28"/>
          <w:szCs w:val="28"/>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pStyle w:val="7"/>
        <w:jc w:val="center"/>
        <w:rPr>
          <w:rFonts w:hint="eastAsia" w:ascii="仿宋" w:hAnsi="仿宋" w:eastAsia="仿宋" w:cs="仿宋"/>
          <w:snapToGrid w:val="0"/>
          <w:color w:val="auto"/>
          <w:sz w:val="28"/>
          <w:szCs w:val="28"/>
        </w:rPr>
      </w:pPr>
      <w:bookmarkStart w:id="1024" w:name="_Toc11417"/>
      <w:r>
        <w:rPr>
          <w:rFonts w:hint="eastAsia" w:ascii="仿宋" w:hAnsi="仿宋" w:eastAsia="仿宋" w:cs="仿宋"/>
          <w:snapToGrid w:val="0"/>
          <w:color w:val="auto"/>
          <w:sz w:val="28"/>
          <w:szCs w:val="28"/>
        </w:rPr>
        <w:t>四、施工组织设计</w:t>
      </w:r>
      <w:bookmarkEnd w:id="1019"/>
      <w:bookmarkEnd w:id="1020"/>
      <w:bookmarkEnd w:id="1021"/>
      <w:bookmarkEnd w:id="1022"/>
      <w:bookmarkEnd w:id="1024"/>
    </w:p>
    <w:p>
      <w:pPr>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1．投标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防汛度汛、文明施工、水土保持、环境保护管理方案。</w:t>
      </w:r>
    </w:p>
    <w:p>
      <w:pPr>
        <w:ind w:firstLine="480" w:firstLineChars="200"/>
        <w:rPr>
          <w:rFonts w:hint="eastAsia" w:ascii="仿宋" w:hAnsi="仿宋" w:eastAsia="仿宋" w:cs="仿宋"/>
          <w:snapToGrid w:val="0"/>
          <w:color w:val="auto"/>
          <w:sz w:val="28"/>
          <w:szCs w:val="28"/>
        </w:rPr>
      </w:pPr>
      <w:r>
        <w:rPr>
          <w:rFonts w:hint="eastAsia" w:ascii="仿宋" w:hAnsi="仿宋" w:eastAsia="仿宋" w:cs="仿宋"/>
          <w:snapToGrid w:val="0"/>
          <w:color w:val="auto"/>
          <w:szCs w:val="24"/>
        </w:rPr>
        <w:t>施工组织设计应附的文字说明及附图见下表（不限于，仅供参考）：</w:t>
      </w:r>
    </w:p>
    <w:tbl>
      <w:tblPr>
        <w:tblStyle w:val="25"/>
        <w:tblW w:w="10258" w:type="dxa"/>
        <w:tblInd w:w="108"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108" w:type="dxa"/>
          <w:bottom w:w="0" w:type="dxa"/>
          <w:right w:w="108" w:type="dxa"/>
        </w:tblCellMar>
      </w:tblPr>
      <w:tblGrid>
        <w:gridCol w:w="950"/>
        <w:gridCol w:w="7616"/>
        <w:gridCol w:w="1692"/>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74" w:hRule="atLeast"/>
        </w:trPr>
        <w:tc>
          <w:tcPr>
            <w:tcW w:w="950" w:type="dxa"/>
            <w:vAlign w:val="center"/>
          </w:tcPr>
          <w:p>
            <w:pPr>
              <w:snapToGrid w:val="0"/>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序号</w:t>
            </w:r>
          </w:p>
        </w:tc>
        <w:tc>
          <w:tcPr>
            <w:tcW w:w="7616" w:type="dxa"/>
            <w:vAlign w:val="center"/>
          </w:tcPr>
          <w:p>
            <w:pPr>
              <w:snapToGrid w:val="0"/>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名称</w:t>
            </w:r>
          </w:p>
        </w:tc>
        <w:tc>
          <w:tcPr>
            <w:tcW w:w="1692" w:type="dxa"/>
            <w:vAlign w:val="center"/>
          </w:tcPr>
          <w:p>
            <w:pPr>
              <w:snapToGrid w:val="0"/>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备注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72" w:hRule="atLeast"/>
        </w:trPr>
        <w:tc>
          <w:tcPr>
            <w:tcW w:w="950" w:type="dxa"/>
            <w:vAlign w:val="center"/>
          </w:tcPr>
          <w:p>
            <w:pPr>
              <w:ind w:left="-72" w:leftChars="-30" w:right="-72" w:rightChars="-30"/>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1</w:t>
            </w:r>
          </w:p>
        </w:tc>
        <w:tc>
          <w:tcPr>
            <w:tcW w:w="7616" w:type="dxa"/>
            <w:vAlign w:val="center"/>
          </w:tcPr>
          <w:p>
            <w:pPr>
              <w:ind w:left="-72" w:leftChars="-30" w:right="-72" w:rightChars="-30"/>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施工排水设计说明书及附图（包括降水方案、场地排水等）</w:t>
            </w:r>
          </w:p>
        </w:tc>
        <w:tc>
          <w:tcPr>
            <w:tcW w:w="1692" w:type="dxa"/>
            <w:vAlign w:val="center"/>
          </w:tcPr>
          <w:p>
            <w:pPr>
              <w:snapToGrid w:val="0"/>
              <w:rPr>
                <w:rFonts w:hint="eastAsia" w:ascii="仿宋" w:hAnsi="仿宋" w:eastAsia="仿宋" w:cs="仿宋"/>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930" w:hRule="atLeast"/>
        </w:trPr>
        <w:tc>
          <w:tcPr>
            <w:tcW w:w="950" w:type="dxa"/>
            <w:vAlign w:val="center"/>
          </w:tcPr>
          <w:p>
            <w:pPr>
              <w:ind w:left="-72" w:leftChars="-30" w:right="-72" w:rightChars="-30"/>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2</w:t>
            </w:r>
          </w:p>
        </w:tc>
        <w:tc>
          <w:tcPr>
            <w:tcW w:w="7616" w:type="dxa"/>
            <w:vAlign w:val="center"/>
          </w:tcPr>
          <w:p>
            <w:pPr>
              <w:ind w:left="-30" w:right="-72" w:rightChars="-30"/>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土方工程施工说明书及附图（施工工艺及质量保证措施和有关试验要求，施工进度工期计划等）</w:t>
            </w:r>
          </w:p>
        </w:tc>
        <w:tc>
          <w:tcPr>
            <w:tcW w:w="1692" w:type="dxa"/>
            <w:vAlign w:val="center"/>
          </w:tcPr>
          <w:p>
            <w:pPr>
              <w:snapToGrid w:val="0"/>
              <w:rPr>
                <w:rFonts w:hint="eastAsia" w:ascii="仿宋" w:hAnsi="仿宋" w:eastAsia="仿宋" w:cs="仿宋"/>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656" w:hRule="atLeast"/>
        </w:trPr>
        <w:tc>
          <w:tcPr>
            <w:tcW w:w="950" w:type="dxa"/>
            <w:vAlign w:val="center"/>
          </w:tcPr>
          <w:p>
            <w:pPr>
              <w:spacing w:line="320" w:lineRule="exact"/>
              <w:ind w:left="-72" w:leftChars="-30" w:right="-72" w:rightChars="-30"/>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3</w:t>
            </w:r>
          </w:p>
        </w:tc>
        <w:tc>
          <w:tcPr>
            <w:tcW w:w="7616" w:type="dxa"/>
            <w:vAlign w:val="center"/>
          </w:tcPr>
          <w:p>
            <w:pPr>
              <w:spacing w:line="320" w:lineRule="exact"/>
              <w:ind w:left="-72" w:leftChars="-30" w:right="-72" w:rightChars="-30"/>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主体建筑物工程施工说明书及附图（施工工艺及质量保证措施和有关试验要求，施工进度工期计划等）</w:t>
            </w:r>
          </w:p>
        </w:tc>
        <w:tc>
          <w:tcPr>
            <w:tcW w:w="1692" w:type="dxa"/>
            <w:vAlign w:val="center"/>
          </w:tcPr>
          <w:p>
            <w:pPr>
              <w:snapToGrid w:val="0"/>
              <w:rPr>
                <w:rFonts w:hint="eastAsia" w:ascii="仿宋" w:hAnsi="仿宋" w:eastAsia="仿宋" w:cs="仿宋"/>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PrEx>
        <w:trPr>
          <w:trHeight w:val="469" w:hRule="atLeast"/>
        </w:trPr>
        <w:tc>
          <w:tcPr>
            <w:tcW w:w="950" w:type="dxa"/>
            <w:vAlign w:val="center"/>
          </w:tcPr>
          <w:p>
            <w:pPr>
              <w:spacing w:line="320" w:lineRule="exact"/>
              <w:ind w:left="-72" w:leftChars="-30" w:right="-72" w:rightChars="-30"/>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4</w:t>
            </w:r>
          </w:p>
        </w:tc>
        <w:tc>
          <w:tcPr>
            <w:tcW w:w="7616" w:type="dxa"/>
            <w:vAlign w:val="center"/>
          </w:tcPr>
          <w:p>
            <w:pPr>
              <w:spacing w:line="320" w:lineRule="exact"/>
              <w:ind w:left="-72" w:leftChars="-30" w:right="-72" w:rightChars="-30"/>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施工进度计划说明书</w:t>
            </w:r>
          </w:p>
        </w:tc>
        <w:tc>
          <w:tcPr>
            <w:tcW w:w="1692" w:type="dxa"/>
            <w:vAlign w:val="center"/>
          </w:tcPr>
          <w:p>
            <w:pPr>
              <w:snapToGrid w:val="0"/>
              <w:rPr>
                <w:rFonts w:hint="eastAsia" w:ascii="仿宋" w:hAnsi="仿宋" w:eastAsia="仿宋" w:cs="仿宋"/>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69" w:hRule="atLeast"/>
        </w:trPr>
        <w:tc>
          <w:tcPr>
            <w:tcW w:w="950" w:type="dxa"/>
            <w:vAlign w:val="center"/>
          </w:tcPr>
          <w:p>
            <w:pPr>
              <w:spacing w:line="320" w:lineRule="exact"/>
              <w:ind w:left="-72" w:leftChars="-30" w:right="-72" w:rightChars="-30"/>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5</w:t>
            </w:r>
          </w:p>
        </w:tc>
        <w:tc>
          <w:tcPr>
            <w:tcW w:w="7616" w:type="dxa"/>
            <w:vAlign w:val="center"/>
          </w:tcPr>
          <w:p>
            <w:pPr>
              <w:spacing w:line="320" w:lineRule="exact"/>
              <w:ind w:left="-72" w:leftChars="-30" w:right="-72" w:rightChars="-30"/>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工程质量管理方案</w:t>
            </w:r>
          </w:p>
        </w:tc>
        <w:tc>
          <w:tcPr>
            <w:tcW w:w="1692" w:type="dxa"/>
            <w:vAlign w:val="center"/>
          </w:tcPr>
          <w:p>
            <w:pPr>
              <w:snapToGrid w:val="0"/>
              <w:rPr>
                <w:rFonts w:hint="eastAsia" w:ascii="仿宋" w:hAnsi="仿宋" w:eastAsia="仿宋" w:cs="仿宋"/>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PrEx>
        <w:trPr>
          <w:trHeight w:val="469" w:hRule="atLeast"/>
        </w:trPr>
        <w:tc>
          <w:tcPr>
            <w:tcW w:w="950" w:type="dxa"/>
            <w:vAlign w:val="center"/>
          </w:tcPr>
          <w:p>
            <w:pPr>
              <w:spacing w:line="320" w:lineRule="exact"/>
              <w:ind w:left="-72" w:leftChars="-30" w:right="-72" w:rightChars="-30"/>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6</w:t>
            </w:r>
          </w:p>
        </w:tc>
        <w:tc>
          <w:tcPr>
            <w:tcW w:w="7616" w:type="dxa"/>
            <w:vAlign w:val="center"/>
          </w:tcPr>
          <w:p>
            <w:pPr>
              <w:spacing w:line="320" w:lineRule="exact"/>
              <w:ind w:left="-72" w:leftChars="-30" w:right="-72" w:rightChars="-30"/>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安全生产管理方案</w:t>
            </w:r>
          </w:p>
        </w:tc>
        <w:tc>
          <w:tcPr>
            <w:tcW w:w="1692" w:type="dxa"/>
            <w:vAlign w:val="center"/>
          </w:tcPr>
          <w:p>
            <w:pPr>
              <w:snapToGrid w:val="0"/>
              <w:rPr>
                <w:rFonts w:hint="eastAsia" w:ascii="仿宋" w:hAnsi="仿宋" w:eastAsia="仿宋" w:cs="仿宋"/>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69" w:hRule="atLeast"/>
        </w:trPr>
        <w:tc>
          <w:tcPr>
            <w:tcW w:w="950" w:type="dxa"/>
            <w:vAlign w:val="center"/>
          </w:tcPr>
          <w:p>
            <w:pPr>
              <w:spacing w:line="320" w:lineRule="exact"/>
              <w:ind w:left="-72" w:leftChars="-30" w:right="-72" w:rightChars="-30"/>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7</w:t>
            </w:r>
          </w:p>
        </w:tc>
        <w:tc>
          <w:tcPr>
            <w:tcW w:w="7616" w:type="dxa"/>
            <w:vAlign w:val="center"/>
          </w:tcPr>
          <w:p>
            <w:pPr>
              <w:spacing w:line="320" w:lineRule="exact"/>
              <w:ind w:left="-30" w:right="-72" w:rightChars="-30"/>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文明工地建设措施，为其它中标人提供方便的措施等</w:t>
            </w:r>
          </w:p>
        </w:tc>
        <w:tc>
          <w:tcPr>
            <w:tcW w:w="1692" w:type="dxa"/>
            <w:vAlign w:val="center"/>
          </w:tcPr>
          <w:p>
            <w:pPr>
              <w:snapToGrid w:val="0"/>
              <w:rPr>
                <w:rFonts w:hint="eastAsia" w:ascii="仿宋" w:hAnsi="仿宋" w:eastAsia="仿宋" w:cs="仿宋"/>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69" w:hRule="atLeast"/>
        </w:trPr>
        <w:tc>
          <w:tcPr>
            <w:tcW w:w="950" w:type="dxa"/>
            <w:vAlign w:val="center"/>
          </w:tcPr>
          <w:p>
            <w:pPr>
              <w:spacing w:line="320" w:lineRule="exact"/>
              <w:ind w:left="-72" w:leftChars="-30" w:right="-72" w:rightChars="-30"/>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8</w:t>
            </w:r>
          </w:p>
        </w:tc>
        <w:tc>
          <w:tcPr>
            <w:tcW w:w="7616" w:type="dxa"/>
            <w:vAlign w:val="center"/>
          </w:tcPr>
          <w:p>
            <w:pPr>
              <w:spacing w:line="320" w:lineRule="exact"/>
              <w:ind w:left="-72" w:leftChars="-30" w:right="-72" w:rightChars="-30"/>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水土保持、环境保护管理方案</w:t>
            </w:r>
          </w:p>
        </w:tc>
        <w:tc>
          <w:tcPr>
            <w:tcW w:w="1692" w:type="dxa"/>
            <w:vAlign w:val="center"/>
          </w:tcPr>
          <w:p>
            <w:pPr>
              <w:snapToGrid w:val="0"/>
              <w:rPr>
                <w:rFonts w:hint="eastAsia" w:ascii="仿宋" w:hAnsi="仿宋" w:eastAsia="仿宋" w:cs="仿宋"/>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PrEx>
        <w:trPr>
          <w:trHeight w:val="472" w:hRule="atLeast"/>
        </w:trPr>
        <w:tc>
          <w:tcPr>
            <w:tcW w:w="950" w:type="dxa"/>
            <w:vAlign w:val="center"/>
          </w:tcPr>
          <w:p>
            <w:pPr>
              <w:spacing w:line="320" w:lineRule="exact"/>
              <w:ind w:left="-72" w:leftChars="-30" w:right="-72" w:rightChars="-30"/>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9</w:t>
            </w:r>
          </w:p>
        </w:tc>
        <w:tc>
          <w:tcPr>
            <w:tcW w:w="7616" w:type="dxa"/>
            <w:vAlign w:val="center"/>
          </w:tcPr>
          <w:p>
            <w:pPr>
              <w:ind w:left="-30" w:right="-72" w:rightChars="-30"/>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其它有关工程的施工工艺及进度计划</w:t>
            </w:r>
          </w:p>
        </w:tc>
        <w:tc>
          <w:tcPr>
            <w:tcW w:w="1692" w:type="dxa"/>
            <w:vAlign w:val="center"/>
          </w:tcPr>
          <w:p>
            <w:pPr>
              <w:snapToGrid w:val="0"/>
              <w:rPr>
                <w:rFonts w:hint="eastAsia" w:ascii="仿宋" w:hAnsi="仿宋" w:eastAsia="仿宋" w:cs="仿宋"/>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92" w:hRule="atLeast"/>
        </w:trPr>
        <w:tc>
          <w:tcPr>
            <w:tcW w:w="950" w:type="dxa"/>
            <w:vAlign w:val="center"/>
          </w:tcPr>
          <w:p>
            <w:pPr>
              <w:ind w:left="-72" w:leftChars="-30" w:right="-72" w:rightChars="-30"/>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10</w:t>
            </w:r>
          </w:p>
        </w:tc>
        <w:tc>
          <w:tcPr>
            <w:tcW w:w="7616" w:type="dxa"/>
            <w:vAlign w:val="center"/>
          </w:tcPr>
          <w:p>
            <w:pPr>
              <w:ind w:left="-30" w:right="-72" w:rightChars="-30"/>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有关施工建议</w:t>
            </w:r>
          </w:p>
        </w:tc>
        <w:tc>
          <w:tcPr>
            <w:tcW w:w="1692" w:type="dxa"/>
            <w:vAlign w:val="center"/>
          </w:tcPr>
          <w:p>
            <w:pPr>
              <w:snapToGrid w:val="0"/>
              <w:rPr>
                <w:rFonts w:hint="eastAsia" w:ascii="仿宋" w:hAnsi="仿宋" w:eastAsia="仿宋" w:cs="仿宋"/>
                <w:snapToGrid w:val="0"/>
                <w:color w:val="auto"/>
                <w:kern w:val="2"/>
                <w:szCs w:val="24"/>
              </w:rPr>
            </w:pPr>
          </w:p>
        </w:tc>
      </w:tr>
    </w:tbl>
    <w:p>
      <w:pPr>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2．施工组织设计除采用文字表述外可附下列图表，图表及格式要求附后。</w:t>
      </w:r>
    </w:p>
    <w:p>
      <w:pPr>
        <w:ind w:firstLine="480" w:firstLineChars="200"/>
        <w:rPr>
          <w:rFonts w:hint="eastAsia" w:ascii="仿宋" w:hAnsi="仿宋" w:eastAsia="仿宋" w:cs="仿宋"/>
          <w:snapToGrid w:val="0"/>
          <w:color w:val="auto"/>
          <w:szCs w:val="24"/>
        </w:rPr>
      </w:pPr>
      <w:bookmarkStart w:id="1025" w:name="_Toc184635145"/>
      <w:bookmarkStart w:id="1026" w:name="_Toc336325398"/>
      <w:bookmarkStart w:id="1027" w:name="_Toc217819181"/>
      <w:bookmarkStart w:id="1028" w:name="_Toc217457102"/>
      <w:r>
        <w:rPr>
          <w:rFonts w:hint="eastAsia" w:ascii="仿宋" w:hAnsi="仿宋" w:eastAsia="仿宋" w:cs="仿宋"/>
          <w:snapToGrid w:val="0"/>
          <w:color w:val="auto"/>
          <w:szCs w:val="24"/>
        </w:rPr>
        <w:t>附表一拟投入本标段的主要施工设备表</w:t>
      </w:r>
    </w:p>
    <w:p>
      <w:pPr>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附表二拟投入本标段的试验和检测仪器设备表</w:t>
      </w:r>
    </w:p>
    <w:p>
      <w:pPr>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附表三拟投入本标段的劳动力计划表</w:t>
      </w:r>
    </w:p>
    <w:p>
      <w:pPr>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附表四计划开、完工日期和施工进度网络图</w:t>
      </w:r>
    </w:p>
    <w:p>
      <w:pPr>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附表五施工总平面图</w:t>
      </w:r>
    </w:p>
    <w:p>
      <w:pPr>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附表六临时用地表</w:t>
      </w:r>
    </w:p>
    <w:p>
      <w:pPr>
        <w:pStyle w:val="8"/>
        <w:rPr>
          <w:rFonts w:hint="eastAsia" w:ascii="仿宋" w:hAnsi="仿宋" w:eastAsia="仿宋" w:cs="仿宋"/>
          <w:color w:val="auto"/>
          <w:szCs w:val="24"/>
        </w:rPr>
      </w:pPr>
      <w:r>
        <w:rPr>
          <w:rFonts w:hint="eastAsia" w:ascii="仿宋" w:hAnsi="仿宋" w:eastAsia="仿宋" w:cs="仿宋"/>
          <w:color w:val="auto"/>
        </w:rPr>
        <w:br w:type="page"/>
      </w:r>
      <w:r>
        <w:rPr>
          <w:rFonts w:hint="eastAsia" w:ascii="仿宋" w:hAnsi="仿宋" w:eastAsia="仿宋" w:cs="仿宋"/>
          <w:color w:val="auto"/>
          <w:szCs w:val="24"/>
        </w:rPr>
        <w:t>附件一</w:t>
      </w:r>
    </w:p>
    <w:p>
      <w:pPr>
        <w:spacing w:before="228" w:beforeLines="50" w:after="228" w:afterLines="50"/>
        <w:jc w:val="center"/>
        <w:rPr>
          <w:rFonts w:hint="eastAsia" w:ascii="仿宋" w:hAnsi="仿宋" w:eastAsia="仿宋" w:cs="仿宋"/>
          <w:b/>
          <w:snapToGrid w:val="0"/>
          <w:color w:val="auto"/>
          <w:szCs w:val="21"/>
        </w:rPr>
      </w:pPr>
      <w:r>
        <w:rPr>
          <w:rFonts w:hint="eastAsia" w:ascii="仿宋" w:hAnsi="仿宋" w:eastAsia="仿宋" w:cs="仿宋"/>
          <w:b/>
          <w:snapToGrid w:val="0"/>
          <w:color w:val="auto"/>
          <w:sz w:val="28"/>
          <w:szCs w:val="28"/>
        </w:rPr>
        <w:t>拟投入本标段的主要施工设备表</w:t>
      </w:r>
    </w:p>
    <w:tbl>
      <w:tblPr>
        <w:tblStyle w:val="25"/>
        <w:tblW w:w="1031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246"/>
        <w:gridCol w:w="836"/>
        <w:gridCol w:w="858"/>
        <w:gridCol w:w="858"/>
        <w:gridCol w:w="1137"/>
        <w:gridCol w:w="1327"/>
        <w:gridCol w:w="1024"/>
        <w:gridCol w:w="1137"/>
        <w:gridCol w:w="11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7" w:type="dxa"/>
            <w:vAlign w:val="center"/>
          </w:tcPr>
          <w:p>
            <w:pPr>
              <w:snapToGrid w:val="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序号</w:t>
            </w:r>
          </w:p>
        </w:tc>
        <w:tc>
          <w:tcPr>
            <w:tcW w:w="1246" w:type="dxa"/>
            <w:vAlign w:val="center"/>
          </w:tcPr>
          <w:p>
            <w:pPr>
              <w:snapToGrid w:val="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设备名称</w:t>
            </w:r>
          </w:p>
        </w:tc>
        <w:tc>
          <w:tcPr>
            <w:tcW w:w="836" w:type="dxa"/>
            <w:vAlign w:val="center"/>
          </w:tcPr>
          <w:p>
            <w:pPr>
              <w:snapToGrid w:val="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型号</w:t>
            </w:r>
          </w:p>
          <w:p>
            <w:pPr>
              <w:snapToGrid w:val="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规格</w:t>
            </w:r>
          </w:p>
        </w:tc>
        <w:tc>
          <w:tcPr>
            <w:tcW w:w="858" w:type="dxa"/>
            <w:vAlign w:val="center"/>
          </w:tcPr>
          <w:p>
            <w:pPr>
              <w:snapToGrid w:val="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数量</w:t>
            </w:r>
          </w:p>
        </w:tc>
        <w:tc>
          <w:tcPr>
            <w:tcW w:w="858" w:type="dxa"/>
            <w:vAlign w:val="center"/>
          </w:tcPr>
          <w:p>
            <w:pPr>
              <w:snapToGrid w:val="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国别</w:t>
            </w:r>
          </w:p>
          <w:p>
            <w:pPr>
              <w:snapToGrid w:val="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产地</w:t>
            </w:r>
          </w:p>
        </w:tc>
        <w:tc>
          <w:tcPr>
            <w:tcW w:w="1137" w:type="dxa"/>
            <w:vAlign w:val="center"/>
          </w:tcPr>
          <w:p>
            <w:pPr>
              <w:snapToGrid w:val="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制造</w:t>
            </w:r>
          </w:p>
          <w:p>
            <w:pPr>
              <w:snapToGrid w:val="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年份</w:t>
            </w:r>
          </w:p>
        </w:tc>
        <w:tc>
          <w:tcPr>
            <w:tcW w:w="1327" w:type="dxa"/>
            <w:vAlign w:val="center"/>
          </w:tcPr>
          <w:p>
            <w:pPr>
              <w:snapToGrid w:val="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额定功率</w:t>
            </w:r>
          </w:p>
          <w:p>
            <w:pPr>
              <w:snapToGrid w:val="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 KW )</w:t>
            </w:r>
          </w:p>
        </w:tc>
        <w:tc>
          <w:tcPr>
            <w:tcW w:w="1024" w:type="dxa"/>
            <w:vAlign w:val="center"/>
          </w:tcPr>
          <w:p>
            <w:pPr>
              <w:snapToGrid w:val="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生产</w:t>
            </w:r>
          </w:p>
          <w:p>
            <w:pPr>
              <w:snapToGrid w:val="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能力</w:t>
            </w:r>
          </w:p>
        </w:tc>
        <w:tc>
          <w:tcPr>
            <w:tcW w:w="1137" w:type="dxa"/>
            <w:vAlign w:val="center"/>
          </w:tcPr>
          <w:p>
            <w:pPr>
              <w:snapToGrid w:val="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用于施</w:t>
            </w:r>
          </w:p>
          <w:p>
            <w:pPr>
              <w:snapToGrid w:val="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工部位</w:t>
            </w:r>
          </w:p>
        </w:tc>
        <w:tc>
          <w:tcPr>
            <w:tcW w:w="1135" w:type="dxa"/>
            <w:vAlign w:val="center"/>
          </w:tcPr>
          <w:p>
            <w:pPr>
              <w:snapToGrid w:val="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7" w:type="dxa"/>
          </w:tcPr>
          <w:p>
            <w:pPr>
              <w:snapToGrid w:val="0"/>
              <w:rPr>
                <w:rFonts w:hint="eastAsia" w:ascii="仿宋" w:hAnsi="仿宋" w:eastAsia="仿宋" w:cs="仿宋"/>
                <w:snapToGrid w:val="0"/>
                <w:color w:val="auto"/>
                <w:kern w:val="2"/>
                <w:szCs w:val="21"/>
              </w:rPr>
            </w:pPr>
          </w:p>
        </w:tc>
        <w:tc>
          <w:tcPr>
            <w:tcW w:w="1246" w:type="dxa"/>
          </w:tcPr>
          <w:p>
            <w:pPr>
              <w:snapToGrid w:val="0"/>
              <w:ind w:firstLine="480" w:firstLineChars="200"/>
              <w:rPr>
                <w:rFonts w:hint="eastAsia" w:ascii="仿宋" w:hAnsi="仿宋" w:eastAsia="仿宋" w:cs="仿宋"/>
                <w:snapToGrid w:val="0"/>
                <w:color w:val="auto"/>
                <w:kern w:val="2"/>
                <w:szCs w:val="21"/>
              </w:rPr>
            </w:pPr>
          </w:p>
        </w:tc>
        <w:tc>
          <w:tcPr>
            <w:tcW w:w="836" w:type="dxa"/>
          </w:tcPr>
          <w:p>
            <w:pPr>
              <w:snapToGrid w:val="0"/>
              <w:rPr>
                <w:rFonts w:hint="eastAsia" w:ascii="仿宋" w:hAnsi="仿宋" w:eastAsia="仿宋" w:cs="仿宋"/>
                <w:snapToGrid w:val="0"/>
                <w:color w:val="auto"/>
                <w:kern w:val="2"/>
                <w:szCs w:val="21"/>
              </w:rPr>
            </w:pPr>
          </w:p>
        </w:tc>
        <w:tc>
          <w:tcPr>
            <w:tcW w:w="858" w:type="dxa"/>
          </w:tcPr>
          <w:p>
            <w:pPr>
              <w:snapToGrid w:val="0"/>
              <w:rPr>
                <w:rFonts w:hint="eastAsia" w:ascii="仿宋" w:hAnsi="仿宋" w:eastAsia="仿宋" w:cs="仿宋"/>
                <w:snapToGrid w:val="0"/>
                <w:color w:val="auto"/>
                <w:kern w:val="2"/>
                <w:szCs w:val="21"/>
              </w:rPr>
            </w:pPr>
          </w:p>
        </w:tc>
        <w:tc>
          <w:tcPr>
            <w:tcW w:w="858" w:type="dxa"/>
          </w:tcPr>
          <w:p>
            <w:pPr>
              <w:snapToGrid w:val="0"/>
              <w:rPr>
                <w:rFonts w:hint="eastAsia" w:ascii="仿宋" w:hAnsi="仿宋" w:eastAsia="仿宋" w:cs="仿宋"/>
                <w:snapToGrid w:val="0"/>
                <w:color w:val="auto"/>
                <w:kern w:val="2"/>
                <w:szCs w:val="21"/>
              </w:rPr>
            </w:pPr>
          </w:p>
        </w:tc>
        <w:tc>
          <w:tcPr>
            <w:tcW w:w="1137" w:type="dxa"/>
          </w:tcPr>
          <w:p>
            <w:pPr>
              <w:snapToGrid w:val="0"/>
              <w:rPr>
                <w:rFonts w:hint="eastAsia" w:ascii="仿宋" w:hAnsi="仿宋" w:eastAsia="仿宋" w:cs="仿宋"/>
                <w:snapToGrid w:val="0"/>
                <w:color w:val="auto"/>
                <w:kern w:val="2"/>
                <w:szCs w:val="21"/>
              </w:rPr>
            </w:pPr>
          </w:p>
        </w:tc>
        <w:tc>
          <w:tcPr>
            <w:tcW w:w="1327" w:type="dxa"/>
          </w:tcPr>
          <w:p>
            <w:pPr>
              <w:snapToGrid w:val="0"/>
              <w:rPr>
                <w:rFonts w:hint="eastAsia" w:ascii="仿宋" w:hAnsi="仿宋" w:eastAsia="仿宋" w:cs="仿宋"/>
                <w:snapToGrid w:val="0"/>
                <w:color w:val="auto"/>
                <w:kern w:val="2"/>
                <w:szCs w:val="21"/>
              </w:rPr>
            </w:pPr>
          </w:p>
        </w:tc>
        <w:tc>
          <w:tcPr>
            <w:tcW w:w="1024" w:type="dxa"/>
          </w:tcPr>
          <w:p>
            <w:pPr>
              <w:snapToGrid w:val="0"/>
              <w:rPr>
                <w:rFonts w:hint="eastAsia" w:ascii="仿宋" w:hAnsi="仿宋" w:eastAsia="仿宋" w:cs="仿宋"/>
                <w:snapToGrid w:val="0"/>
                <w:color w:val="auto"/>
                <w:kern w:val="2"/>
                <w:szCs w:val="21"/>
              </w:rPr>
            </w:pPr>
          </w:p>
        </w:tc>
        <w:tc>
          <w:tcPr>
            <w:tcW w:w="1137" w:type="dxa"/>
          </w:tcPr>
          <w:p>
            <w:pPr>
              <w:snapToGrid w:val="0"/>
              <w:rPr>
                <w:rFonts w:hint="eastAsia" w:ascii="仿宋" w:hAnsi="仿宋" w:eastAsia="仿宋" w:cs="仿宋"/>
                <w:snapToGrid w:val="0"/>
                <w:color w:val="auto"/>
                <w:kern w:val="2"/>
                <w:szCs w:val="21"/>
              </w:rPr>
            </w:pPr>
          </w:p>
        </w:tc>
        <w:tc>
          <w:tcPr>
            <w:tcW w:w="1135" w:type="dxa"/>
          </w:tcPr>
          <w:p>
            <w:pPr>
              <w:snapToGrid w:val="0"/>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7" w:type="dxa"/>
          </w:tcPr>
          <w:p>
            <w:pPr>
              <w:snapToGrid w:val="0"/>
              <w:rPr>
                <w:rFonts w:hint="eastAsia" w:ascii="仿宋" w:hAnsi="仿宋" w:eastAsia="仿宋" w:cs="仿宋"/>
                <w:snapToGrid w:val="0"/>
                <w:color w:val="auto"/>
                <w:kern w:val="2"/>
                <w:szCs w:val="21"/>
              </w:rPr>
            </w:pPr>
          </w:p>
        </w:tc>
        <w:tc>
          <w:tcPr>
            <w:tcW w:w="1246" w:type="dxa"/>
          </w:tcPr>
          <w:p>
            <w:pPr>
              <w:snapToGrid w:val="0"/>
              <w:rPr>
                <w:rFonts w:hint="eastAsia" w:ascii="仿宋" w:hAnsi="仿宋" w:eastAsia="仿宋" w:cs="仿宋"/>
                <w:snapToGrid w:val="0"/>
                <w:color w:val="auto"/>
                <w:kern w:val="2"/>
                <w:szCs w:val="21"/>
              </w:rPr>
            </w:pPr>
          </w:p>
        </w:tc>
        <w:tc>
          <w:tcPr>
            <w:tcW w:w="836" w:type="dxa"/>
          </w:tcPr>
          <w:p>
            <w:pPr>
              <w:snapToGrid w:val="0"/>
              <w:rPr>
                <w:rFonts w:hint="eastAsia" w:ascii="仿宋" w:hAnsi="仿宋" w:eastAsia="仿宋" w:cs="仿宋"/>
                <w:snapToGrid w:val="0"/>
                <w:color w:val="auto"/>
                <w:kern w:val="2"/>
                <w:szCs w:val="21"/>
              </w:rPr>
            </w:pPr>
          </w:p>
        </w:tc>
        <w:tc>
          <w:tcPr>
            <w:tcW w:w="858" w:type="dxa"/>
          </w:tcPr>
          <w:p>
            <w:pPr>
              <w:snapToGrid w:val="0"/>
              <w:rPr>
                <w:rFonts w:hint="eastAsia" w:ascii="仿宋" w:hAnsi="仿宋" w:eastAsia="仿宋" w:cs="仿宋"/>
                <w:snapToGrid w:val="0"/>
                <w:color w:val="auto"/>
                <w:kern w:val="2"/>
                <w:szCs w:val="21"/>
              </w:rPr>
            </w:pPr>
          </w:p>
        </w:tc>
        <w:tc>
          <w:tcPr>
            <w:tcW w:w="858" w:type="dxa"/>
          </w:tcPr>
          <w:p>
            <w:pPr>
              <w:snapToGrid w:val="0"/>
              <w:rPr>
                <w:rFonts w:hint="eastAsia" w:ascii="仿宋" w:hAnsi="仿宋" w:eastAsia="仿宋" w:cs="仿宋"/>
                <w:snapToGrid w:val="0"/>
                <w:color w:val="auto"/>
                <w:kern w:val="2"/>
                <w:szCs w:val="21"/>
              </w:rPr>
            </w:pPr>
          </w:p>
        </w:tc>
        <w:tc>
          <w:tcPr>
            <w:tcW w:w="1137" w:type="dxa"/>
          </w:tcPr>
          <w:p>
            <w:pPr>
              <w:snapToGrid w:val="0"/>
              <w:rPr>
                <w:rFonts w:hint="eastAsia" w:ascii="仿宋" w:hAnsi="仿宋" w:eastAsia="仿宋" w:cs="仿宋"/>
                <w:snapToGrid w:val="0"/>
                <w:color w:val="auto"/>
                <w:kern w:val="2"/>
                <w:szCs w:val="21"/>
              </w:rPr>
            </w:pPr>
          </w:p>
        </w:tc>
        <w:tc>
          <w:tcPr>
            <w:tcW w:w="1327" w:type="dxa"/>
          </w:tcPr>
          <w:p>
            <w:pPr>
              <w:snapToGrid w:val="0"/>
              <w:rPr>
                <w:rFonts w:hint="eastAsia" w:ascii="仿宋" w:hAnsi="仿宋" w:eastAsia="仿宋" w:cs="仿宋"/>
                <w:snapToGrid w:val="0"/>
                <w:color w:val="auto"/>
                <w:kern w:val="2"/>
                <w:szCs w:val="21"/>
              </w:rPr>
            </w:pPr>
          </w:p>
        </w:tc>
        <w:tc>
          <w:tcPr>
            <w:tcW w:w="1024" w:type="dxa"/>
          </w:tcPr>
          <w:p>
            <w:pPr>
              <w:snapToGrid w:val="0"/>
              <w:rPr>
                <w:rFonts w:hint="eastAsia" w:ascii="仿宋" w:hAnsi="仿宋" w:eastAsia="仿宋" w:cs="仿宋"/>
                <w:snapToGrid w:val="0"/>
                <w:color w:val="auto"/>
                <w:kern w:val="2"/>
                <w:szCs w:val="21"/>
              </w:rPr>
            </w:pPr>
          </w:p>
        </w:tc>
        <w:tc>
          <w:tcPr>
            <w:tcW w:w="1137" w:type="dxa"/>
          </w:tcPr>
          <w:p>
            <w:pPr>
              <w:snapToGrid w:val="0"/>
              <w:rPr>
                <w:rFonts w:hint="eastAsia" w:ascii="仿宋" w:hAnsi="仿宋" w:eastAsia="仿宋" w:cs="仿宋"/>
                <w:snapToGrid w:val="0"/>
                <w:color w:val="auto"/>
                <w:kern w:val="2"/>
                <w:szCs w:val="21"/>
              </w:rPr>
            </w:pPr>
          </w:p>
        </w:tc>
        <w:tc>
          <w:tcPr>
            <w:tcW w:w="1135" w:type="dxa"/>
          </w:tcPr>
          <w:p>
            <w:pPr>
              <w:snapToGrid w:val="0"/>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7" w:type="dxa"/>
          </w:tcPr>
          <w:p>
            <w:pPr>
              <w:snapToGrid w:val="0"/>
              <w:rPr>
                <w:rFonts w:hint="eastAsia" w:ascii="仿宋" w:hAnsi="仿宋" w:eastAsia="仿宋" w:cs="仿宋"/>
                <w:snapToGrid w:val="0"/>
                <w:color w:val="auto"/>
                <w:kern w:val="2"/>
                <w:szCs w:val="21"/>
              </w:rPr>
            </w:pPr>
          </w:p>
        </w:tc>
        <w:tc>
          <w:tcPr>
            <w:tcW w:w="1246" w:type="dxa"/>
          </w:tcPr>
          <w:p>
            <w:pPr>
              <w:snapToGrid w:val="0"/>
              <w:rPr>
                <w:rFonts w:hint="eastAsia" w:ascii="仿宋" w:hAnsi="仿宋" w:eastAsia="仿宋" w:cs="仿宋"/>
                <w:snapToGrid w:val="0"/>
                <w:color w:val="auto"/>
                <w:kern w:val="2"/>
                <w:szCs w:val="21"/>
              </w:rPr>
            </w:pPr>
          </w:p>
        </w:tc>
        <w:tc>
          <w:tcPr>
            <w:tcW w:w="836" w:type="dxa"/>
          </w:tcPr>
          <w:p>
            <w:pPr>
              <w:snapToGrid w:val="0"/>
              <w:rPr>
                <w:rFonts w:hint="eastAsia" w:ascii="仿宋" w:hAnsi="仿宋" w:eastAsia="仿宋" w:cs="仿宋"/>
                <w:snapToGrid w:val="0"/>
                <w:color w:val="auto"/>
                <w:kern w:val="2"/>
                <w:szCs w:val="21"/>
              </w:rPr>
            </w:pPr>
          </w:p>
        </w:tc>
        <w:tc>
          <w:tcPr>
            <w:tcW w:w="858" w:type="dxa"/>
          </w:tcPr>
          <w:p>
            <w:pPr>
              <w:snapToGrid w:val="0"/>
              <w:rPr>
                <w:rFonts w:hint="eastAsia" w:ascii="仿宋" w:hAnsi="仿宋" w:eastAsia="仿宋" w:cs="仿宋"/>
                <w:snapToGrid w:val="0"/>
                <w:color w:val="auto"/>
                <w:kern w:val="2"/>
                <w:szCs w:val="21"/>
              </w:rPr>
            </w:pPr>
          </w:p>
        </w:tc>
        <w:tc>
          <w:tcPr>
            <w:tcW w:w="858" w:type="dxa"/>
          </w:tcPr>
          <w:p>
            <w:pPr>
              <w:snapToGrid w:val="0"/>
              <w:rPr>
                <w:rFonts w:hint="eastAsia" w:ascii="仿宋" w:hAnsi="仿宋" w:eastAsia="仿宋" w:cs="仿宋"/>
                <w:snapToGrid w:val="0"/>
                <w:color w:val="auto"/>
                <w:kern w:val="2"/>
                <w:szCs w:val="21"/>
              </w:rPr>
            </w:pPr>
          </w:p>
        </w:tc>
        <w:tc>
          <w:tcPr>
            <w:tcW w:w="1137" w:type="dxa"/>
          </w:tcPr>
          <w:p>
            <w:pPr>
              <w:snapToGrid w:val="0"/>
              <w:rPr>
                <w:rFonts w:hint="eastAsia" w:ascii="仿宋" w:hAnsi="仿宋" w:eastAsia="仿宋" w:cs="仿宋"/>
                <w:snapToGrid w:val="0"/>
                <w:color w:val="auto"/>
                <w:kern w:val="2"/>
                <w:szCs w:val="21"/>
              </w:rPr>
            </w:pPr>
          </w:p>
        </w:tc>
        <w:tc>
          <w:tcPr>
            <w:tcW w:w="1327" w:type="dxa"/>
          </w:tcPr>
          <w:p>
            <w:pPr>
              <w:snapToGrid w:val="0"/>
              <w:rPr>
                <w:rFonts w:hint="eastAsia" w:ascii="仿宋" w:hAnsi="仿宋" w:eastAsia="仿宋" w:cs="仿宋"/>
                <w:snapToGrid w:val="0"/>
                <w:color w:val="auto"/>
                <w:kern w:val="2"/>
                <w:szCs w:val="21"/>
              </w:rPr>
            </w:pPr>
          </w:p>
        </w:tc>
        <w:tc>
          <w:tcPr>
            <w:tcW w:w="1024" w:type="dxa"/>
          </w:tcPr>
          <w:p>
            <w:pPr>
              <w:snapToGrid w:val="0"/>
              <w:rPr>
                <w:rFonts w:hint="eastAsia" w:ascii="仿宋" w:hAnsi="仿宋" w:eastAsia="仿宋" w:cs="仿宋"/>
                <w:snapToGrid w:val="0"/>
                <w:color w:val="auto"/>
                <w:kern w:val="2"/>
                <w:szCs w:val="21"/>
              </w:rPr>
            </w:pPr>
          </w:p>
        </w:tc>
        <w:tc>
          <w:tcPr>
            <w:tcW w:w="1137" w:type="dxa"/>
          </w:tcPr>
          <w:p>
            <w:pPr>
              <w:snapToGrid w:val="0"/>
              <w:rPr>
                <w:rFonts w:hint="eastAsia" w:ascii="仿宋" w:hAnsi="仿宋" w:eastAsia="仿宋" w:cs="仿宋"/>
                <w:snapToGrid w:val="0"/>
                <w:color w:val="auto"/>
                <w:kern w:val="2"/>
                <w:szCs w:val="21"/>
              </w:rPr>
            </w:pPr>
          </w:p>
        </w:tc>
        <w:tc>
          <w:tcPr>
            <w:tcW w:w="1135" w:type="dxa"/>
          </w:tcPr>
          <w:p>
            <w:pPr>
              <w:snapToGrid w:val="0"/>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57" w:type="dxa"/>
          </w:tcPr>
          <w:p>
            <w:pPr>
              <w:snapToGrid w:val="0"/>
              <w:rPr>
                <w:rFonts w:hint="eastAsia" w:ascii="仿宋" w:hAnsi="仿宋" w:eastAsia="仿宋" w:cs="仿宋"/>
                <w:snapToGrid w:val="0"/>
                <w:color w:val="auto"/>
                <w:kern w:val="2"/>
                <w:szCs w:val="21"/>
              </w:rPr>
            </w:pPr>
          </w:p>
        </w:tc>
        <w:tc>
          <w:tcPr>
            <w:tcW w:w="1246" w:type="dxa"/>
          </w:tcPr>
          <w:p>
            <w:pPr>
              <w:snapToGrid w:val="0"/>
              <w:rPr>
                <w:rFonts w:hint="eastAsia" w:ascii="仿宋" w:hAnsi="仿宋" w:eastAsia="仿宋" w:cs="仿宋"/>
                <w:snapToGrid w:val="0"/>
                <w:color w:val="auto"/>
                <w:kern w:val="2"/>
                <w:szCs w:val="21"/>
              </w:rPr>
            </w:pPr>
          </w:p>
        </w:tc>
        <w:tc>
          <w:tcPr>
            <w:tcW w:w="836" w:type="dxa"/>
          </w:tcPr>
          <w:p>
            <w:pPr>
              <w:snapToGrid w:val="0"/>
              <w:rPr>
                <w:rFonts w:hint="eastAsia" w:ascii="仿宋" w:hAnsi="仿宋" w:eastAsia="仿宋" w:cs="仿宋"/>
                <w:snapToGrid w:val="0"/>
                <w:color w:val="auto"/>
                <w:kern w:val="2"/>
                <w:szCs w:val="21"/>
              </w:rPr>
            </w:pPr>
          </w:p>
        </w:tc>
        <w:tc>
          <w:tcPr>
            <w:tcW w:w="858" w:type="dxa"/>
          </w:tcPr>
          <w:p>
            <w:pPr>
              <w:snapToGrid w:val="0"/>
              <w:rPr>
                <w:rFonts w:hint="eastAsia" w:ascii="仿宋" w:hAnsi="仿宋" w:eastAsia="仿宋" w:cs="仿宋"/>
                <w:snapToGrid w:val="0"/>
                <w:color w:val="auto"/>
                <w:kern w:val="2"/>
                <w:szCs w:val="21"/>
              </w:rPr>
            </w:pPr>
          </w:p>
        </w:tc>
        <w:tc>
          <w:tcPr>
            <w:tcW w:w="858" w:type="dxa"/>
          </w:tcPr>
          <w:p>
            <w:pPr>
              <w:snapToGrid w:val="0"/>
              <w:rPr>
                <w:rFonts w:hint="eastAsia" w:ascii="仿宋" w:hAnsi="仿宋" w:eastAsia="仿宋" w:cs="仿宋"/>
                <w:snapToGrid w:val="0"/>
                <w:color w:val="auto"/>
                <w:kern w:val="2"/>
                <w:szCs w:val="21"/>
              </w:rPr>
            </w:pPr>
          </w:p>
        </w:tc>
        <w:tc>
          <w:tcPr>
            <w:tcW w:w="1137" w:type="dxa"/>
          </w:tcPr>
          <w:p>
            <w:pPr>
              <w:snapToGrid w:val="0"/>
              <w:rPr>
                <w:rFonts w:hint="eastAsia" w:ascii="仿宋" w:hAnsi="仿宋" w:eastAsia="仿宋" w:cs="仿宋"/>
                <w:snapToGrid w:val="0"/>
                <w:color w:val="auto"/>
                <w:kern w:val="2"/>
                <w:szCs w:val="21"/>
              </w:rPr>
            </w:pPr>
          </w:p>
        </w:tc>
        <w:tc>
          <w:tcPr>
            <w:tcW w:w="1327" w:type="dxa"/>
          </w:tcPr>
          <w:p>
            <w:pPr>
              <w:snapToGrid w:val="0"/>
              <w:rPr>
                <w:rFonts w:hint="eastAsia" w:ascii="仿宋" w:hAnsi="仿宋" w:eastAsia="仿宋" w:cs="仿宋"/>
                <w:snapToGrid w:val="0"/>
                <w:color w:val="auto"/>
                <w:kern w:val="2"/>
                <w:szCs w:val="21"/>
              </w:rPr>
            </w:pPr>
          </w:p>
        </w:tc>
        <w:tc>
          <w:tcPr>
            <w:tcW w:w="1024" w:type="dxa"/>
          </w:tcPr>
          <w:p>
            <w:pPr>
              <w:snapToGrid w:val="0"/>
              <w:rPr>
                <w:rFonts w:hint="eastAsia" w:ascii="仿宋" w:hAnsi="仿宋" w:eastAsia="仿宋" w:cs="仿宋"/>
                <w:snapToGrid w:val="0"/>
                <w:color w:val="auto"/>
                <w:kern w:val="2"/>
                <w:szCs w:val="21"/>
              </w:rPr>
            </w:pPr>
          </w:p>
        </w:tc>
        <w:tc>
          <w:tcPr>
            <w:tcW w:w="1137" w:type="dxa"/>
          </w:tcPr>
          <w:p>
            <w:pPr>
              <w:snapToGrid w:val="0"/>
              <w:rPr>
                <w:rFonts w:hint="eastAsia" w:ascii="仿宋" w:hAnsi="仿宋" w:eastAsia="仿宋" w:cs="仿宋"/>
                <w:snapToGrid w:val="0"/>
                <w:color w:val="auto"/>
                <w:kern w:val="2"/>
                <w:szCs w:val="21"/>
              </w:rPr>
            </w:pPr>
          </w:p>
        </w:tc>
        <w:tc>
          <w:tcPr>
            <w:tcW w:w="1135" w:type="dxa"/>
          </w:tcPr>
          <w:p>
            <w:pPr>
              <w:snapToGrid w:val="0"/>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7" w:type="dxa"/>
          </w:tcPr>
          <w:p>
            <w:pPr>
              <w:snapToGrid w:val="0"/>
              <w:rPr>
                <w:rFonts w:hint="eastAsia" w:ascii="仿宋" w:hAnsi="仿宋" w:eastAsia="仿宋" w:cs="仿宋"/>
                <w:snapToGrid w:val="0"/>
                <w:color w:val="auto"/>
                <w:kern w:val="2"/>
                <w:szCs w:val="21"/>
              </w:rPr>
            </w:pPr>
          </w:p>
        </w:tc>
        <w:tc>
          <w:tcPr>
            <w:tcW w:w="1246" w:type="dxa"/>
          </w:tcPr>
          <w:p>
            <w:pPr>
              <w:snapToGrid w:val="0"/>
              <w:rPr>
                <w:rFonts w:hint="eastAsia" w:ascii="仿宋" w:hAnsi="仿宋" w:eastAsia="仿宋" w:cs="仿宋"/>
                <w:snapToGrid w:val="0"/>
                <w:color w:val="auto"/>
                <w:kern w:val="2"/>
                <w:szCs w:val="21"/>
              </w:rPr>
            </w:pPr>
          </w:p>
        </w:tc>
        <w:tc>
          <w:tcPr>
            <w:tcW w:w="836" w:type="dxa"/>
          </w:tcPr>
          <w:p>
            <w:pPr>
              <w:snapToGrid w:val="0"/>
              <w:rPr>
                <w:rFonts w:hint="eastAsia" w:ascii="仿宋" w:hAnsi="仿宋" w:eastAsia="仿宋" w:cs="仿宋"/>
                <w:snapToGrid w:val="0"/>
                <w:color w:val="auto"/>
                <w:kern w:val="2"/>
                <w:szCs w:val="21"/>
              </w:rPr>
            </w:pPr>
          </w:p>
        </w:tc>
        <w:tc>
          <w:tcPr>
            <w:tcW w:w="858" w:type="dxa"/>
          </w:tcPr>
          <w:p>
            <w:pPr>
              <w:snapToGrid w:val="0"/>
              <w:rPr>
                <w:rFonts w:hint="eastAsia" w:ascii="仿宋" w:hAnsi="仿宋" w:eastAsia="仿宋" w:cs="仿宋"/>
                <w:snapToGrid w:val="0"/>
                <w:color w:val="auto"/>
                <w:kern w:val="2"/>
                <w:szCs w:val="21"/>
              </w:rPr>
            </w:pPr>
          </w:p>
        </w:tc>
        <w:tc>
          <w:tcPr>
            <w:tcW w:w="858" w:type="dxa"/>
          </w:tcPr>
          <w:p>
            <w:pPr>
              <w:snapToGrid w:val="0"/>
              <w:rPr>
                <w:rFonts w:hint="eastAsia" w:ascii="仿宋" w:hAnsi="仿宋" w:eastAsia="仿宋" w:cs="仿宋"/>
                <w:snapToGrid w:val="0"/>
                <w:color w:val="auto"/>
                <w:kern w:val="2"/>
                <w:szCs w:val="21"/>
              </w:rPr>
            </w:pPr>
          </w:p>
        </w:tc>
        <w:tc>
          <w:tcPr>
            <w:tcW w:w="1137" w:type="dxa"/>
          </w:tcPr>
          <w:p>
            <w:pPr>
              <w:snapToGrid w:val="0"/>
              <w:rPr>
                <w:rFonts w:hint="eastAsia" w:ascii="仿宋" w:hAnsi="仿宋" w:eastAsia="仿宋" w:cs="仿宋"/>
                <w:snapToGrid w:val="0"/>
                <w:color w:val="auto"/>
                <w:kern w:val="2"/>
                <w:szCs w:val="21"/>
              </w:rPr>
            </w:pPr>
          </w:p>
        </w:tc>
        <w:tc>
          <w:tcPr>
            <w:tcW w:w="1327" w:type="dxa"/>
          </w:tcPr>
          <w:p>
            <w:pPr>
              <w:snapToGrid w:val="0"/>
              <w:rPr>
                <w:rFonts w:hint="eastAsia" w:ascii="仿宋" w:hAnsi="仿宋" w:eastAsia="仿宋" w:cs="仿宋"/>
                <w:snapToGrid w:val="0"/>
                <w:color w:val="auto"/>
                <w:kern w:val="2"/>
                <w:szCs w:val="21"/>
              </w:rPr>
            </w:pPr>
          </w:p>
        </w:tc>
        <w:tc>
          <w:tcPr>
            <w:tcW w:w="1024" w:type="dxa"/>
          </w:tcPr>
          <w:p>
            <w:pPr>
              <w:snapToGrid w:val="0"/>
              <w:rPr>
                <w:rFonts w:hint="eastAsia" w:ascii="仿宋" w:hAnsi="仿宋" w:eastAsia="仿宋" w:cs="仿宋"/>
                <w:snapToGrid w:val="0"/>
                <w:color w:val="auto"/>
                <w:kern w:val="2"/>
                <w:szCs w:val="21"/>
              </w:rPr>
            </w:pPr>
          </w:p>
        </w:tc>
        <w:tc>
          <w:tcPr>
            <w:tcW w:w="1137" w:type="dxa"/>
          </w:tcPr>
          <w:p>
            <w:pPr>
              <w:snapToGrid w:val="0"/>
              <w:rPr>
                <w:rFonts w:hint="eastAsia" w:ascii="仿宋" w:hAnsi="仿宋" w:eastAsia="仿宋" w:cs="仿宋"/>
                <w:snapToGrid w:val="0"/>
                <w:color w:val="auto"/>
                <w:kern w:val="2"/>
                <w:szCs w:val="21"/>
              </w:rPr>
            </w:pPr>
          </w:p>
        </w:tc>
        <w:tc>
          <w:tcPr>
            <w:tcW w:w="1135" w:type="dxa"/>
          </w:tcPr>
          <w:p>
            <w:pPr>
              <w:snapToGrid w:val="0"/>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7" w:type="dxa"/>
          </w:tcPr>
          <w:p>
            <w:pPr>
              <w:snapToGrid w:val="0"/>
              <w:rPr>
                <w:rFonts w:hint="eastAsia" w:ascii="仿宋" w:hAnsi="仿宋" w:eastAsia="仿宋" w:cs="仿宋"/>
                <w:snapToGrid w:val="0"/>
                <w:color w:val="auto"/>
                <w:kern w:val="2"/>
                <w:szCs w:val="21"/>
              </w:rPr>
            </w:pPr>
          </w:p>
        </w:tc>
        <w:tc>
          <w:tcPr>
            <w:tcW w:w="1246" w:type="dxa"/>
          </w:tcPr>
          <w:p>
            <w:pPr>
              <w:snapToGrid w:val="0"/>
              <w:rPr>
                <w:rFonts w:hint="eastAsia" w:ascii="仿宋" w:hAnsi="仿宋" w:eastAsia="仿宋" w:cs="仿宋"/>
                <w:snapToGrid w:val="0"/>
                <w:color w:val="auto"/>
                <w:kern w:val="2"/>
                <w:szCs w:val="21"/>
              </w:rPr>
            </w:pPr>
          </w:p>
        </w:tc>
        <w:tc>
          <w:tcPr>
            <w:tcW w:w="836" w:type="dxa"/>
          </w:tcPr>
          <w:p>
            <w:pPr>
              <w:snapToGrid w:val="0"/>
              <w:rPr>
                <w:rFonts w:hint="eastAsia" w:ascii="仿宋" w:hAnsi="仿宋" w:eastAsia="仿宋" w:cs="仿宋"/>
                <w:snapToGrid w:val="0"/>
                <w:color w:val="auto"/>
                <w:kern w:val="2"/>
                <w:szCs w:val="21"/>
              </w:rPr>
            </w:pPr>
          </w:p>
        </w:tc>
        <w:tc>
          <w:tcPr>
            <w:tcW w:w="858" w:type="dxa"/>
          </w:tcPr>
          <w:p>
            <w:pPr>
              <w:snapToGrid w:val="0"/>
              <w:rPr>
                <w:rFonts w:hint="eastAsia" w:ascii="仿宋" w:hAnsi="仿宋" w:eastAsia="仿宋" w:cs="仿宋"/>
                <w:snapToGrid w:val="0"/>
                <w:color w:val="auto"/>
                <w:kern w:val="2"/>
                <w:szCs w:val="21"/>
              </w:rPr>
            </w:pPr>
          </w:p>
        </w:tc>
        <w:tc>
          <w:tcPr>
            <w:tcW w:w="858" w:type="dxa"/>
          </w:tcPr>
          <w:p>
            <w:pPr>
              <w:snapToGrid w:val="0"/>
              <w:rPr>
                <w:rFonts w:hint="eastAsia" w:ascii="仿宋" w:hAnsi="仿宋" w:eastAsia="仿宋" w:cs="仿宋"/>
                <w:snapToGrid w:val="0"/>
                <w:color w:val="auto"/>
                <w:kern w:val="2"/>
                <w:szCs w:val="21"/>
              </w:rPr>
            </w:pPr>
          </w:p>
        </w:tc>
        <w:tc>
          <w:tcPr>
            <w:tcW w:w="1137" w:type="dxa"/>
          </w:tcPr>
          <w:p>
            <w:pPr>
              <w:snapToGrid w:val="0"/>
              <w:rPr>
                <w:rFonts w:hint="eastAsia" w:ascii="仿宋" w:hAnsi="仿宋" w:eastAsia="仿宋" w:cs="仿宋"/>
                <w:snapToGrid w:val="0"/>
                <w:color w:val="auto"/>
                <w:kern w:val="2"/>
                <w:szCs w:val="21"/>
              </w:rPr>
            </w:pPr>
          </w:p>
        </w:tc>
        <w:tc>
          <w:tcPr>
            <w:tcW w:w="1327" w:type="dxa"/>
          </w:tcPr>
          <w:p>
            <w:pPr>
              <w:snapToGrid w:val="0"/>
              <w:rPr>
                <w:rFonts w:hint="eastAsia" w:ascii="仿宋" w:hAnsi="仿宋" w:eastAsia="仿宋" w:cs="仿宋"/>
                <w:snapToGrid w:val="0"/>
                <w:color w:val="auto"/>
                <w:kern w:val="2"/>
                <w:szCs w:val="21"/>
              </w:rPr>
            </w:pPr>
          </w:p>
        </w:tc>
        <w:tc>
          <w:tcPr>
            <w:tcW w:w="1024" w:type="dxa"/>
          </w:tcPr>
          <w:p>
            <w:pPr>
              <w:snapToGrid w:val="0"/>
              <w:rPr>
                <w:rFonts w:hint="eastAsia" w:ascii="仿宋" w:hAnsi="仿宋" w:eastAsia="仿宋" w:cs="仿宋"/>
                <w:snapToGrid w:val="0"/>
                <w:color w:val="auto"/>
                <w:kern w:val="2"/>
                <w:szCs w:val="21"/>
              </w:rPr>
            </w:pPr>
          </w:p>
        </w:tc>
        <w:tc>
          <w:tcPr>
            <w:tcW w:w="1137" w:type="dxa"/>
          </w:tcPr>
          <w:p>
            <w:pPr>
              <w:snapToGrid w:val="0"/>
              <w:rPr>
                <w:rFonts w:hint="eastAsia" w:ascii="仿宋" w:hAnsi="仿宋" w:eastAsia="仿宋" w:cs="仿宋"/>
                <w:snapToGrid w:val="0"/>
                <w:color w:val="auto"/>
                <w:kern w:val="2"/>
                <w:szCs w:val="21"/>
              </w:rPr>
            </w:pPr>
          </w:p>
        </w:tc>
        <w:tc>
          <w:tcPr>
            <w:tcW w:w="1135" w:type="dxa"/>
          </w:tcPr>
          <w:p>
            <w:pPr>
              <w:snapToGrid w:val="0"/>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7" w:type="dxa"/>
          </w:tcPr>
          <w:p>
            <w:pPr>
              <w:snapToGrid w:val="0"/>
              <w:rPr>
                <w:rFonts w:hint="eastAsia" w:ascii="仿宋" w:hAnsi="仿宋" w:eastAsia="仿宋" w:cs="仿宋"/>
                <w:snapToGrid w:val="0"/>
                <w:color w:val="auto"/>
                <w:kern w:val="2"/>
                <w:szCs w:val="21"/>
              </w:rPr>
            </w:pPr>
          </w:p>
        </w:tc>
        <w:tc>
          <w:tcPr>
            <w:tcW w:w="1246" w:type="dxa"/>
          </w:tcPr>
          <w:p>
            <w:pPr>
              <w:snapToGrid w:val="0"/>
              <w:rPr>
                <w:rFonts w:hint="eastAsia" w:ascii="仿宋" w:hAnsi="仿宋" w:eastAsia="仿宋" w:cs="仿宋"/>
                <w:snapToGrid w:val="0"/>
                <w:color w:val="auto"/>
                <w:kern w:val="2"/>
                <w:szCs w:val="21"/>
              </w:rPr>
            </w:pPr>
          </w:p>
        </w:tc>
        <w:tc>
          <w:tcPr>
            <w:tcW w:w="836" w:type="dxa"/>
          </w:tcPr>
          <w:p>
            <w:pPr>
              <w:snapToGrid w:val="0"/>
              <w:rPr>
                <w:rFonts w:hint="eastAsia" w:ascii="仿宋" w:hAnsi="仿宋" w:eastAsia="仿宋" w:cs="仿宋"/>
                <w:snapToGrid w:val="0"/>
                <w:color w:val="auto"/>
                <w:kern w:val="2"/>
                <w:szCs w:val="21"/>
              </w:rPr>
            </w:pPr>
          </w:p>
        </w:tc>
        <w:tc>
          <w:tcPr>
            <w:tcW w:w="858" w:type="dxa"/>
          </w:tcPr>
          <w:p>
            <w:pPr>
              <w:snapToGrid w:val="0"/>
              <w:rPr>
                <w:rFonts w:hint="eastAsia" w:ascii="仿宋" w:hAnsi="仿宋" w:eastAsia="仿宋" w:cs="仿宋"/>
                <w:snapToGrid w:val="0"/>
                <w:color w:val="auto"/>
                <w:kern w:val="2"/>
                <w:szCs w:val="21"/>
              </w:rPr>
            </w:pPr>
          </w:p>
        </w:tc>
        <w:tc>
          <w:tcPr>
            <w:tcW w:w="858" w:type="dxa"/>
          </w:tcPr>
          <w:p>
            <w:pPr>
              <w:snapToGrid w:val="0"/>
              <w:rPr>
                <w:rFonts w:hint="eastAsia" w:ascii="仿宋" w:hAnsi="仿宋" w:eastAsia="仿宋" w:cs="仿宋"/>
                <w:snapToGrid w:val="0"/>
                <w:color w:val="auto"/>
                <w:kern w:val="2"/>
                <w:szCs w:val="21"/>
              </w:rPr>
            </w:pPr>
          </w:p>
        </w:tc>
        <w:tc>
          <w:tcPr>
            <w:tcW w:w="1137" w:type="dxa"/>
          </w:tcPr>
          <w:p>
            <w:pPr>
              <w:snapToGrid w:val="0"/>
              <w:rPr>
                <w:rFonts w:hint="eastAsia" w:ascii="仿宋" w:hAnsi="仿宋" w:eastAsia="仿宋" w:cs="仿宋"/>
                <w:snapToGrid w:val="0"/>
                <w:color w:val="auto"/>
                <w:kern w:val="2"/>
                <w:szCs w:val="21"/>
              </w:rPr>
            </w:pPr>
          </w:p>
        </w:tc>
        <w:tc>
          <w:tcPr>
            <w:tcW w:w="1327" w:type="dxa"/>
          </w:tcPr>
          <w:p>
            <w:pPr>
              <w:snapToGrid w:val="0"/>
              <w:rPr>
                <w:rFonts w:hint="eastAsia" w:ascii="仿宋" w:hAnsi="仿宋" w:eastAsia="仿宋" w:cs="仿宋"/>
                <w:snapToGrid w:val="0"/>
                <w:color w:val="auto"/>
                <w:kern w:val="2"/>
                <w:szCs w:val="21"/>
              </w:rPr>
            </w:pPr>
          </w:p>
        </w:tc>
        <w:tc>
          <w:tcPr>
            <w:tcW w:w="1024" w:type="dxa"/>
          </w:tcPr>
          <w:p>
            <w:pPr>
              <w:snapToGrid w:val="0"/>
              <w:rPr>
                <w:rFonts w:hint="eastAsia" w:ascii="仿宋" w:hAnsi="仿宋" w:eastAsia="仿宋" w:cs="仿宋"/>
                <w:snapToGrid w:val="0"/>
                <w:color w:val="auto"/>
                <w:kern w:val="2"/>
                <w:szCs w:val="21"/>
              </w:rPr>
            </w:pPr>
          </w:p>
        </w:tc>
        <w:tc>
          <w:tcPr>
            <w:tcW w:w="1137" w:type="dxa"/>
          </w:tcPr>
          <w:p>
            <w:pPr>
              <w:snapToGrid w:val="0"/>
              <w:rPr>
                <w:rFonts w:hint="eastAsia" w:ascii="仿宋" w:hAnsi="仿宋" w:eastAsia="仿宋" w:cs="仿宋"/>
                <w:snapToGrid w:val="0"/>
                <w:color w:val="auto"/>
                <w:kern w:val="2"/>
                <w:szCs w:val="21"/>
              </w:rPr>
            </w:pPr>
          </w:p>
        </w:tc>
        <w:tc>
          <w:tcPr>
            <w:tcW w:w="1135" w:type="dxa"/>
          </w:tcPr>
          <w:p>
            <w:pPr>
              <w:snapToGrid w:val="0"/>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7" w:type="dxa"/>
          </w:tcPr>
          <w:p>
            <w:pPr>
              <w:snapToGrid w:val="0"/>
              <w:rPr>
                <w:rFonts w:hint="eastAsia" w:ascii="仿宋" w:hAnsi="仿宋" w:eastAsia="仿宋" w:cs="仿宋"/>
                <w:snapToGrid w:val="0"/>
                <w:color w:val="auto"/>
                <w:kern w:val="2"/>
                <w:szCs w:val="21"/>
              </w:rPr>
            </w:pPr>
          </w:p>
        </w:tc>
        <w:tc>
          <w:tcPr>
            <w:tcW w:w="1246" w:type="dxa"/>
          </w:tcPr>
          <w:p>
            <w:pPr>
              <w:snapToGrid w:val="0"/>
              <w:rPr>
                <w:rFonts w:hint="eastAsia" w:ascii="仿宋" w:hAnsi="仿宋" w:eastAsia="仿宋" w:cs="仿宋"/>
                <w:snapToGrid w:val="0"/>
                <w:color w:val="auto"/>
                <w:kern w:val="2"/>
                <w:szCs w:val="21"/>
              </w:rPr>
            </w:pPr>
          </w:p>
        </w:tc>
        <w:tc>
          <w:tcPr>
            <w:tcW w:w="836" w:type="dxa"/>
          </w:tcPr>
          <w:p>
            <w:pPr>
              <w:snapToGrid w:val="0"/>
              <w:rPr>
                <w:rFonts w:hint="eastAsia" w:ascii="仿宋" w:hAnsi="仿宋" w:eastAsia="仿宋" w:cs="仿宋"/>
                <w:snapToGrid w:val="0"/>
                <w:color w:val="auto"/>
                <w:kern w:val="2"/>
                <w:szCs w:val="21"/>
              </w:rPr>
            </w:pPr>
          </w:p>
        </w:tc>
        <w:tc>
          <w:tcPr>
            <w:tcW w:w="858" w:type="dxa"/>
          </w:tcPr>
          <w:p>
            <w:pPr>
              <w:snapToGrid w:val="0"/>
              <w:rPr>
                <w:rFonts w:hint="eastAsia" w:ascii="仿宋" w:hAnsi="仿宋" w:eastAsia="仿宋" w:cs="仿宋"/>
                <w:snapToGrid w:val="0"/>
                <w:color w:val="auto"/>
                <w:kern w:val="2"/>
                <w:szCs w:val="21"/>
              </w:rPr>
            </w:pPr>
          </w:p>
        </w:tc>
        <w:tc>
          <w:tcPr>
            <w:tcW w:w="858" w:type="dxa"/>
          </w:tcPr>
          <w:p>
            <w:pPr>
              <w:snapToGrid w:val="0"/>
              <w:rPr>
                <w:rFonts w:hint="eastAsia" w:ascii="仿宋" w:hAnsi="仿宋" w:eastAsia="仿宋" w:cs="仿宋"/>
                <w:snapToGrid w:val="0"/>
                <w:color w:val="auto"/>
                <w:kern w:val="2"/>
                <w:szCs w:val="21"/>
              </w:rPr>
            </w:pPr>
          </w:p>
        </w:tc>
        <w:tc>
          <w:tcPr>
            <w:tcW w:w="1137" w:type="dxa"/>
          </w:tcPr>
          <w:p>
            <w:pPr>
              <w:snapToGrid w:val="0"/>
              <w:rPr>
                <w:rFonts w:hint="eastAsia" w:ascii="仿宋" w:hAnsi="仿宋" w:eastAsia="仿宋" w:cs="仿宋"/>
                <w:snapToGrid w:val="0"/>
                <w:color w:val="auto"/>
                <w:kern w:val="2"/>
                <w:szCs w:val="21"/>
              </w:rPr>
            </w:pPr>
          </w:p>
        </w:tc>
        <w:tc>
          <w:tcPr>
            <w:tcW w:w="1327" w:type="dxa"/>
          </w:tcPr>
          <w:p>
            <w:pPr>
              <w:snapToGrid w:val="0"/>
              <w:rPr>
                <w:rFonts w:hint="eastAsia" w:ascii="仿宋" w:hAnsi="仿宋" w:eastAsia="仿宋" w:cs="仿宋"/>
                <w:snapToGrid w:val="0"/>
                <w:color w:val="auto"/>
                <w:kern w:val="2"/>
                <w:szCs w:val="21"/>
              </w:rPr>
            </w:pPr>
          </w:p>
        </w:tc>
        <w:tc>
          <w:tcPr>
            <w:tcW w:w="1024" w:type="dxa"/>
          </w:tcPr>
          <w:p>
            <w:pPr>
              <w:snapToGrid w:val="0"/>
              <w:rPr>
                <w:rFonts w:hint="eastAsia" w:ascii="仿宋" w:hAnsi="仿宋" w:eastAsia="仿宋" w:cs="仿宋"/>
                <w:snapToGrid w:val="0"/>
                <w:color w:val="auto"/>
                <w:kern w:val="2"/>
                <w:szCs w:val="21"/>
              </w:rPr>
            </w:pPr>
          </w:p>
        </w:tc>
        <w:tc>
          <w:tcPr>
            <w:tcW w:w="1137" w:type="dxa"/>
          </w:tcPr>
          <w:p>
            <w:pPr>
              <w:snapToGrid w:val="0"/>
              <w:rPr>
                <w:rFonts w:hint="eastAsia" w:ascii="仿宋" w:hAnsi="仿宋" w:eastAsia="仿宋" w:cs="仿宋"/>
                <w:snapToGrid w:val="0"/>
                <w:color w:val="auto"/>
                <w:kern w:val="2"/>
                <w:szCs w:val="21"/>
              </w:rPr>
            </w:pPr>
          </w:p>
        </w:tc>
        <w:tc>
          <w:tcPr>
            <w:tcW w:w="1135" w:type="dxa"/>
          </w:tcPr>
          <w:p>
            <w:pPr>
              <w:snapToGrid w:val="0"/>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7" w:type="dxa"/>
          </w:tcPr>
          <w:p>
            <w:pPr>
              <w:snapToGrid w:val="0"/>
              <w:rPr>
                <w:rFonts w:hint="eastAsia" w:ascii="仿宋" w:hAnsi="仿宋" w:eastAsia="仿宋" w:cs="仿宋"/>
                <w:snapToGrid w:val="0"/>
                <w:color w:val="auto"/>
                <w:kern w:val="2"/>
                <w:szCs w:val="21"/>
              </w:rPr>
            </w:pPr>
          </w:p>
        </w:tc>
        <w:tc>
          <w:tcPr>
            <w:tcW w:w="1246" w:type="dxa"/>
          </w:tcPr>
          <w:p>
            <w:pPr>
              <w:snapToGrid w:val="0"/>
              <w:rPr>
                <w:rFonts w:hint="eastAsia" w:ascii="仿宋" w:hAnsi="仿宋" w:eastAsia="仿宋" w:cs="仿宋"/>
                <w:snapToGrid w:val="0"/>
                <w:color w:val="auto"/>
                <w:kern w:val="2"/>
                <w:szCs w:val="21"/>
              </w:rPr>
            </w:pPr>
          </w:p>
        </w:tc>
        <w:tc>
          <w:tcPr>
            <w:tcW w:w="836" w:type="dxa"/>
          </w:tcPr>
          <w:p>
            <w:pPr>
              <w:snapToGrid w:val="0"/>
              <w:rPr>
                <w:rFonts w:hint="eastAsia" w:ascii="仿宋" w:hAnsi="仿宋" w:eastAsia="仿宋" w:cs="仿宋"/>
                <w:snapToGrid w:val="0"/>
                <w:color w:val="auto"/>
                <w:kern w:val="2"/>
                <w:szCs w:val="21"/>
              </w:rPr>
            </w:pPr>
          </w:p>
        </w:tc>
        <w:tc>
          <w:tcPr>
            <w:tcW w:w="858" w:type="dxa"/>
          </w:tcPr>
          <w:p>
            <w:pPr>
              <w:snapToGrid w:val="0"/>
              <w:rPr>
                <w:rFonts w:hint="eastAsia" w:ascii="仿宋" w:hAnsi="仿宋" w:eastAsia="仿宋" w:cs="仿宋"/>
                <w:snapToGrid w:val="0"/>
                <w:color w:val="auto"/>
                <w:kern w:val="2"/>
                <w:szCs w:val="21"/>
              </w:rPr>
            </w:pPr>
          </w:p>
        </w:tc>
        <w:tc>
          <w:tcPr>
            <w:tcW w:w="858" w:type="dxa"/>
          </w:tcPr>
          <w:p>
            <w:pPr>
              <w:snapToGrid w:val="0"/>
              <w:rPr>
                <w:rFonts w:hint="eastAsia" w:ascii="仿宋" w:hAnsi="仿宋" w:eastAsia="仿宋" w:cs="仿宋"/>
                <w:snapToGrid w:val="0"/>
                <w:color w:val="auto"/>
                <w:kern w:val="2"/>
                <w:szCs w:val="21"/>
              </w:rPr>
            </w:pPr>
          </w:p>
        </w:tc>
        <w:tc>
          <w:tcPr>
            <w:tcW w:w="1137" w:type="dxa"/>
          </w:tcPr>
          <w:p>
            <w:pPr>
              <w:snapToGrid w:val="0"/>
              <w:rPr>
                <w:rFonts w:hint="eastAsia" w:ascii="仿宋" w:hAnsi="仿宋" w:eastAsia="仿宋" w:cs="仿宋"/>
                <w:snapToGrid w:val="0"/>
                <w:color w:val="auto"/>
                <w:kern w:val="2"/>
                <w:szCs w:val="21"/>
              </w:rPr>
            </w:pPr>
          </w:p>
        </w:tc>
        <w:tc>
          <w:tcPr>
            <w:tcW w:w="1327" w:type="dxa"/>
          </w:tcPr>
          <w:p>
            <w:pPr>
              <w:snapToGrid w:val="0"/>
              <w:rPr>
                <w:rFonts w:hint="eastAsia" w:ascii="仿宋" w:hAnsi="仿宋" w:eastAsia="仿宋" w:cs="仿宋"/>
                <w:snapToGrid w:val="0"/>
                <w:color w:val="auto"/>
                <w:kern w:val="2"/>
                <w:szCs w:val="21"/>
              </w:rPr>
            </w:pPr>
          </w:p>
        </w:tc>
        <w:tc>
          <w:tcPr>
            <w:tcW w:w="1024" w:type="dxa"/>
          </w:tcPr>
          <w:p>
            <w:pPr>
              <w:snapToGrid w:val="0"/>
              <w:rPr>
                <w:rFonts w:hint="eastAsia" w:ascii="仿宋" w:hAnsi="仿宋" w:eastAsia="仿宋" w:cs="仿宋"/>
                <w:snapToGrid w:val="0"/>
                <w:color w:val="auto"/>
                <w:kern w:val="2"/>
                <w:szCs w:val="21"/>
              </w:rPr>
            </w:pPr>
          </w:p>
        </w:tc>
        <w:tc>
          <w:tcPr>
            <w:tcW w:w="1137" w:type="dxa"/>
          </w:tcPr>
          <w:p>
            <w:pPr>
              <w:snapToGrid w:val="0"/>
              <w:rPr>
                <w:rFonts w:hint="eastAsia" w:ascii="仿宋" w:hAnsi="仿宋" w:eastAsia="仿宋" w:cs="仿宋"/>
                <w:snapToGrid w:val="0"/>
                <w:color w:val="auto"/>
                <w:kern w:val="2"/>
                <w:szCs w:val="21"/>
              </w:rPr>
            </w:pPr>
          </w:p>
        </w:tc>
        <w:tc>
          <w:tcPr>
            <w:tcW w:w="1135" w:type="dxa"/>
          </w:tcPr>
          <w:p>
            <w:pPr>
              <w:snapToGrid w:val="0"/>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7" w:type="dxa"/>
          </w:tcPr>
          <w:p>
            <w:pPr>
              <w:snapToGrid w:val="0"/>
              <w:rPr>
                <w:rFonts w:hint="eastAsia" w:ascii="仿宋" w:hAnsi="仿宋" w:eastAsia="仿宋" w:cs="仿宋"/>
                <w:snapToGrid w:val="0"/>
                <w:color w:val="auto"/>
                <w:kern w:val="2"/>
                <w:szCs w:val="21"/>
              </w:rPr>
            </w:pPr>
          </w:p>
        </w:tc>
        <w:tc>
          <w:tcPr>
            <w:tcW w:w="1246" w:type="dxa"/>
          </w:tcPr>
          <w:p>
            <w:pPr>
              <w:snapToGrid w:val="0"/>
              <w:rPr>
                <w:rFonts w:hint="eastAsia" w:ascii="仿宋" w:hAnsi="仿宋" w:eastAsia="仿宋" w:cs="仿宋"/>
                <w:snapToGrid w:val="0"/>
                <w:color w:val="auto"/>
                <w:kern w:val="2"/>
                <w:szCs w:val="21"/>
              </w:rPr>
            </w:pPr>
          </w:p>
        </w:tc>
        <w:tc>
          <w:tcPr>
            <w:tcW w:w="836" w:type="dxa"/>
          </w:tcPr>
          <w:p>
            <w:pPr>
              <w:snapToGrid w:val="0"/>
              <w:rPr>
                <w:rFonts w:hint="eastAsia" w:ascii="仿宋" w:hAnsi="仿宋" w:eastAsia="仿宋" w:cs="仿宋"/>
                <w:snapToGrid w:val="0"/>
                <w:color w:val="auto"/>
                <w:kern w:val="2"/>
                <w:szCs w:val="21"/>
              </w:rPr>
            </w:pPr>
          </w:p>
        </w:tc>
        <w:tc>
          <w:tcPr>
            <w:tcW w:w="858" w:type="dxa"/>
          </w:tcPr>
          <w:p>
            <w:pPr>
              <w:snapToGrid w:val="0"/>
              <w:rPr>
                <w:rFonts w:hint="eastAsia" w:ascii="仿宋" w:hAnsi="仿宋" w:eastAsia="仿宋" w:cs="仿宋"/>
                <w:snapToGrid w:val="0"/>
                <w:color w:val="auto"/>
                <w:kern w:val="2"/>
                <w:szCs w:val="21"/>
              </w:rPr>
            </w:pPr>
          </w:p>
        </w:tc>
        <w:tc>
          <w:tcPr>
            <w:tcW w:w="858" w:type="dxa"/>
          </w:tcPr>
          <w:p>
            <w:pPr>
              <w:snapToGrid w:val="0"/>
              <w:rPr>
                <w:rFonts w:hint="eastAsia" w:ascii="仿宋" w:hAnsi="仿宋" w:eastAsia="仿宋" w:cs="仿宋"/>
                <w:snapToGrid w:val="0"/>
                <w:color w:val="auto"/>
                <w:kern w:val="2"/>
                <w:szCs w:val="21"/>
              </w:rPr>
            </w:pPr>
          </w:p>
        </w:tc>
        <w:tc>
          <w:tcPr>
            <w:tcW w:w="1137" w:type="dxa"/>
          </w:tcPr>
          <w:p>
            <w:pPr>
              <w:snapToGrid w:val="0"/>
              <w:rPr>
                <w:rFonts w:hint="eastAsia" w:ascii="仿宋" w:hAnsi="仿宋" w:eastAsia="仿宋" w:cs="仿宋"/>
                <w:snapToGrid w:val="0"/>
                <w:color w:val="auto"/>
                <w:kern w:val="2"/>
                <w:szCs w:val="21"/>
              </w:rPr>
            </w:pPr>
          </w:p>
        </w:tc>
        <w:tc>
          <w:tcPr>
            <w:tcW w:w="1327" w:type="dxa"/>
          </w:tcPr>
          <w:p>
            <w:pPr>
              <w:snapToGrid w:val="0"/>
              <w:rPr>
                <w:rFonts w:hint="eastAsia" w:ascii="仿宋" w:hAnsi="仿宋" w:eastAsia="仿宋" w:cs="仿宋"/>
                <w:snapToGrid w:val="0"/>
                <w:color w:val="auto"/>
                <w:kern w:val="2"/>
                <w:szCs w:val="21"/>
              </w:rPr>
            </w:pPr>
          </w:p>
        </w:tc>
        <w:tc>
          <w:tcPr>
            <w:tcW w:w="1024" w:type="dxa"/>
          </w:tcPr>
          <w:p>
            <w:pPr>
              <w:snapToGrid w:val="0"/>
              <w:rPr>
                <w:rFonts w:hint="eastAsia" w:ascii="仿宋" w:hAnsi="仿宋" w:eastAsia="仿宋" w:cs="仿宋"/>
                <w:snapToGrid w:val="0"/>
                <w:color w:val="auto"/>
                <w:kern w:val="2"/>
                <w:szCs w:val="21"/>
              </w:rPr>
            </w:pPr>
          </w:p>
        </w:tc>
        <w:tc>
          <w:tcPr>
            <w:tcW w:w="1137" w:type="dxa"/>
          </w:tcPr>
          <w:p>
            <w:pPr>
              <w:snapToGrid w:val="0"/>
              <w:rPr>
                <w:rFonts w:hint="eastAsia" w:ascii="仿宋" w:hAnsi="仿宋" w:eastAsia="仿宋" w:cs="仿宋"/>
                <w:snapToGrid w:val="0"/>
                <w:color w:val="auto"/>
                <w:kern w:val="2"/>
                <w:szCs w:val="21"/>
              </w:rPr>
            </w:pPr>
          </w:p>
        </w:tc>
        <w:tc>
          <w:tcPr>
            <w:tcW w:w="1135" w:type="dxa"/>
          </w:tcPr>
          <w:p>
            <w:pPr>
              <w:snapToGrid w:val="0"/>
              <w:rPr>
                <w:rFonts w:hint="eastAsia" w:ascii="仿宋" w:hAnsi="仿宋" w:eastAsia="仿宋" w:cs="仿宋"/>
                <w:snapToGrid w:val="0"/>
                <w:color w:val="auto"/>
                <w:kern w:val="2"/>
                <w:szCs w:val="21"/>
              </w:rPr>
            </w:pPr>
          </w:p>
        </w:tc>
      </w:tr>
    </w:tbl>
    <w:p>
      <w:pPr>
        <w:pStyle w:val="8"/>
        <w:rPr>
          <w:rFonts w:hint="eastAsia" w:ascii="仿宋" w:hAnsi="仿宋" w:eastAsia="仿宋" w:cs="仿宋"/>
          <w:color w:val="auto"/>
          <w:szCs w:val="24"/>
        </w:rPr>
      </w:pPr>
    </w:p>
    <w:p>
      <w:pPr>
        <w:pStyle w:val="5"/>
        <w:rPr>
          <w:rFonts w:hint="eastAsia" w:ascii="仿宋" w:hAnsi="仿宋" w:eastAsia="仿宋" w:cs="仿宋"/>
          <w:color w:val="auto"/>
        </w:rPr>
      </w:pPr>
    </w:p>
    <w:p>
      <w:pPr>
        <w:pStyle w:val="8"/>
        <w:rPr>
          <w:rFonts w:hint="eastAsia" w:ascii="仿宋" w:hAnsi="仿宋" w:eastAsia="仿宋" w:cs="仿宋"/>
          <w:color w:val="auto"/>
          <w:szCs w:val="24"/>
        </w:rPr>
      </w:pPr>
      <w:r>
        <w:rPr>
          <w:rFonts w:hint="eastAsia" w:ascii="仿宋" w:hAnsi="仿宋" w:eastAsia="仿宋" w:cs="仿宋"/>
          <w:color w:val="auto"/>
          <w:szCs w:val="24"/>
        </w:rPr>
        <w:t>附件二</w:t>
      </w:r>
    </w:p>
    <w:p>
      <w:pPr>
        <w:pStyle w:val="8"/>
        <w:jc w:val="center"/>
        <w:rPr>
          <w:rFonts w:hint="eastAsia" w:ascii="仿宋" w:hAnsi="仿宋" w:eastAsia="仿宋" w:cs="仿宋"/>
          <w:color w:val="auto"/>
          <w:sz w:val="28"/>
          <w:szCs w:val="28"/>
        </w:rPr>
      </w:pPr>
      <w:r>
        <w:rPr>
          <w:rFonts w:hint="eastAsia" w:ascii="仿宋" w:hAnsi="仿宋" w:eastAsia="仿宋" w:cs="仿宋"/>
          <w:color w:val="auto"/>
          <w:sz w:val="28"/>
          <w:szCs w:val="28"/>
        </w:rPr>
        <w:t>拟投入本标段的试验和检测仪器设备表</w:t>
      </w:r>
    </w:p>
    <w:tbl>
      <w:tblPr>
        <w:tblStyle w:val="25"/>
        <w:tblW w:w="1035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996"/>
        <w:gridCol w:w="841"/>
        <w:gridCol w:w="863"/>
        <w:gridCol w:w="863"/>
        <w:gridCol w:w="1139"/>
        <w:gridCol w:w="1265"/>
        <w:gridCol w:w="1027"/>
        <w:gridCol w:w="15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snapToGrid w:val="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序号</w:t>
            </w:r>
          </w:p>
        </w:tc>
        <w:tc>
          <w:tcPr>
            <w:tcW w:w="1996" w:type="dxa"/>
            <w:vAlign w:val="center"/>
          </w:tcPr>
          <w:p>
            <w:pPr>
              <w:snapToGrid w:val="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仪器设备名称</w:t>
            </w:r>
          </w:p>
        </w:tc>
        <w:tc>
          <w:tcPr>
            <w:tcW w:w="841" w:type="dxa"/>
            <w:vAlign w:val="center"/>
          </w:tcPr>
          <w:p>
            <w:pPr>
              <w:snapToGrid w:val="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型号</w:t>
            </w:r>
          </w:p>
          <w:p>
            <w:pPr>
              <w:snapToGrid w:val="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规格</w:t>
            </w:r>
          </w:p>
        </w:tc>
        <w:tc>
          <w:tcPr>
            <w:tcW w:w="863" w:type="dxa"/>
            <w:vAlign w:val="center"/>
          </w:tcPr>
          <w:p>
            <w:pPr>
              <w:snapToGrid w:val="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数量</w:t>
            </w:r>
          </w:p>
        </w:tc>
        <w:tc>
          <w:tcPr>
            <w:tcW w:w="863" w:type="dxa"/>
            <w:vAlign w:val="center"/>
          </w:tcPr>
          <w:p>
            <w:pPr>
              <w:snapToGrid w:val="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国别</w:t>
            </w:r>
          </w:p>
          <w:p>
            <w:pPr>
              <w:snapToGrid w:val="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产地</w:t>
            </w:r>
          </w:p>
        </w:tc>
        <w:tc>
          <w:tcPr>
            <w:tcW w:w="1139" w:type="dxa"/>
            <w:vAlign w:val="center"/>
          </w:tcPr>
          <w:p>
            <w:pPr>
              <w:snapToGrid w:val="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制造</w:t>
            </w:r>
          </w:p>
          <w:p>
            <w:pPr>
              <w:snapToGrid w:val="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年份</w:t>
            </w:r>
          </w:p>
        </w:tc>
        <w:tc>
          <w:tcPr>
            <w:tcW w:w="1265" w:type="dxa"/>
            <w:vAlign w:val="center"/>
          </w:tcPr>
          <w:p>
            <w:pPr>
              <w:snapToGrid w:val="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已使用</w:t>
            </w:r>
          </w:p>
          <w:p>
            <w:pPr>
              <w:snapToGrid w:val="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台时数</w:t>
            </w:r>
          </w:p>
        </w:tc>
        <w:tc>
          <w:tcPr>
            <w:tcW w:w="1027" w:type="dxa"/>
            <w:vAlign w:val="center"/>
          </w:tcPr>
          <w:p>
            <w:pPr>
              <w:snapToGrid w:val="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用途</w:t>
            </w:r>
          </w:p>
        </w:tc>
        <w:tc>
          <w:tcPr>
            <w:tcW w:w="1597" w:type="dxa"/>
            <w:vAlign w:val="center"/>
          </w:tcPr>
          <w:p>
            <w:pPr>
              <w:snapToGrid w:val="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63" w:type="dxa"/>
          </w:tcPr>
          <w:p>
            <w:pPr>
              <w:snapToGrid w:val="0"/>
              <w:rPr>
                <w:rFonts w:hint="eastAsia" w:ascii="仿宋" w:hAnsi="仿宋" w:eastAsia="仿宋" w:cs="仿宋"/>
                <w:snapToGrid w:val="0"/>
                <w:color w:val="auto"/>
                <w:kern w:val="2"/>
                <w:szCs w:val="21"/>
              </w:rPr>
            </w:pPr>
          </w:p>
        </w:tc>
        <w:tc>
          <w:tcPr>
            <w:tcW w:w="1996" w:type="dxa"/>
          </w:tcPr>
          <w:p>
            <w:pPr>
              <w:snapToGrid w:val="0"/>
              <w:ind w:firstLine="480" w:firstLineChars="200"/>
              <w:rPr>
                <w:rFonts w:hint="eastAsia" w:ascii="仿宋" w:hAnsi="仿宋" w:eastAsia="仿宋" w:cs="仿宋"/>
                <w:snapToGrid w:val="0"/>
                <w:color w:val="auto"/>
                <w:kern w:val="2"/>
                <w:szCs w:val="21"/>
              </w:rPr>
            </w:pPr>
          </w:p>
        </w:tc>
        <w:tc>
          <w:tcPr>
            <w:tcW w:w="841" w:type="dxa"/>
          </w:tcPr>
          <w:p>
            <w:pPr>
              <w:snapToGrid w:val="0"/>
              <w:rPr>
                <w:rFonts w:hint="eastAsia" w:ascii="仿宋" w:hAnsi="仿宋" w:eastAsia="仿宋" w:cs="仿宋"/>
                <w:snapToGrid w:val="0"/>
                <w:color w:val="auto"/>
                <w:kern w:val="2"/>
                <w:szCs w:val="21"/>
              </w:rPr>
            </w:pPr>
          </w:p>
        </w:tc>
        <w:tc>
          <w:tcPr>
            <w:tcW w:w="863" w:type="dxa"/>
          </w:tcPr>
          <w:p>
            <w:pPr>
              <w:snapToGrid w:val="0"/>
              <w:rPr>
                <w:rFonts w:hint="eastAsia" w:ascii="仿宋" w:hAnsi="仿宋" w:eastAsia="仿宋" w:cs="仿宋"/>
                <w:snapToGrid w:val="0"/>
                <w:color w:val="auto"/>
                <w:kern w:val="2"/>
                <w:szCs w:val="21"/>
              </w:rPr>
            </w:pPr>
          </w:p>
        </w:tc>
        <w:tc>
          <w:tcPr>
            <w:tcW w:w="863" w:type="dxa"/>
          </w:tcPr>
          <w:p>
            <w:pPr>
              <w:snapToGrid w:val="0"/>
              <w:rPr>
                <w:rFonts w:hint="eastAsia" w:ascii="仿宋" w:hAnsi="仿宋" w:eastAsia="仿宋" w:cs="仿宋"/>
                <w:snapToGrid w:val="0"/>
                <w:color w:val="auto"/>
                <w:kern w:val="2"/>
                <w:szCs w:val="21"/>
              </w:rPr>
            </w:pPr>
          </w:p>
        </w:tc>
        <w:tc>
          <w:tcPr>
            <w:tcW w:w="1139" w:type="dxa"/>
          </w:tcPr>
          <w:p>
            <w:pPr>
              <w:snapToGrid w:val="0"/>
              <w:rPr>
                <w:rFonts w:hint="eastAsia" w:ascii="仿宋" w:hAnsi="仿宋" w:eastAsia="仿宋" w:cs="仿宋"/>
                <w:snapToGrid w:val="0"/>
                <w:color w:val="auto"/>
                <w:kern w:val="2"/>
                <w:szCs w:val="21"/>
              </w:rPr>
            </w:pPr>
          </w:p>
        </w:tc>
        <w:tc>
          <w:tcPr>
            <w:tcW w:w="1265" w:type="dxa"/>
          </w:tcPr>
          <w:p>
            <w:pPr>
              <w:snapToGrid w:val="0"/>
              <w:rPr>
                <w:rFonts w:hint="eastAsia" w:ascii="仿宋" w:hAnsi="仿宋" w:eastAsia="仿宋" w:cs="仿宋"/>
                <w:snapToGrid w:val="0"/>
                <w:color w:val="auto"/>
                <w:kern w:val="2"/>
                <w:szCs w:val="21"/>
              </w:rPr>
            </w:pPr>
          </w:p>
        </w:tc>
        <w:tc>
          <w:tcPr>
            <w:tcW w:w="1027" w:type="dxa"/>
          </w:tcPr>
          <w:p>
            <w:pPr>
              <w:snapToGrid w:val="0"/>
              <w:rPr>
                <w:rFonts w:hint="eastAsia" w:ascii="仿宋" w:hAnsi="仿宋" w:eastAsia="仿宋" w:cs="仿宋"/>
                <w:snapToGrid w:val="0"/>
                <w:color w:val="auto"/>
                <w:kern w:val="2"/>
                <w:szCs w:val="21"/>
              </w:rPr>
            </w:pPr>
          </w:p>
        </w:tc>
        <w:tc>
          <w:tcPr>
            <w:tcW w:w="1597" w:type="dxa"/>
          </w:tcPr>
          <w:p>
            <w:pPr>
              <w:snapToGrid w:val="0"/>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63" w:type="dxa"/>
          </w:tcPr>
          <w:p>
            <w:pPr>
              <w:snapToGrid w:val="0"/>
              <w:rPr>
                <w:rFonts w:hint="eastAsia" w:ascii="仿宋" w:hAnsi="仿宋" w:eastAsia="仿宋" w:cs="仿宋"/>
                <w:snapToGrid w:val="0"/>
                <w:color w:val="auto"/>
                <w:kern w:val="2"/>
                <w:szCs w:val="21"/>
              </w:rPr>
            </w:pPr>
          </w:p>
        </w:tc>
        <w:tc>
          <w:tcPr>
            <w:tcW w:w="1996" w:type="dxa"/>
          </w:tcPr>
          <w:p>
            <w:pPr>
              <w:snapToGrid w:val="0"/>
              <w:rPr>
                <w:rFonts w:hint="eastAsia" w:ascii="仿宋" w:hAnsi="仿宋" w:eastAsia="仿宋" w:cs="仿宋"/>
                <w:snapToGrid w:val="0"/>
                <w:color w:val="auto"/>
                <w:kern w:val="2"/>
                <w:szCs w:val="21"/>
              </w:rPr>
            </w:pPr>
          </w:p>
        </w:tc>
        <w:tc>
          <w:tcPr>
            <w:tcW w:w="841" w:type="dxa"/>
          </w:tcPr>
          <w:p>
            <w:pPr>
              <w:snapToGrid w:val="0"/>
              <w:rPr>
                <w:rFonts w:hint="eastAsia" w:ascii="仿宋" w:hAnsi="仿宋" w:eastAsia="仿宋" w:cs="仿宋"/>
                <w:snapToGrid w:val="0"/>
                <w:color w:val="auto"/>
                <w:kern w:val="2"/>
                <w:szCs w:val="21"/>
              </w:rPr>
            </w:pPr>
          </w:p>
        </w:tc>
        <w:tc>
          <w:tcPr>
            <w:tcW w:w="863" w:type="dxa"/>
          </w:tcPr>
          <w:p>
            <w:pPr>
              <w:snapToGrid w:val="0"/>
              <w:rPr>
                <w:rFonts w:hint="eastAsia" w:ascii="仿宋" w:hAnsi="仿宋" w:eastAsia="仿宋" w:cs="仿宋"/>
                <w:snapToGrid w:val="0"/>
                <w:color w:val="auto"/>
                <w:kern w:val="2"/>
                <w:szCs w:val="21"/>
              </w:rPr>
            </w:pPr>
          </w:p>
        </w:tc>
        <w:tc>
          <w:tcPr>
            <w:tcW w:w="863" w:type="dxa"/>
          </w:tcPr>
          <w:p>
            <w:pPr>
              <w:snapToGrid w:val="0"/>
              <w:rPr>
                <w:rFonts w:hint="eastAsia" w:ascii="仿宋" w:hAnsi="仿宋" w:eastAsia="仿宋" w:cs="仿宋"/>
                <w:snapToGrid w:val="0"/>
                <w:color w:val="auto"/>
                <w:kern w:val="2"/>
                <w:szCs w:val="21"/>
              </w:rPr>
            </w:pPr>
          </w:p>
        </w:tc>
        <w:tc>
          <w:tcPr>
            <w:tcW w:w="1139" w:type="dxa"/>
          </w:tcPr>
          <w:p>
            <w:pPr>
              <w:snapToGrid w:val="0"/>
              <w:rPr>
                <w:rFonts w:hint="eastAsia" w:ascii="仿宋" w:hAnsi="仿宋" w:eastAsia="仿宋" w:cs="仿宋"/>
                <w:snapToGrid w:val="0"/>
                <w:color w:val="auto"/>
                <w:kern w:val="2"/>
                <w:szCs w:val="21"/>
              </w:rPr>
            </w:pPr>
          </w:p>
        </w:tc>
        <w:tc>
          <w:tcPr>
            <w:tcW w:w="1265" w:type="dxa"/>
          </w:tcPr>
          <w:p>
            <w:pPr>
              <w:snapToGrid w:val="0"/>
              <w:rPr>
                <w:rFonts w:hint="eastAsia" w:ascii="仿宋" w:hAnsi="仿宋" w:eastAsia="仿宋" w:cs="仿宋"/>
                <w:snapToGrid w:val="0"/>
                <w:color w:val="auto"/>
                <w:kern w:val="2"/>
                <w:szCs w:val="21"/>
              </w:rPr>
            </w:pPr>
          </w:p>
        </w:tc>
        <w:tc>
          <w:tcPr>
            <w:tcW w:w="1027" w:type="dxa"/>
          </w:tcPr>
          <w:p>
            <w:pPr>
              <w:snapToGrid w:val="0"/>
              <w:rPr>
                <w:rFonts w:hint="eastAsia" w:ascii="仿宋" w:hAnsi="仿宋" w:eastAsia="仿宋" w:cs="仿宋"/>
                <w:snapToGrid w:val="0"/>
                <w:color w:val="auto"/>
                <w:kern w:val="2"/>
                <w:szCs w:val="21"/>
              </w:rPr>
            </w:pPr>
          </w:p>
        </w:tc>
        <w:tc>
          <w:tcPr>
            <w:tcW w:w="1597" w:type="dxa"/>
          </w:tcPr>
          <w:p>
            <w:pPr>
              <w:snapToGrid w:val="0"/>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63" w:type="dxa"/>
          </w:tcPr>
          <w:p>
            <w:pPr>
              <w:snapToGrid w:val="0"/>
              <w:rPr>
                <w:rFonts w:hint="eastAsia" w:ascii="仿宋" w:hAnsi="仿宋" w:eastAsia="仿宋" w:cs="仿宋"/>
                <w:snapToGrid w:val="0"/>
                <w:color w:val="auto"/>
                <w:kern w:val="2"/>
                <w:szCs w:val="21"/>
              </w:rPr>
            </w:pPr>
          </w:p>
        </w:tc>
        <w:tc>
          <w:tcPr>
            <w:tcW w:w="1996" w:type="dxa"/>
          </w:tcPr>
          <w:p>
            <w:pPr>
              <w:snapToGrid w:val="0"/>
              <w:rPr>
                <w:rFonts w:hint="eastAsia" w:ascii="仿宋" w:hAnsi="仿宋" w:eastAsia="仿宋" w:cs="仿宋"/>
                <w:snapToGrid w:val="0"/>
                <w:color w:val="auto"/>
                <w:kern w:val="2"/>
                <w:szCs w:val="21"/>
              </w:rPr>
            </w:pPr>
          </w:p>
        </w:tc>
        <w:tc>
          <w:tcPr>
            <w:tcW w:w="841" w:type="dxa"/>
          </w:tcPr>
          <w:p>
            <w:pPr>
              <w:snapToGrid w:val="0"/>
              <w:rPr>
                <w:rFonts w:hint="eastAsia" w:ascii="仿宋" w:hAnsi="仿宋" w:eastAsia="仿宋" w:cs="仿宋"/>
                <w:snapToGrid w:val="0"/>
                <w:color w:val="auto"/>
                <w:kern w:val="2"/>
                <w:szCs w:val="21"/>
              </w:rPr>
            </w:pPr>
          </w:p>
        </w:tc>
        <w:tc>
          <w:tcPr>
            <w:tcW w:w="863" w:type="dxa"/>
          </w:tcPr>
          <w:p>
            <w:pPr>
              <w:snapToGrid w:val="0"/>
              <w:rPr>
                <w:rFonts w:hint="eastAsia" w:ascii="仿宋" w:hAnsi="仿宋" w:eastAsia="仿宋" w:cs="仿宋"/>
                <w:snapToGrid w:val="0"/>
                <w:color w:val="auto"/>
                <w:kern w:val="2"/>
                <w:szCs w:val="21"/>
              </w:rPr>
            </w:pPr>
          </w:p>
        </w:tc>
        <w:tc>
          <w:tcPr>
            <w:tcW w:w="863" w:type="dxa"/>
          </w:tcPr>
          <w:p>
            <w:pPr>
              <w:snapToGrid w:val="0"/>
              <w:rPr>
                <w:rFonts w:hint="eastAsia" w:ascii="仿宋" w:hAnsi="仿宋" w:eastAsia="仿宋" w:cs="仿宋"/>
                <w:snapToGrid w:val="0"/>
                <w:color w:val="auto"/>
                <w:kern w:val="2"/>
                <w:szCs w:val="21"/>
              </w:rPr>
            </w:pPr>
          </w:p>
        </w:tc>
        <w:tc>
          <w:tcPr>
            <w:tcW w:w="1139" w:type="dxa"/>
          </w:tcPr>
          <w:p>
            <w:pPr>
              <w:snapToGrid w:val="0"/>
              <w:rPr>
                <w:rFonts w:hint="eastAsia" w:ascii="仿宋" w:hAnsi="仿宋" w:eastAsia="仿宋" w:cs="仿宋"/>
                <w:snapToGrid w:val="0"/>
                <w:color w:val="auto"/>
                <w:kern w:val="2"/>
                <w:szCs w:val="21"/>
              </w:rPr>
            </w:pPr>
          </w:p>
        </w:tc>
        <w:tc>
          <w:tcPr>
            <w:tcW w:w="1265" w:type="dxa"/>
          </w:tcPr>
          <w:p>
            <w:pPr>
              <w:snapToGrid w:val="0"/>
              <w:rPr>
                <w:rFonts w:hint="eastAsia" w:ascii="仿宋" w:hAnsi="仿宋" w:eastAsia="仿宋" w:cs="仿宋"/>
                <w:snapToGrid w:val="0"/>
                <w:color w:val="auto"/>
                <w:kern w:val="2"/>
                <w:szCs w:val="21"/>
              </w:rPr>
            </w:pPr>
          </w:p>
        </w:tc>
        <w:tc>
          <w:tcPr>
            <w:tcW w:w="1027" w:type="dxa"/>
          </w:tcPr>
          <w:p>
            <w:pPr>
              <w:snapToGrid w:val="0"/>
              <w:rPr>
                <w:rFonts w:hint="eastAsia" w:ascii="仿宋" w:hAnsi="仿宋" w:eastAsia="仿宋" w:cs="仿宋"/>
                <w:snapToGrid w:val="0"/>
                <w:color w:val="auto"/>
                <w:kern w:val="2"/>
                <w:szCs w:val="21"/>
              </w:rPr>
            </w:pPr>
          </w:p>
        </w:tc>
        <w:tc>
          <w:tcPr>
            <w:tcW w:w="1597" w:type="dxa"/>
          </w:tcPr>
          <w:p>
            <w:pPr>
              <w:snapToGrid w:val="0"/>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3" w:type="dxa"/>
          </w:tcPr>
          <w:p>
            <w:pPr>
              <w:snapToGrid w:val="0"/>
              <w:rPr>
                <w:rFonts w:hint="eastAsia" w:ascii="仿宋" w:hAnsi="仿宋" w:eastAsia="仿宋" w:cs="仿宋"/>
                <w:snapToGrid w:val="0"/>
                <w:color w:val="auto"/>
                <w:kern w:val="2"/>
                <w:szCs w:val="21"/>
              </w:rPr>
            </w:pPr>
          </w:p>
        </w:tc>
        <w:tc>
          <w:tcPr>
            <w:tcW w:w="1996" w:type="dxa"/>
          </w:tcPr>
          <w:p>
            <w:pPr>
              <w:snapToGrid w:val="0"/>
              <w:rPr>
                <w:rFonts w:hint="eastAsia" w:ascii="仿宋" w:hAnsi="仿宋" w:eastAsia="仿宋" w:cs="仿宋"/>
                <w:snapToGrid w:val="0"/>
                <w:color w:val="auto"/>
                <w:kern w:val="2"/>
                <w:szCs w:val="21"/>
              </w:rPr>
            </w:pPr>
          </w:p>
        </w:tc>
        <w:tc>
          <w:tcPr>
            <w:tcW w:w="841" w:type="dxa"/>
          </w:tcPr>
          <w:p>
            <w:pPr>
              <w:snapToGrid w:val="0"/>
              <w:rPr>
                <w:rFonts w:hint="eastAsia" w:ascii="仿宋" w:hAnsi="仿宋" w:eastAsia="仿宋" w:cs="仿宋"/>
                <w:snapToGrid w:val="0"/>
                <w:color w:val="auto"/>
                <w:kern w:val="2"/>
                <w:szCs w:val="21"/>
              </w:rPr>
            </w:pPr>
          </w:p>
        </w:tc>
        <w:tc>
          <w:tcPr>
            <w:tcW w:w="863" w:type="dxa"/>
          </w:tcPr>
          <w:p>
            <w:pPr>
              <w:snapToGrid w:val="0"/>
              <w:rPr>
                <w:rFonts w:hint="eastAsia" w:ascii="仿宋" w:hAnsi="仿宋" w:eastAsia="仿宋" w:cs="仿宋"/>
                <w:snapToGrid w:val="0"/>
                <w:color w:val="auto"/>
                <w:kern w:val="2"/>
                <w:szCs w:val="21"/>
              </w:rPr>
            </w:pPr>
          </w:p>
        </w:tc>
        <w:tc>
          <w:tcPr>
            <w:tcW w:w="863" w:type="dxa"/>
          </w:tcPr>
          <w:p>
            <w:pPr>
              <w:snapToGrid w:val="0"/>
              <w:rPr>
                <w:rFonts w:hint="eastAsia" w:ascii="仿宋" w:hAnsi="仿宋" w:eastAsia="仿宋" w:cs="仿宋"/>
                <w:snapToGrid w:val="0"/>
                <w:color w:val="auto"/>
                <w:kern w:val="2"/>
                <w:szCs w:val="21"/>
              </w:rPr>
            </w:pPr>
          </w:p>
        </w:tc>
        <w:tc>
          <w:tcPr>
            <w:tcW w:w="1139" w:type="dxa"/>
          </w:tcPr>
          <w:p>
            <w:pPr>
              <w:snapToGrid w:val="0"/>
              <w:rPr>
                <w:rFonts w:hint="eastAsia" w:ascii="仿宋" w:hAnsi="仿宋" w:eastAsia="仿宋" w:cs="仿宋"/>
                <w:snapToGrid w:val="0"/>
                <w:color w:val="auto"/>
                <w:kern w:val="2"/>
                <w:szCs w:val="21"/>
              </w:rPr>
            </w:pPr>
          </w:p>
        </w:tc>
        <w:tc>
          <w:tcPr>
            <w:tcW w:w="1265" w:type="dxa"/>
          </w:tcPr>
          <w:p>
            <w:pPr>
              <w:snapToGrid w:val="0"/>
              <w:rPr>
                <w:rFonts w:hint="eastAsia" w:ascii="仿宋" w:hAnsi="仿宋" w:eastAsia="仿宋" w:cs="仿宋"/>
                <w:snapToGrid w:val="0"/>
                <w:color w:val="auto"/>
                <w:kern w:val="2"/>
                <w:szCs w:val="21"/>
              </w:rPr>
            </w:pPr>
          </w:p>
        </w:tc>
        <w:tc>
          <w:tcPr>
            <w:tcW w:w="1027" w:type="dxa"/>
          </w:tcPr>
          <w:p>
            <w:pPr>
              <w:snapToGrid w:val="0"/>
              <w:rPr>
                <w:rFonts w:hint="eastAsia" w:ascii="仿宋" w:hAnsi="仿宋" w:eastAsia="仿宋" w:cs="仿宋"/>
                <w:snapToGrid w:val="0"/>
                <w:color w:val="auto"/>
                <w:kern w:val="2"/>
                <w:szCs w:val="21"/>
              </w:rPr>
            </w:pPr>
          </w:p>
        </w:tc>
        <w:tc>
          <w:tcPr>
            <w:tcW w:w="1597" w:type="dxa"/>
          </w:tcPr>
          <w:p>
            <w:pPr>
              <w:snapToGrid w:val="0"/>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63" w:type="dxa"/>
          </w:tcPr>
          <w:p>
            <w:pPr>
              <w:snapToGrid w:val="0"/>
              <w:rPr>
                <w:rFonts w:hint="eastAsia" w:ascii="仿宋" w:hAnsi="仿宋" w:eastAsia="仿宋" w:cs="仿宋"/>
                <w:snapToGrid w:val="0"/>
                <w:color w:val="auto"/>
                <w:kern w:val="2"/>
                <w:szCs w:val="21"/>
              </w:rPr>
            </w:pPr>
          </w:p>
        </w:tc>
        <w:tc>
          <w:tcPr>
            <w:tcW w:w="1996" w:type="dxa"/>
          </w:tcPr>
          <w:p>
            <w:pPr>
              <w:snapToGrid w:val="0"/>
              <w:rPr>
                <w:rFonts w:hint="eastAsia" w:ascii="仿宋" w:hAnsi="仿宋" w:eastAsia="仿宋" w:cs="仿宋"/>
                <w:snapToGrid w:val="0"/>
                <w:color w:val="auto"/>
                <w:kern w:val="2"/>
                <w:szCs w:val="21"/>
              </w:rPr>
            </w:pPr>
          </w:p>
        </w:tc>
        <w:tc>
          <w:tcPr>
            <w:tcW w:w="841" w:type="dxa"/>
          </w:tcPr>
          <w:p>
            <w:pPr>
              <w:snapToGrid w:val="0"/>
              <w:rPr>
                <w:rFonts w:hint="eastAsia" w:ascii="仿宋" w:hAnsi="仿宋" w:eastAsia="仿宋" w:cs="仿宋"/>
                <w:snapToGrid w:val="0"/>
                <w:color w:val="auto"/>
                <w:kern w:val="2"/>
                <w:szCs w:val="21"/>
              </w:rPr>
            </w:pPr>
          </w:p>
        </w:tc>
        <w:tc>
          <w:tcPr>
            <w:tcW w:w="863" w:type="dxa"/>
          </w:tcPr>
          <w:p>
            <w:pPr>
              <w:snapToGrid w:val="0"/>
              <w:rPr>
                <w:rFonts w:hint="eastAsia" w:ascii="仿宋" w:hAnsi="仿宋" w:eastAsia="仿宋" w:cs="仿宋"/>
                <w:snapToGrid w:val="0"/>
                <w:color w:val="auto"/>
                <w:kern w:val="2"/>
                <w:szCs w:val="21"/>
              </w:rPr>
            </w:pPr>
          </w:p>
        </w:tc>
        <w:tc>
          <w:tcPr>
            <w:tcW w:w="863" w:type="dxa"/>
          </w:tcPr>
          <w:p>
            <w:pPr>
              <w:snapToGrid w:val="0"/>
              <w:rPr>
                <w:rFonts w:hint="eastAsia" w:ascii="仿宋" w:hAnsi="仿宋" w:eastAsia="仿宋" w:cs="仿宋"/>
                <w:snapToGrid w:val="0"/>
                <w:color w:val="auto"/>
                <w:kern w:val="2"/>
                <w:szCs w:val="21"/>
              </w:rPr>
            </w:pPr>
          </w:p>
        </w:tc>
        <w:tc>
          <w:tcPr>
            <w:tcW w:w="1139" w:type="dxa"/>
          </w:tcPr>
          <w:p>
            <w:pPr>
              <w:snapToGrid w:val="0"/>
              <w:rPr>
                <w:rFonts w:hint="eastAsia" w:ascii="仿宋" w:hAnsi="仿宋" w:eastAsia="仿宋" w:cs="仿宋"/>
                <w:snapToGrid w:val="0"/>
                <w:color w:val="auto"/>
                <w:kern w:val="2"/>
                <w:szCs w:val="21"/>
              </w:rPr>
            </w:pPr>
          </w:p>
        </w:tc>
        <w:tc>
          <w:tcPr>
            <w:tcW w:w="1265" w:type="dxa"/>
          </w:tcPr>
          <w:p>
            <w:pPr>
              <w:snapToGrid w:val="0"/>
              <w:rPr>
                <w:rFonts w:hint="eastAsia" w:ascii="仿宋" w:hAnsi="仿宋" w:eastAsia="仿宋" w:cs="仿宋"/>
                <w:snapToGrid w:val="0"/>
                <w:color w:val="auto"/>
                <w:kern w:val="2"/>
                <w:szCs w:val="21"/>
              </w:rPr>
            </w:pPr>
          </w:p>
        </w:tc>
        <w:tc>
          <w:tcPr>
            <w:tcW w:w="1027" w:type="dxa"/>
          </w:tcPr>
          <w:p>
            <w:pPr>
              <w:snapToGrid w:val="0"/>
              <w:rPr>
                <w:rFonts w:hint="eastAsia" w:ascii="仿宋" w:hAnsi="仿宋" w:eastAsia="仿宋" w:cs="仿宋"/>
                <w:snapToGrid w:val="0"/>
                <w:color w:val="auto"/>
                <w:kern w:val="2"/>
                <w:szCs w:val="21"/>
              </w:rPr>
            </w:pPr>
          </w:p>
        </w:tc>
        <w:tc>
          <w:tcPr>
            <w:tcW w:w="1597" w:type="dxa"/>
          </w:tcPr>
          <w:p>
            <w:pPr>
              <w:snapToGrid w:val="0"/>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63" w:type="dxa"/>
          </w:tcPr>
          <w:p>
            <w:pPr>
              <w:snapToGrid w:val="0"/>
              <w:rPr>
                <w:rFonts w:hint="eastAsia" w:ascii="仿宋" w:hAnsi="仿宋" w:eastAsia="仿宋" w:cs="仿宋"/>
                <w:snapToGrid w:val="0"/>
                <w:color w:val="auto"/>
                <w:kern w:val="2"/>
                <w:szCs w:val="21"/>
              </w:rPr>
            </w:pPr>
          </w:p>
        </w:tc>
        <w:tc>
          <w:tcPr>
            <w:tcW w:w="1996" w:type="dxa"/>
          </w:tcPr>
          <w:p>
            <w:pPr>
              <w:snapToGrid w:val="0"/>
              <w:rPr>
                <w:rFonts w:hint="eastAsia" w:ascii="仿宋" w:hAnsi="仿宋" w:eastAsia="仿宋" w:cs="仿宋"/>
                <w:snapToGrid w:val="0"/>
                <w:color w:val="auto"/>
                <w:kern w:val="2"/>
                <w:szCs w:val="21"/>
              </w:rPr>
            </w:pPr>
          </w:p>
        </w:tc>
        <w:tc>
          <w:tcPr>
            <w:tcW w:w="841" w:type="dxa"/>
          </w:tcPr>
          <w:p>
            <w:pPr>
              <w:snapToGrid w:val="0"/>
              <w:rPr>
                <w:rFonts w:hint="eastAsia" w:ascii="仿宋" w:hAnsi="仿宋" w:eastAsia="仿宋" w:cs="仿宋"/>
                <w:snapToGrid w:val="0"/>
                <w:color w:val="auto"/>
                <w:kern w:val="2"/>
                <w:szCs w:val="21"/>
              </w:rPr>
            </w:pPr>
          </w:p>
        </w:tc>
        <w:tc>
          <w:tcPr>
            <w:tcW w:w="863" w:type="dxa"/>
          </w:tcPr>
          <w:p>
            <w:pPr>
              <w:snapToGrid w:val="0"/>
              <w:rPr>
                <w:rFonts w:hint="eastAsia" w:ascii="仿宋" w:hAnsi="仿宋" w:eastAsia="仿宋" w:cs="仿宋"/>
                <w:snapToGrid w:val="0"/>
                <w:color w:val="auto"/>
                <w:kern w:val="2"/>
                <w:szCs w:val="21"/>
              </w:rPr>
            </w:pPr>
          </w:p>
        </w:tc>
        <w:tc>
          <w:tcPr>
            <w:tcW w:w="863" w:type="dxa"/>
          </w:tcPr>
          <w:p>
            <w:pPr>
              <w:snapToGrid w:val="0"/>
              <w:rPr>
                <w:rFonts w:hint="eastAsia" w:ascii="仿宋" w:hAnsi="仿宋" w:eastAsia="仿宋" w:cs="仿宋"/>
                <w:snapToGrid w:val="0"/>
                <w:color w:val="auto"/>
                <w:kern w:val="2"/>
                <w:szCs w:val="21"/>
              </w:rPr>
            </w:pPr>
          </w:p>
        </w:tc>
        <w:tc>
          <w:tcPr>
            <w:tcW w:w="1139" w:type="dxa"/>
          </w:tcPr>
          <w:p>
            <w:pPr>
              <w:snapToGrid w:val="0"/>
              <w:rPr>
                <w:rFonts w:hint="eastAsia" w:ascii="仿宋" w:hAnsi="仿宋" w:eastAsia="仿宋" w:cs="仿宋"/>
                <w:snapToGrid w:val="0"/>
                <w:color w:val="auto"/>
                <w:kern w:val="2"/>
                <w:szCs w:val="21"/>
              </w:rPr>
            </w:pPr>
          </w:p>
        </w:tc>
        <w:tc>
          <w:tcPr>
            <w:tcW w:w="1265" w:type="dxa"/>
          </w:tcPr>
          <w:p>
            <w:pPr>
              <w:snapToGrid w:val="0"/>
              <w:rPr>
                <w:rFonts w:hint="eastAsia" w:ascii="仿宋" w:hAnsi="仿宋" w:eastAsia="仿宋" w:cs="仿宋"/>
                <w:snapToGrid w:val="0"/>
                <w:color w:val="auto"/>
                <w:kern w:val="2"/>
                <w:szCs w:val="21"/>
              </w:rPr>
            </w:pPr>
          </w:p>
        </w:tc>
        <w:tc>
          <w:tcPr>
            <w:tcW w:w="1027" w:type="dxa"/>
          </w:tcPr>
          <w:p>
            <w:pPr>
              <w:snapToGrid w:val="0"/>
              <w:rPr>
                <w:rFonts w:hint="eastAsia" w:ascii="仿宋" w:hAnsi="仿宋" w:eastAsia="仿宋" w:cs="仿宋"/>
                <w:snapToGrid w:val="0"/>
                <w:color w:val="auto"/>
                <w:kern w:val="2"/>
                <w:szCs w:val="21"/>
              </w:rPr>
            </w:pPr>
          </w:p>
        </w:tc>
        <w:tc>
          <w:tcPr>
            <w:tcW w:w="1597" w:type="dxa"/>
          </w:tcPr>
          <w:p>
            <w:pPr>
              <w:snapToGrid w:val="0"/>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63" w:type="dxa"/>
          </w:tcPr>
          <w:p>
            <w:pPr>
              <w:snapToGrid w:val="0"/>
              <w:rPr>
                <w:rFonts w:hint="eastAsia" w:ascii="仿宋" w:hAnsi="仿宋" w:eastAsia="仿宋" w:cs="仿宋"/>
                <w:snapToGrid w:val="0"/>
                <w:color w:val="auto"/>
                <w:kern w:val="2"/>
                <w:szCs w:val="21"/>
              </w:rPr>
            </w:pPr>
          </w:p>
        </w:tc>
        <w:tc>
          <w:tcPr>
            <w:tcW w:w="1996" w:type="dxa"/>
          </w:tcPr>
          <w:p>
            <w:pPr>
              <w:snapToGrid w:val="0"/>
              <w:rPr>
                <w:rFonts w:hint="eastAsia" w:ascii="仿宋" w:hAnsi="仿宋" w:eastAsia="仿宋" w:cs="仿宋"/>
                <w:snapToGrid w:val="0"/>
                <w:color w:val="auto"/>
                <w:kern w:val="2"/>
                <w:szCs w:val="21"/>
              </w:rPr>
            </w:pPr>
          </w:p>
        </w:tc>
        <w:tc>
          <w:tcPr>
            <w:tcW w:w="841" w:type="dxa"/>
          </w:tcPr>
          <w:p>
            <w:pPr>
              <w:snapToGrid w:val="0"/>
              <w:rPr>
                <w:rFonts w:hint="eastAsia" w:ascii="仿宋" w:hAnsi="仿宋" w:eastAsia="仿宋" w:cs="仿宋"/>
                <w:snapToGrid w:val="0"/>
                <w:color w:val="auto"/>
                <w:kern w:val="2"/>
                <w:szCs w:val="21"/>
              </w:rPr>
            </w:pPr>
          </w:p>
        </w:tc>
        <w:tc>
          <w:tcPr>
            <w:tcW w:w="863" w:type="dxa"/>
          </w:tcPr>
          <w:p>
            <w:pPr>
              <w:snapToGrid w:val="0"/>
              <w:rPr>
                <w:rFonts w:hint="eastAsia" w:ascii="仿宋" w:hAnsi="仿宋" w:eastAsia="仿宋" w:cs="仿宋"/>
                <w:snapToGrid w:val="0"/>
                <w:color w:val="auto"/>
                <w:kern w:val="2"/>
                <w:szCs w:val="21"/>
              </w:rPr>
            </w:pPr>
          </w:p>
        </w:tc>
        <w:tc>
          <w:tcPr>
            <w:tcW w:w="863" w:type="dxa"/>
          </w:tcPr>
          <w:p>
            <w:pPr>
              <w:snapToGrid w:val="0"/>
              <w:rPr>
                <w:rFonts w:hint="eastAsia" w:ascii="仿宋" w:hAnsi="仿宋" w:eastAsia="仿宋" w:cs="仿宋"/>
                <w:snapToGrid w:val="0"/>
                <w:color w:val="auto"/>
                <w:kern w:val="2"/>
                <w:szCs w:val="21"/>
              </w:rPr>
            </w:pPr>
          </w:p>
        </w:tc>
        <w:tc>
          <w:tcPr>
            <w:tcW w:w="1139" w:type="dxa"/>
          </w:tcPr>
          <w:p>
            <w:pPr>
              <w:snapToGrid w:val="0"/>
              <w:rPr>
                <w:rFonts w:hint="eastAsia" w:ascii="仿宋" w:hAnsi="仿宋" w:eastAsia="仿宋" w:cs="仿宋"/>
                <w:snapToGrid w:val="0"/>
                <w:color w:val="auto"/>
                <w:kern w:val="2"/>
                <w:szCs w:val="21"/>
              </w:rPr>
            </w:pPr>
          </w:p>
        </w:tc>
        <w:tc>
          <w:tcPr>
            <w:tcW w:w="1265" w:type="dxa"/>
          </w:tcPr>
          <w:p>
            <w:pPr>
              <w:snapToGrid w:val="0"/>
              <w:rPr>
                <w:rFonts w:hint="eastAsia" w:ascii="仿宋" w:hAnsi="仿宋" w:eastAsia="仿宋" w:cs="仿宋"/>
                <w:snapToGrid w:val="0"/>
                <w:color w:val="auto"/>
                <w:kern w:val="2"/>
                <w:szCs w:val="21"/>
              </w:rPr>
            </w:pPr>
          </w:p>
        </w:tc>
        <w:tc>
          <w:tcPr>
            <w:tcW w:w="1027" w:type="dxa"/>
          </w:tcPr>
          <w:p>
            <w:pPr>
              <w:snapToGrid w:val="0"/>
              <w:rPr>
                <w:rFonts w:hint="eastAsia" w:ascii="仿宋" w:hAnsi="仿宋" w:eastAsia="仿宋" w:cs="仿宋"/>
                <w:snapToGrid w:val="0"/>
                <w:color w:val="auto"/>
                <w:kern w:val="2"/>
                <w:szCs w:val="21"/>
              </w:rPr>
            </w:pPr>
          </w:p>
        </w:tc>
        <w:tc>
          <w:tcPr>
            <w:tcW w:w="1597" w:type="dxa"/>
          </w:tcPr>
          <w:p>
            <w:pPr>
              <w:snapToGrid w:val="0"/>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63" w:type="dxa"/>
          </w:tcPr>
          <w:p>
            <w:pPr>
              <w:snapToGrid w:val="0"/>
              <w:rPr>
                <w:rFonts w:hint="eastAsia" w:ascii="仿宋" w:hAnsi="仿宋" w:eastAsia="仿宋" w:cs="仿宋"/>
                <w:snapToGrid w:val="0"/>
                <w:color w:val="auto"/>
                <w:kern w:val="2"/>
                <w:szCs w:val="21"/>
              </w:rPr>
            </w:pPr>
          </w:p>
        </w:tc>
        <w:tc>
          <w:tcPr>
            <w:tcW w:w="1996" w:type="dxa"/>
          </w:tcPr>
          <w:p>
            <w:pPr>
              <w:snapToGrid w:val="0"/>
              <w:rPr>
                <w:rFonts w:hint="eastAsia" w:ascii="仿宋" w:hAnsi="仿宋" w:eastAsia="仿宋" w:cs="仿宋"/>
                <w:snapToGrid w:val="0"/>
                <w:color w:val="auto"/>
                <w:kern w:val="2"/>
                <w:szCs w:val="21"/>
              </w:rPr>
            </w:pPr>
          </w:p>
        </w:tc>
        <w:tc>
          <w:tcPr>
            <w:tcW w:w="841" w:type="dxa"/>
          </w:tcPr>
          <w:p>
            <w:pPr>
              <w:snapToGrid w:val="0"/>
              <w:rPr>
                <w:rFonts w:hint="eastAsia" w:ascii="仿宋" w:hAnsi="仿宋" w:eastAsia="仿宋" w:cs="仿宋"/>
                <w:snapToGrid w:val="0"/>
                <w:color w:val="auto"/>
                <w:kern w:val="2"/>
                <w:szCs w:val="21"/>
              </w:rPr>
            </w:pPr>
          </w:p>
        </w:tc>
        <w:tc>
          <w:tcPr>
            <w:tcW w:w="863" w:type="dxa"/>
          </w:tcPr>
          <w:p>
            <w:pPr>
              <w:snapToGrid w:val="0"/>
              <w:rPr>
                <w:rFonts w:hint="eastAsia" w:ascii="仿宋" w:hAnsi="仿宋" w:eastAsia="仿宋" w:cs="仿宋"/>
                <w:snapToGrid w:val="0"/>
                <w:color w:val="auto"/>
                <w:kern w:val="2"/>
                <w:szCs w:val="21"/>
              </w:rPr>
            </w:pPr>
          </w:p>
        </w:tc>
        <w:tc>
          <w:tcPr>
            <w:tcW w:w="863" w:type="dxa"/>
          </w:tcPr>
          <w:p>
            <w:pPr>
              <w:snapToGrid w:val="0"/>
              <w:rPr>
                <w:rFonts w:hint="eastAsia" w:ascii="仿宋" w:hAnsi="仿宋" w:eastAsia="仿宋" w:cs="仿宋"/>
                <w:snapToGrid w:val="0"/>
                <w:color w:val="auto"/>
                <w:kern w:val="2"/>
                <w:szCs w:val="21"/>
              </w:rPr>
            </w:pPr>
          </w:p>
        </w:tc>
        <w:tc>
          <w:tcPr>
            <w:tcW w:w="1139" w:type="dxa"/>
          </w:tcPr>
          <w:p>
            <w:pPr>
              <w:snapToGrid w:val="0"/>
              <w:rPr>
                <w:rFonts w:hint="eastAsia" w:ascii="仿宋" w:hAnsi="仿宋" w:eastAsia="仿宋" w:cs="仿宋"/>
                <w:snapToGrid w:val="0"/>
                <w:color w:val="auto"/>
                <w:kern w:val="2"/>
                <w:szCs w:val="21"/>
              </w:rPr>
            </w:pPr>
          </w:p>
        </w:tc>
        <w:tc>
          <w:tcPr>
            <w:tcW w:w="1265" w:type="dxa"/>
          </w:tcPr>
          <w:p>
            <w:pPr>
              <w:snapToGrid w:val="0"/>
              <w:rPr>
                <w:rFonts w:hint="eastAsia" w:ascii="仿宋" w:hAnsi="仿宋" w:eastAsia="仿宋" w:cs="仿宋"/>
                <w:snapToGrid w:val="0"/>
                <w:color w:val="auto"/>
                <w:kern w:val="2"/>
                <w:szCs w:val="21"/>
              </w:rPr>
            </w:pPr>
          </w:p>
        </w:tc>
        <w:tc>
          <w:tcPr>
            <w:tcW w:w="1027" w:type="dxa"/>
          </w:tcPr>
          <w:p>
            <w:pPr>
              <w:snapToGrid w:val="0"/>
              <w:rPr>
                <w:rFonts w:hint="eastAsia" w:ascii="仿宋" w:hAnsi="仿宋" w:eastAsia="仿宋" w:cs="仿宋"/>
                <w:snapToGrid w:val="0"/>
                <w:color w:val="auto"/>
                <w:kern w:val="2"/>
                <w:szCs w:val="21"/>
              </w:rPr>
            </w:pPr>
          </w:p>
        </w:tc>
        <w:tc>
          <w:tcPr>
            <w:tcW w:w="1597" w:type="dxa"/>
          </w:tcPr>
          <w:p>
            <w:pPr>
              <w:snapToGrid w:val="0"/>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63" w:type="dxa"/>
          </w:tcPr>
          <w:p>
            <w:pPr>
              <w:snapToGrid w:val="0"/>
              <w:rPr>
                <w:rFonts w:hint="eastAsia" w:ascii="仿宋" w:hAnsi="仿宋" w:eastAsia="仿宋" w:cs="仿宋"/>
                <w:snapToGrid w:val="0"/>
                <w:color w:val="auto"/>
                <w:kern w:val="2"/>
                <w:szCs w:val="21"/>
              </w:rPr>
            </w:pPr>
          </w:p>
        </w:tc>
        <w:tc>
          <w:tcPr>
            <w:tcW w:w="1996" w:type="dxa"/>
          </w:tcPr>
          <w:p>
            <w:pPr>
              <w:snapToGrid w:val="0"/>
              <w:rPr>
                <w:rFonts w:hint="eastAsia" w:ascii="仿宋" w:hAnsi="仿宋" w:eastAsia="仿宋" w:cs="仿宋"/>
                <w:snapToGrid w:val="0"/>
                <w:color w:val="auto"/>
                <w:kern w:val="2"/>
                <w:szCs w:val="21"/>
              </w:rPr>
            </w:pPr>
          </w:p>
        </w:tc>
        <w:tc>
          <w:tcPr>
            <w:tcW w:w="841" w:type="dxa"/>
          </w:tcPr>
          <w:p>
            <w:pPr>
              <w:snapToGrid w:val="0"/>
              <w:rPr>
                <w:rFonts w:hint="eastAsia" w:ascii="仿宋" w:hAnsi="仿宋" w:eastAsia="仿宋" w:cs="仿宋"/>
                <w:snapToGrid w:val="0"/>
                <w:color w:val="auto"/>
                <w:kern w:val="2"/>
                <w:szCs w:val="21"/>
              </w:rPr>
            </w:pPr>
          </w:p>
        </w:tc>
        <w:tc>
          <w:tcPr>
            <w:tcW w:w="863" w:type="dxa"/>
          </w:tcPr>
          <w:p>
            <w:pPr>
              <w:snapToGrid w:val="0"/>
              <w:rPr>
                <w:rFonts w:hint="eastAsia" w:ascii="仿宋" w:hAnsi="仿宋" w:eastAsia="仿宋" w:cs="仿宋"/>
                <w:snapToGrid w:val="0"/>
                <w:color w:val="auto"/>
                <w:kern w:val="2"/>
                <w:szCs w:val="21"/>
              </w:rPr>
            </w:pPr>
          </w:p>
        </w:tc>
        <w:tc>
          <w:tcPr>
            <w:tcW w:w="863" w:type="dxa"/>
          </w:tcPr>
          <w:p>
            <w:pPr>
              <w:snapToGrid w:val="0"/>
              <w:rPr>
                <w:rFonts w:hint="eastAsia" w:ascii="仿宋" w:hAnsi="仿宋" w:eastAsia="仿宋" w:cs="仿宋"/>
                <w:snapToGrid w:val="0"/>
                <w:color w:val="auto"/>
                <w:kern w:val="2"/>
                <w:szCs w:val="21"/>
              </w:rPr>
            </w:pPr>
          </w:p>
        </w:tc>
        <w:tc>
          <w:tcPr>
            <w:tcW w:w="1139" w:type="dxa"/>
          </w:tcPr>
          <w:p>
            <w:pPr>
              <w:snapToGrid w:val="0"/>
              <w:rPr>
                <w:rFonts w:hint="eastAsia" w:ascii="仿宋" w:hAnsi="仿宋" w:eastAsia="仿宋" w:cs="仿宋"/>
                <w:snapToGrid w:val="0"/>
                <w:color w:val="auto"/>
                <w:kern w:val="2"/>
                <w:szCs w:val="21"/>
              </w:rPr>
            </w:pPr>
          </w:p>
        </w:tc>
        <w:tc>
          <w:tcPr>
            <w:tcW w:w="1265" w:type="dxa"/>
          </w:tcPr>
          <w:p>
            <w:pPr>
              <w:snapToGrid w:val="0"/>
              <w:rPr>
                <w:rFonts w:hint="eastAsia" w:ascii="仿宋" w:hAnsi="仿宋" w:eastAsia="仿宋" w:cs="仿宋"/>
                <w:snapToGrid w:val="0"/>
                <w:color w:val="auto"/>
                <w:kern w:val="2"/>
                <w:szCs w:val="21"/>
              </w:rPr>
            </w:pPr>
          </w:p>
        </w:tc>
        <w:tc>
          <w:tcPr>
            <w:tcW w:w="1027" w:type="dxa"/>
          </w:tcPr>
          <w:p>
            <w:pPr>
              <w:snapToGrid w:val="0"/>
              <w:rPr>
                <w:rFonts w:hint="eastAsia" w:ascii="仿宋" w:hAnsi="仿宋" w:eastAsia="仿宋" w:cs="仿宋"/>
                <w:snapToGrid w:val="0"/>
                <w:color w:val="auto"/>
                <w:kern w:val="2"/>
                <w:szCs w:val="21"/>
              </w:rPr>
            </w:pPr>
          </w:p>
        </w:tc>
        <w:tc>
          <w:tcPr>
            <w:tcW w:w="1597" w:type="dxa"/>
          </w:tcPr>
          <w:p>
            <w:pPr>
              <w:snapToGrid w:val="0"/>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63" w:type="dxa"/>
          </w:tcPr>
          <w:p>
            <w:pPr>
              <w:snapToGrid w:val="0"/>
              <w:rPr>
                <w:rFonts w:hint="eastAsia" w:ascii="仿宋" w:hAnsi="仿宋" w:eastAsia="仿宋" w:cs="仿宋"/>
                <w:snapToGrid w:val="0"/>
                <w:color w:val="auto"/>
                <w:kern w:val="2"/>
                <w:szCs w:val="21"/>
              </w:rPr>
            </w:pPr>
          </w:p>
        </w:tc>
        <w:tc>
          <w:tcPr>
            <w:tcW w:w="1996" w:type="dxa"/>
          </w:tcPr>
          <w:p>
            <w:pPr>
              <w:snapToGrid w:val="0"/>
              <w:rPr>
                <w:rFonts w:hint="eastAsia" w:ascii="仿宋" w:hAnsi="仿宋" w:eastAsia="仿宋" w:cs="仿宋"/>
                <w:snapToGrid w:val="0"/>
                <w:color w:val="auto"/>
                <w:kern w:val="2"/>
                <w:szCs w:val="21"/>
              </w:rPr>
            </w:pPr>
          </w:p>
        </w:tc>
        <w:tc>
          <w:tcPr>
            <w:tcW w:w="841" w:type="dxa"/>
          </w:tcPr>
          <w:p>
            <w:pPr>
              <w:snapToGrid w:val="0"/>
              <w:rPr>
                <w:rFonts w:hint="eastAsia" w:ascii="仿宋" w:hAnsi="仿宋" w:eastAsia="仿宋" w:cs="仿宋"/>
                <w:snapToGrid w:val="0"/>
                <w:color w:val="auto"/>
                <w:kern w:val="2"/>
                <w:szCs w:val="21"/>
              </w:rPr>
            </w:pPr>
          </w:p>
        </w:tc>
        <w:tc>
          <w:tcPr>
            <w:tcW w:w="863" w:type="dxa"/>
          </w:tcPr>
          <w:p>
            <w:pPr>
              <w:snapToGrid w:val="0"/>
              <w:rPr>
                <w:rFonts w:hint="eastAsia" w:ascii="仿宋" w:hAnsi="仿宋" w:eastAsia="仿宋" w:cs="仿宋"/>
                <w:snapToGrid w:val="0"/>
                <w:color w:val="auto"/>
                <w:kern w:val="2"/>
                <w:szCs w:val="21"/>
              </w:rPr>
            </w:pPr>
          </w:p>
        </w:tc>
        <w:tc>
          <w:tcPr>
            <w:tcW w:w="863" w:type="dxa"/>
          </w:tcPr>
          <w:p>
            <w:pPr>
              <w:snapToGrid w:val="0"/>
              <w:rPr>
                <w:rFonts w:hint="eastAsia" w:ascii="仿宋" w:hAnsi="仿宋" w:eastAsia="仿宋" w:cs="仿宋"/>
                <w:snapToGrid w:val="0"/>
                <w:color w:val="auto"/>
                <w:kern w:val="2"/>
                <w:szCs w:val="21"/>
              </w:rPr>
            </w:pPr>
          </w:p>
        </w:tc>
        <w:tc>
          <w:tcPr>
            <w:tcW w:w="1139" w:type="dxa"/>
          </w:tcPr>
          <w:p>
            <w:pPr>
              <w:snapToGrid w:val="0"/>
              <w:rPr>
                <w:rFonts w:hint="eastAsia" w:ascii="仿宋" w:hAnsi="仿宋" w:eastAsia="仿宋" w:cs="仿宋"/>
                <w:snapToGrid w:val="0"/>
                <w:color w:val="auto"/>
                <w:kern w:val="2"/>
                <w:szCs w:val="21"/>
              </w:rPr>
            </w:pPr>
          </w:p>
        </w:tc>
        <w:tc>
          <w:tcPr>
            <w:tcW w:w="1265" w:type="dxa"/>
          </w:tcPr>
          <w:p>
            <w:pPr>
              <w:snapToGrid w:val="0"/>
              <w:rPr>
                <w:rFonts w:hint="eastAsia" w:ascii="仿宋" w:hAnsi="仿宋" w:eastAsia="仿宋" w:cs="仿宋"/>
                <w:snapToGrid w:val="0"/>
                <w:color w:val="auto"/>
                <w:kern w:val="2"/>
                <w:szCs w:val="21"/>
              </w:rPr>
            </w:pPr>
          </w:p>
        </w:tc>
        <w:tc>
          <w:tcPr>
            <w:tcW w:w="1027" w:type="dxa"/>
          </w:tcPr>
          <w:p>
            <w:pPr>
              <w:snapToGrid w:val="0"/>
              <w:rPr>
                <w:rFonts w:hint="eastAsia" w:ascii="仿宋" w:hAnsi="仿宋" w:eastAsia="仿宋" w:cs="仿宋"/>
                <w:snapToGrid w:val="0"/>
                <w:color w:val="auto"/>
                <w:kern w:val="2"/>
                <w:szCs w:val="21"/>
              </w:rPr>
            </w:pPr>
          </w:p>
        </w:tc>
        <w:tc>
          <w:tcPr>
            <w:tcW w:w="1597" w:type="dxa"/>
          </w:tcPr>
          <w:p>
            <w:pPr>
              <w:snapToGrid w:val="0"/>
              <w:rPr>
                <w:rFonts w:hint="eastAsia" w:ascii="仿宋" w:hAnsi="仿宋" w:eastAsia="仿宋" w:cs="仿宋"/>
                <w:snapToGrid w:val="0"/>
                <w:color w:val="auto"/>
                <w:kern w:val="2"/>
                <w:szCs w:val="21"/>
              </w:rPr>
            </w:pPr>
          </w:p>
        </w:tc>
      </w:tr>
    </w:tbl>
    <w:p>
      <w:pPr>
        <w:rPr>
          <w:rFonts w:hint="eastAsia" w:ascii="仿宋" w:hAnsi="仿宋" w:eastAsia="仿宋" w:cs="仿宋"/>
          <w:color w:val="auto"/>
          <w:szCs w:val="24"/>
        </w:rPr>
      </w:pPr>
    </w:p>
    <w:p>
      <w:pPr>
        <w:rPr>
          <w:rFonts w:hint="eastAsia" w:ascii="仿宋" w:hAnsi="仿宋" w:eastAsia="仿宋" w:cs="仿宋"/>
          <w:color w:val="auto"/>
          <w:szCs w:val="24"/>
        </w:rPr>
      </w:pPr>
      <w:r>
        <w:rPr>
          <w:rFonts w:hint="eastAsia" w:ascii="仿宋" w:hAnsi="仿宋" w:eastAsia="仿宋" w:cs="仿宋"/>
          <w:color w:val="auto"/>
          <w:szCs w:val="24"/>
        </w:rPr>
        <w:t>附件三：</w:t>
      </w:r>
    </w:p>
    <w:p>
      <w:pPr>
        <w:pStyle w:val="8"/>
        <w:jc w:val="center"/>
        <w:rPr>
          <w:rFonts w:hint="eastAsia" w:ascii="仿宋" w:hAnsi="仿宋" w:eastAsia="仿宋" w:cs="仿宋"/>
          <w:color w:val="auto"/>
          <w:sz w:val="28"/>
          <w:szCs w:val="28"/>
        </w:rPr>
      </w:pPr>
      <w:r>
        <w:rPr>
          <w:rFonts w:hint="eastAsia" w:ascii="仿宋" w:hAnsi="仿宋" w:eastAsia="仿宋" w:cs="仿宋"/>
          <w:color w:val="auto"/>
          <w:sz w:val="28"/>
          <w:szCs w:val="28"/>
        </w:rPr>
        <w:t>拟投入本标段的劳动力计划表</w:t>
      </w:r>
    </w:p>
    <w:tbl>
      <w:tblPr>
        <w:tblStyle w:val="25"/>
        <w:tblW w:w="10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289"/>
        <w:gridCol w:w="1289"/>
        <w:gridCol w:w="1289"/>
        <w:gridCol w:w="1289"/>
        <w:gridCol w:w="1289"/>
        <w:gridCol w:w="1289"/>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288" w:type="dxa"/>
            <w:vAlign w:val="center"/>
          </w:tcPr>
          <w:p>
            <w:pPr>
              <w:snapToGrid w:val="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工种</w:t>
            </w:r>
          </w:p>
        </w:tc>
        <w:tc>
          <w:tcPr>
            <w:tcW w:w="9031" w:type="dxa"/>
            <w:gridSpan w:val="7"/>
            <w:vAlign w:val="center"/>
          </w:tcPr>
          <w:p>
            <w:pPr>
              <w:snapToGrid w:val="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88"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97" w:type="dxa"/>
          </w:tcPr>
          <w:p>
            <w:pPr>
              <w:pStyle w:val="8"/>
              <w:rPr>
                <w:rFonts w:hint="eastAsia" w:ascii="仿宋" w:hAnsi="仿宋" w:eastAsia="仿宋" w:cs="仿宋"/>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88"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97" w:type="dxa"/>
          </w:tcPr>
          <w:p>
            <w:pPr>
              <w:pStyle w:val="8"/>
              <w:rPr>
                <w:rFonts w:hint="eastAsia" w:ascii="仿宋" w:hAnsi="仿宋" w:eastAsia="仿宋" w:cs="仿宋"/>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88"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97" w:type="dxa"/>
          </w:tcPr>
          <w:p>
            <w:pPr>
              <w:pStyle w:val="8"/>
              <w:rPr>
                <w:rFonts w:hint="eastAsia" w:ascii="仿宋" w:hAnsi="仿宋" w:eastAsia="仿宋" w:cs="仿宋"/>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88"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97" w:type="dxa"/>
          </w:tcPr>
          <w:p>
            <w:pPr>
              <w:pStyle w:val="8"/>
              <w:rPr>
                <w:rFonts w:hint="eastAsia" w:ascii="仿宋" w:hAnsi="仿宋" w:eastAsia="仿宋" w:cs="仿宋"/>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88"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97" w:type="dxa"/>
          </w:tcPr>
          <w:p>
            <w:pPr>
              <w:pStyle w:val="8"/>
              <w:rPr>
                <w:rFonts w:hint="eastAsia" w:ascii="仿宋" w:hAnsi="仿宋" w:eastAsia="仿宋" w:cs="仿宋"/>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88"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97" w:type="dxa"/>
          </w:tcPr>
          <w:p>
            <w:pPr>
              <w:pStyle w:val="8"/>
              <w:rPr>
                <w:rFonts w:hint="eastAsia" w:ascii="仿宋" w:hAnsi="仿宋" w:eastAsia="仿宋" w:cs="仿宋"/>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88"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97" w:type="dxa"/>
          </w:tcPr>
          <w:p>
            <w:pPr>
              <w:pStyle w:val="8"/>
              <w:rPr>
                <w:rFonts w:hint="eastAsia" w:ascii="仿宋" w:hAnsi="仿宋" w:eastAsia="仿宋" w:cs="仿宋"/>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88"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97" w:type="dxa"/>
          </w:tcPr>
          <w:p>
            <w:pPr>
              <w:pStyle w:val="8"/>
              <w:rPr>
                <w:rFonts w:hint="eastAsia" w:ascii="仿宋" w:hAnsi="仿宋" w:eastAsia="仿宋" w:cs="仿宋"/>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88"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97" w:type="dxa"/>
          </w:tcPr>
          <w:p>
            <w:pPr>
              <w:pStyle w:val="8"/>
              <w:rPr>
                <w:rFonts w:hint="eastAsia" w:ascii="仿宋" w:hAnsi="仿宋" w:eastAsia="仿宋" w:cs="仿宋"/>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88"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97" w:type="dxa"/>
          </w:tcPr>
          <w:p>
            <w:pPr>
              <w:pStyle w:val="8"/>
              <w:rPr>
                <w:rFonts w:hint="eastAsia" w:ascii="仿宋" w:hAnsi="仿宋" w:eastAsia="仿宋" w:cs="仿宋"/>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88"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97" w:type="dxa"/>
          </w:tcPr>
          <w:p>
            <w:pPr>
              <w:pStyle w:val="8"/>
              <w:rPr>
                <w:rFonts w:hint="eastAsia" w:ascii="仿宋" w:hAnsi="仿宋" w:eastAsia="仿宋" w:cs="仿宋"/>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88"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97" w:type="dxa"/>
          </w:tcPr>
          <w:p>
            <w:pPr>
              <w:pStyle w:val="8"/>
              <w:rPr>
                <w:rFonts w:hint="eastAsia" w:ascii="仿宋" w:hAnsi="仿宋" w:eastAsia="仿宋" w:cs="仿宋"/>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88"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97" w:type="dxa"/>
          </w:tcPr>
          <w:p>
            <w:pPr>
              <w:pStyle w:val="8"/>
              <w:rPr>
                <w:rFonts w:hint="eastAsia" w:ascii="仿宋" w:hAnsi="仿宋" w:eastAsia="仿宋" w:cs="仿宋"/>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88"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97" w:type="dxa"/>
          </w:tcPr>
          <w:p>
            <w:pPr>
              <w:pStyle w:val="8"/>
              <w:rPr>
                <w:rFonts w:hint="eastAsia" w:ascii="仿宋" w:hAnsi="仿宋" w:eastAsia="仿宋" w:cs="仿宋"/>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88"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97" w:type="dxa"/>
          </w:tcPr>
          <w:p>
            <w:pPr>
              <w:pStyle w:val="8"/>
              <w:rPr>
                <w:rFonts w:hint="eastAsia" w:ascii="仿宋" w:hAnsi="仿宋" w:eastAsia="仿宋" w:cs="仿宋"/>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88"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97" w:type="dxa"/>
          </w:tcPr>
          <w:p>
            <w:pPr>
              <w:pStyle w:val="8"/>
              <w:rPr>
                <w:rFonts w:hint="eastAsia" w:ascii="仿宋" w:hAnsi="仿宋" w:eastAsia="仿宋" w:cs="仿宋"/>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88"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97" w:type="dxa"/>
          </w:tcPr>
          <w:p>
            <w:pPr>
              <w:pStyle w:val="8"/>
              <w:rPr>
                <w:rFonts w:hint="eastAsia" w:ascii="仿宋" w:hAnsi="仿宋" w:eastAsia="仿宋" w:cs="仿宋"/>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288"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89" w:type="dxa"/>
          </w:tcPr>
          <w:p>
            <w:pPr>
              <w:pStyle w:val="8"/>
              <w:rPr>
                <w:rFonts w:hint="eastAsia" w:ascii="仿宋" w:hAnsi="仿宋" w:eastAsia="仿宋" w:cs="仿宋"/>
                <w:color w:val="auto"/>
                <w:kern w:val="2"/>
              </w:rPr>
            </w:pPr>
          </w:p>
        </w:tc>
        <w:tc>
          <w:tcPr>
            <w:tcW w:w="1297" w:type="dxa"/>
          </w:tcPr>
          <w:p>
            <w:pPr>
              <w:pStyle w:val="8"/>
              <w:rPr>
                <w:rFonts w:hint="eastAsia" w:ascii="仿宋" w:hAnsi="仿宋" w:eastAsia="仿宋" w:cs="仿宋"/>
                <w:color w:val="auto"/>
                <w:kern w:val="2"/>
              </w:rPr>
            </w:pPr>
          </w:p>
        </w:tc>
      </w:tr>
    </w:tbl>
    <w:p>
      <w:pPr>
        <w:pStyle w:val="8"/>
        <w:rPr>
          <w:rFonts w:hint="eastAsia" w:ascii="仿宋" w:hAnsi="仿宋" w:eastAsia="仿宋" w:cs="仿宋"/>
          <w:color w:val="auto"/>
        </w:rPr>
      </w:pPr>
    </w:p>
    <w:p>
      <w:pPr>
        <w:pStyle w:val="8"/>
        <w:rPr>
          <w:rFonts w:hint="eastAsia" w:ascii="仿宋" w:hAnsi="仿宋" w:eastAsia="仿宋" w:cs="仿宋"/>
          <w:color w:val="auto"/>
          <w:szCs w:val="24"/>
        </w:rPr>
      </w:pPr>
      <w:r>
        <w:rPr>
          <w:rFonts w:hint="eastAsia" w:ascii="仿宋" w:hAnsi="仿宋" w:eastAsia="仿宋" w:cs="仿宋"/>
          <w:color w:val="auto"/>
        </w:rPr>
        <w:br w:type="page"/>
      </w:r>
      <w:r>
        <w:rPr>
          <w:rFonts w:hint="eastAsia" w:ascii="仿宋" w:hAnsi="仿宋" w:eastAsia="仿宋" w:cs="仿宋"/>
          <w:color w:val="auto"/>
          <w:szCs w:val="24"/>
        </w:rPr>
        <w:t>附件四</w:t>
      </w:r>
    </w:p>
    <w:p>
      <w:pPr>
        <w:pStyle w:val="8"/>
        <w:jc w:val="center"/>
        <w:rPr>
          <w:rFonts w:hint="eastAsia" w:ascii="仿宋" w:hAnsi="仿宋" w:eastAsia="仿宋" w:cs="仿宋"/>
          <w:color w:val="auto"/>
          <w:sz w:val="28"/>
          <w:szCs w:val="28"/>
        </w:rPr>
      </w:pPr>
      <w:r>
        <w:rPr>
          <w:rFonts w:hint="eastAsia" w:ascii="仿宋" w:hAnsi="仿宋" w:eastAsia="仿宋" w:cs="仿宋"/>
          <w:color w:val="auto"/>
          <w:sz w:val="28"/>
          <w:szCs w:val="28"/>
        </w:rPr>
        <w:t>计划开、完工日期和施工进度网络图</w:t>
      </w:r>
    </w:p>
    <w:p>
      <w:pPr>
        <w:ind w:firstLine="560" w:firstLineChars="200"/>
        <w:rPr>
          <w:rFonts w:hint="eastAsia" w:ascii="仿宋" w:hAnsi="仿宋" w:eastAsia="仿宋" w:cs="仿宋"/>
          <w:snapToGrid w:val="0"/>
          <w:color w:val="auto"/>
          <w:sz w:val="28"/>
          <w:szCs w:val="28"/>
        </w:rPr>
      </w:pPr>
    </w:p>
    <w:p>
      <w:pPr>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1．投标人应递交施工进度网络图或施工进度表，说明按招标文件要求的计划工期进行施工的各个关键日期。</w:t>
      </w:r>
    </w:p>
    <w:p>
      <w:pPr>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2．施工进度表可采用网络图（或横道图）表示。</w:t>
      </w:r>
    </w:p>
    <w:p>
      <w:pPr>
        <w:rPr>
          <w:rFonts w:hint="eastAsia" w:ascii="仿宋" w:hAnsi="仿宋" w:eastAsia="仿宋" w:cs="仿宋"/>
          <w:snapToGrid w:val="0"/>
          <w:color w:val="auto"/>
          <w:szCs w:val="24"/>
        </w:rPr>
      </w:pPr>
    </w:p>
    <w:p>
      <w:pPr>
        <w:ind w:firstLine="480" w:firstLineChars="200"/>
        <w:rPr>
          <w:rFonts w:hint="eastAsia" w:ascii="仿宋" w:hAnsi="仿宋" w:eastAsia="仿宋" w:cs="仿宋"/>
          <w:snapToGrid w:val="0"/>
          <w:color w:val="auto"/>
          <w:szCs w:val="24"/>
        </w:rPr>
      </w:pPr>
    </w:p>
    <w:p>
      <w:pPr>
        <w:ind w:firstLine="480" w:firstLineChars="200"/>
        <w:rPr>
          <w:rFonts w:hint="eastAsia" w:ascii="仿宋" w:hAnsi="仿宋" w:eastAsia="仿宋" w:cs="仿宋"/>
          <w:snapToGrid w:val="0"/>
          <w:color w:val="auto"/>
          <w:szCs w:val="24"/>
        </w:rPr>
      </w:pPr>
    </w:p>
    <w:p>
      <w:pPr>
        <w:ind w:firstLine="480" w:firstLineChars="200"/>
        <w:rPr>
          <w:rFonts w:hint="eastAsia" w:ascii="仿宋" w:hAnsi="仿宋" w:eastAsia="仿宋" w:cs="仿宋"/>
          <w:snapToGrid w:val="0"/>
          <w:color w:val="auto"/>
          <w:szCs w:val="24"/>
        </w:rPr>
      </w:pPr>
    </w:p>
    <w:p>
      <w:pPr>
        <w:ind w:firstLine="480" w:firstLineChars="200"/>
        <w:rPr>
          <w:rFonts w:hint="eastAsia" w:ascii="仿宋" w:hAnsi="仿宋" w:eastAsia="仿宋" w:cs="仿宋"/>
          <w:snapToGrid w:val="0"/>
          <w:color w:val="auto"/>
          <w:szCs w:val="24"/>
        </w:rPr>
      </w:pPr>
    </w:p>
    <w:p>
      <w:pPr>
        <w:ind w:firstLine="480" w:firstLineChars="200"/>
        <w:rPr>
          <w:rFonts w:hint="eastAsia" w:ascii="仿宋" w:hAnsi="仿宋" w:eastAsia="仿宋" w:cs="仿宋"/>
          <w:snapToGrid w:val="0"/>
          <w:color w:val="auto"/>
          <w:szCs w:val="24"/>
        </w:rPr>
      </w:pPr>
    </w:p>
    <w:p>
      <w:pPr>
        <w:ind w:firstLine="480" w:firstLineChars="200"/>
        <w:rPr>
          <w:rFonts w:hint="eastAsia" w:ascii="仿宋" w:hAnsi="仿宋" w:eastAsia="仿宋" w:cs="仿宋"/>
          <w:snapToGrid w:val="0"/>
          <w:color w:val="auto"/>
          <w:szCs w:val="24"/>
        </w:rPr>
      </w:pPr>
    </w:p>
    <w:p>
      <w:pPr>
        <w:ind w:firstLine="480" w:firstLineChars="200"/>
        <w:rPr>
          <w:rFonts w:hint="eastAsia" w:ascii="仿宋" w:hAnsi="仿宋" w:eastAsia="仿宋" w:cs="仿宋"/>
          <w:snapToGrid w:val="0"/>
          <w:color w:val="auto"/>
          <w:szCs w:val="24"/>
        </w:rPr>
      </w:pPr>
    </w:p>
    <w:p>
      <w:pPr>
        <w:ind w:firstLine="480" w:firstLineChars="200"/>
        <w:rPr>
          <w:rFonts w:hint="eastAsia" w:ascii="仿宋" w:hAnsi="仿宋" w:eastAsia="仿宋" w:cs="仿宋"/>
          <w:snapToGrid w:val="0"/>
          <w:color w:val="auto"/>
          <w:szCs w:val="24"/>
        </w:rPr>
      </w:pPr>
    </w:p>
    <w:p>
      <w:pPr>
        <w:ind w:firstLine="480" w:firstLineChars="200"/>
        <w:rPr>
          <w:rFonts w:hint="eastAsia" w:ascii="仿宋" w:hAnsi="仿宋" w:eastAsia="仿宋" w:cs="仿宋"/>
          <w:snapToGrid w:val="0"/>
          <w:color w:val="auto"/>
          <w:szCs w:val="24"/>
        </w:rPr>
      </w:pPr>
    </w:p>
    <w:p>
      <w:pPr>
        <w:ind w:firstLine="480" w:firstLineChars="200"/>
        <w:rPr>
          <w:rFonts w:hint="eastAsia" w:ascii="仿宋" w:hAnsi="仿宋" w:eastAsia="仿宋" w:cs="仿宋"/>
          <w:snapToGrid w:val="0"/>
          <w:color w:val="auto"/>
          <w:szCs w:val="24"/>
        </w:rPr>
      </w:pPr>
    </w:p>
    <w:p>
      <w:pPr>
        <w:ind w:firstLine="480" w:firstLineChars="200"/>
        <w:rPr>
          <w:rFonts w:hint="eastAsia" w:ascii="仿宋" w:hAnsi="仿宋" w:eastAsia="仿宋" w:cs="仿宋"/>
          <w:snapToGrid w:val="0"/>
          <w:color w:val="auto"/>
          <w:szCs w:val="24"/>
        </w:rPr>
      </w:pPr>
    </w:p>
    <w:p>
      <w:pPr>
        <w:ind w:firstLine="480" w:firstLineChars="200"/>
        <w:rPr>
          <w:rFonts w:hint="eastAsia" w:ascii="仿宋" w:hAnsi="仿宋" w:eastAsia="仿宋" w:cs="仿宋"/>
          <w:snapToGrid w:val="0"/>
          <w:color w:val="auto"/>
          <w:szCs w:val="24"/>
        </w:rPr>
      </w:pPr>
    </w:p>
    <w:p>
      <w:pPr>
        <w:ind w:firstLine="480" w:firstLineChars="200"/>
        <w:rPr>
          <w:rFonts w:hint="eastAsia" w:ascii="仿宋" w:hAnsi="仿宋" w:eastAsia="仿宋" w:cs="仿宋"/>
          <w:snapToGrid w:val="0"/>
          <w:color w:val="auto"/>
          <w:szCs w:val="24"/>
        </w:rPr>
      </w:pPr>
    </w:p>
    <w:p>
      <w:pPr>
        <w:ind w:firstLine="480" w:firstLineChars="200"/>
        <w:rPr>
          <w:rFonts w:hint="eastAsia" w:ascii="仿宋" w:hAnsi="仿宋" w:eastAsia="仿宋" w:cs="仿宋"/>
          <w:snapToGrid w:val="0"/>
          <w:color w:val="auto"/>
          <w:szCs w:val="24"/>
        </w:rPr>
      </w:pPr>
    </w:p>
    <w:p>
      <w:pPr>
        <w:ind w:firstLine="480" w:firstLineChars="200"/>
        <w:rPr>
          <w:rFonts w:hint="eastAsia" w:ascii="仿宋" w:hAnsi="仿宋" w:eastAsia="仿宋" w:cs="仿宋"/>
          <w:snapToGrid w:val="0"/>
          <w:color w:val="auto"/>
          <w:szCs w:val="24"/>
        </w:rPr>
      </w:pPr>
    </w:p>
    <w:p>
      <w:pPr>
        <w:ind w:firstLine="480" w:firstLineChars="200"/>
        <w:rPr>
          <w:rFonts w:hint="eastAsia" w:ascii="仿宋" w:hAnsi="仿宋" w:eastAsia="仿宋" w:cs="仿宋"/>
          <w:snapToGrid w:val="0"/>
          <w:color w:val="auto"/>
          <w:szCs w:val="24"/>
        </w:rPr>
      </w:pPr>
    </w:p>
    <w:p>
      <w:pPr>
        <w:ind w:firstLine="480" w:firstLineChars="200"/>
        <w:rPr>
          <w:rFonts w:hint="eastAsia" w:ascii="仿宋" w:hAnsi="仿宋" w:eastAsia="仿宋" w:cs="仿宋"/>
          <w:snapToGrid w:val="0"/>
          <w:color w:val="auto"/>
          <w:szCs w:val="24"/>
        </w:rPr>
      </w:pPr>
    </w:p>
    <w:p>
      <w:pPr>
        <w:ind w:firstLine="480" w:firstLineChars="200"/>
        <w:rPr>
          <w:rFonts w:hint="eastAsia" w:ascii="仿宋" w:hAnsi="仿宋" w:eastAsia="仿宋" w:cs="仿宋"/>
          <w:snapToGrid w:val="0"/>
          <w:color w:val="auto"/>
          <w:szCs w:val="24"/>
        </w:rPr>
      </w:pPr>
    </w:p>
    <w:p>
      <w:pPr>
        <w:ind w:firstLine="480" w:firstLineChars="200"/>
        <w:rPr>
          <w:rFonts w:hint="eastAsia" w:ascii="仿宋" w:hAnsi="仿宋" w:eastAsia="仿宋" w:cs="仿宋"/>
          <w:snapToGrid w:val="0"/>
          <w:color w:val="auto"/>
          <w:szCs w:val="24"/>
        </w:rPr>
      </w:pPr>
    </w:p>
    <w:p>
      <w:pPr>
        <w:ind w:firstLine="480" w:firstLineChars="200"/>
        <w:rPr>
          <w:rFonts w:hint="eastAsia" w:ascii="仿宋" w:hAnsi="仿宋" w:eastAsia="仿宋" w:cs="仿宋"/>
          <w:snapToGrid w:val="0"/>
          <w:color w:val="auto"/>
          <w:szCs w:val="24"/>
        </w:rPr>
      </w:pPr>
    </w:p>
    <w:p>
      <w:pPr>
        <w:ind w:firstLine="480" w:firstLineChars="200"/>
        <w:rPr>
          <w:rFonts w:hint="eastAsia" w:ascii="仿宋" w:hAnsi="仿宋" w:eastAsia="仿宋" w:cs="仿宋"/>
          <w:snapToGrid w:val="0"/>
          <w:color w:val="auto"/>
          <w:szCs w:val="24"/>
        </w:rPr>
      </w:pPr>
    </w:p>
    <w:p>
      <w:pPr>
        <w:ind w:firstLine="480" w:firstLineChars="200"/>
        <w:rPr>
          <w:rFonts w:hint="eastAsia" w:ascii="仿宋" w:hAnsi="仿宋" w:eastAsia="仿宋" w:cs="仿宋"/>
          <w:snapToGrid w:val="0"/>
          <w:color w:val="auto"/>
          <w:szCs w:val="24"/>
        </w:rPr>
      </w:pPr>
    </w:p>
    <w:p>
      <w:pPr>
        <w:ind w:firstLine="480" w:firstLineChars="200"/>
        <w:rPr>
          <w:rFonts w:hint="eastAsia" w:ascii="仿宋" w:hAnsi="仿宋" w:eastAsia="仿宋" w:cs="仿宋"/>
          <w:snapToGrid w:val="0"/>
          <w:color w:val="auto"/>
          <w:szCs w:val="24"/>
        </w:rPr>
      </w:pPr>
    </w:p>
    <w:p>
      <w:pPr>
        <w:pStyle w:val="8"/>
        <w:rPr>
          <w:rFonts w:hint="eastAsia" w:ascii="仿宋" w:hAnsi="仿宋" w:eastAsia="仿宋" w:cs="仿宋"/>
          <w:color w:val="auto"/>
          <w:szCs w:val="24"/>
        </w:rPr>
      </w:pPr>
      <w:r>
        <w:rPr>
          <w:rFonts w:hint="eastAsia" w:ascii="仿宋" w:hAnsi="仿宋" w:eastAsia="仿宋" w:cs="仿宋"/>
          <w:color w:val="auto"/>
          <w:szCs w:val="24"/>
        </w:rPr>
        <w:t>附件五</w:t>
      </w:r>
    </w:p>
    <w:p>
      <w:pPr>
        <w:pStyle w:val="8"/>
        <w:jc w:val="center"/>
        <w:rPr>
          <w:rFonts w:hint="eastAsia" w:ascii="仿宋" w:hAnsi="仿宋" w:eastAsia="仿宋" w:cs="仿宋"/>
          <w:color w:val="auto"/>
          <w:sz w:val="28"/>
          <w:szCs w:val="28"/>
        </w:rPr>
      </w:pPr>
      <w:r>
        <w:rPr>
          <w:rFonts w:hint="eastAsia" w:ascii="仿宋" w:hAnsi="仿宋" w:eastAsia="仿宋" w:cs="仿宋"/>
          <w:color w:val="auto"/>
          <w:sz w:val="28"/>
          <w:szCs w:val="28"/>
        </w:rPr>
        <w:t>施工总平面图</w:t>
      </w:r>
    </w:p>
    <w:p>
      <w:pPr>
        <w:ind w:firstLine="480" w:firstLineChars="200"/>
        <w:rPr>
          <w:rFonts w:hint="eastAsia" w:ascii="仿宋" w:hAnsi="仿宋" w:eastAsia="仿宋" w:cs="仿宋"/>
          <w:snapToGrid w:val="0"/>
          <w:color w:val="auto"/>
          <w:szCs w:val="24"/>
        </w:rPr>
      </w:pPr>
    </w:p>
    <w:p>
      <w:pPr>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投标人应递交一份施工总平面图，绘出现场临时设施布置图及表并附文字说明，说明临时设施、加工车间、现场办公、设备及仓储、供电、供水、卫生、生活、道路、消防等设施的情况和布置。</w:t>
      </w:r>
    </w:p>
    <w:p>
      <w:pPr>
        <w:rPr>
          <w:rFonts w:hint="eastAsia" w:ascii="仿宋" w:hAnsi="仿宋" w:eastAsia="仿宋" w:cs="仿宋"/>
          <w:snapToGrid w:val="0"/>
          <w:color w:val="auto"/>
          <w:sz w:val="28"/>
          <w:szCs w:val="28"/>
        </w:rPr>
      </w:pPr>
    </w:p>
    <w:p>
      <w:pPr>
        <w:rPr>
          <w:rFonts w:hint="eastAsia" w:ascii="仿宋" w:hAnsi="仿宋" w:eastAsia="仿宋" w:cs="仿宋"/>
          <w:snapToGrid w:val="0"/>
          <w:color w:val="auto"/>
          <w:sz w:val="28"/>
          <w:szCs w:val="28"/>
        </w:rPr>
      </w:pPr>
    </w:p>
    <w:p>
      <w:pPr>
        <w:rPr>
          <w:rFonts w:hint="eastAsia" w:ascii="仿宋" w:hAnsi="仿宋" w:eastAsia="仿宋" w:cs="仿宋"/>
          <w:snapToGrid w:val="0"/>
          <w:color w:val="auto"/>
          <w:sz w:val="28"/>
          <w:szCs w:val="28"/>
        </w:rPr>
      </w:pPr>
    </w:p>
    <w:p>
      <w:pPr>
        <w:rPr>
          <w:rFonts w:hint="eastAsia" w:ascii="仿宋" w:hAnsi="仿宋" w:eastAsia="仿宋" w:cs="仿宋"/>
          <w:snapToGrid w:val="0"/>
          <w:color w:val="auto"/>
          <w:sz w:val="28"/>
          <w:szCs w:val="28"/>
        </w:rPr>
      </w:pPr>
    </w:p>
    <w:p>
      <w:pPr>
        <w:rPr>
          <w:rFonts w:hint="eastAsia" w:ascii="仿宋" w:hAnsi="仿宋" w:eastAsia="仿宋" w:cs="仿宋"/>
          <w:snapToGrid w:val="0"/>
          <w:color w:val="auto"/>
          <w:sz w:val="28"/>
          <w:szCs w:val="28"/>
        </w:rPr>
      </w:pPr>
    </w:p>
    <w:p>
      <w:pPr>
        <w:rPr>
          <w:rFonts w:hint="eastAsia" w:ascii="仿宋" w:hAnsi="仿宋" w:eastAsia="仿宋" w:cs="仿宋"/>
          <w:snapToGrid w:val="0"/>
          <w:color w:val="auto"/>
          <w:sz w:val="28"/>
          <w:szCs w:val="28"/>
        </w:rPr>
      </w:pPr>
    </w:p>
    <w:p>
      <w:pPr>
        <w:rPr>
          <w:rFonts w:hint="eastAsia" w:ascii="仿宋" w:hAnsi="仿宋" w:eastAsia="仿宋" w:cs="仿宋"/>
          <w:snapToGrid w:val="0"/>
          <w:color w:val="auto"/>
          <w:sz w:val="28"/>
          <w:szCs w:val="28"/>
        </w:rPr>
      </w:pPr>
    </w:p>
    <w:p>
      <w:pPr>
        <w:rPr>
          <w:rFonts w:hint="eastAsia" w:ascii="仿宋" w:hAnsi="仿宋" w:eastAsia="仿宋" w:cs="仿宋"/>
          <w:snapToGrid w:val="0"/>
          <w:color w:val="auto"/>
          <w:sz w:val="28"/>
          <w:szCs w:val="28"/>
        </w:rPr>
      </w:pPr>
    </w:p>
    <w:p>
      <w:pPr>
        <w:rPr>
          <w:rFonts w:hint="eastAsia" w:ascii="仿宋" w:hAnsi="仿宋" w:eastAsia="仿宋" w:cs="仿宋"/>
          <w:snapToGrid w:val="0"/>
          <w:color w:val="auto"/>
          <w:sz w:val="28"/>
          <w:szCs w:val="28"/>
        </w:rPr>
      </w:pPr>
    </w:p>
    <w:p>
      <w:pPr>
        <w:rPr>
          <w:rFonts w:hint="eastAsia" w:ascii="仿宋" w:hAnsi="仿宋" w:eastAsia="仿宋" w:cs="仿宋"/>
          <w:snapToGrid w:val="0"/>
          <w:color w:val="auto"/>
          <w:sz w:val="28"/>
          <w:szCs w:val="28"/>
        </w:rPr>
      </w:pPr>
    </w:p>
    <w:p>
      <w:pPr>
        <w:rPr>
          <w:rFonts w:hint="eastAsia" w:ascii="仿宋" w:hAnsi="仿宋" w:eastAsia="仿宋" w:cs="仿宋"/>
          <w:snapToGrid w:val="0"/>
          <w:color w:val="auto"/>
          <w:sz w:val="28"/>
          <w:szCs w:val="28"/>
        </w:rPr>
      </w:pPr>
    </w:p>
    <w:p>
      <w:pPr>
        <w:rPr>
          <w:rFonts w:hint="eastAsia" w:ascii="仿宋" w:hAnsi="仿宋" w:eastAsia="仿宋" w:cs="仿宋"/>
          <w:snapToGrid w:val="0"/>
          <w:color w:val="auto"/>
          <w:sz w:val="28"/>
          <w:szCs w:val="28"/>
        </w:rPr>
      </w:pPr>
    </w:p>
    <w:p>
      <w:pPr>
        <w:rPr>
          <w:rFonts w:hint="eastAsia" w:ascii="仿宋" w:hAnsi="仿宋" w:eastAsia="仿宋" w:cs="仿宋"/>
          <w:snapToGrid w:val="0"/>
          <w:color w:val="auto"/>
          <w:sz w:val="28"/>
          <w:szCs w:val="28"/>
        </w:rPr>
      </w:pPr>
    </w:p>
    <w:p>
      <w:pPr>
        <w:rPr>
          <w:rFonts w:hint="eastAsia" w:ascii="仿宋" w:hAnsi="仿宋" w:eastAsia="仿宋" w:cs="仿宋"/>
          <w:snapToGrid w:val="0"/>
          <w:color w:val="auto"/>
          <w:sz w:val="28"/>
          <w:szCs w:val="28"/>
        </w:rPr>
      </w:pPr>
    </w:p>
    <w:p>
      <w:pPr>
        <w:rPr>
          <w:rFonts w:hint="eastAsia" w:ascii="仿宋" w:hAnsi="仿宋" w:eastAsia="仿宋" w:cs="仿宋"/>
          <w:snapToGrid w:val="0"/>
          <w:color w:val="auto"/>
          <w:sz w:val="28"/>
          <w:szCs w:val="28"/>
        </w:rPr>
      </w:pPr>
    </w:p>
    <w:p>
      <w:pPr>
        <w:rPr>
          <w:rFonts w:hint="eastAsia" w:ascii="仿宋" w:hAnsi="仿宋" w:eastAsia="仿宋" w:cs="仿宋"/>
          <w:snapToGrid w:val="0"/>
          <w:color w:val="auto"/>
          <w:sz w:val="28"/>
          <w:szCs w:val="28"/>
        </w:rPr>
      </w:pPr>
    </w:p>
    <w:p>
      <w:pPr>
        <w:rPr>
          <w:rFonts w:hint="eastAsia" w:ascii="仿宋" w:hAnsi="仿宋" w:eastAsia="仿宋" w:cs="仿宋"/>
          <w:snapToGrid w:val="0"/>
          <w:color w:val="auto"/>
          <w:sz w:val="28"/>
          <w:szCs w:val="28"/>
        </w:rPr>
      </w:pPr>
    </w:p>
    <w:p>
      <w:pPr>
        <w:rPr>
          <w:rFonts w:hint="eastAsia" w:ascii="仿宋" w:hAnsi="仿宋" w:eastAsia="仿宋" w:cs="仿宋"/>
          <w:snapToGrid w:val="0"/>
          <w:color w:val="auto"/>
          <w:sz w:val="28"/>
          <w:szCs w:val="28"/>
        </w:rPr>
      </w:pPr>
    </w:p>
    <w:p>
      <w:pPr>
        <w:rPr>
          <w:rFonts w:hint="eastAsia" w:ascii="仿宋" w:hAnsi="仿宋" w:eastAsia="仿宋" w:cs="仿宋"/>
          <w:snapToGrid w:val="0"/>
          <w:color w:val="auto"/>
          <w:sz w:val="28"/>
          <w:szCs w:val="28"/>
        </w:rPr>
      </w:pPr>
    </w:p>
    <w:p>
      <w:pPr>
        <w:rPr>
          <w:rFonts w:hint="eastAsia" w:ascii="仿宋" w:hAnsi="仿宋" w:eastAsia="仿宋" w:cs="仿宋"/>
          <w:snapToGrid w:val="0"/>
          <w:color w:val="auto"/>
          <w:sz w:val="28"/>
          <w:szCs w:val="28"/>
        </w:rPr>
      </w:pPr>
    </w:p>
    <w:p>
      <w:pPr>
        <w:rPr>
          <w:rFonts w:hint="eastAsia" w:ascii="仿宋" w:hAnsi="仿宋" w:eastAsia="仿宋" w:cs="仿宋"/>
          <w:snapToGrid w:val="0"/>
          <w:color w:val="auto"/>
          <w:sz w:val="28"/>
          <w:szCs w:val="28"/>
        </w:rPr>
      </w:pPr>
    </w:p>
    <w:p>
      <w:pPr>
        <w:rPr>
          <w:rFonts w:hint="eastAsia" w:ascii="仿宋" w:hAnsi="仿宋" w:eastAsia="仿宋" w:cs="仿宋"/>
          <w:snapToGrid w:val="0"/>
          <w:color w:val="auto"/>
          <w:sz w:val="28"/>
          <w:szCs w:val="28"/>
        </w:rPr>
      </w:pPr>
    </w:p>
    <w:p>
      <w:pPr>
        <w:rPr>
          <w:rFonts w:hint="eastAsia" w:ascii="仿宋" w:hAnsi="仿宋" w:eastAsia="仿宋" w:cs="仿宋"/>
          <w:snapToGrid w:val="0"/>
          <w:color w:val="auto"/>
          <w:sz w:val="28"/>
          <w:szCs w:val="28"/>
        </w:rPr>
      </w:pPr>
    </w:p>
    <w:p>
      <w:pPr>
        <w:pStyle w:val="8"/>
        <w:rPr>
          <w:rFonts w:hint="eastAsia" w:ascii="仿宋" w:hAnsi="仿宋" w:eastAsia="仿宋" w:cs="仿宋"/>
          <w:color w:val="auto"/>
          <w:szCs w:val="24"/>
        </w:rPr>
      </w:pPr>
    </w:p>
    <w:p>
      <w:pPr>
        <w:pStyle w:val="8"/>
        <w:rPr>
          <w:rFonts w:hint="eastAsia" w:ascii="仿宋" w:hAnsi="仿宋" w:eastAsia="仿宋" w:cs="仿宋"/>
          <w:color w:val="auto"/>
          <w:szCs w:val="24"/>
        </w:rPr>
      </w:pPr>
      <w:r>
        <w:rPr>
          <w:rFonts w:hint="eastAsia" w:ascii="仿宋" w:hAnsi="仿宋" w:eastAsia="仿宋" w:cs="仿宋"/>
          <w:color w:val="auto"/>
          <w:szCs w:val="24"/>
        </w:rPr>
        <w:t>附件六</w:t>
      </w:r>
    </w:p>
    <w:p>
      <w:pPr>
        <w:pStyle w:val="5"/>
        <w:rPr>
          <w:rFonts w:hint="eastAsia" w:ascii="仿宋" w:hAnsi="仿宋" w:eastAsia="仿宋" w:cs="仿宋"/>
          <w:color w:val="auto"/>
        </w:rPr>
      </w:pPr>
    </w:p>
    <w:p>
      <w:pPr>
        <w:jc w:val="center"/>
        <w:rPr>
          <w:rFonts w:hint="eastAsia" w:ascii="仿宋" w:hAnsi="仿宋" w:eastAsia="仿宋" w:cs="仿宋"/>
          <w:snapToGrid w:val="0"/>
          <w:color w:val="auto"/>
          <w:sz w:val="28"/>
          <w:szCs w:val="28"/>
        </w:rPr>
      </w:pPr>
      <w:r>
        <w:rPr>
          <w:rFonts w:hint="eastAsia" w:ascii="仿宋" w:hAnsi="仿宋" w:eastAsia="仿宋" w:cs="仿宋"/>
          <w:snapToGrid w:val="0"/>
          <w:color w:val="auto"/>
          <w:sz w:val="28"/>
          <w:szCs w:val="28"/>
        </w:rPr>
        <w:t>临时用地表</w:t>
      </w:r>
    </w:p>
    <w:p>
      <w:pPr>
        <w:jc w:val="center"/>
        <w:rPr>
          <w:rFonts w:hint="eastAsia" w:ascii="仿宋" w:hAnsi="仿宋" w:eastAsia="仿宋" w:cs="仿宋"/>
          <w:snapToGrid w:val="0"/>
          <w:color w:val="auto"/>
          <w:szCs w:val="24"/>
        </w:rPr>
      </w:pPr>
    </w:p>
    <w:tbl>
      <w:tblPr>
        <w:tblStyle w:val="25"/>
        <w:tblW w:w="1035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89"/>
        <w:gridCol w:w="2506"/>
        <w:gridCol w:w="2674"/>
        <w:gridCol w:w="25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589" w:type="dxa"/>
            <w:vAlign w:val="center"/>
          </w:tcPr>
          <w:p>
            <w:pPr>
              <w:snapToGrid w:val="0"/>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用途</w:t>
            </w:r>
          </w:p>
        </w:tc>
        <w:tc>
          <w:tcPr>
            <w:tcW w:w="2506" w:type="dxa"/>
            <w:vAlign w:val="center"/>
          </w:tcPr>
          <w:p>
            <w:pPr>
              <w:snapToGrid w:val="0"/>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面积（m</w:t>
            </w:r>
            <w:r>
              <w:rPr>
                <w:rFonts w:hint="eastAsia" w:ascii="仿宋" w:hAnsi="仿宋" w:eastAsia="仿宋" w:cs="仿宋"/>
                <w:snapToGrid w:val="0"/>
                <w:color w:val="auto"/>
                <w:kern w:val="2"/>
                <w:szCs w:val="24"/>
                <w:vertAlign w:val="superscript"/>
              </w:rPr>
              <w:t>2</w:t>
            </w:r>
            <w:r>
              <w:rPr>
                <w:rFonts w:hint="eastAsia" w:ascii="仿宋" w:hAnsi="仿宋" w:eastAsia="仿宋" w:cs="仿宋"/>
                <w:snapToGrid w:val="0"/>
                <w:color w:val="auto"/>
                <w:kern w:val="2"/>
                <w:szCs w:val="24"/>
              </w:rPr>
              <w:t>）</w:t>
            </w:r>
          </w:p>
        </w:tc>
        <w:tc>
          <w:tcPr>
            <w:tcW w:w="2674" w:type="dxa"/>
            <w:vAlign w:val="center"/>
          </w:tcPr>
          <w:p>
            <w:pPr>
              <w:snapToGrid w:val="0"/>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位置</w:t>
            </w:r>
          </w:p>
        </w:tc>
        <w:tc>
          <w:tcPr>
            <w:tcW w:w="2590" w:type="dxa"/>
            <w:vAlign w:val="center"/>
          </w:tcPr>
          <w:p>
            <w:pPr>
              <w:snapToGrid w:val="0"/>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需用时间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589" w:type="dxa"/>
            <w:vAlign w:val="center"/>
          </w:tcPr>
          <w:p>
            <w:pPr>
              <w:snapToGrid w:val="0"/>
              <w:jc w:val="center"/>
              <w:rPr>
                <w:rFonts w:hint="eastAsia" w:ascii="仿宋" w:hAnsi="仿宋" w:eastAsia="仿宋" w:cs="仿宋"/>
                <w:snapToGrid w:val="0"/>
                <w:color w:val="auto"/>
                <w:kern w:val="2"/>
                <w:sz w:val="28"/>
                <w:szCs w:val="28"/>
              </w:rPr>
            </w:pPr>
          </w:p>
        </w:tc>
        <w:tc>
          <w:tcPr>
            <w:tcW w:w="2506" w:type="dxa"/>
            <w:vAlign w:val="center"/>
          </w:tcPr>
          <w:p>
            <w:pPr>
              <w:snapToGrid w:val="0"/>
              <w:jc w:val="center"/>
              <w:rPr>
                <w:rFonts w:hint="eastAsia" w:ascii="仿宋" w:hAnsi="仿宋" w:eastAsia="仿宋" w:cs="仿宋"/>
                <w:snapToGrid w:val="0"/>
                <w:color w:val="auto"/>
                <w:kern w:val="2"/>
                <w:sz w:val="28"/>
                <w:szCs w:val="28"/>
              </w:rPr>
            </w:pPr>
          </w:p>
        </w:tc>
        <w:tc>
          <w:tcPr>
            <w:tcW w:w="2674" w:type="dxa"/>
            <w:vAlign w:val="center"/>
          </w:tcPr>
          <w:p>
            <w:pPr>
              <w:snapToGrid w:val="0"/>
              <w:jc w:val="center"/>
              <w:rPr>
                <w:rFonts w:hint="eastAsia" w:ascii="仿宋" w:hAnsi="仿宋" w:eastAsia="仿宋" w:cs="仿宋"/>
                <w:snapToGrid w:val="0"/>
                <w:color w:val="auto"/>
                <w:kern w:val="2"/>
                <w:sz w:val="28"/>
                <w:szCs w:val="28"/>
              </w:rPr>
            </w:pPr>
          </w:p>
        </w:tc>
        <w:tc>
          <w:tcPr>
            <w:tcW w:w="2590" w:type="dxa"/>
            <w:vAlign w:val="center"/>
          </w:tcPr>
          <w:p>
            <w:pPr>
              <w:snapToGrid w:val="0"/>
              <w:jc w:val="center"/>
              <w:rPr>
                <w:rFonts w:hint="eastAsia" w:ascii="仿宋" w:hAnsi="仿宋" w:eastAsia="仿宋" w:cs="仿宋"/>
                <w:snapToGrid w:val="0"/>
                <w:color w:val="auto"/>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589" w:type="dxa"/>
            <w:vAlign w:val="center"/>
          </w:tcPr>
          <w:p>
            <w:pPr>
              <w:snapToGrid w:val="0"/>
              <w:jc w:val="center"/>
              <w:rPr>
                <w:rFonts w:hint="eastAsia" w:ascii="仿宋" w:hAnsi="仿宋" w:eastAsia="仿宋" w:cs="仿宋"/>
                <w:snapToGrid w:val="0"/>
                <w:color w:val="auto"/>
                <w:kern w:val="2"/>
                <w:sz w:val="28"/>
                <w:szCs w:val="28"/>
              </w:rPr>
            </w:pPr>
          </w:p>
        </w:tc>
        <w:tc>
          <w:tcPr>
            <w:tcW w:w="2506" w:type="dxa"/>
            <w:vAlign w:val="center"/>
          </w:tcPr>
          <w:p>
            <w:pPr>
              <w:snapToGrid w:val="0"/>
              <w:jc w:val="center"/>
              <w:rPr>
                <w:rFonts w:hint="eastAsia" w:ascii="仿宋" w:hAnsi="仿宋" w:eastAsia="仿宋" w:cs="仿宋"/>
                <w:snapToGrid w:val="0"/>
                <w:color w:val="auto"/>
                <w:kern w:val="2"/>
                <w:sz w:val="28"/>
                <w:szCs w:val="28"/>
              </w:rPr>
            </w:pPr>
          </w:p>
        </w:tc>
        <w:tc>
          <w:tcPr>
            <w:tcW w:w="2674" w:type="dxa"/>
            <w:vAlign w:val="center"/>
          </w:tcPr>
          <w:p>
            <w:pPr>
              <w:snapToGrid w:val="0"/>
              <w:jc w:val="center"/>
              <w:rPr>
                <w:rFonts w:hint="eastAsia" w:ascii="仿宋" w:hAnsi="仿宋" w:eastAsia="仿宋" w:cs="仿宋"/>
                <w:snapToGrid w:val="0"/>
                <w:color w:val="auto"/>
                <w:kern w:val="2"/>
                <w:sz w:val="28"/>
                <w:szCs w:val="28"/>
              </w:rPr>
            </w:pPr>
          </w:p>
        </w:tc>
        <w:tc>
          <w:tcPr>
            <w:tcW w:w="2590" w:type="dxa"/>
            <w:vAlign w:val="center"/>
          </w:tcPr>
          <w:p>
            <w:pPr>
              <w:snapToGrid w:val="0"/>
              <w:jc w:val="center"/>
              <w:rPr>
                <w:rFonts w:hint="eastAsia" w:ascii="仿宋" w:hAnsi="仿宋" w:eastAsia="仿宋" w:cs="仿宋"/>
                <w:snapToGrid w:val="0"/>
                <w:color w:val="auto"/>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589" w:type="dxa"/>
            <w:vAlign w:val="center"/>
          </w:tcPr>
          <w:p>
            <w:pPr>
              <w:snapToGrid w:val="0"/>
              <w:jc w:val="center"/>
              <w:rPr>
                <w:rFonts w:hint="eastAsia" w:ascii="仿宋" w:hAnsi="仿宋" w:eastAsia="仿宋" w:cs="仿宋"/>
                <w:snapToGrid w:val="0"/>
                <w:color w:val="auto"/>
                <w:kern w:val="2"/>
                <w:sz w:val="28"/>
                <w:szCs w:val="28"/>
              </w:rPr>
            </w:pPr>
          </w:p>
        </w:tc>
        <w:tc>
          <w:tcPr>
            <w:tcW w:w="2506" w:type="dxa"/>
            <w:vAlign w:val="center"/>
          </w:tcPr>
          <w:p>
            <w:pPr>
              <w:snapToGrid w:val="0"/>
              <w:jc w:val="center"/>
              <w:rPr>
                <w:rFonts w:hint="eastAsia" w:ascii="仿宋" w:hAnsi="仿宋" w:eastAsia="仿宋" w:cs="仿宋"/>
                <w:snapToGrid w:val="0"/>
                <w:color w:val="auto"/>
                <w:kern w:val="2"/>
                <w:sz w:val="28"/>
                <w:szCs w:val="28"/>
              </w:rPr>
            </w:pPr>
          </w:p>
        </w:tc>
        <w:tc>
          <w:tcPr>
            <w:tcW w:w="2674" w:type="dxa"/>
            <w:vAlign w:val="center"/>
          </w:tcPr>
          <w:p>
            <w:pPr>
              <w:snapToGrid w:val="0"/>
              <w:jc w:val="center"/>
              <w:rPr>
                <w:rFonts w:hint="eastAsia" w:ascii="仿宋" w:hAnsi="仿宋" w:eastAsia="仿宋" w:cs="仿宋"/>
                <w:snapToGrid w:val="0"/>
                <w:color w:val="auto"/>
                <w:kern w:val="2"/>
                <w:sz w:val="28"/>
                <w:szCs w:val="28"/>
              </w:rPr>
            </w:pPr>
          </w:p>
        </w:tc>
        <w:tc>
          <w:tcPr>
            <w:tcW w:w="2590" w:type="dxa"/>
            <w:vAlign w:val="center"/>
          </w:tcPr>
          <w:p>
            <w:pPr>
              <w:snapToGrid w:val="0"/>
              <w:jc w:val="center"/>
              <w:rPr>
                <w:rFonts w:hint="eastAsia" w:ascii="仿宋" w:hAnsi="仿宋" w:eastAsia="仿宋" w:cs="仿宋"/>
                <w:snapToGrid w:val="0"/>
                <w:color w:val="auto"/>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589" w:type="dxa"/>
            <w:vAlign w:val="center"/>
          </w:tcPr>
          <w:p>
            <w:pPr>
              <w:snapToGrid w:val="0"/>
              <w:jc w:val="center"/>
              <w:rPr>
                <w:rFonts w:hint="eastAsia" w:ascii="仿宋" w:hAnsi="仿宋" w:eastAsia="仿宋" w:cs="仿宋"/>
                <w:snapToGrid w:val="0"/>
                <w:color w:val="auto"/>
                <w:kern w:val="2"/>
                <w:sz w:val="28"/>
                <w:szCs w:val="28"/>
              </w:rPr>
            </w:pPr>
          </w:p>
        </w:tc>
        <w:tc>
          <w:tcPr>
            <w:tcW w:w="2506" w:type="dxa"/>
            <w:vAlign w:val="center"/>
          </w:tcPr>
          <w:p>
            <w:pPr>
              <w:snapToGrid w:val="0"/>
              <w:jc w:val="center"/>
              <w:rPr>
                <w:rFonts w:hint="eastAsia" w:ascii="仿宋" w:hAnsi="仿宋" w:eastAsia="仿宋" w:cs="仿宋"/>
                <w:snapToGrid w:val="0"/>
                <w:color w:val="auto"/>
                <w:kern w:val="2"/>
                <w:sz w:val="28"/>
                <w:szCs w:val="28"/>
              </w:rPr>
            </w:pPr>
          </w:p>
        </w:tc>
        <w:tc>
          <w:tcPr>
            <w:tcW w:w="2674" w:type="dxa"/>
            <w:vAlign w:val="center"/>
          </w:tcPr>
          <w:p>
            <w:pPr>
              <w:snapToGrid w:val="0"/>
              <w:jc w:val="center"/>
              <w:rPr>
                <w:rFonts w:hint="eastAsia" w:ascii="仿宋" w:hAnsi="仿宋" w:eastAsia="仿宋" w:cs="仿宋"/>
                <w:snapToGrid w:val="0"/>
                <w:color w:val="auto"/>
                <w:kern w:val="2"/>
                <w:sz w:val="28"/>
                <w:szCs w:val="28"/>
              </w:rPr>
            </w:pPr>
          </w:p>
        </w:tc>
        <w:tc>
          <w:tcPr>
            <w:tcW w:w="2590" w:type="dxa"/>
            <w:vAlign w:val="center"/>
          </w:tcPr>
          <w:p>
            <w:pPr>
              <w:snapToGrid w:val="0"/>
              <w:jc w:val="center"/>
              <w:rPr>
                <w:rFonts w:hint="eastAsia" w:ascii="仿宋" w:hAnsi="仿宋" w:eastAsia="仿宋" w:cs="仿宋"/>
                <w:snapToGrid w:val="0"/>
                <w:color w:val="auto"/>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589" w:type="dxa"/>
            <w:vAlign w:val="center"/>
          </w:tcPr>
          <w:p>
            <w:pPr>
              <w:snapToGrid w:val="0"/>
              <w:jc w:val="center"/>
              <w:rPr>
                <w:rFonts w:hint="eastAsia" w:ascii="仿宋" w:hAnsi="仿宋" w:eastAsia="仿宋" w:cs="仿宋"/>
                <w:snapToGrid w:val="0"/>
                <w:color w:val="auto"/>
                <w:kern w:val="2"/>
                <w:sz w:val="28"/>
                <w:szCs w:val="28"/>
              </w:rPr>
            </w:pPr>
          </w:p>
        </w:tc>
        <w:tc>
          <w:tcPr>
            <w:tcW w:w="2506" w:type="dxa"/>
            <w:vAlign w:val="center"/>
          </w:tcPr>
          <w:p>
            <w:pPr>
              <w:snapToGrid w:val="0"/>
              <w:jc w:val="center"/>
              <w:rPr>
                <w:rFonts w:hint="eastAsia" w:ascii="仿宋" w:hAnsi="仿宋" w:eastAsia="仿宋" w:cs="仿宋"/>
                <w:snapToGrid w:val="0"/>
                <w:color w:val="auto"/>
                <w:kern w:val="2"/>
                <w:sz w:val="28"/>
                <w:szCs w:val="28"/>
              </w:rPr>
            </w:pPr>
          </w:p>
        </w:tc>
        <w:tc>
          <w:tcPr>
            <w:tcW w:w="2674" w:type="dxa"/>
            <w:vAlign w:val="center"/>
          </w:tcPr>
          <w:p>
            <w:pPr>
              <w:snapToGrid w:val="0"/>
              <w:jc w:val="center"/>
              <w:rPr>
                <w:rFonts w:hint="eastAsia" w:ascii="仿宋" w:hAnsi="仿宋" w:eastAsia="仿宋" w:cs="仿宋"/>
                <w:snapToGrid w:val="0"/>
                <w:color w:val="auto"/>
                <w:kern w:val="2"/>
                <w:sz w:val="28"/>
                <w:szCs w:val="28"/>
              </w:rPr>
            </w:pPr>
          </w:p>
        </w:tc>
        <w:tc>
          <w:tcPr>
            <w:tcW w:w="2590" w:type="dxa"/>
            <w:vAlign w:val="center"/>
          </w:tcPr>
          <w:p>
            <w:pPr>
              <w:snapToGrid w:val="0"/>
              <w:jc w:val="center"/>
              <w:rPr>
                <w:rFonts w:hint="eastAsia" w:ascii="仿宋" w:hAnsi="仿宋" w:eastAsia="仿宋" w:cs="仿宋"/>
                <w:snapToGrid w:val="0"/>
                <w:color w:val="auto"/>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589" w:type="dxa"/>
            <w:vAlign w:val="center"/>
          </w:tcPr>
          <w:p>
            <w:pPr>
              <w:snapToGrid w:val="0"/>
              <w:jc w:val="center"/>
              <w:rPr>
                <w:rFonts w:hint="eastAsia" w:ascii="仿宋" w:hAnsi="仿宋" w:eastAsia="仿宋" w:cs="仿宋"/>
                <w:snapToGrid w:val="0"/>
                <w:color w:val="auto"/>
                <w:kern w:val="2"/>
                <w:sz w:val="28"/>
                <w:szCs w:val="28"/>
              </w:rPr>
            </w:pPr>
          </w:p>
        </w:tc>
        <w:tc>
          <w:tcPr>
            <w:tcW w:w="2506" w:type="dxa"/>
            <w:vAlign w:val="center"/>
          </w:tcPr>
          <w:p>
            <w:pPr>
              <w:snapToGrid w:val="0"/>
              <w:jc w:val="center"/>
              <w:rPr>
                <w:rFonts w:hint="eastAsia" w:ascii="仿宋" w:hAnsi="仿宋" w:eastAsia="仿宋" w:cs="仿宋"/>
                <w:snapToGrid w:val="0"/>
                <w:color w:val="auto"/>
                <w:kern w:val="2"/>
                <w:sz w:val="28"/>
                <w:szCs w:val="28"/>
              </w:rPr>
            </w:pPr>
          </w:p>
        </w:tc>
        <w:tc>
          <w:tcPr>
            <w:tcW w:w="2674" w:type="dxa"/>
            <w:vAlign w:val="center"/>
          </w:tcPr>
          <w:p>
            <w:pPr>
              <w:snapToGrid w:val="0"/>
              <w:jc w:val="center"/>
              <w:rPr>
                <w:rFonts w:hint="eastAsia" w:ascii="仿宋" w:hAnsi="仿宋" w:eastAsia="仿宋" w:cs="仿宋"/>
                <w:snapToGrid w:val="0"/>
                <w:color w:val="auto"/>
                <w:kern w:val="2"/>
                <w:sz w:val="28"/>
                <w:szCs w:val="28"/>
              </w:rPr>
            </w:pPr>
          </w:p>
        </w:tc>
        <w:tc>
          <w:tcPr>
            <w:tcW w:w="2590" w:type="dxa"/>
            <w:vAlign w:val="center"/>
          </w:tcPr>
          <w:p>
            <w:pPr>
              <w:snapToGrid w:val="0"/>
              <w:jc w:val="center"/>
              <w:rPr>
                <w:rFonts w:hint="eastAsia" w:ascii="仿宋" w:hAnsi="仿宋" w:eastAsia="仿宋" w:cs="仿宋"/>
                <w:snapToGrid w:val="0"/>
                <w:color w:val="auto"/>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589" w:type="dxa"/>
            <w:vAlign w:val="center"/>
          </w:tcPr>
          <w:p>
            <w:pPr>
              <w:snapToGrid w:val="0"/>
              <w:jc w:val="center"/>
              <w:rPr>
                <w:rFonts w:hint="eastAsia" w:ascii="仿宋" w:hAnsi="仿宋" w:eastAsia="仿宋" w:cs="仿宋"/>
                <w:snapToGrid w:val="0"/>
                <w:color w:val="auto"/>
                <w:kern w:val="2"/>
                <w:sz w:val="28"/>
                <w:szCs w:val="28"/>
              </w:rPr>
            </w:pPr>
          </w:p>
        </w:tc>
        <w:tc>
          <w:tcPr>
            <w:tcW w:w="2506" w:type="dxa"/>
            <w:vAlign w:val="center"/>
          </w:tcPr>
          <w:p>
            <w:pPr>
              <w:snapToGrid w:val="0"/>
              <w:jc w:val="center"/>
              <w:rPr>
                <w:rFonts w:hint="eastAsia" w:ascii="仿宋" w:hAnsi="仿宋" w:eastAsia="仿宋" w:cs="仿宋"/>
                <w:snapToGrid w:val="0"/>
                <w:color w:val="auto"/>
                <w:kern w:val="2"/>
                <w:sz w:val="28"/>
                <w:szCs w:val="28"/>
              </w:rPr>
            </w:pPr>
          </w:p>
        </w:tc>
        <w:tc>
          <w:tcPr>
            <w:tcW w:w="2674" w:type="dxa"/>
            <w:vAlign w:val="center"/>
          </w:tcPr>
          <w:p>
            <w:pPr>
              <w:snapToGrid w:val="0"/>
              <w:jc w:val="center"/>
              <w:rPr>
                <w:rFonts w:hint="eastAsia" w:ascii="仿宋" w:hAnsi="仿宋" w:eastAsia="仿宋" w:cs="仿宋"/>
                <w:snapToGrid w:val="0"/>
                <w:color w:val="auto"/>
                <w:kern w:val="2"/>
                <w:sz w:val="28"/>
                <w:szCs w:val="28"/>
              </w:rPr>
            </w:pPr>
          </w:p>
        </w:tc>
        <w:tc>
          <w:tcPr>
            <w:tcW w:w="2590" w:type="dxa"/>
            <w:vAlign w:val="center"/>
          </w:tcPr>
          <w:p>
            <w:pPr>
              <w:snapToGrid w:val="0"/>
              <w:jc w:val="center"/>
              <w:rPr>
                <w:rFonts w:hint="eastAsia" w:ascii="仿宋" w:hAnsi="仿宋" w:eastAsia="仿宋" w:cs="仿宋"/>
                <w:snapToGrid w:val="0"/>
                <w:color w:val="auto"/>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589" w:type="dxa"/>
            <w:vAlign w:val="center"/>
          </w:tcPr>
          <w:p>
            <w:pPr>
              <w:snapToGrid w:val="0"/>
              <w:jc w:val="center"/>
              <w:rPr>
                <w:rFonts w:hint="eastAsia" w:ascii="仿宋" w:hAnsi="仿宋" w:eastAsia="仿宋" w:cs="仿宋"/>
                <w:snapToGrid w:val="0"/>
                <w:color w:val="auto"/>
                <w:kern w:val="2"/>
                <w:sz w:val="28"/>
                <w:szCs w:val="28"/>
              </w:rPr>
            </w:pPr>
          </w:p>
        </w:tc>
        <w:tc>
          <w:tcPr>
            <w:tcW w:w="2506" w:type="dxa"/>
            <w:vAlign w:val="center"/>
          </w:tcPr>
          <w:p>
            <w:pPr>
              <w:snapToGrid w:val="0"/>
              <w:jc w:val="center"/>
              <w:rPr>
                <w:rFonts w:hint="eastAsia" w:ascii="仿宋" w:hAnsi="仿宋" w:eastAsia="仿宋" w:cs="仿宋"/>
                <w:snapToGrid w:val="0"/>
                <w:color w:val="auto"/>
                <w:kern w:val="2"/>
                <w:sz w:val="28"/>
                <w:szCs w:val="28"/>
              </w:rPr>
            </w:pPr>
          </w:p>
        </w:tc>
        <w:tc>
          <w:tcPr>
            <w:tcW w:w="2674" w:type="dxa"/>
            <w:vAlign w:val="center"/>
          </w:tcPr>
          <w:p>
            <w:pPr>
              <w:snapToGrid w:val="0"/>
              <w:jc w:val="center"/>
              <w:rPr>
                <w:rFonts w:hint="eastAsia" w:ascii="仿宋" w:hAnsi="仿宋" w:eastAsia="仿宋" w:cs="仿宋"/>
                <w:snapToGrid w:val="0"/>
                <w:color w:val="auto"/>
                <w:kern w:val="2"/>
                <w:sz w:val="28"/>
                <w:szCs w:val="28"/>
              </w:rPr>
            </w:pPr>
          </w:p>
        </w:tc>
        <w:tc>
          <w:tcPr>
            <w:tcW w:w="2590" w:type="dxa"/>
            <w:vAlign w:val="center"/>
          </w:tcPr>
          <w:p>
            <w:pPr>
              <w:snapToGrid w:val="0"/>
              <w:jc w:val="center"/>
              <w:rPr>
                <w:rFonts w:hint="eastAsia" w:ascii="仿宋" w:hAnsi="仿宋" w:eastAsia="仿宋" w:cs="仿宋"/>
                <w:snapToGrid w:val="0"/>
                <w:color w:val="auto"/>
                <w:kern w:val="2"/>
                <w:sz w:val="28"/>
                <w:szCs w:val="28"/>
              </w:rPr>
            </w:pPr>
          </w:p>
        </w:tc>
      </w:tr>
    </w:tbl>
    <w:p>
      <w:pPr>
        <w:pStyle w:val="7"/>
        <w:jc w:val="center"/>
        <w:rPr>
          <w:rFonts w:hint="eastAsia" w:ascii="仿宋" w:hAnsi="仿宋" w:eastAsia="仿宋" w:cs="仿宋"/>
          <w:snapToGrid w:val="0"/>
          <w:color w:val="auto"/>
        </w:rPr>
      </w:pPr>
      <w:r>
        <w:rPr>
          <w:rFonts w:hint="eastAsia" w:ascii="仿宋" w:hAnsi="仿宋" w:eastAsia="仿宋" w:cs="仿宋"/>
          <w:snapToGrid w:val="0"/>
          <w:color w:val="auto"/>
          <w:sz w:val="28"/>
          <w:szCs w:val="28"/>
        </w:rPr>
        <w:br w:type="page"/>
      </w:r>
      <w:bookmarkStart w:id="1029" w:name="_Toc27821"/>
      <w:bookmarkStart w:id="1030" w:name="_Toc24427"/>
      <w:r>
        <w:rPr>
          <w:rFonts w:hint="eastAsia" w:ascii="仿宋" w:hAnsi="仿宋" w:eastAsia="仿宋" w:cs="仿宋"/>
          <w:snapToGrid w:val="0"/>
          <w:color w:val="auto"/>
          <w:sz w:val="28"/>
          <w:szCs w:val="28"/>
        </w:rPr>
        <w:t>五、项目管理机构</w:t>
      </w:r>
      <w:bookmarkEnd w:id="1025"/>
      <w:bookmarkEnd w:id="1026"/>
      <w:bookmarkEnd w:id="1027"/>
      <w:bookmarkEnd w:id="1028"/>
      <w:bookmarkEnd w:id="1029"/>
      <w:bookmarkEnd w:id="1030"/>
    </w:p>
    <w:p>
      <w:pPr>
        <w:pStyle w:val="8"/>
        <w:rPr>
          <w:rFonts w:hint="eastAsia" w:ascii="仿宋" w:hAnsi="仿宋" w:eastAsia="仿宋" w:cs="仿宋"/>
          <w:color w:val="auto"/>
          <w:szCs w:val="24"/>
        </w:rPr>
      </w:pPr>
      <w:r>
        <w:rPr>
          <w:rFonts w:hint="eastAsia" w:ascii="仿宋" w:hAnsi="仿宋" w:eastAsia="仿宋" w:cs="仿宋"/>
          <w:color w:val="auto"/>
          <w:szCs w:val="24"/>
        </w:rPr>
        <w:t>（一）项目管理机构组成表</w:t>
      </w:r>
    </w:p>
    <w:p>
      <w:pPr>
        <w:pStyle w:val="5"/>
        <w:rPr>
          <w:rFonts w:hint="eastAsia" w:ascii="仿宋" w:hAnsi="仿宋" w:eastAsia="仿宋" w:cs="仿宋"/>
          <w:snapToGrid w:val="0"/>
          <w:color w:val="auto"/>
        </w:rPr>
      </w:pPr>
    </w:p>
    <w:tbl>
      <w:tblPr>
        <w:tblStyle w:val="25"/>
        <w:tblW w:w="1023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86"/>
        <w:gridCol w:w="964"/>
        <w:gridCol w:w="1572"/>
        <w:gridCol w:w="976"/>
        <w:gridCol w:w="1171"/>
        <w:gridCol w:w="1395"/>
        <w:gridCol w:w="1441"/>
        <w:gridCol w:w="11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73" w:type="dxa"/>
            <w:vMerge w:val="restart"/>
            <w:vAlign w:val="center"/>
          </w:tcPr>
          <w:p>
            <w:pPr>
              <w:snapToGrid w:val="0"/>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职务</w:t>
            </w:r>
          </w:p>
        </w:tc>
        <w:tc>
          <w:tcPr>
            <w:tcW w:w="786" w:type="dxa"/>
            <w:vMerge w:val="restart"/>
            <w:vAlign w:val="center"/>
          </w:tcPr>
          <w:p>
            <w:pPr>
              <w:snapToGrid w:val="0"/>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姓名</w:t>
            </w:r>
          </w:p>
        </w:tc>
        <w:tc>
          <w:tcPr>
            <w:tcW w:w="964" w:type="dxa"/>
            <w:vMerge w:val="restart"/>
            <w:vAlign w:val="center"/>
          </w:tcPr>
          <w:p>
            <w:pPr>
              <w:snapToGrid w:val="0"/>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职称</w:t>
            </w:r>
          </w:p>
        </w:tc>
        <w:tc>
          <w:tcPr>
            <w:tcW w:w="6555" w:type="dxa"/>
            <w:gridSpan w:val="5"/>
            <w:vAlign w:val="center"/>
          </w:tcPr>
          <w:p>
            <w:pPr>
              <w:snapToGrid w:val="0"/>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执业或职业资格证明</w:t>
            </w:r>
          </w:p>
        </w:tc>
        <w:tc>
          <w:tcPr>
            <w:tcW w:w="1159" w:type="dxa"/>
            <w:vMerge w:val="restart"/>
            <w:vAlign w:val="center"/>
          </w:tcPr>
          <w:p>
            <w:pPr>
              <w:snapToGrid w:val="0"/>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3" w:type="dxa"/>
            <w:vMerge w:val="continue"/>
          </w:tcPr>
          <w:p>
            <w:pPr>
              <w:snapToGrid w:val="0"/>
              <w:rPr>
                <w:rFonts w:hint="eastAsia" w:ascii="仿宋" w:hAnsi="仿宋" w:eastAsia="仿宋" w:cs="仿宋"/>
                <w:snapToGrid w:val="0"/>
                <w:color w:val="auto"/>
                <w:kern w:val="2"/>
                <w:szCs w:val="21"/>
              </w:rPr>
            </w:pPr>
          </w:p>
        </w:tc>
        <w:tc>
          <w:tcPr>
            <w:tcW w:w="786" w:type="dxa"/>
            <w:vMerge w:val="continue"/>
          </w:tcPr>
          <w:p>
            <w:pPr>
              <w:snapToGrid w:val="0"/>
              <w:rPr>
                <w:rFonts w:hint="eastAsia" w:ascii="仿宋" w:hAnsi="仿宋" w:eastAsia="仿宋" w:cs="仿宋"/>
                <w:snapToGrid w:val="0"/>
                <w:color w:val="auto"/>
                <w:kern w:val="2"/>
                <w:szCs w:val="21"/>
              </w:rPr>
            </w:pPr>
          </w:p>
        </w:tc>
        <w:tc>
          <w:tcPr>
            <w:tcW w:w="964" w:type="dxa"/>
            <w:vMerge w:val="continue"/>
          </w:tcPr>
          <w:p>
            <w:pPr>
              <w:snapToGrid w:val="0"/>
              <w:rPr>
                <w:rFonts w:hint="eastAsia" w:ascii="仿宋" w:hAnsi="仿宋" w:eastAsia="仿宋" w:cs="仿宋"/>
                <w:snapToGrid w:val="0"/>
                <w:color w:val="auto"/>
                <w:kern w:val="2"/>
                <w:szCs w:val="21"/>
              </w:rPr>
            </w:pPr>
          </w:p>
        </w:tc>
        <w:tc>
          <w:tcPr>
            <w:tcW w:w="1572" w:type="dxa"/>
            <w:vAlign w:val="center"/>
          </w:tcPr>
          <w:p>
            <w:pPr>
              <w:snapToGrid w:val="0"/>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证书名称</w:t>
            </w:r>
          </w:p>
        </w:tc>
        <w:tc>
          <w:tcPr>
            <w:tcW w:w="976" w:type="dxa"/>
            <w:vAlign w:val="center"/>
          </w:tcPr>
          <w:p>
            <w:pPr>
              <w:snapToGrid w:val="0"/>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级别</w:t>
            </w:r>
          </w:p>
        </w:tc>
        <w:tc>
          <w:tcPr>
            <w:tcW w:w="1171" w:type="dxa"/>
            <w:vAlign w:val="center"/>
          </w:tcPr>
          <w:p>
            <w:pPr>
              <w:snapToGrid w:val="0"/>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证号</w:t>
            </w:r>
          </w:p>
        </w:tc>
        <w:tc>
          <w:tcPr>
            <w:tcW w:w="1395" w:type="dxa"/>
            <w:vAlign w:val="center"/>
          </w:tcPr>
          <w:p>
            <w:pPr>
              <w:snapToGrid w:val="0"/>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专业</w:t>
            </w:r>
          </w:p>
        </w:tc>
        <w:tc>
          <w:tcPr>
            <w:tcW w:w="1441" w:type="dxa"/>
            <w:vAlign w:val="center"/>
          </w:tcPr>
          <w:p>
            <w:pPr>
              <w:snapToGrid w:val="0"/>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养老保险</w:t>
            </w:r>
          </w:p>
        </w:tc>
        <w:tc>
          <w:tcPr>
            <w:tcW w:w="1159" w:type="dxa"/>
            <w:vMerge w:val="continue"/>
          </w:tcPr>
          <w:p>
            <w:pPr>
              <w:snapToGrid w:val="0"/>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73" w:type="dxa"/>
          </w:tcPr>
          <w:p>
            <w:pPr>
              <w:snapToGrid w:val="0"/>
              <w:rPr>
                <w:rFonts w:hint="eastAsia" w:ascii="仿宋" w:hAnsi="仿宋" w:eastAsia="仿宋" w:cs="仿宋"/>
                <w:snapToGrid w:val="0"/>
                <w:color w:val="auto"/>
                <w:kern w:val="2"/>
                <w:szCs w:val="21"/>
              </w:rPr>
            </w:pPr>
          </w:p>
        </w:tc>
        <w:tc>
          <w:tcPr>
            <w:tcW w:w="786" w:type="dxa"/>
          </w:tcPr>
          <w:p>
            <w:pPr>
              <w:snapToGrid w:val="0"/>
              <w:rPr>
                <w:rFonts w:hint="eastAsia" w:ascii="仿宋" w:hAnsi="仿宋" w:eastAsia="仿宋" w:cs="仿宋"/>
                <w:snapToGrid w:val="0"/>
                <w:color w:val="auto"/>
                <w:kern w:val="2"/>
                <w:szCs w:val="21"/>
              </w:rPr>
            </w:pPr>
          </w:p>
        </w:tc>
        <w:tc>
          <w:tcPr>
            <w:tcW w:w="964" w:type="dxa"/>
          </w:tcPr>
          <w:p>
            <w:pPr>
              <w:snapToGrid w:val="0"/>
              <w:rPr>
                <w:rFonts w:hint="eastAsia" w:ascii="仿宋" w:hAnsi="仿宋" w:eastAsia="仿宋" w:cs="仿宋"/>
                <w:snapToGrid w:val="0"/>
                <w:color w:val="auto"/>
                <w:kern w:val="2"/>
                <w:szCs w:val="21"/>
              </w:rPr>
            </w:pPr>
          </w:p>
        </w:tc>
        <w:tc>
          <w:tcPr>
            <w:tcW w:w="1572" w:type="dxa"/>
          </w:tcPr>
          <w:p>
            <w:pPr>
              <w:snapToGrid w:val="0"/>
              <w:rPr>
                <w:rFonts w:hint="eastAsia" w:ascii="仿宋" w:hAnsi="仿宋" w:eastAsia="仿宋" w:cs="仿宋"/>
                <w:snapToGrid w:val="0"/>
                <w:color w:val="auto"/>
                <w:kern w:val="2"/>
                <w:szCs w:val="21"/>
              </w:rPr>
            </w:pPr>
          </w:p>
        </w:tc>
        <w:tc>
          <w:tcPr>
            <w:tcW w:w="976" w:type="dxa"/>
          </w:tcPr>
          <w:p>
            <w:pPr>
              <w:snapToGrid w:val="0"/>
              <w:rPr>
                <w:rFonts w:hint="eastAsia" w:ascii="仿宋" w:hAnsi="仿宋" w:eastAsia="仿宋" w:cs="仿宋"/>
                <w:snapToGrid w:val="0"/>
                <w:color w:val="auto"/>
                <w:kern w:val="2"/>
                <w:szCs w:val="21"/>
              </w:rPr>
            </w:pPr>
          </w:p>
        </w:tc>
        <w:tc>
          <w:tcPr>
            <w:tcW w:w="1171" w:type="dxa"/>
          </w:tcPr>
          <w:p>
            <w:pPr>
              <w:snapToGrid w:val="0"/>
              <w:rPr>
                <w:rFonts w:hint="eastAsia" w:ascii="仿宋" w:hAnsi="仿宋" w:eastAsia="仿宋" w:cs="仿宋"/>
                <w:snapToGrid w:val="0"/>
                <w:color w:val="auto"/>
                <w:kern w:val="2"/>
                <w:szCs w:val="21"/>
              </w:rPr>
            </w:pPr>
          </w:p>
        </w:tc>
        <w:tc>
          <w:tcPr>
            <w:tcW w:w="1395" w:type="dxa"/>
          </w:tcPr>
          <w:p>
            <w:pPr>
              <w:snapToGrid w:val="0"/>
              <w:rPr>
                <w:rFonts w:hint="eastAsia" w:ascii="仿宋" w:hAnsi="仿宋" w:eastAsia="仿宋" w:cs="仿宋"/>
                <w:snapToGrid w:val="0"/>
                <w:color w:val="auto"/>
                <w:kern w:val="2"/>
                <w:szCs w:val="21"/>
              </w:rPr>
            </w:pPr>
          </w:p>
        </w:tc>
        <w:tc>
          <w:tcPr>
            <w:tcW w:w="1441" w:type="dxa"/>
          </w:tcPr>
          <w:p>
            <w:pPr>
              <w:snapToGrid w:val="0"/>
              <w:ind w:firstLine="480" w:firstLineChars="200"/>
              <w:rPr>
                <w:rFonts w:hint="eastAsia" w:ascii="仿宋" w:hAnsi="仿宋" w:eastAsia="仿宋" w:cs="仿宋"/>
                <w:snapToGrid w:val="0"/>
                <w:color w:val="auto"/>
                <w:kern w:val="2"/>
                <w:szCs w:val="21"/>
              </w:rPr>
            </w:pPr>
          </w:p>
        </w:tc>
        <w:tc>
          <w:tcPr>
            <w:tcW w:w="1159" w:type="dxa"/>
          </w:tcPr>
          <w:p>
            <w:pPr>
              <w:snapToGrid w:val="0"/>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73" w:type="dxa"/>
          </w:tcPr>
          <w:p>
            <w:pPr>
              <w:snapToGrid w:val="0"/>
              <w:rPr>
                <w:rFonts w:hint="eastAsia" w:ascii="仿宋" w:hAnsi="仿宋" w:eastAsia="仿宋" w:cs="仿宋"/>
                <w:snapToGrid w:val="0"/>
                <w:color w:val="auto"/>
                <w:kern w:val="2"/>
                <w:szCs w:val="21"/>
              </w:rPr>
            </w:pPr>
          </w:p>
        </w:tc>
        <w:tc>
          <w:tcPr>
            <w:tcW w:w="786" w:type="dxa"/>
          </w:tcPr>
          <w:p>
            <w:pPr>
              <w:snapToGrid w:val="0"/>
              <w:rPr>
                <w:rFonts w:hint="eastAsia" w:ascii="仿宋" w:hAnsi="仿宋" w:eastAsia="仿宋" w:cs="仿宋"/>
                <w:snapToGrid w:val="0"/>
                <w:color w:val="auto"/>
                <w:kern w:val="2"/>
                <w:szCs w:val="21"/>
              </w:rPr>
            </w:pPr>
          </w:p>
        </w:tc>
        <w:tc>
          <w:tcPr>
            <w:tcW w:w="964" w:type="dxa"/>
          </w:tcPr>
          <w:p>
            <w:pPr>
              <w:snapToGrid w:val="0"/>
              <w:rPr>
                <w:rFonts w:hint="eastAsia" w:ascii="仿宋" w:hAnsi="仿宋" w:eastAsia="仿宋" w:cs="仿宋"/>
                <w:snapToGrid w:val="0"/>
                <w:color w:val="auto"/>
                <w:kern w:val="2"/>
                <w:szCs w:val="21"/>
              </w:rPr>
            </w:pPr>
          </w:p>
        </w:tc>
        <w:tc>
          <w:tcPr>
            <w:tcW w:w="1572" w:type="dxa"/>
          </w:tcPr>
          <w:p>
            <w:pPr>
              <w:snapToGrid w:val="0"/>
              <w:rPr>
                <w:rFonts w:hint="eastAsia" w:ascii="仿宋" w:hAnsi="仿宋" w:eastAsia="仿宋" w:cs="仿宋"/>
                <w:snapToGrid w:val="0"/>
                <w:color w:val="auto"/>
                <w:kern w:val="2"/>
                <w:szCs w:val="21"/>
              </w:rPr>
            </w:pPr>
          </w:p>
        </w:tc>
        <w:tc>
          <w:tcPr>
            <w:tcW w:w="976" w:type="dxa"/>
          </w:tcPr>
          <w:p>
            <w:pPr>
              <w:snapToGrid w:val="0"/>
              <w:rPr>
                <w:rFonts w:hint="eastAsia" w:ascii="仿宋" w:hAnsi="仿宋" w:eastAsia="仿宋" w:cs="仿宋"/>
                <w:snapToGrid w:val="0"/>
                <w:color w:val="auto"/>
                <w:kern w:val="2"/>
                <w:szCs w:val="21"/>
              </w:rPr>
            </w:pPr>
          </w:p>
        </w:tc>
        <w:tc>
          <w:tcPr>
            <w:tcW w:w="1171" w:type="dxa"/>
          </w:tcPr>
          <w:p>
            <w:pPr>
              <w:snapToGrid w:val="0"/>
              <w:rPr>
                <w:rFonts w:hint="eastAsia" w:ascii="仿宋" w:hAnsi="仿宋" w:eastAsia="仿宋" w:cs="仿宋"/>
                <w:snapToGrid w:val="0"/>
                <w:color w:val="auto"/>
                <w:kern w:val="2"/>
                <w:szCs w:val="21"/>
              </w:rPr>
            </w:pPr>
          </w:p>
        </w:tc>
        <w:tc>
          <w:tcPr>
            <w:tcW w:w="1395" w:type="dxa"/>
          </w:tcPr>
          <w:p>
            <w:pPr>
              <w:snapToGrid w:val="0"/>
              <w:rPr>
                <w:rFonts w:hint="eastAsia" w:ascii="仿宋" w:hAnsi="仿宋" w:eastAsia="仿宋" w:cs="仿宋"/>
                <w:snapToGrid w:val="0"/>
                <w:color w:val="auto"/>
                <w:kern w:val="2"/>
                <w:szCs w:val="21"/>
              </w:rPr>
            </w:pPr>
          </w:p>
        </w:tc>
        <w:tc>
          <w:tcPr>
            <w:tcW w:w="1441" w:type="dxa"/>
          </w:tcPr>
          <w:p>
            <w:pPr>
              <w:snapToGrid w:val="0"/>
              <w:rPr>
                <w:rFonts w:hint="eastAsia" w:ascii="仿宋" w:hAnsi="仿宋" w:eastAsia="仿宋" w:cs="仿宋"/>
                <w:snapToGrid w:val="0"/>
                <w:color w:val="auto"/>
                <w:kern w:val="2"/>
                <w:szCs w:val="21"/>
              </w:rPr>
            </w:pPr>
          </w:p>
        </w:tc>
        <w:tc>
          <w:tcPr>
            <w:tcW w:w="1159" w:type="dxa"/>
          </w:tcPr>
          <w:p>
            <w:pPr>
              <w:snapToGrid w:val="0"/>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73" w:type="dxa"/>
          </w:tcPr>
          <w:p>
            <w:pPr>
              <w:snapToGrid w:val="0"/>
              <w:rPr>
                <w:rFonts w:hint="eastAsia" w:ascii="仿宋" w:hAnsi="仿宋" w:eastAsia="仿宋" w:cs="仿宋"/>
                <w:snapToGrid w:val="0"/>
                <w:color w:val="auto"/>
                <w:kern w:val="2"/>
                <w:szCs w:val="21"/>
              </w:rPr>
            </w:pPr>
          </w:p>
        </w:tc>
        <w:tc>
          <w:tcPr>
            <w:tcW w:w="786" w:type="dxa"/>
          </w:tcPr>
          <w:p>
            <w:pPr>
              <w:snapToGrid w:val="0"/>
              <w:rPr>
                <w:rFonts w:hint="eastAsia" w:ascii="仿宋" w:hAnsi="仿宋" w:eastAsia="仿宋" w:cs="仿宋"/>
                <w:snapToGrid w:val="0"/>
                <w:color w:val="auto"/>
                <w:kern w:val="2"/>
                <w:szCs w:val="21"/>
              </w:rPr>
            </w:pPr>
          </w:p>
        </w:tc>
        <w:tc>
          <w:tcPr>
            <w:tcW w:w="964" w:type="dxa"/>
          </w:tcPr>
          <w:p>
            <w:pPr>
              <w:snapToGrid w:val="0"/>
              <w:rPr>
                <w:rFonts w:hint="eastAsia" w:ascii="仿宋" w:hAnsi="仿宋" w:eastAsia="仿宋" w:cs="仿宋"/>
                <w:snapToGrid w:val="0"/>
                <w:color w:val="auto"/>
                <w:kern w:val="2"/>
                <w:szCs w:val="21"/>
              </w:rPr>
            </w:pPr>
          </w:p>
        </w:tc>
        <w:tc>
          <w:tcPr>
            <w:tcW w:w="1572" w:type="dxa"/>
          </w:tcPr>
          <w:p>
            <w:pPr>
              <w:snapToGrid w:val="0"/>
              <w:rPr>
                <w:rFonts w:hint="eastAsia" w:ascii="仿宋" w:hAnsi="仿宋" w:eastAsia="仿宋" w:cs="仿宋"/>
                <w:snapToGrid w:val="0"/>
                <w:color w:val="auto"/>
                <w:kern w:val="2"/>
                <w:szCs w:val="21"/>
              </w:rPr>
            </w:pPr>
          </w:p>
        </w:tc>
        <w:tc>
          <w:tcPr>
            <w:tcW w:w="976" w:type="dxa"/>
          </w:tcPr>
          <w:p>
            <w:pPr>
              <w:snapToGrid w:val="0"/>
              <w:rPr>
                <w:rFonts w:hint="eastAsia" w:ascii="仿宋" w:hAnsi="仿宋" w:eastAsia="仿宋" w:cs="仿宋"/>
                <w:snapToGrid w:val="0"/>
                <w:color w:val="auto"/>
                <w:kern w:val="2"/>
                <w:szCs w:val="21"/>
              </w:rPr>
            </w:pPr>
          </w:p>
        </w:tc>
        <w:tc>
          <w:tcPr>
            <w:tcW w:w="1171" w:type="dxa"/>
          </w:tcPr>
          <w:p>
            <w:pPr>
              <w:snapToGrid w:val="0"/>
              <w:rPr>
                <w:rFonts w:hint="eastAsia" w:ascii="仿宋" w:hAnsi="仿宋" w:eastAsia="仿宋" w:cs="仿宋"/>
                <w:snapToGrid w:val="0"/>
                <w:color w:val="auto"/>
                <w:kern w:val="2"/>
                <w:szCs w:val="21"/>
              </w:rPr>
            </w:pPr>
          </w:p>
        </w:tc>
        <w:tc>
          <w:tcPr>
            <w:tcW w:w="1395" w:type="dxa"/>
          </w:tcPr>
          <w:p>
            <w:pPr>
              <w:snapToGrid w:val="0"/>
              <w:rPr>
                <w:rFonts w:hint="eastAsia" w:ascii="仿宋" w:hAnsi="仿宋" w:eastAsia="仿宋" w:cs="仿宋"/>
                <w:snapToGrid w:val="0"/>
                <w:color w:val="auto"/>
                <w:kern w:val="2"/>
                <w:szCs w:val="21"/>
              </w:rPr>
            </w:pPr>
          </w:p>
        </w:tc>
        <w:tc>
          <w:tcPr>
            <w:tcW w:w="1441" w:type="dxa"/>
          </w:tcPr>
          <w:p>
            <w:pPr>
              <w:snapToGrid w:val="0"/>
              <w:rPr>
                <w:rFonts w:hint="eastAsia" w:ascii="仿宋" w:hAnsi="仿宋" w:eastAsia="仿宋" w:cs="仿宋"/>
                <w:snapToGrid w:val="0"/>
                <w:color w:val="auto"/>
                <w:kern w:val="2"/>
                <w:szCs w:val="21"/>
              </w:rPr>
            </w:pPr>
          </w:p>
        </w:tc>
        <w:tc>
          <w:tcPr>
            <w:tcW w:w="1159" w:type="dxa"/>
          </w:tcPr>
          <w:p>
            <w:pPr>
              <w:snapToGrid w:val="0"/>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73" w:type="dxa"/>
          </w:tcPr>
          <w:p>
            <w:pPr>
              <w:snapToGrid w:val="0"/>
              <w:rPr>
                <w:rFonts w:hint="eastAsia" w:ascii="仿宋" w:hAnsi="仿宋" w:eastAsia="仿宋" w:cs="仿宋"/>
                <w:snapToGrid w:val="0"/>
                <w:color w:val="auto"/>
                <w:kern w:val="2"/>
                <w:szCs w:val="21"/>
              </w:rPr>
            </w:pPr>
          </w:p>
        </w:tc>
        <w:tc>
          <w:tcPr>
            <w:tcW w:w="786" w:type="dxa"/>
          </w:tcPr>
          <w:p>
            <w:pPr>
              <w:snapToGrid w:val="0"/>
              <w:rPr>
                <w:rFonts w:hint="eastAsia" w:ascii="仿宋" w:hAnsi="仿宋" w:eastAsia="仿宋" w:cs="仿宋"/>
                <w:snapToGrid w:val="0"/>
                <w:color w:val="auto"/>
                <w:kern w:val="2"/>
                <w:szCs w:val="21"/>
              </w:rPr>
            </w:pPr>
          </w:p>
        </w:tc>
        <w:tc>
          <w:tcPr>
            <w:tcW w:w="964" w:type="dxa"/>
          </w:tcPr>
          <w:p>
            <w:pPr>
              <w:snapToGrid w:val="0"/>
              <w:rPr>
                <w:rFonts w:hint="eastAsia" w:ascii="仿宋" w:hAnsi="仿宋" w:eastAsia="仿宋" w:cs="仿宋"/>
                <w:snapToGrid w:val="0"/>
                <w:color w:val="auto"/>
                <w:kern w:val="2"/>
                <w:szCs w:val="21"/>
              </w:rPr>
            </w:pPr>
          </w:p>
        </w:tc>
        <w:tc>
          <w:tcPr>
            <w:tcW w:w="1572" w:type="dxa"/>
          </w:tcPr>
          <w:p>
            <w:pPr>
              <w:snapToGrid w:val="0"/>
              <w:rPr>
                <w:rFonts w:hint="eastAsia" w:ascii="仿宋" w:hAnsi="仿宋" w:eastAsia="仿宋" w:cs="仿宋"/>
                <w:snapToGrid w:val="0"/>
                <w:color w:val="auto"/>
                <w:kern w:val="2"/>
                <w:szCs w:val="21"/>
              </w:rPr>
            </w:pPr>
          </w:p>
        </w:tc>
        <w:tc>
          <w:tcPr>
            <w:tcW w:w="976" w:type="dxa"/>
          </w:tcPr>
          <w:p>
            <w:pPr>
              <w:snapToGrid w:val="0"/>
              <w:rPr>
                <w:rFonts w:hint="eastAsia" w:ascii="仿宋" w:hAnsi="仿宋" w:eastAsia="仿宋" w:cs="仿宋"/>
                <w:snapToGrid w:val="0"/>
                <w:color w:val="auto"/>
                <w:kern w:val="2"/>
                <w:szCs w:val="21"/>
              </w:rPr>
            </w:pPr>
          </w:p>
        </w:tc>
        <w:tc>
          <w:tcPr>
            <w:tcW w:w="1171" w:type="dxa"/>
          </w:tcPr>
          <w:p>
            <w:pPr>
              <w:snapToGrid w:val="0"/>
              <w:rPr>
                <w:rFonts w:hint="eastAsia" w:ascii="仿宋" w:hAnsi="仿宋" w:eastAsia="仿宋" w:cs="仿宋"/>
                <w:snapToGrid w:val="0"/>
                <w:color w:val="auto"/>
                <w:kern w:val="2"/>
                <w:szCs w:val="21"/>
              </w:rPr>
            </w:pPr>
          </w:p>
        </w:tc>
        <w:tc>
          <w:tcPr>
            <w:tcW w:w="1395" w:type="dxa"/>
          </w:tcPr>
          <w:p>
            <w:pPr>
              <w:snapToGrid w:val="0"/>
              <w:rPr>
                <w:rFonts w:hint="eastAsia" w:ascii="仿宋" w:hAnsi="仿宋" w:eastAsia="仿宋" w:cs="仿宋"/>
                <w:snapToGrid w:val="0"/>
                <w:color w:val="auto"/>
                <w:kern w:val="2"/>
                <w:szCs w:val="21"/>
              </w:rPr>
            </w:pPr>
          </w:p>
        </w:tc>
        <w:tc>
          <w:tcPr>
            <w:tcW w:w="1441" w:type="dxa"/>
          </w:tcPr>
          <w:p>
            <w:pPr>
              <w:snapToGrid w:val="0"/>
              <w:rPr>
                <w:rFonts w:hint="eastAsia" w:ascii="仿宋" w:hAnsi="仿宋" w:eastAsia="仿宋" w:cs="仿宋"/>
                <w:snapToGrid w:val="0"/>
                <w:color w:val="auto"/>
                <w:kern w:val="2"/>
                <w:szCs w:val="21"/>
              </w:rPr>
            </w:pPr>
          </w:p>
        </w:tc>
        <w:tc>
          <w:tcPr>
            <w:tcW w:w="1159" w:type="dxa"/>
          </w:tcPr>
          <w:p>
            <w:pPr>
              <w:snapToGrid w:val="0"/>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73" w:type="dxa"/>
          </w:tcPr>
          <w:p>
            <w:pPr>
              <w:snapToGrid w:val="0"/>
              <w:rPr>
                <w:rFonts w:hint="eastAsia" w:ascii="仿宋" w:hAnsi="仿宋" w:eastAsia="仿宋" w:cs="仿宋"/>
                <w:snapToGrid w:val="0"/>
                <w:color w:val="auto"/>
                <w:kern w:val="2"/>
                <w:szCs w:val="21"/>
              </w:rPr>
            </w:pPr>
          </w:p>
        </w:tc>
        <w:tc>
          <w:tcPr>
            <w:tcW w:w="786" w:type="dxa"/>
          </w:tcPr>
          <w:p>
            <w:pPr>
              <w:snapToGrid w:val="0"/>
              <w:rPr>
                <w:rFonts w:hint="eastAsia" w:ascii="仿宋" w:hAnsi="仿宋" w:eastAsia="仿宋" w:cs="仿宋"/>
                <w:snapToGrid w:val="0"/>
                <w:color w:val="auto"/>
                <w:kern w:val="2"/>
                <w:szCs w:val="21"/>
              </w:rPr>
            </w:pPr>
          </w:p>
        </w:tc>
        <w:tc>
          <w:tcPr>
            <w:tcW w:w="964" w:type="dxa"/>
          </w:tcPr>
          <w:p>
            <w:pPr>
              <w:snapToGrid w:val="0"/>
              <w:rPr>
                <w:rFonts w:hint="eastAsia" w:ascii="仿宋" w:hAnsi="仿宋" w:eastAsia="仿宋" w:cs="仿宋"/>
                <w:snapToGrid w:val="0"/>
                <w:color w:val="auto"/>
                <w:kern w:val="2"/>
                <w:szCs w:val="21"/>
              </w:rPr>
            </w:pPr>
          </w:p>
        </w:tc>
        <w:tc>
          <w:tcPr>
            <w:tcW w:w="1572" w:type="dxa"/>
          </w:tcPr>
          <w:p>
            <w:pPr>
              <w:snapToGrid w:val="0"/>
              <w:rPr>
                <w:rFonts w:hint="eastAsia" w:ascii="仿宋" w:hAnsi="仿宋" w:eastAsia="仿宋" w:cs="仿宋"/>
                <w:snapToGrid w:val="0"/>
                <w:color w:val="auto"/>
                <w:kern w:val="2"/>
                <w:szCs w:val="21"/>
              </w:rPr>
            </w:pPr>
          </w:p>
        </w:tc>
        <w:tc>
          <w:tcPr>
            <w:tcW w:w="976" w:type="dxa"/>
          </w:tcPr>
          <w:p>
            <w:pPr>
              <w:snapToGrid w:val="0"/>
              <w:rPr>
                <w:rFonts w:hint="eastAsia" w:ascii="仿宋" w:hAnsi="仿宋" w:eastAsia="仿宋" w:cs="仿宋"/>
                <w:snapToGrid w:val="0"/>
                <w:color w:val="auto"/>
                <w:kern w:val="2"/>
                <w:szCs w:val="21"/>
              </w:rPr>
            </w:pPr>
          </w:p>
        </w:tc>
        <w:tc>
          <w:tcPr>
            <w:tcW w:w="1171" w:type="dxa"/>
          </w:tcPr>
          <w:p>
            <w:pPr>
              <w:snapToGrid w:val="0"/>
              <w:rPr>
                <w:rFonts w:hint="eastAsia" w:ascii="仿宋" w:hAnsi="仿宋" w:eastAsia="仿宋" w:cs="仿宋"/>
                <w:snapToGrid w:val="0"/>
                <w:color w:val="auto"/>
                <w:kern w:val="2"/>
                <w:szCs w:val="21"/>
              </w:rPr>
            </w:pPr>
          </w:p>
        </w:tc>
        <w:tc>
          <w:tcPr>
            <w:tcW w:w="1395" w:type="dxa"/>
          </w:tcPr>
          <w:p>
            <w:pPr>
              <w:snapToGrid w:val="0"/>
              <w:rPr>
                <w:rFonts w:hint="eastAsia" w:ascii="仿宋" w:hAnsi="仿宋" w:eastAsia="仿宋" w:cs="仿宋"/>
                <w:snapToGrid w:val="0"/>
                <w:color w:val="auto"/>
                <w:kern w:val="2"/>
                <w:szCs w:val="21"/>
              </w:rPr>
            </w:pPr>
          </w:p>
        </w:tc>
        <w:tc>
          <w:tcPr>
            <w:tcW w:w="1441" w:type="dxa"/>
          </w:tcPr>
          <w:p>
            <w:pPr>
              <w:snapToGrid w:val="0"/>
              <w:rPr>
                <w:rFonts w:hint="eastAsia" w:ascii="仿宋" w:hAnsi="仿宋" w:eastAsia="仿宋" w:cs="仿宋"/>
                <w:snapToGrid w:val="0"/>
                <w:color w:val="auto"/>
                <w:kern w:val="2"/>
                <w:szCs w:val="21"/>
              </w:rPr>
            </w:pPr>
          </w:p>
        </w:tc>
        <w:tc>
          <w:tcPr>
            <w:tcW w:w="1159" w:type="dxa"/>
          </w:tcPr>
          <w:p>
            <w:pPr>
              <w:snapToGrid w:val="0"/>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73" w:type="dxa"/>
          </w:tcPr>
          <w:p>
            <w:pPr>
              <w:snapToGrid w:val="0"/>
              <w:rPr>
                <w:rFonts w:hint="eastAsia" w:ascii="仿宋" w:hAnsi="仿宋" w:eastAsia="仿宋" w:cs="仿宋"/>
                <w:snapToGrid w:val="0"/>
                <w:color w:val="auto"/>
                <w:kern w:val="2"/>
                <w:szCs w:val="21"/>
              </w:rPr>
            </w:pPr>
          </w:p>
        </w:tc>
        <w:tc>
          <w:tcPr>
            <w:tcW w:w="786" w:type="dxa"/>
          </w:tcPr>
          <w:p>
            <w:pPr>
              <w:snapToGrid w:val="0"/>
              <w:rPr>
                <w:rFonts w:hint="eastAsia" w:ascii="仿宋" w:hAnsi="仿宋" w:eastAsia="仿宋" w:cs="仿宋"/>
                <w:snapToGrid w:val="0"/>
                <w:color w:val="auto"/>
                <w:kern w:val="2"/>
                <w:szCs w:val="21"/>
              </w:rPr>
            </w:pPr>
          </w:p>
        </w:tc>
        <w:tc>
          <w:tcPr>
            <w:tcW w:w="964" w:type="dxa"/>
          </w:tcPr>
          <w:p>
            <w:pPr>
              <w:snapToGrid w:val="0"/>
              <w:rPr>
                <w:rFonts w:hint="eastAsia" w:ascii="仿宋" w:hAnsi="仿宋" w:eastAsia="仿宋" w:cs="仿宋"/>
                <w:snapToGrid w:val="0"/>
                <w:color w:val="auto"/>
                <w:kern w:val="2"/>
                <w:szCs w:val="21"/>
              </w:rPr>
            </w:pPr>
          </w:p>
        </w:tc>
        <w:tc>
          <w:tcPr>
            <w:tcW w:w="1572" w:type="dxa"/>
          </w:tcPr>
          <w:p>
            <w:pPr>
              <w:snapToGrid w:val="0"/>
              <w:rPr>
                <w:rFonts w:hint="eastAsia" w:ascii="仿宋" w:hAnsi="仿宋" w:eastAsia="仿宋" w:cs="仿宋"/>
                <w:snapToGrid w:val="0"/>
                <w:color w:val="auto"/>
                <w:kern w:val="2"/>
                <w:szCs w:val="21"/>
              </w:rPr>
            </w:pPr>
          </w:p>
        </w:tc>
        <w:tc>
          <w:tcPr>
            <w:tcW w:w="976" w:type="dxa"/>
          </w:tcPr>
          <w:p>
            <w:pPr>
              <w:snapToGrid w:val="0"/>
              <w:rPr>
                <w:rFonts w:hint="eastAsia" w:ascii="仿宋" w:hAnsi="仿宋" w:eastAsia="仿宋" w:cs="仿宋"/>
                <w:snapToGrid w:val="0"/>
                <w:color w:val="auto"/>
                <w:kern w:val="2"/>
                <w:szCs w:val="21"/>
              </w:rPr>
            </w:pPr>
          </w:p>
        </w:tc>
        <w:tc>
          <w:tcPr>
            <w:tcW w:w="1171" w:type="dxa"/>
          </w:tcPr>
          <w:p>
            <w:pPr>
              <w:snapToGrid w:val="0"/>
              <w:rPr>
                <w:rFonts w:hint="eastAsia" w:ascii="仿宋" w:hAnsi="仿宋" w:eastAsia="仿宋" w:cs="仿宋"/>
                <w:snapToGrid w:val="0"/>
                <w:color w:val="auto"/>
                <w:kern w:val="2"/>
                <w:szCs w:val="21"/>
              </w:rPr>
            </w:pPr>
          </w:p>
        </w:tc>
        <w:tc>
          <w:tcPr>
            <w:tcW w:w="1395" w:type="dxa"/>
          </w:tcPr>
          <w:p>
            <w:pPr>
              <w:snapToGrid w:val="0"/>
              <w:rPr>
                <w:rFonts w:hint="eastAsia" w:ascii="仿宋" w:hAnsi="仿宋" w:eastAsia="仿宋" w:cs="仿宋"/>
                <w:snapToGrid w:val="0"/>
                <w:color w:val="auto"/>
                <w:kern w:val="2"/>
                <w:szCs w:val="21"/>
              </w:rPr>
            </w:pPr>
          </w:p>
        </w:tc>
        <w:tc>
          <w:tcPr>
            <w:tcW w:w="1441" w:type="dxa"/>
          </w:tcPr>
          <w:p>
            <w:pPr>
              <w:snapToGrid w:val="0"/>
              <w:rPr>
                <w:rFonts w:hint="eastAsia" w:ascii="仿宋" w:hAnsi="仿宋" w:eastAsia="仿宋" w:cs="仿宋"/>
                <w:snapToGrid w:val="0"/>
                <w:color w:val="auto"/>
                <w:kern w:val="2"/>
                <w:szCs w:val="21"/>
              </w:rPr>
            </w:pPr>
          </w:p>
        </w:tc>
        <w:tc>
          <w:tcPr>
            <w:tcW w:w="1159" w:type="dxa"/>
          </w:tcPr>
          <w:p>
            <w:pPr>
              <w:snapToGrid w:val="0"/>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73" w:type="dxa"/>
          </w:tcPr>
          <w:p>
            <w:pPr>
              <w:snapToGrid w:val="0"/>
              <w:rPr>
                <w:rFonts w:hint="eastAsia" w:ascii="仿宋" w:hAnsi="仿宋" w:eastAsia="仿宋" w:cs="仿宋"/>
                <w:snapToGrid w:val="0"/>
                <w:color w:val="auto"/>
                <w:kern w:val="2"/>
                <w:szCs w:val="21"/>
              </w:rPr>
            </w:pPr>
          </w:p>
        </w:tc>
        <w:tc>
          <w:tcPr>
            <w:tcW w:w="786" w:type="dxa"/>
          </w:tcPr>
          <w:p>
            <w:pPr>
              <w:snapToGrid w:val="0"/>
              <w:rPr>
                <w:rFonts w:hint="eastAsia" w:ascii="仿宋" w:hAnsi="仿宋" w:eastAsia="仿宋" w:cs="仿宋"/>
                <w:snapToGrid w:val="0"/>
                <w:color w:val="auto"/>
                <w:kern w:val="2"/>
                <w:szCs w:val="21"/>
              </w:rPr>
            </w:pPr>
          </w:p>
        </w:tc>
        <w:tc>
          <w:tcPr>
            <w:tcW w:w="964" w:type="dxa"/>
          </w:tcPr>
          <w:p>
            <w:pPr>
              <w:snapToGrid w:val="0"/>
              <w:rPr>
                <w:rFonts w:hint="eastAsia" w:ascii="仿宋" w:hAnsi="仿宋" w:eastAsia="仿宋" w:cs="仿宋"/>
                <w:snapToGrid w:val="0"/>
                <w:color w:val="auto"/>
                <w:kern w:val="2"/>
                <w:szCs w:val="21"/>
              </w:rPr>
            </w:pPr>
          </w:p>
        </w:tc>
        <w:tc>
          <w:tcPr>
            <w:tcW w:w="1572" w:type="dxa"/>
          </w:tcPr>
          <w:p>
            <w:pPr>
              <w:snapToGrid w:val="0"/>
              <w:rPr>
                <w:rFonts w:hint="eastAsia" w:ascii="仿宋" w:hAnsi="仿宋" w:eastAsia="仿宋" w:cs="仿宋"/>
                <w:snapToGrid w:val="0"/>
                <w:color w:val="auto"/>
                <w:kern w:val="2"/>
                <w:szCs w:val="21"/>
              </w:rPr>
            </w:pPr>
          </w:p>
        </w:tc>
        <w:tc>
          <w:tcPr>
            <w:tcW w:w="976" w:type="dxa"/>
          </w:tcPr>
          <w:p>
            <w:pPr>
              <w:snapToGrid w:val="0"/>
              <w:rPr>
                <w:rFonts w:hint="eastAsia" w:ascii="仿宋" w:hAnsi="仿宋" w:eastAsia="仿宋" w:cs="仿宋"/>
                <w:snapToGrid w:val="0"/>
                <w:color w:val="auto"/>
                <w:kern w:val="2"/>
                <w:szCs w:val="21"/>
              </w:rPr>
            </w:pPr>
          </w:p>
        </w:tc>
        <w:tc>
          <w:tcPr>
            <w:tcW w:w="1171" w:type="dxa"/>
          </w:tcPr>
          <w:p>
            <w:pPr>
              <w:snapToGrid w:val="0"/>
              <w:rPr>
                <w:rFonts w:hint="eastAsia" w:ascii="仿宋" w:hAnsi="仿宋" w:eastAsia="仿宋" w:cs="仿宋"/>
                <w:snapToGrid w:val="0"/>
                <w:color w:val="auto"/>
                <w:kern w:val="2"/>
                <w:szCs w:val="21"/>
              </w:rPr>
            </w:pPr>
          </w:p>
        </w:tc>
        <w:tc>
          <w:tcPr>
            <w:tcW w:w="1395" w:type="dxa"/>
          </w:tcPr>
          <w:p>
            <w:pPr>
              <w:snapToGrid w:val="0"/>
              <w:rPr>
                <w:rFonts w:hint="eastAsia" w:ascii="仿宋" w:hAnsi="仿宋" w:eastAsia="仿宋" w:cs="仿宋"/>
                <w:snapToGrid w:val="0"/>
                <w:color w:val="auto"/>
                <w:kern w:val="2"/>
                <w:szCs w:val="21"/>
              </w:rPr>
            </w:pPr>
          </w:p>
        </w:tc>
        <w:tc>
          <w:tcPr>
            <w:tcW w:w="1441" w:type="dxa"/>
          </w:tcPr>
          <w:p>
            <w:pPr>
              <w:snapToGrid w:val="0"/>
              <w:rPr>
                <w:rFonts w:hint="eastAsia" w:ascii="仿宋" w:hAnsi="仿宋" w:eastAsia="仿宋" w:cs="仿宋"/>
                <w:snapToGrid w:val="0"/>
                <w:color w:val="auto"/>
                <w:kern w:val="2"/>
                <w:szCs w:val="21"/>
              </w:rPr>
            </w:pPr>
          </w:p>
        </w:tc>
        <w:tc>
          <w:tcPr>
            <w:tcW w:w="1159" w:type="dxa"/>
          </w:tcPr>
          <w:p>
            <w:pPr>
              <w:snapToGrid w:val="0"/>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73" w:type="dxa"/>
          </w:tcPr>
          <w:p>
            <w:pPr>
              <w:snapToGrid w:val="0"/>
              <w:rPr>
                <w:rFonts w:hint="eastAsia" w:ascii="仿宋" w:hAnsi="仿宋" w:eastAsia="仿宋" w:cs="仿宋"/>
                <w:snapToGrid w:val="0"/>
                <w:color w:val="auto"/>
                <w:kern w:val="2"/>
                <w:szCs w:val="21"/>
              </w:rPr>
            </w:pPr>
          </w:p>
        </w:tc>
        <w:tc>
          <w:tcPr>
            <w:tcW w:w="786" w:type="dxa"/>
          </w:tcPr>
          <w:p>
            <w:pPr>
              <w:snapToGrid w:val="0"/>
              <w:rPr>
                <w:rFonts w:hint="eastAsia" w:ascii="仿宋" w:hAnsi="仿宋" w:eastAsia="仿宋" w:cs="仿宋"/>
                <w:snapToGrid w:val="0"/>
                <w:color w:val="auto"/>
                <w:kern w:val="2"/>
                <w:szCs w:val="21"/>
              </w:rPr>
            </w:pPr>
          </w:p>
        </w:tc>
        <w:tc>
          <w:tcPr>
            <w:tcW w:w="964" w:type="dxa"/>
          </w:tcPr>
          <w:p>
            <w:pPr>
              <w:snapToGrid w:val="0"/>
              <w:rPr>
                <w:rFonts w:hint="eastAsia" w:ascii="仿宋" w:hAnsi="仿宋" w:eastAsia="仿宋" w:cs="仿宋"/>
                <w:snapToGrid w:val="0"/>
                <w:color w:val="auto"/>
                <w:kern w:val="2"/>
                <w:szCs w:val="21"/>
              </w:rPr>
            </w:pPr>
          </w:p>
        </w:tc>
        <w:tc>
          <w:tcPr>
            <w:tcW w:w="1572" w:type="dxa"/>
          </w:tcPr>
          <w:p>
            <w:pPr>
              <w:snapToGrid w:val="0"/>
              <w:rPr>
                <w:rFonts w:hint="eastAsia" w:ascii="仿宋" w:hAnsi="仿宋" w:eastAsia="仿宋" w:cs="仿宋"/>
                <w:snapToGrid w:val="0"/>
                <w:color w:val="auto"/>
                <w:kern w:val="2"/>
                <w:szCs w:val="21"/>
              </w:rPr>
            </w:pPr>
          </w:p>
        </w:tc>
        <w:tc>
          <w:tcPr>
            <w:tcW w:w="976" w:type="dxa"/>
          </w:tcPr>
          <w:p>
            <w:pPr>
              <w:snapToGrid w:val="0"/>
              <w:rPr>
                <w:rFonts w:hint="eastAsia" w:ascii="仿宋" w:hAnsi="仿宋" w:eastAsia="仿宋" w:cs="仿宋"/>
                <w:snapToGrid w:val="0"/>
                <w:color w:val="auto"/>
                <w:kern w:val="2"/>
                <w:szCs w:val="21"/>
              </w:rPr>
            </w:pPr>
          </w:p>
        </w:tc>
        <w:tc>
          <w:tcPr>
            <w:tcW w:w="1171" w:type="dxa"/>
          </w:tcPr>
          <w:p>
            <w:pPr>
              <w:snapToGrid w:val="0"/>
              <w:rPr>
                <w:rFonts w:hint="eastAsia" w:ascii="仿宋" w:hAnsi="仿宋" w:eastAsia="仿宋" w:cs="仿宋"/>
                <w:snapToGrid w:val="0"/>
                <w:color w:val="auto"/>
                <w:kern w:val="2"/>
                <w:szCs w:val="21"/>
              </w:rPr>
            </w:pPr>
          </w:p>
        </w:tc>
        <w:tc>
          <w:tcPr>
            <w:tcW w:w="1395" w:type="dxa"/>
          </w:tcPr>
          <w:p>
            <w:pPr>
              <w:snapToGrid w:val="0"/>
              <w:rPr>
                <w:rFonts w:hint="eastAsia" w:ascii="仿宋" w:hAnsi="仿宋" w:eastAsia="仿宋" w:cs="仿宋"/>
                <w:snapToGrid w:val="0"/>
                <w:color w:val="auto"/>
                <w:kern w:val="2"/>
                <w:szCs w:val="21"/>
              </w:rPr>
            </w:pPr>
          </w:p>
        </w:tc>
        <w:tc>
          <w:tcPr>
            <w:tcW w:w="1441" w:type="dxa"/>
          </w:tcPr>
          <w:p>
            <w:pPr>
              <w:snapToGrid w:val="0"/>
              <w:rPr>
                <w:rFonts w:hint="eastAsia" w:ascii="仿宋" w:hAnsi="仿宋" w:eastAsia="仿宋" w:cs="仿宋"/>
                <w:snapToGrid w:val="0"/>
                <w:color w:val="auto"/>
                <w:kern w:val="2"/>
                <w:szCs w:val="21"/>
              </w:rPr>
            </w:pPr>
          </w:p>
        </w:tc>
        <w:tc>
          <w:tcPr>
            <w:tcW w:w="1159" w:type="dxa"/>
          </w:tcPr>
          <w:p>
            <w:pPr>
              <w:snapToGrid w:val="0"/>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73" w:type="dxa"/>
          </w:tcPr>
          <w:p>
            <w:pPr>
              <w:snapToGrid w:val="0"/>
              <w:rPr>
                <w:rFonts w:hint="eastAsia" w:ascii="仿宋" w:hAnsi="仿宋" w:eastAsia="仿宋" w:cs="仿宋"/>
                <w:snapToGrid w:val="0"/>
                <w:color w:val="auto"/>
                <w:kern w:val="2"/>
                <w:szCs w:val="21"/>
              </w:rPr>
            </w:pPr>
          </w:p>
        </w:tc>
        <w:tc>
          <w:tcPr>
            <w:tcW w:w="786" w:type="dxa"/>
          </w:tcPr>
          <w:p>
            <w:pPr>
              <w:snapToGrid w:val="0"/>
              <w:rPr>
                <w:rFonts w:hint="eastAsia" w:ascii="仿宋" w:hAnsi="仿宋" w:eastAsia="仿宋" w:cs="仿宋"/>
                <w:snapToGrid w:val="0"/>
                <w:color w:val="auto"/>
                <w:kern w:val="2"/>
                <w:szCs w:val="21"/>
              </w:rPr>
            </w:pPr>
          </w:p>
        </w:tc>
        <w:tc>
          <w:tcPr>
            <w:tcW w:w="964" w:type="dxa"/>
          </w:tcPr>
          <w:p>
            <w:pPr>
              <w:snapToGrid w:val="0"/>
              <w:rPr>
                <w:rFonts w:hint="eastAsia" w:ascii="仿宋" w:hAnsi="仿宋" w:eastAsia="仿宋" w:cs="仿宋"/>
                <w:snapToGrid w:val="0"/>
                <w:color w:val="auto"/>
                <w:kern w:val="2"/>
                <w:szCs w:val="21"/>
              </w:rPr>
            </w:pPr>
          </w:p>
        </w:tc>
        <w:tc>
          <w:tcPr>
            <w:tcW w:w="1572" w:type="dxa"/>
          </w:tcPr>
          <w:p>
            <w:pPr>
              <w:snapToGrid w:val="0"/>
              <w:rPr>
                <w:rFonts w:hint="eastAsia" w:ascii="仿宋" w:hAnsi="仿宋" w:eastAsia="仿宋" w:cs="仿宋"/>
                <w:snapToGrid w:val="0"/>
                <w:color w:val="auto"/>
                <w:kern w:val="2"/>
                <w:szCs w:val="21"/>
              </w:rPr>
            </w:pPr>
          </w:p>
        </w:tc>
        <w:tc>
          <w:tcPr>
            <w:tcW w:w="976" w:type="dxa"/>
          </w:tcPr>
          <w:p>
            <w:pPr>
              <w:snapToGrid w:val="0"/>
              <w:rPr>
                <w:rFonts w:hint="eastAsia" w:ascii="仿宋" w:hAnsi="仿宋" w:eastAsia="仿宋" w:cs="仿宋"/>
                <w:snapToGrid w:val="0"/>
                <w:color w:val="auto"/>
                <w:kern w:val="2"/>
                <w:szCs w:val="21"/>
              </w:rPr>
            </w:pPr>
          </w:p>
        </w:tc>
        <w:tc>
          <w:tcPr>
            <w:tcW w:w="1171" w:type="dxa"/>
          </w:tcPr>
          <w:p>
            <w:pPr>
              <w:snapToGrid w:val="0"/>
              <w:rPr>
                <w:rFonts w:hint="eastAsia" w:ascii="仿宋" w:hAnsi="仿宋" w:eastAsia="仿宋" w:cs="仿宋"/>
                <w:snapToGrid w:val="0"/>
                <w:color w:val="auto"/>
                <w:kern w:val="2"/>
                <w:szCs w:val="21"/>
              </w:rPr>
            </w:pPr>
          </w:p>
        </w:tc>
        <w:tc>
          <w:tcPr>
            <w:tcW w:w="1395" w:type="dxa"/>
          </w:tcPr>
          <w:p>
            <w:pPr>
              <w:snapToGrid w:val="0"/>
              <w:rPr>
                <w:rFonts w:hint="eastAsia" w:ascii="仿宋" w:hAnsi="仿宋" w:eastAsia="仿宋" w:cs="仿宋"/>
                <w:snapToGrid w:val="0"/>
                <w:color w:val="auto"/>
                <w:kern w:val="2"/>
                <w:szCs w:val="21"/>
              </w:rPr>
            </w:pPr>
          </w:p>
        </w:tc>
        <w:tc>
          <w:tcPr>
            <w:tcW w:w="1441" w:type="dxa"/>
          </w:tcPr>
          <w:p>
            <w:pPr>
              <w:snapToGrid w:val="0"/>
              <w:rPr>
                <w:rFonts w:hint="eastAsia" w:ascii="仿宋" w:hAnsi="仿宋" w:eastAsia="仿宋" w:cs="仿宋"/>
                <w:snapToGrid w:val="0"/>
                <w:color w:val="auto"/>
                <w:kern w:val="2"/>
                <w:szCs w:val="21"/>
              </w:rPr>
            </w:pPr>
          </w:p>
        </w:tc>
        <w:tc>
          <w:tcPr>
            <w:tcW w:w="1159" w:type="dxa"/>
          </w:tcPr>
          <w:p>
            <w:pPr>
              <w:snapToGrid w:val="0"/>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73" w:type="dxa"/>
          </w:tcPr>
          <w:p>
            <w:pPr>
              <w:snapToGrid w:val="0"/>
              <w:rPr>
                <w:rFonts w:hint="eastAsia" w:ascii="仿宋" w:hAnsi="仿宋" w:eastAsia="仿宋" w:cs="仿宋"/>
                <w:snapToGrid w:val="0"/>
                <w:color w:val="auto"/>
                <w:kern w:val="2"/>
                <w:szCs w:val="21"/>
              </w:rPr>
            </w:pPr>
          </w:p>
        </w:tc>
        <w:tc>
          <w:tcPr>
            <w:tcW w:w="786" w:type="dxa"/>
          </w:tcPr>
          <w:p>
            <w:pPr>
              <w:snapToGrid w:val="0"/>
              <w:rPr>
                <w:rFonts w:hint="eastAsia" w:ascii="仿宋" w:hAnsi="仿宋" w:eastAsia="仿宋" w:cs="仿宋"/>
                <w:snapToGrid w:val="0"/>
                <w:color w:val="auto"/>
                <w:kern w:val="2"/>
                <w:szCs w:val="21"/>
              </w:rPr>
            </w:pPr>
          </w:p>
        </w:tc>
        <w:tc>
          <w:tcPr>
            <w:tcW w:w="964" w:type="dxa"/>
          </w:tcPr>
          <w:p>
            <w:pPr>
              <w:snapToGrid w:val="0"/>
              <w:rPr>
                <w:rFonts w:hint="eastAsia" w:ascii="仿宋" w:hAnsi="仿宋" w:eastAsia="仿宋" w:cs="仿宋"/>
                <w:snapToGrid w:val="0"/>
                <w:color w:val="auto"/>
                <w:kern w:val="2"/>
                <w:szCs w:val="21"/>
              </w:rPr>
            </w:pPr>
          </w:p>
        </w:tc>
        <w:tc>
          <w:tcPr>
            <w:tcW w:w="1572" w:type="dxa"/>
          </w:tcPr>
          <w:p>
            <w:pPr>
              <w:snapToGrid w:val="0"/>
              <w:rPr>
                <w:rFonts w:hint="eastAsia" w:ascii="仿宋" w:hAnsi="仿宋" w:eastAsia="仿宋" w:cs="仿宋"/>
                <w:snapToGrid w:val="0"/>
                <w:color w:val="auto"/>
                <w:kern w:val="2"/>
                <w:szCs w:val="21"/>
              </w:rPr>
            </w:pPr>
          </w:p>
        </w:tc>
        <w:tc>
          <w:tcPr>
            <w:tcW w:w="976" w:type="dxa"/>
          </w:tcPr>
          <w:p>
            <w:pPr>
              <w:snapToGrid w:val="0"/>
              <w:rPr>
                <w:rFonts w:hint="eastAsia" w:ascii="仿宋" w:hAnsi="仿宋" w:eastAsia="仿宋" w:cs="仿宋"/>
                <w:snapToGrid w:val="0"/>
                <w:color w:val="auto"/>
                <w:kern w:val="2"/>
                <w:szCs w:val="21"/>
              </w:rPr>
            </w:pPr>
          </w:p>
        </w:tc>
        <w:tc>
          <w:tcPr>
            <w:tcW w:w="1171" w:type="dxa"/>
          </w:tcPr>
          <w:p>
            <w:pPr>
              <w:snapToGrid w:val="0"/>
              <w:rPr>
                <w:rFonts w:hint="eastAsia" w:ascii="仿宋" w:hAnsi="仿宋" w:eastAsia="仿宋" w:cs="仿宋"/>
                <w:snapToGrid w:val="0"/>
                <w:color w:val="auto"/>
                <w:kern w:val="2"/>
                <w:szCs w:val="21"/>
              </w:rPr>
            </w:pPr>
          </w:p>
        </w:tc>
        <w:tc>
          <w:tcPr>
            <w:tcW w:w="1395" w:type="dxa"/>
          </w:tcPr>
          <w:p>
            <w:pPr>
              <w:snapToGrid w:val="0"/>
              <w:rPr>
                <w:rFonts w:hint="eastAsia" w:ascii="仿宋" w:hAnsi="仿宋" w:eastAsia="仿宋" w:cs="仿宋"/>
                <w:snapToGrid w:val="0"/>
                <w:color w:val="auto"/>
                <w:kern w:val="2"/>
                <w:szCs w:val="21"/>
              </w:rPr>
            </w:pPr>
          </w:p>
        </w:tc>
        <w:tc>
          <w:tcPr>
            <w:tcW w:w="1441" w:type="dxa"/>
          </w:tcPr>
          <w:p>
            <w:pPr>
              <w:snapToGrid w:val="0"/>
              <w:rPr>
                <w:rFonts w:hint="eastAsia" w:ascii="仿宋" w:hAnsi="仿宋" w:eastAsia="仿宋" w:cs="仿宋"/>
                <w:snapToGrid w:val="0"/>
                <w:color w:val="auto"/>
                <w:kern w:val="2"/>
                <w:szCs w:val="21"/>
              </w:rPr>
            </w:pPr>
          </w:p>
        </w:tc>
        <w:tc>
          <w:tcPr>
            <w:tcW w:w="1159" w:type="dxa"/>
          </w:tcPr>
          <w:p>
            <w:pPr>
              <w:snapToGrid w:val="0"/>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73" w:type="dxa"/>
          </w:tcPr>
          <w:p>
            <w:pPr>
              <w:snapToGrid w:val="0"/>
              <w:rPr>
                <w:rFonts w:hint="eastAsia" w:ascii="仿宋" w:hAnsi="仿宋" w:eastAsia="仿宋" w:cs="仿宋"/>
                <w:snapToGrid w:val="0"/>
                <w:color w:val="auto"/>
                <w:kern w:val="2"/>
                <w:szCs w:val="21"/>
              </w:rPr>
            </w:pPr>
          </w:p>
        </w:tc>
        <w:tc>
          <w:tcPr>
            <w:tcW w:w="786" w:type="dxa"/>
          </w:tcPr>
          <w:p>
            <w:pPr>
              <w:snapToGrid w:val="0"/>
              <w:rPr>
                <w:rFonts w:hint="eastAsia" w:ascii="仿宋" w:hAnsi="仿宋" w:eastAsia="仿宋" w:cs="仿宋"/>
                <w:snapToGrid w:val="0"/>
                <w:color w:val="auto"/>
                <w:kern w:val="2"/>
                <w:szCs w:val="21"/>
              </w:rPr>
            </w:pPr>
          </w:p>
        </w:tc>
        <w:tc>
          <w:tcPr>
            <w:tcW w:w="964" w:type="dxa"/>
          </w:tcPr>
          <w:p>
            <w:pPr>
              <w:snapToGrid w:val="0"/>
              <w:rPr>
                <w:rFonts w:hint="eastAsia" w:ascii="仿宋" w:hAnsi="仿宋" w:eastAsia="仿宋" w:cs="仿宋"/>
                <w:snapToGrid w:val="0"/>
                <w:color w:val="auto"/>
                <w:kern w:val="2"/>
                <w:szCs w:val="21"/>
              </w:rPr>
            </w:pPr>
          </w:p>
        </w:tc>
        <w:tc>
          <w:tcPr>
            <w:tcW w:w="1572" w:type="dxa"/>
          </w:tcPr>
          <w:p>
            <w:pPr>
              <w:snapToGrid w:val="0"/>
              <w:rPr>
                <w:rFonts w:hint="eastAsia" w:ascii="仿宋" w:hAnsi="仿宋" w:eastAsia="仿宋" w:cs="仿宋"/>
                <w:snapToGrid w:val="0"/>
                <w:color w:val="auto"/>
                <w:kern w:val="2"/>
                <w:szCs w:val="21"/>
              </w:rPr>
            </w:pPr>
          </w:p>
        </w:tc>
        <w:tc>
          <w:tcPr>
            <w:tcW w:w="976" w:type="dxa"/>
          </w:tcPr>
          <w:p>
            <w:pPr>
              <w:snapToGrid w:val="0"/>
              <w:rPr>
                <w:rFonts w:hint="eastAsia" w:ascii="仿宋" w:hAnsi="仿宋" w:eastAsia="仿宋" w:cs="仿宋"/>
                <w:snapToGrid w:val="0"/>
                <w:color w:val="auto"/>
                <w:kern w:val="2"/>
                <w:szCs w:val="21"/>
              </w:rPr>
            </w:pPr>
          </w:p>
        </w:tc>
        <w:tc>
          <w:tcPr>
            <w:tcW w:w="1171" w:type="dxa"/>
          </w:tcPr>
          <w:p>
            <w:pPr>
              <w:snapToGrid w:val="0"/>
              <w:rPr>
                <w:rFonts w:hint="eastAsia" w:ascii="仿宋" w:hAnsi="仿宋" w:eastAsia="仿宋" w:cs="仿宋"/>
                <w:snapToGrid w:val="0"/>
                <w:color w:val="auto"/>
                <w:kern w:val="2"/>
                <w:szCs w:val="21"/>
              </w:rPr>
            </w:pPr>
          </w:p>
        </w:tc>
        <w:tc>
          <w:tcPr>
            <w:tcW w:w="1395" w:type="dxa"/>
          </w:tcPr>
          <w:p>
            <w:pPr>
              <w:snapToGrid w:val="0"/>
              <w:rPr>
                <w:rFonts w:hint="eastAsia" w:ascii="仿宋" w:hAnsi="仿宋" w:eastAsia="仿宋" w:cs="仿宋"/>
                <w:snapToGrid w:val="0"/>
                <w:color w:val="auto"/>
                <w:kern w:val="2"/>
                <w:szCs w:val="21"/>
              </w:rPr>
            </w:pPr>
          </w:p>
        </w:tc>
        <w:tc>
          <w:tcPr>
            <w:tcW w:w="1441" w:type="dxa"/>
          </w:tcPr>
          <w:p>
            <w:pPr>
              <w:snapToGrid w:val="0"/>
              <w:rPr>
                <w:rFonts w:hint="eastAsia" w:ascii="仿宋" w:hAnsi="仿宋" w:eastAsia="仿宋" w:cs="仿宋"/>
                <w:snapToGrid w:val="0"/>
                <w:color w:val="auto"/>
                <w:kern w:val="2"/>
                <w:szCs w:val="21"/>
              </w:rPr>
            </w:pPr>
          </w:p>
        </w:tc>
        <w:tc>
          <w:tcPr>
            <w:tcW w:w="1159" w:type="dxa"/>
          </w:tcPr>
          <w:p>
            <w:pPr>
              <w:snapToGrid w:val="0"/>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73" w:type="dxa"/>
          </w:tcPr>
          <w:p>
            <w:pPr>
              <w:snapToGrid w:val="0"/>
              <w:rPr>
                <w:rFonts w:hint="eastAsia" w:ascii="仿宋" w:hAnsi="仿宋" w:eastAsia="仿宋" w:cs="仿宋"/>
                <w:snapToGrid w:val="0"/>
                <w:color w:val="auto"/>
                <w:kern w:val="2"/>
                <w:szCs w:val="21"/>
              </w:rPr>
            </w:pPr>
          </w:p>
        </w:tc>
        <w:tc>
          <w:tcPr>
            <w:tcW w:w="786" w:type="dxa"/>
          </w:tcPr>
          <w:p>
            <w:pPr>
              <w:snapToGrid w:val="0"/>
              <w:rPr>
                <w:rFonts w:hint="eastAsia" w:ascii="仿宋" w:hAnsi="仿宋" w:eastAsia="仿宋" w:cs="仿宋"/>
                <w:snapToGrid w:val="0"/>
                <w:color w:val="auto"/>
                <w:kern w:val="2"/>
                <w:szCs w:val="21"/>
              </w:rPr>
            </w:pPr>
          </w:p>
        </w:tc>
        <w:tc>
          <w:tcPr>
            <w:tcW w:w="964" w:type="dxa"/>
          </w:tcPr>
          <w:p>
            <w:pPr>
              <w:snapToGrid w:val="0"/>
              <w:rPr>
                <w:rFonts w:hint="eastAsia" w:ascii="仿宋" w:hAnsi="仿宋" w:eastAsia="仿宋" w:cs="仿宋"/>
                <w:snapToGrid w:val="0"/>
                <w:color w:val="auto"/>
                <w:kern w:val="2"/>
                <w:szCs w:val="21"/>
              </w:rPr>
            </w:pPr>
          </w:p>
        </w:tc>
        <w:tc>
          <w:tcPr>
            <w:tcW w:w="1572" w:type="dxa"/>
          </w:tcPr>
          <w:p>
            <w:pPr>
              <w:snapToGrid w:val="0"/>
              <w:rPr>
                <w:rFonts w:hint="eastAsia" w:ascii="仿宋" w:hAnsi="仿宋" w:eastAsia="仿宋" w:cs="仿宋"/>
                <w:snapToGrid w:val="0"/>
                <w:color w:val="auto"/>
                <w:kern w:val="2"/>
                <w:szCs w:val="21"/>
              </w:rPr>
            </w:pPr>
          </w:p>
        </w:tc>
        <w:tc>
          <w:tcPr>
            <w:tcW w:w="976" w:type="dxa"/>
          </w:tcPr>
          <w:p>
            <w:pPr>
              <w:snapToGrid w:val="0"/>
              <w:rPr>
                <w:rFonts w:hint="eastAsia" w:ascii="仿宋" w:hAnsi="仿宋" w:eastAsia="仿宋" w:cs="仿宋"/>
                <w:snapToGrid w:val="0"/>
                <w:color w:val="auto"/>
                <w:kern w:val="2"/>
                <w:szCs w:val="21"/>
              </w:rPr>
            </w:pPr>
          </w:p>
        </w:tc>
        <w:tc>
          <w:tcPr>
            <w:tcW w:w="1171" w:type="dxa"/>
          </w:tcPr>
          <w:p>
            <w:pPr>
              <w:snapToGrid w:val="0"/>
              <w:rPr>
                <w:rFonts w:hint="eastAsia" w:ascii="仿宋" w:hAnsi="仿宋" w:eastAsia="仿宋" w:cs="仿宋"/>
                <w:snapToGrid w:val="0"/>
                <w:color w:val="auto"/>
                <w:kern w:val="2"/>
                <w:szCs w:val="21"/>
              </w:rPr>
            </w:pPr>
          </w:p>
        </w:tc>
        <w:tc>
          <w:tcPr>
            <w:tcW w:w="1395" w:type="dxa"/>
          </w:tcPr>
          <w:p>
            <w:pPr>
              <w:snapToGrid w:val="0"/>
              <w:rPr>
                <w:rFonts w:hint="eastAsia" w:ascii="仿宋" w:hAnsi="仿宋" w:eastAsia="仿宋" w:cs="仿宋"/>
                <w:snapToGrid w:val="0"/>
                <w:color w:val="auto"/>
                <w:kern w:val="2"/>
                <w:szCs w:val="21"/>
              </w:rPr>
            </w:pPr>
          </w:p>
        </w:tc>
        <w:tc>
          <w:tcPr>
            <w:tcW w:w="1441" w:type="dxa"/>
          </w:tcPr>
          <w:p>
            <w:pPr>
              <w:snapToGrid w:val="0"/>
              <w:rPr>
                <w:rFonts w:hint="eastAsia" w:ascii="仿宋" w:hAnsi="仿宋" w:eastAsia="仿宋" w:cs="仿宋"/>
                <w:snapToGrid w:val="0"/>
                <w:color w:val="auto"/>
                <w:kern w:val="2"/>
                <w:szCs w:val="21"/>
              </w:rPr>
            </w:pPr>
          </w:p>
        </w:tc>
        <w:tc>
          <w:tcPr>
            <w:tcW w:w="1159" w:type="dxa"/>
          </w:tcPr>
          <w:p>
            <w:pPr>
              <w:snapToGrid w:val="0"/>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73" w:type="dxa"/>
          </w:tcPr>
          <w:p>
            <w:pPr>
              <w:snapToGrid w:val="0"/>
              <w:rPr>
                <w:rFonts w:hint="eastAsia" w:ascii="仿宋" w:hAnsi="仿宋" w:eastAsia="仿宋" w:cs="仿宋"/>
                <w:snapToGrid w:val="0"/>
                <w:color w:val="auto"/>
                <w:kern w:val="2"/>
                <w:szCs w:val="21"/>
              </w:rPr>
            </w:pPr>
          </w:p>
        </w:tc>
        <w:tc>
          <w:tcPr>
            <w:tcW w:w="786" w:type="dxa"/>
          </w:tcPr>
          <w:p>
            <w:pPr>
              <w:snapToGrid w:val="0"/>
              <w:rPr>
                <w:rFonts w:hint="eastAsia" w:ascii="仿宋" w:hAnsi="仿宋" w:eastAsia="仿宋" w:cs="仿宋"/>
                <w:snapToGrid w:val="0"/>
                <w:color w:val="auto"/>
                <w:kern w:val="2"/>
                <w:szCs w:val="21"/>
              </w:rPr>
            </w:pPr>
          </w:p>
        </w:tc>
        <w:tc>
          <w:tcPr>
            <w:tcW w:w="964" w:type="dxa"/>
          </w:tcPr>
          <w:p>
            <w:pPr>
              <w:snapToGrid w:val="0"/>
              <w:rPr>
                <w:rFonts w:hint="eastAsia" w:ascii="仿宋" w:hAnsi="仿宋" w:eastAsia="仿宋" w:cs="仿宋"/>
                <w:snapToGrid w:val="0"/>
                <w:color w:val="auto"/>
                <w:kern w:val="2"/>
                <w:szCs w:val="21"/>
              </w:rPr>
            </w:pPr>
          </w:p>
        </w:tc>
        <w:tc>
          <w:tcPr>
            <w:tcW w:w="1572" w:type="dxa"/>
          </w:tcPr>
          <w:p>
            <w:pPr>
              <w:snapToGrid w:val="0"/>
              <w:rPr>
                <w:rFonts w:hint="eastAsia" w:ascii="仿宋" w:hAnsi="仿宋" w:eastAsia="仿宋" w:cs="仿宋"/>
                <w:snapToGrid w:val="0"/>
                <w:color w:val="auto"/>
                <w:kern w:val="2"/>
                <w:szCs w:val="21"/>
              </w:rPr>
            </w:pPr>
          </w:p>
        </w:tc>
        <w:tc>
          <w:tcPr>
            <w:tcW w:w="976" w:type="dxa"/>
          </w:tcPr>
          <w:p>
            <w:pPr>
              <w:snapToGrid w:val="0"/>
              <w:rPr>
                <w:rFonts w:hint="eastAsia" w:ascii="仿宋" w:hAnsi="仿宋" w:eastAsia="仿宋" w:cs="仿宋"/>
                <w:snapToGrid w:val="0"/>
                <w:color w:val="auto"/>
                <w:kern w:val="2"/>
                <w:szCs w:val="21"/>
              </w:rPr>
            </w:pPr>
          </w:p>
        </w:tc>
        <w:tc>
          <w:tcPr>
            <w:tcW w:w="1171" w:type="dxa"/>
          </w:tcPr>
          <w:p>
            <w:pPr>
              <w:snapToGrid w:val="0"/>
              <w:rPr>
                <w:rFonts w:hint="eastAsia" w:ascii="仿宋" w:hAnsi="仿宋" w:eastAsia="仿宋" w:cs="仿宋"/>
                <w:snapToGrid w:val="0"/>
                <w:color w:val="auto"/>
                <w:kern w:val="2"/>
                <w:szCs w:val="21"/>
              </w:rPr>
            </w:pPr>
          </w:p>
        </w:tc>
        <w:tc>
          <w:tcPr>
            <w:tcW w:w="1395" w:type="dxa"/>
          </w:tcPr>
          <w:p>
            <w:pPr>
              <w:snapToGrid w:val="0"/>
              <w:rPr>
                <w:rFonts w:hint="eastAsia" w:ascii="仿宋" w:hAnsi="仿宋" w:eastAsia="仿宋" w:cs="仿宋"/>
                <w:snapToGrid w:val="0"/>
                <w:color w:val="auto"/>
                <w:kern w:val="2"/>
                <w:szCs w:val="21"/>
              </w:rPr>
            </w:pPr>
          </w:p>
        </w:tc>
        <w:tc>
          <w:tcPr>
            <w:tcW w:w="1441" w:type="dxa"/>
          </w:tcPr>
          <w:p>
            <w:pPr>
              <w:snapToGrid w:val="0"/>
              <w:rPr>
                <w:rFonts w:hint="eastAsia" w:ascii="仿宋" w:hAnsi="仿宋" w:eastAsia="仿宋" w:cs="仿宋"/>
                <w:snapToGrid w:val="0"/>
                <w:color w:val="auto"/>
                <w:kern w:val="2"/>
                <w:szCs w:val="21"/>
              </w:rPr>
            </w:pPr>
          </w:p>
        </w:tc>
        <w:tc>
          <w:tcPr>
            <w:tcW w:w="1159" w:type="dxa"/>
          </w:tcPr>
          <w:p>
            <w:pPr>
              <w:snapToGrid w:val="0"/>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73" w:type="dxa"/>
          </w:tcPr>
          <w:p>
            <w:pPr>
              <w:snapToGrid w:val="0"/>
              <w:rPr>
                <w:rFonts w:hint="eastAsia" w:ascii="仿宋" w:hAnsi="仿宋" w:eastAsia="仿宋" w:cs="仿宋"/>
                <w:snapToGrid w:val="0"/>
                <w:color w:val="auto"/>
                <w:kern w:val="2"/>
                <w:szCs w:val="21"/>
              </w:rPr>
            </w:pPr>
          </w:p>
        </w:tc>
        <w:tc>
          <w:tcPr>
            <w:tcW w:w="786" w:type="dxa"/>
          </w:tcPr>
          <w:p>
            <w:pPr>
              <w:snapToGrid w:val="0"/>
              <w:rPr>
                <w:rFonts w:hint="eastAsia" w:ascii="仿宋" w:hAnsi="仿宋" w:eastAsia="仿宋" w:cs="仿宋"/>
                <w:snapToGrid w:val="0"/>
                <w:color w:val="auto"/>
                <w:kern w:val="2"/>
                <w:szCs w:val="21"/>
              </w:rPr>
            </w:pPr>
          </w:p>
        </w:tc>
        <w:tc>
          <w:tcPr>
            <w:tcW w:w="964" w:type="dxa"/>
          </w:tcPr>
          <w:p>
            <w:pPr>
              <w:snapToGrid w:val="0"/>
              <w:rPr>
                <w:rFonts w:hint="eastAsia" w:ascii="仿宋" w:hAnsi="仿宋" w:eastAsia="仿宋" w:cs="仿宋"/>
                <w:snapToGrid w:val="0"/>
                <w:color w:val="auto"/>
                <w:kern w:val="2"/>
                <w:szCs w:val="21"/>
              </w:rPr>
            </w:pPr>
          </w:p>
        </w:tc>
        <w:tc>
          <w:tcPr>
            <w:tcW w:w="1572" w:type="dxa"/>
          </w:tcPr>
          <w:p>
            <w:pPr>
              <w:snapToGrid w:val="0"/>
              <w:rPr>
                <w:rFonts w:hint="eastAsia" w:ascii="仿宋" w:hAnsi="仿宋" w:eastAsia="仿宋" w:cs="仿宋"/>
                <w:snapToGrid w:val="0"/>
                <w:color w:val="auto"/>
                <w:kern w:val="2"/>
                <w:szCs w:val="21"/>
              </w:rPr>
            </w:pPr>
          </w:p>
        </w:tc>
        <w:tc>
          <w:tcPr>
            <w:tcW w:w="976" w:type="dxa"/>
          </w:tcPr>
          <w:p>
            <w:pPr>
              <w:snapToGrid w:val="0"/>
              <w:rPr>
                <w:rFonts w:hint="eastAsia" w:ascii="仿宋" w:hAnsi="仿宋" w:eastAsia="仿宋" w:cs="仿宋"/>
                <w:snapToGrid w:val="0"/>
                <w:color w:val="auto"/>
                <w:kern w:val="2"/>
                <w:szCs w:val="21"/>
              </w:rPr>
            </w:pPr>
          </w:p>
        </w:tc>
        <w:tc>
          <w:tcPr>
            <w:tcW w:w="1171" w:type="dxa"/>
          </w:tcPr>
          <w:p>
            <w:pPr>
              <w:snapToGrid w:val="0"/>
              <w:rPr>
                <w:rFonts w:hint="eastAsia" w:ascii="仿宋" w:hAnsi="仿宋" w:eastAsia="仿宋" w:cs="仿宋"/>
                <w:snapToGrid w:val="0"/>
                <w:color w:val="auto"/>
                <w:kern w:val="2"/>
                <w:szCs w:val="21"/>
              </w:rPr>
            </w:pPr>
          </w:p>
        </w:tc>
        <w:tc>
          <w:tcPr>
            <w:tcW w:w="1395" w:type="dxa"/>
          </w:tcPr>
          <w:p>
            <w:pPr>
              <w:snapToGrid w:val="0"/>
              <w:rPr>
                <w:rFonts w:hint="eastAsia" w:ascii="仿宋" w:hAnsi="仿宋" w:eastAsia="仿宋" w:cs="仿宋"/>
                <w:snapToGrid w:val="0"/>
                <w:color w:val="auto"/>
                <w:kern w:val="2"/>
                <w:szCs w:val="21"/>
              </w:rPr>
            </w:pPr>
          </w:p>
        </w:tc>
        <w:tc>
          <w:tcPr>
            <w:tcW w:w="1441" w:type="dxa"/>
          </w:tcPr>
          <w:p>
            <w:pPr>
              <w:snapToGrid w:val="0"/>
              <w:rPr>
                <w:rFonts w:hint="eastAsia" w:ascii="仿宋" w:hAnsi="仿宋" w:eastAsia="仿宋" w:cs="仿宋"/>
                <w:snapToGrid w:val="0"/>
                <w:color w:val="auto"/>
                <w:kern w:val="2"/>
                <w:szCs w:val="21"/>
              </w:rPr>
            </w:pPr>
          </w:p>
        </w:tc>
        <w:tc>
          <w:tcPr>
            <w:tcW w:w="1159" w:type="dxa"/>
          </w:tcPr>
          <w:p>
            <w:pPr>
              <w:snapToGrid w:val="0"/>
              <w:rPr>
                <w:rFonts w:hint="eastAsia" w:ascii="仿宋" w:hAnsi="仿宋" w:eastAsia="仿宋" w:cs="仿宋"/>
                <w:snapToGrid w:val="0"/>
                <w:color w:val="auto"/>
                <w:kern w:val="2"/>
                <w:szCs w:val="21"/>
              </w:rPr>
            </w:pPr>
          </w:p>
        </w:tc>
      </w:tr>
    </w:tbl>
    <w:p>
      <w:pPr>
        <w:ind w:firstLine="480" w:firstLineChars="200"/>
        <w:rPr>
          <w:rFonts w:hint="eastAsia" w:ascii="仿宋" w:hAnsi="仿宋" w:eastAsia="仿宋" w:cs="仿宋"/>
          <w:snapToGrid w:val="0"/>
          <w:color w:val="auto"/>
          <w:szCs w:val="21"/>
        </w:rPr>
      </w:pPr>
    </w:p>
    <w:p>
      <w:pPr>
        <w:rPr>
          <w:rFonts w:hint="eastAsia" w:ascii="仿宋" w:hAnsi="仿宋" w:eastAsia="仿宋" w:cs="仿宋"/>
          <w:snapToGrid w:val="0"/>
          <w:color w:val="auto"/>
          <w:szCs w:val="21"/>
        </w:rPr>
      </w:pPr>
    </w:p>
    <w:p>
      <w:pPr>
        <w:pStyle w:val="8"/>
        <w:rPr>
          <w:rFonts w:hint="eastAsia" w:ascii="仿宋" w:hAnsi="仿宋" w:eastAsia="仿宋" w:cs="仿宋"/>
          <w:color w:val="auto"/>
          <w:szCs w:val="24"/>
        </w:rPr>
      </w:pPr>
      <w:r>
        <w:rPr>
          <w:rFonts w:hint="eastAsia" w:ascii="仿宋" w:hAnsi="仿宋" w:eastAsia="仿宋" w:cs="仿宋"/>
          <w:color w:val="auto"/>
          <w:szCs w:val="24"/>
        </w:rPr>
        <w:br w:type="page"/>
      </w:r>
      <w:r>
        <w:rPr>
          <w:rFonts w:hint="eastAsia" w:ascii="仿宋" w:hAnsi="仿宋" w:eastAsia="仿宋" w:cs="仿宋"/>
          <w:color w:val="auto"/>
          <w:szCs w:val="24"/>
        </w:rPr>
        <w:t>（二）主要人员简历表</w:t>
      </w:r>
    </w:p>
    <w:p>
      <w:pPr>
        <w:pStyle w:val="5"/>
        <w:rPr>
          <w:rFonts w:hint="eastAsia" w:ascii="仿宋" w:hAnsi="仿宋" w:eastAsia="仿宋" w:cs="仿宋"/>
          <w:snapToGrid w:val="0"/>
          <w:color w:val="auto"/>
        </w:rPr>
      </w:pPr>
    </w:p>
    <w:tbl>
      <w:tblPr>
        <w:tblStyle w:val="25"/>
        <w:tblW w:w="10197"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378"/>
        <w:gridCol w:w="376"/>
        <w:gridCol w:w="1440"/>
        <w:gridCol w:w="873"/>
        <w:gridCol w:w="1451"/>
        <w:gridCol w:w="131"/>
        <w:gridCol w:w="1520"/>
        <w:gridCol w:w="1255"/>
        <w:gridCol w:w="17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1754" w:type="dxa"/>
            <w:gridSpan w:val="2"/>
            <w:vAlign w:val="center"/>
          </w:tcPr>
          <w:p>
            <w:pPr>
              <w:snapToGrid w:val="0"/>
              <w:jc w:val="center"/>
              <w:rPr>
                <w:rFonts w:hint="eastAsia" w:ascii="仿宋" w:hAnsi="仿宋" w:eastAsia="仿宋" w:cs="仿宋"/>
                <w:snapToGrid w:val="0"/>
                <w:color w:val="auto"/>
                <w:kern w:val="2"/>
                <w:szCs w:val="21"/>
              </w:rPr>
            </w:pPr>
            <w:bookmarkStart w:id="1031" w:name="_Toc184635146"/>
            <w:r>
              <w:rPr>
                <w:rFonts w:hint="eastAsia" w:ascii="仿宋" w:hAnsi="仿宋" w:eastAsia="仿宋" w:cs="仿宋"/>
                <w:snapToGrid w:val="0"/>
                <w:color w:val="auto"/>
                <w:kern w:val="2"/>
                <w:szCs w:val="21"/>
              </w:rPr>
              <w:t>姓名</w:t>
            </w:r>
          </w:p>
        </w:tc>
        <w:tc>
          <w:tcPr>
            <w:tcW w:w="1440" w:type="dxa"/>
            <w:vAlign w:val="center"/>
          </w:tcPr>
          <w:p>
            <w:pPr>
              <w:snapToGrid w:val="0"/>
              <w:jc w:val="center"/>
              <w:rPr>
                <w:rFonts w:hint="eastAsia" w:ascii="仿宋" w:hAnsi="仿宋" w:eastAsia="仿宋" w:cs="仿宋"/>
                <w:snapToGrid w:val="0"/>
                <w:color w:val="auto"/>
                <w:kern w:val="2"/>
                <w:szCs w:val="21"/>
              </w:rPr>
            </w:pPr>
          </w:p>
        </w:tc>
        <w:tc>
          <w:tcPr>
            <w:tcW w:w="873" w:type="dxa"/>
            <w:vAlign w:val="center"/>
          </w:tcPr>
          <w:p>
            <w:pPr>
              <w:snapToGrid w:val="0"/>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年龄</w:t>
            </w:r>
          </w:p>
        </w:tc>
        <w:tc>
          <w:tcPr>
            <w:tcW w:w="1451" w:type="dxa"/>
            <w:vAlign w:val="center"/>
          </w:tcPr>
          <w:p>
            <w:pPr>
              <w:snapToGrid w:val="0"/>
              <w:jc w:val="center"/>
              <w:rPr>
                <w:rFonts w:hint="eastAsia" w:ascii="仿宋" w:hAnsi="仿宋" w:eastAsia="仿宋" w:cs="仿宋"/>
                <w:snapToGrid w:val="0"/>
                <w:color w:val="auto"/>
                <w:kern w:val="2"/>
                <w:szCs w:val="21"/>
              </w:rPr>
            </w:pPr>
          </w:p>
        </w:tc>
        <w:tc>
          <w:tcPr>
            <w:tcW w:w="2906" w:type="dxa"/>
            <w:gridSpan w:val="3"/>
            <w:vAlign w:val="center"/>
          </w:tcPr>
          <w:p>
            <w:pPr>
              <w:snapToGrid w:val="0"/>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学历</w:t>
            </w:r>
          </w:p>
        </w:tc>
        <w:tc>
          <w:tcPr>
            <w:tcW w:w="1773" w:type="dxa"/>
            <w:vAlign w:val="center"/>
          </w:tcPr>
          <w:p>
            <w:pPr>
              <w:snapToGrid w:val="0"/>
              <w:jc w:val="center"/>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1754" w:type="dxa"/>
            <w:gridSpan w:val="2"/>
            <w:vAlign w:val="center"/>
          </w:tcPr>
          <w:p>
            <w:pPr>
              <w:snapToGrid w:val="0"/>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执业资格</w:t>
            </w:r>
          </w:p>
        </w:tc>
        <w:tc>
          <w:tcPr>
            <w:tcW w:w="3764" w:type="dxa"/>
            <w:gridSpan w:val="3"/>
            <w:vAlign w:val="center"/>
          </w:tcPr>
          <w:p>
            <w:pPr>
              <w:snapToGrid w:val="0"/>
              <w:jc w:val="center"/>
              <w:rPr>
                <w:rFonts w:hint="eastAsia" w:ascii="仿宋" w:hAnsi="仿宋" w:eastAsia="仿宋" w:cs="仿宋"/>
                <w:snapToGrid w:val="0"/>
                <w:color w:val="auto"/>
                <w:kern w:val="2"/>
                <w:szCs w:val="21"/>
              </w:rPr>
            </w:pPr>
          </w:p>
        </w:tc>
        <w:tc>
          <w:tcPr>
            <w:tcW w:w="2906" w:type="dxa"/>
            <w:gridSpan w:val="3"/>
            <w:vAlign w:val="center"/>
          </w:tcPr>
          <w:p>
            <w:pPr>
              <w:snapToGrid w:val="0"/>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安全生产考核合格证书</w:t>
            </w:r>
          </w:p>
        </w:tc>
        <w:tc>
          <w:tcPr>
            <w:tcW w:w="1773" w:type="dxa"/>
            <w:vAlign w:val="center"/>
          </w:tcPr>
          <w:p>
            <w:pPr>
              <w:snapToGrid w:val="0"/>
              <w:jc w:val="center"/>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1754" w:type="dxa"/>
            <w:gridSpan w:val="2"/>
            <w:vAlign w:val="center"/>
          </w:tcPr>
          <w:p>
            <w:pPr>
              <w:snapToGrid w:val="0"/>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职称</w:t>
            </w:r>
          </w:p>
        </w:tc>
        <w:tc>
          <w:tcPr>
            <w:tcW w:w="1440" w:type="dxa"/>
            <w:vAlign w:val="center"/>
          </w:tcPr>
          <w:p>
            <w:pPr>
              <w:snapToGrid w:val="0"/>
              <w:jc w:val="center"/>
              <w:rPr>
                <w:rFonts w:hint="eastAsia" w:ascii="仿宋" w:hAnsi="仿宋" w:eastAsia="仿宋" w:cs="仿宋"/>
                <w:snapToGrid w:val="0"/>
                <w:color w:val="auto"/>
                <w:kern w:val="2"/>
                <w:szCs w:val="21"/>
              </w:rPr>
            </w:pPr>
          </w:p>
        </w:tc>
        <w:tc>
          <w:tcPr>
            <w:tcW w:w="873" w:type="dxa"/>
            <w:vAlign w:val="center"/>
          </w:tcPr>
          <w:p>
            <w:pPr>
              <w:snapToGrid w:val="0"/>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职务</w:t>
            </w:r>
          </w:p>
        </w:tc>
        <w:tc>
          <w:tcPr>
            <w:tcW w:w="1451" w:type="dxa"/>
            <w:vAlign w:val="center"/>
          </w:tcPr>
          <w:p>
            <w:pPr>
              <w:snapToGrid w:val="0"/>
              <w:jc w:val="center"/>
              <w:rPr>
                <w:rFonts w:hint="eastAsia" w:ascii="仿宋" w:hAnsi="仿宋" w:eastAsia="仿宋" w:cs="仿宋"/>
                <w:snapToGrid w:val="0"/>
                <w:color w:val="auto"/>
                <w:kern w:val="2"/>
                <w:szCs w:val="21"/>
              </w:rPr>
            </w:pPr>
          </w:p>
        </w:tc>
        <w:tc>
          <w:tcPr>
            <w:tcW w:w="2906" w:type="dxa"/>
            <w:gridSpan w:val="3"/>
            <w:vAlign w:val="center"/>
          </w:tcPr>
          <w:p>
            <w:pPr>
              <w:snapToGrid w:val="0"/>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拟在本合同任职</w:t>
            </w:r>
          </w:p>
        </w:tc>
        <w:tc>
          <w:tcPr>
            <w:tcW w:w="1773" w:type="dxa"/>
            <w:vAlign w:val="center"/>
          </w:tcPr>
          <w:p>
            <w:pPr>
              <w:snapToGrid w:val="0"/>
              <w:jc w:val="center"/>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09" w:hRule="atLeast"/>
        </w:trPr>
        <w:tc>
          <w:tcPr>
            <w:tcW w:w="1754" w:type="dxa"/>
            <w:gridSpan w:val="2"/>
            <w:vAlign w:val="center"/>
          </w:tcPr>
          <w:p>
            <w:pPr>
              <w:snapToGrid w:val="0"/>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毕业学校</w:t>
            </w:r>
          </w:p>
        </w:tc>
        <w:tc>
          <w:tcPr>
            <w:tcW w:w="8443" w:type="dxa"/>
            <w:gridSpan w:val="7"/>
            <w:vAlign w:val="center"/>
          </w:tcPr>
          <w:p>
            <w:pPr>
              <w:snapToGrid w:val="0"/>
              <w:ind w:firstLine="600" w:firstLineChars="250"/>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年毕业于学校专业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2" w:hRule="atLeast"/>
        </w:trPr>
        <w:tc>
          <w:tcPr>
            <w:tcW w:w="10197" w:type="dxa"/>
            <w:gridSpan w:val="9"/>
            <w:vAlign w:val="center"/>
          </w:tcPr>
          <w:p>
            <w:pPr>
              <w:snapToGrid w:val="0"/>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主要工作经历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2" w:hRule="atLeast"/>
        </w:trPr>
        <w:tc>
          <w:tcPr>
            <w:tcW w:w="1378" w:type="dxa"/>
            <w:vAlign w:val="center"/>
          </w:tcPr>
          <w:p>
            <w:pPr>
              <w:snapToGrid w:val="0"/>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时间</w:t>
            </w:r>
          </w:p>
        </w:tc>
        <w:tc>
          <w:tcPr>
            <w:tcW w:w="4271" w:type="dxa"/>
            <w:gridSpan w:val="5"/>
            <w:vAlign w:val="center"/>
          </w:tcPr>
          <w:p>
            <w:pPr>
              <w:snapToGrid w:val="0"/>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参加过的类似项目</w:t>
            </w:r>
          </w:p>
        </w:tc>
        <w:tc>
          <w:tcPr>
            <w:tcW w:w="1520" w:type="dxa"/>
            <w:vAlign w:val="center"/>
          </w:tcPr>
          <w:p>
            <w:pPr>
              <w:snapToGrid w:val="0"/>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担任职务</w:t>
            </w:r>
          </w:p>
        </w:tc>
        <w:tc>
          <w:tcPr>
            <w:tcW w:w="3028" w:type="dxa"/>
            <w:gridSpan w:val="2"/>
            <w:vAlign w:val="center"/>
          </w:tcPr>
          <w:p>
            <w:pPr>
              <w:snapToGrid w:val="0"/>
              <w:jc w:val="center"/>
              <w:rPr>
                <w:rFonts w:hint="eastAsia" w:ascii="仿宋" w:hAnsi="仿宋" w:eastAsia="仿宋" w:cs="仿宋"/>
                <w:snapToGrid w:val="0"/>
                <w:color w:val="auto"/>
                <w:kern w:val="2"/>
                <w:szCs w:val="21"/>
              </w:rPr>
            </w:pPr>
            <w:r>
              <w:rPr>
                <w:rFonts w:hint="eastAsia" w:ascii="仿宋" w:hAnsi="仿宋" w:eastAsia="仿宋" w:cs="仿宋"/>
                <w:snapToGrid w:val="0"/>
                <w:color w:val="auto"/>
                <w:kern w:val="2"/>
                <w:szCs w:val="21"/>
              </w:rPr>
              <w:t>招标人及联系电话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1378" w:type="dxa"/>
            <w:vAlign w:val="center"/>
          </w:tcPr>
          <w:p>
            <w:pPr>
              <w:snapToGrid w:val="0"/>
              <w:jc w:val="center"/>
              <w:rPr>
                <w:rFonts w:hint="eastAsia" w:ascii="仿宋" w:hAnsi="仿宋" w:eastAsia="仿宋" w:cs="仿宋"/>
                <w:snapToGrid w:val="0"/>
                <w:color w:val="auto"/>
                <w:kern w:val="2"/>
                <w:szCs w:val="21"/>
              </w:rPr>
            </w:pPr>
          </w:p>
        </w:tc>
        <w:tc>
          <w:tcPr>
            <w:tcW w:w="4271" w:type="dxa"/>
            <w:gridSpan w:val="5"/>
            <w:vAlign w:val="center"/>
          </w:tcPr>
          <w:p>
            <w:pPr>
              <w:snapToGrid w:val="0"/>
              <w:jc w:val="center"/>
              <w:rPr>
                <w:rFonts w:hint="eastAsia" w:ascii="仿宋" w:hAnsi="仿宋" w:eastAsia="仿宋" w:cs="仿宋"/>
                <w:snapToGrid w:val="0"/>
                <w:color w:val="auto"/>
                <w:kern w:val="2"/>
                <w:szCs w:val="21"/>
              </w:rPr>
            </w:pPr>
          </w:p>
        </w:tc>
        <w:tc>
          <w:tcPr>
            <w:tcW w:w="1520" w:type="dxa"/>
            <w:vAlign w:val="center"/>
          </w:tcPr>
          <w:p>
            <w:pPr>
              <w:snapToGrid w:val="0"/>
              <w:jc w:val="center"/>
              <w:rPr>
                <w:rFonts w:hint="eastAsia" w:ascii="仿宋" w:hAnsi="仿宋" w:eastAsia="仿宋" w:cs="仿宋"/>
                <w:snapToGrid w:val="0"/>
                <w:color w:val="auto"/>
                <w:kern w:val="2"/>
                <w:szCs w:val="21"/>
              </w:rPr>
            </w:pPr>
          </w:p>
        </w:tc>
        <w:tc>
          <w:tcPr>
            <w:tcW w:w="3028" w:type="dxa"/>
            <w:gridSpan w:val="2"/>
            <w:vAlign w:val="center"/>
          </w:tcPr>
          <w:p>
            <w:pPr>
              <w:snapToGrid w:val="0"/>
              <w:jc w:val="center"/>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1378" w:type="dxa"/>
            <w:vAlign w:val="center"/>
          </w:tcPr>
          <w:p>
            <w:pPr>
              <w:snapToGrid w:val="0"/>
              <w:jc w:val="center"/>
              <w:rPr>
                <w:rFonts w:hint="eastAsia" w:ascii="仿宋" w:hAnsi="仿宋" w:eastAsia="仿宋" w:cs="仿宋"/>
                <w:snapToGrid w:val="0"/>
                <w:color w:val="auto"/>
                <w:kern w:val="2"/>
                <w:szCs w:val="21"/>
              </w:rPr>
            </w:pPr>
          </w:p>
        </w:tc>
        <w:tc>
          <w:tcPr>
            <w:tcW w:w="4271" w:type="dxa"/>
            <w:gridSpan w:val="5"/>
            <w:vAlign w:val="center"/>
          </w:tcPr>
          <w:p>
            <w:pPr>
              <w:snapToGrid w:val="0"/>
              <w:jc w:val="center"/>
              <w:rPr>
                <w:rFonts w:hint="eastAsia" w:ascii="仿宋" w:hAnsi="仿宋" w:eastAsia="仿宋" w:cs="仿宋"/>
                <w:snapToGrid w:val="0"/>
                <w:color w:val="auto"/>
                <w:kern w:val="2"/>
                <w:szCs w:val="21"/>
              </w:rPr>
            </w:pPr>
          </w:p>
        </w:tc>
        <w:tc>
          <w:tcPr>
            <w:tcW w:w="1520" w:type="dxa"/>
            <w:vAlign w:val="center"/>
          </w:tcPr>
          <w:p>
            <w:pPr>
              <w:snapToGrid w:val="0"/>
              <w:jc w:val="center"/>
              <w:rPr>
                <w:rFonts w:hint="eastAsia" w:ascii="仿宋" w:hAnsi="仿宋" w:eastAsia="仿宋" w:cs="仿宋"/>
                <w:snapToGrid w:val="0"/>
                <w:color w:val="auto"/>
                <w:kern w:val="2"/>
                <w:szCs w:val="21"/>
              </w:rPr>
            </w:pPr>
          </w:p>
        </w:tc>
        <w:tc>
          <w:tcPr>
            <w:tcW w:w="3028" w:type="dxa"/>
            <w:gridSpan w:val="2"/>
            <w:vAlign w:val="center"/>
          </w:tcPr>
          <w:p>
            <w:pPr>
              <w:snapToGrid w:val="0"/>
              <w:jc w:val="center"/>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1378" w:type="dxa"/>
            <w:vAlign w:val="center"/>
          </w:tcPr>
          <w:p>
            <w:pPr>
              <w:snapToGrid w:val="0"/>
              <w:jc w:val="center"/>
              <w:rPr>
                <w:rFonts w:hint="eastAsia" w:ascii="仿宋" w:hAnsi="仿宋" w:eastAsia="仿宋" w:cs="仿宋"/>
                <w:snapToGrid w:val="0"/>
                <w:color w:val="auto"/>
                <w:kern w:val="2"/>
                <w:szCs w:val="21"/>
              </w:rPr>
            </w:pPr>
          </w:p>
        </w:tc>
        <w:tc>
          <w:tcPr>
            <w:tcW w:w="4271" w:type="dxa"/>
            <w:gridSpan w:val="5"/>
            <w:vAlign w:val="center"/>
          </w:tcPr>
          <w:p>
            <w:pPr>
              <w:snapToGrid w:val="0"/>
              <w:jc w:val="center"/>
              <w:rPr>
                <w:rFonts w:hint="eastAsia" w:ascii="仿宋" w:hAnsi="仿宋" w:eastAsia="仿宋" w:cs="仿宋"/>
                <w:snapToGrid w:val="0"/>
                <w:color w:val="auto"/>
                <w:kern w:val="2"/>
                <w:szCs w:val="21"/>
              </w:rPr>
            </w:pPr>
          </w:p>
        </w:tc>
        <w:tc>
          <w:tcPr>
            <w:tcW w:w="1520" w:type="dxa"/>
            <w:vAlign w:val="center"/>
          </w:tcPr>
          <w:p>
            <w:pPr>
              <w:snapToGrid w:val="0"/>
              <w:jc w:val="center"/>
              <w:rPr>
                <w:rFonts w:hint="eastAsia" w:ascii="仿宋" w:hAnsi="仿宋" w:eastAsia="仿宋" w:cs="仿宋"/>
                <w:snapToGrid w:val="0"/>
                <w:color w:val="auto"/>
                <w:kern w:val="2"/>
                <w:szCs w:val="21"/>
              </w:rPr>
            </w:pPr>
          </w:p>
        </w:tc>
        <w:tc>
          <w:tcPr>
            <w:tcW w:w="3028" w:type="dxa"/>
            <w:gridSpan w:val="2"/>
            <w:vAlign w:val="center"/>
          </w:tcPr>
          <w:p>
            <w:pPr>
              <w:snapToGrid w:val="0"/>
              <w:jc w:val="center"/>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1378" w:type="dxa"/>
            <w:vAlign w:val="center"/>
          </w:tcPr>
          <w:p>
            <w:pPr>
              <w:snapToGrid w:val="0"/>
              <w:jc w:val="center"/>
              <w:rPr>
                <w:rFonts w:hint="eastAsia" w:ascii="仿宋" w:hAnsi="仿宋" w:eastAsia="仿宋" w:cs="仿宋"/>
                <w:snapToGrid w:val="0"/>
                <w:color w:val="auto"/>
                <w:kern w:val="2"/>
                <w:szCs w:val="21"/>
              </w:rPr>
            </w:pPr>
          </w:p>
        </w:tc>
        <w:tc>
          <w:tcPr>
            <w:tcW w:w="4271" w:type="dxa"/>
            <w:gridSpan w:val="5"/>
            <w:vAlign w:val="center"/>
          </w:tcPr>
          <w:p>
            <w:pPr>
              <w:snapToGrid w:val="0"/>
              <w:jc w:val="center"/>
              <w:rPr>
                <w:rFonts w:hint="eastAsia" w:ascii="仿宋" w:hAnsi="仿宋" w:eastAsia="仿宋" w:cs="仿宋"/>
                <w:snapToGrid w:val="0"/>
                <w:color w:val="auto"/>
                <w:kern w:val="2"/>
                <w:szCs w:val="21"/>
              </w:rPr>
            </w:pPr>
          </w:p>
        </w:tc>
        <w:tc>
          <w:tcPr>
            <w:tcW w:w="1520" w:type="dxa"/>
            <w:vAlign w:val="center"/>
          </w:tcPr>
          <w:p>
            <w:pPr>
              <w:snapToGrid w:val="0"/>
              <w:jc w:val="center"/>
              <w:rPr>
                <w:rFonts w:hint="eastAsia" w:ascii="仿宋" w:hAnsi="仿宋" w:eastAsia="仿宋" w:cs="仿宋"/>
                <w:snapToGrid w:val="0"/>
                <w:color w:val="auto"/>
                <w:kern w:val="2"/>
                <w:szCs w:val="21"/>
              </w:rPr>
            </w:pPr>
          </w:p>
        </w:tc>
        <w:tc>
          <w:tcPr>
            <w:tcW w:w="3028" w:type="dxa"/>
            <w:gridSpan w:val="2"/>
            <w:vAlign w:val="center"/>
          </w:tcPr>
          <w:p>
            <w:pPr>
              <w:snapToGrid w:val="0"/>
              <w:jc w:val="center"/>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1378" w:type="dxa"/>
            <w:vAlign w:val="center"/>
          </w:tcPr>
          <w:p>
            <w:pPr>
              <w:snapToGrid w:val="0"/>
              <w:jc w:val="center"/>
              <w:rPr>
                <w:rFonts w:hint="eastAsia" w:ascii="仿宋" w:hAnsi="仿宋" w:eastAsia="仿宋" w:cs="仿宋"/>
                <w:snapToGrid w:val="0"/>
                <w:color w:val="auto"/>
                <w:kern w:val="2"/>
                <w:szCs w:val="21"/>
              </w:rPr>
            </w:pPr>
          </w:p>
        </w:tc>
        <w:tc>
          <w:tcPr>
            <w:tcW w:w="4271" w:type="dxa"/>
            <w:gridSpan w:val="5"/>
            <w:vAlign w:val="center"/>
          </w:tcPr>
          <w:p>
            <w:pPr>
              <w:snapToGrid w:val="0"/>
              <w:jc w:val="center"/>
              <w:rPr>
                <w:rFonts w:hint="eastAsia" w:ascii="仿宋" w:hAnsi="仿宋" w:eastAsia="仿宋" w:cs="仿宋"/>
                <w:snapToGrid w:val="0"/>
                <w:color w:val="auto"/>
                <w:kern w:val="2"/>
                <w:szCs w:val="21"/>
              </w:rPr>
            </w:pPr>
          </w:p>
        </w:tc>
        <w:tc>
          <w:tcPr>
            <w:tcW w:w="1520" w:type="dxa"/>
            <w:vAlign w:val="center"/>
          </w:tcPr>
          <w:p>
            <w:pPr>
              <w:snapToGrid w:val="0"/>
              <w:jc w:val="center"/>
              <w:rPr>
                <w:rFonts w:hint="eastAsia" w:ascii="仿宋" w:hAnsi="仿宋" w:eastAsia="仿宋" w:cs="仿宋"/>
                <w:snapToGrid w:val="0"/>
                <w:color w:val="auto"/>
                <w:kern w:val="2"/>
                <w:szCs w:val="21"/>
              </w:rPr>
            </w:pPr>
          </w:p>
        </w:tc>
        <w:tc>
          <w:tcPr>
            <w:tcW w:w="3028" w:type="dxa"/>
            <w:gridSpan w:val="2"/>
            <w:vAlign w:val="center"/>
          </w:tcPr>
          <w:p>
            <w:pPr>
              <w:snapToGrid w:val="0"/>
              <w:jc w:val="center"/>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34" w:hRule="atLeast"/>
        </w:trPr>
        <w:tc>
          <w:tcPr>
            <w:tcW w:w="1378" w:type="dxa"/>
            <w:vAlign w:val="center"/>
          </w:tcPr>
          <w:p>
            <w:pPr>
              <w:snapToGrid w:val="0"/>
              <w:jc w:val="center"/>
              <w:rPr>
                <w:rFonts w:hint="eastAsia" w:ascii="仿宋" w:hAnsi="仿宋" w:eastAsia="仿宋" w:cs="仿宋"/>
                <w:snapToGrid w:val="0"/>
                <w:color w:val="auto"/>
                <w:kern w:val="2"/>
                <w:szCs w:val="21"/>
              </w:rPr>
            </w:pPr>
          </w:p>
        </w:tc>
        <w:tc>
          <w:tcPr>
            <w:tcW w:w="4271" w:type="dxa"/>
            <w:gridSpan w:val="5"/>
            <w:vAlign w:val="center"/>
          </w:tcPr>
          <w:p>
            <w:pPr>
              <w:snapToGrid w:val="0"/>
              <w:jc w:val="center"/>
              <w:rPr>
                <w:rFonts w:hint="eastAsia" w:ascii="仿宋" w:hAnsi="仿宋" w:eastAsia="仿宋" w:cs="仿宋"/>
                <w:snapToGrid w:val="0"/>
                <w:color w:val="auto"/>
                <w:kern w:val="2"/>
                <w:szCs w:val="21"/>
              </w:rPr>
            </w:pPr>
          </w:p>
        </w:tc>
        <w:tc>
          <w:tcPr>
            <w:tcW w:w="1520" w:type="dxa"/>
            <w:vAlign w:val="center"/>
          </w:tcPr>
          <w:p>
            <w:pPr>
              <w:snapToGrid w:val="0"/>
              <w:jc w:val="center"/>
              <w:rPr>
                <w:rFonts w:hint="eastAsia" w:ascii="仿宋" w:hAnsi="仿宋" w:eastAsia="仿宋" w:cs="仿宋"/>
                <w:snapToGrid w:val="0"/>
                <w:color w:val="auto"/>
                <w:kern w:val="2"/>
                <w:szCs w:val="21"/>
              </w:rPr>
            </w:pPr>
          </w:p>
        </w:tc>
        <w:tc>
          <w:tcPr>
            <w:tcW w:w="3028" w:type="dxa"/>
            <w:gridSpan w:val="2"/>
            <w:vAlign w:val="center"/>
          </w:tcPr>
          <w:p>
            <w:pPr>
              <w:snapToGrid w:val="0"/>
              <w:jc w:val="center"/>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1378" w:type="dxa"/>
            <w:vAlign w:val="center"/>
          </w:tcPr>
          <w:p>
            <w:pPr>
              <w:snapToGrid w:val="0"/>
              <w:jc w:val="center"/>
              <w:rPr>
                <w:rFonts w:hint="eastAsia" w:ascii="仿宋" w:hAnsi="仿宋" w:eastAsia="仿宋" w:cs="仿宋"/>
                <w:snapToGrid w:val="0"/>
                <w:color w:val="auto"/>
                <w:kern w:val="2"/>
                <w:szCs w:val="21"/>
              </w:rPr>
            </w:pPr>
          </w:p>
        </w:tc>
        <w:tc>
          <w:tcPr>
            <w:tcW w:w="4271" w:type="dxa"/>
            <w:gridSpan w:val="5"/>
            <w:vAlign w:val="center"/>
          </w:tcPr>
          <w:p>
            <w:pPr>
              <w:snapToGrid w:val="0"/>
              <w:jc w:val="center"/>
              <w:rPr>
                <w:rFonts w:hint="eastAsia" w:ascii="仿宋" w:hAnsi="仿宋" w:eastAsia="仿宋" w:cs="仿宋"/>
                <w:snapToGrid w:val="0"/>
                <w:color w:val="auto"/>
                <w:kern w:val="2"/>
                <w:szCs w:val="21"/>
              </w:rPr>
            </w:pPr>
          </w:p>
        </w:tc>
        <w:tc>
          <w:tcPr>
            <w:tcW w:w="1520" w:type="dxa"/>
            <w:vAlign w:val="center"/>
          </w:tcPr>
          <w:p>
            <w:pPr>
              <w:snapToGrid w:val="0"/>
              <w:jc w:val="center"/>
              <w:rPr>
                <w:rFonts w:hint="eastAsia" w:ascii="仿宋" w:hAnsi="仿宋" w:eastAsia="仿宋" w:cs="仿宋"/>
                <w:snapToGrid w:val="0"/>
                <w:color w:val="auto"/>
                <w:kern w:val="2"/>
                <w:szCs w:val="21"/>
              </w:rPr>
            </w:pPr>
          </w:p>
        </w:tc>
        <w:tc>
          <w:tcPr>
            <w:tcW w:w="3028" w:type="dxa"/>
            <w:gridSpan w:val="2"/>
            <w:vAlign w:val="center"/>
          </w:tcPr>
          <w:p>
            <w:pPr>
              <w:snapToGrid w:val="0"/>
              <w:jc w:val="center"/>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34" w:hRule="atLeast"/>
        </w:trPr>
        <w:tc>
          <w:tcPr>
            <w:tcW w:w="1378" w:type="dxa"/>
            <w:vAlign w:val="center"/>
          </w:tcPr>
          <w:p>
            <w:pPr>
              <w:snapToGrid w:val="0"/>
              <w:jc w:val="center"/>
              <w:rPr>
                <w:rFonts w:hint="eastAsia" w:ascii="仿宋" w:hAnsi="仿宋" w:eastAsia="仿宋" w:cs="仿宋"/>
                <w:snapToGrid w:val="0"/>
                <w:color w:val="auto"/>
                <w:kern w:val="2"/>
                <w:szCs w:val="21"/>
              </w:rPr>
            </w:pPr>
          </w:p>
        </w:tc>
        <w:tc>
          <w:tcPr>
            <w:tcW w:w="4271" w:type="dxa"/>
            <w:gridSpan w:val="5"/>
            <w:vAlign w:val="center"/>
          </w:tcPr>
          <w:p>
            <w:pPr>
              <w:snapToGrid w:val="0"/>
              <w:jc w:val="center"/>
              <w:rPr>
                <w:rFonts w:hint="eastAsia" w:ascii="仿宋" w:hAnsi="仿宋" w:eastAsia="仿宋" w:cs="仿宋"/>
                <w:snapToGrid w:val="0"/>
                <w:color w:val="auto"/>
                <w:kern w:val="2"/>
                <w:szCs w:val="21"/>
              </w:rPr>
            </w:pPr>
          </w:p>
        </w:tc>
        <w:tc>
          <w:tcPr>
            <w:tcW w:w="1520" w:type="dxa"/>
            <w:vAlign w:val="center"/>
          </w:tcPr>
          <w:p>
            <w:pPr>
              <w:snapToGrid w:val="0"/>
              <w:jc w:val="center"/>
              <w:rPr>
                <w:rFonts w:hint="eastAsia" w:ascii="仿宋" w:hAnsi="仿宋" w:eastAsia="仿宋" w:cs="仿宋"/>
                <w:snapToGrid w:val="0"/>
                <w:color w:val="auto"/>
                <w:kern w:val="2"/>
                <w:szCs w:val="21"/>
              </w:rPr>
            </w:pPr>
          </w:p>
        </w:tc>
        <w:tc>
          <w:tcPr>
            <w:tcW w:w="3028" w:type="dxa"/>
            <w:gridSpan w:val="2"/>
            <w:vAlign w:val="center"/>
          </w:tcPr>
          <w:p>
            <w:pPr>
              <w:snapToGrid w:val="0"/>
              <w:jc w:val="center"/>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34" w:hRule="atLeast"/>
        </w:trPr>
        <w:tc>
          <w:tcPr>
            <w:tcW w:w="1378" w:type="dxa"/>
            <w:vAlign w:val="center"/>
          </w:tcPr>
          <w:p>
            <w:pPr>
              <w:snapToGrid w:val="0"/>
              <w:jc w:val="center"/>
              <w:rPr>
                <w:rFonts w:hint="eastAsia" w:ascii="仿宋" w:hAnsi="仿宋" w:eastAsia="仿宋" w:cs="仿宋"/>
                <w:snapToGrid w:val="0"/>
                <w:color w:val="auto"/>
                <w:kern w:val="2"/>
                <w:szCs w:val="21"/>
              </w:rPr>
            </w:pPr>
          </w:p>
        </w:tc>
        <w:tc>
          <w:tcPr>
            <w:tcW w:w="4271" w:type="dxa"/>
            <w:gridSpan w:val="5"/>
            <w:vAlign w:val="center"/>
          </w:tcPr>
          <w:p>
            <w:pPr>
              <w:snapToGrid w:val="0"/>
              <w:jc w:val="center"/>
              <w:rPr>
                <w:rFonts w:hint="eastAsia" w:ascii="仿宋" w:hAnsi="仿宋" w:eastAsia="仿宋" w:cs="仿宋"/>
                <w:snapToGrid w:val="0"/>
                <w:color w:val="auto"/>
                <w:kern w:val="2"/>
                <w:szCs w:val="21"/>
              </w:rPr>
            </w:pPr>
          </w:p>
        </w:tc>
        <w:tc>
          <w:tcPr>
            <w:tcW w:w="1520" w:type="dxa"/>
            <w:vAlign w:val="center"/>
          </w:tcPr>
          <w:p>
            <w:pPr>
              <w:snapToGrid w:val="0"/>
              <w:jc w:val="center"/>
              <w:rPr>
                <w:rFonts w:hint="eastAsia" w:ascii="仿宋" w:hAnsi="仿宋" w:eastAsia="仿宋" w:cs="仿宋"/>
                <w:snapToGrid w:val="0"/>
                <w:color w:val="auto"/>
                <w:kern w:val="2"/>
                <w:szCs w:val="21"/>
              </w:rPr>
            </w:pPr>
          </w:p>
        </w:tc>
        <w:tc>
          <w:tcPr>
            <w:tcW w:w="3028" w:type="dxa"/>
            <w:gridSpan w:val="2"/>
            <w:vAlign w:val="center"/>
          </w:tcPr>
          <w:p>
            <w:pPr>
              <w:snapToGrid w:val="0"/>
              <w:jc w:val="center"/>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1378" w:type="dxa"/>
            <w:vAlign w:val="center"/>
          </w:tcPr>
          <w:p>
            <w:pPr>
              <w:snapToGrid w:val="0"/>
              <w:jc w:val="center"/>
              <w:rPr>
                <w:rFonts w:hint="eastAsia" w:ascii="仿宋" w:hAnsi="仿宋" w:eastAsia="仿宋" w:cs="仿宋"/>
                <w:snapToGrid w:val="0"/>
                <w:color w:val="auto"/>
                <w:kern w:val="2"/>
                <w:szCs w:val="21"/>
              </w:rPr>
            </w:pPr>
          </w:p>
        </w:tc>
        <w:tc>
          <w:tcPr>
            <w:tcW w:w="4271" w:type="dxa"/>
            <w:gridSpan w:val="5"/>
            <w:vAlign w:val="center"/>
          </w:tcPr>
          <w:p>
            <w:pPr>
              <w:snapToGrid w:val="0"/>
              <w:jc w:val="center"/>
              <w:rPr>
                <w:rFonts w:hint="eastAsia" w:ascii="仿宋" w:hAnsi="仿宋" w:eastAsia="仿宋" w:cs="仿宋"/>
                <w:snapToGrid w:val="0"/>
                <w:color w:val="auto"/>
                <w:kern w:val="2"/>
                <w:szCs w:val="21"/>
              </w:rPr>
            </w:pPr>
          </w:p>
        </w:tc>
        <w:tc>
          <w:tcPr>
            <w:tcW w:w="1520" w:type="dxa"/>
            <w:vAlign w:val="center"/>
          </w:tcPr>
          <w:p>
            <w:pPr>
              <w:snapToGrid w:val="0"/>
              <w:jc w:val="center"/>
              <w:rPr>
                <w:rFonts w:hint="eastAsia" w:ascii="仿宋" w:hAnsi="仿宋" w:eastAsia="仿宋" w:cs="仿宋"/>
                <w:snapToGrid w:val="0"/>
                <w:color w:val="auto"/>
                <w:kern w:val="2"/>
                <w:szCs w:val="21"/>
              </w:rPr>
            </w:pPr>
          </w:p>
        </w:tc>
        <w:tc>
          <w:tcPr>
            <w:tcW w:w="3028" w:type="dxa"/>
            <w:gridSpan w:val="2"/>
            <w:vAlign w:val="center"/>
          </w:tcPr>
          <w:p>
            <w:pPr>
              <w:snapToGrid w:val="0"/>
              <w:jc w:val="center"/>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34" w:hRule="atLeast"/>
        </w:trPr>
        <w:tc>
          <w:tcPr>
            <w:tcW w:w="1378" w:type="dxa"/>
            <w:vAlign w:val="center"/>
          </w:tcPr>
          <w:p>
            <w:pPr>
              <w:snapToGrid w:val="0"/>
              <w:jc w:val="center"/>
              <w:rPr>
                <w:rFonts w:hint="eastAsia" w:ascii="仿宋" w:hAnsi="仿宋" w:eastAsia="仿宋" w:cs="仿宋"/>
                <w:snapToGrid w:val="0"/>
                <w:color w:val="auto"/>
                <w:kern w:val="2"/>
                <w:szCs w:val="21"/>
              </w:rPr>
            </w:pPr>
          </w:p>
        </w:tc>
        <w:tc>
          <w:tcPr>
            <w:tcW w:w="4271" w:type="dxa"/>
            <w:gridSpan w:val="5"/>
            <w:vAlign w:val="center"/>
          </w:tcPr>
          <w:p>
            <w:pPr>
              <w:snapToGrid w:val="0"/>
              <w:jc w:val="center"/>
              <w:rPr>
                <w:rFonts w:hint="eastAsia" w:ascii="仿宋" w:hAnsi="仿宋" w:eastAsia="仿宋" w:cs="仿宋"/>
                <w:snapToGrid w:val="0"/>
                <w:color w:val="auto"/>
                <w:kern w:val="2"/>
                <w:szCs w:val="21"/>
              </w:rPr>
            </w:pPr>
          </w:p>
        </w:tc>
        <w:tc>
          <w:tcPr>
            <w:tcW w:w="1520" w:type="dxa"/>
            <w:vAlign w:val="center"/>
          </w:tcPr>
          <w:p>
            <w:pPr>
              <w:snapToGrid w:val="0"/>
              <w:jc w:val="center"/>
              <w:rPr>
                <w:rFonts w:hint="eastAsia" w:ascii="仿宋" w:hAnsi="仿宋" w:eastAsia="仿宋" w:cs="仿宋"/>
                <w:snapToGrid w:val="0"/>
                <w:color w:val="auto"/>
                <w:kern w:val="2"/>
                <w:szCs w:val="21"/>
              </w:rPr>
            </w:pPr>
          </w:p>
        </w:tc>
        <w:tc>
          <w:tcPr>
            <w:tcW w:w="3028" w:type="dxa"/>
            <w:gridSpan w:val="2"/>
            <w:vAlign w:val="center"/>
          </w:tcPr>
          <w:p>
            <w:pPr>
              <w:snapToGrid w:val="0"/>
              <w:jc w:val="center"/>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1378" w:type="dxa"/>
            <w:vAlign w:val="center"/>
          </w:tcPr>
          <w:p>
            <w:pPr>
              <w:snapToGrid w:val="0"/>
              <w:jc w:val="center"/>
              <w:rPr>
                <w:rFonts w:hint="eastAsia" w:ascii="仿宋" w:hAnsi="仿宋" w:eastAsia="仿宋" w:cs="仿宋"/>
                <w:snapToGrid w:val="0"/>
                <w:color w:val="auto"/>
                <w:kern w:val="2"/>
                <w:szCs w:val="21"/>
              </w:rPr>
            </w:pPr>
          </w:p>
        </w:tc>
        <w:tc>
          <w:tcPr>
            <w:tcW w:w="4271" w:type="dxa"/>
            <w:gridSpan w:val="5"/>
            <w:vAlign w:val="center"/>
          </w:tcPr>
          <w:p>
            <w:pPr>
              <w:snapToGrid w:val="0"/>
              <w:jc w:val="center"/>
              <w:rPr>
                <w:rFonts w:hint="eastAsia" w:ascii="仿宋" w:hAnsi="仿宋" w:eastAsia="仿宋" w:cs="仿宋"/>
                <w:snapToGrid w:val="0"/>
                <w:color w:val="auto"/>
                <w:kern w:val="2"/>
                <w:szCs w:val="21"/>
              </w:rPr>
            </w:pPr>
          </w:p>
        </w:tc>
        <w:tc>
          <w:tcPr>
            <w:tcW w:w="1520" w:type="dxa"/>
            <w:vAlign w:val="center"/>
          </w:tcPr>
          <w:p>
            <w:pPr>
              <w:snapToGrid w:val="0"/>
              <w:jc w:val="center"/>
              <w:rPr>
                <w:rFonts w:hint="eastAsia" w:ascii="仿宋" w:hAnsi="仿宋" w:eastAsia="仿宋" w:cs="仿宋"/>
                <w:snapToGrid w:val="0"/>
                <w:color w:val="auto"/>
                <w:kern w:val="2"/>
                <w:szCs w:val="21"/>
              </w:rPr>
            </w:pPr>
          </w:p>
        </w:tc>
        <w:tc>
          <w:tcPr>
            <w:tcW w:w="3028" w:type="dxa"/>
            <w:gridSpan w:val="2"/>
            <w:vAlign w:val="center"/>
          </w:tcPr>
          <w:p>
            <w:pPr>
              <w:snapToGrid w:val="0"/>
              <w:jc w:val="center"/>
              <w:rPr>
                <w:rFonts w:hint="eastAsia" w:ascii="仿宋" w:hAnsi="仿宋" w:eastAsia="仿宋" w:cs="仿宋"/>
                <w:snapToGrid w:val="0"/>
                <w:color w:val="auto"/>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54" w:hRule="atLeast"/>
        </w:trPr>
        <w:tc>
          <w:tcPr>
            <w:tcW w:w="1378" w:type="dxa"/>
            <w:vAlign w:val="center"/>
          </w:tcPr>
          <w:p>
            <w:pPr>
              <w:snapToGrid w:val="0"/>
              <w:jc w:val="center"/>
              <w:rPr>
                <w:rFonts w:hint="eastAsia" w:ascii="仿宋" w:hAnsi="仿宋" w:eastAsia="仿宋" w:cs="仿宋"/>
                <w:snapToGrid w:val="0"/>
                <w:color w:val="auto"/>
                <w:kern w:val="2"/>
                <w:szCs w:val="21"/>
              </w:rPr>
            </w:pPr>
          </w:p>
        </w:tc>
        <w:tc>
          <w:tcPr>
            <w:tcW w:w="4271" w:type="dxa"/>
            <w:gridSpan w:val="5"/>
            <w:vAlign w:val="center"/>
          </w:tcPr>
          <w:p>
            <w:pPr>
              <w:snapToGrid w:val="0"/>
              <w:jc w:val="center"/>
              <w:rPr>
                <w:rFonts w:hint="eastAsia" w:ascii="仿宋" w:hAnsi="仿宋" w:eastAsia="仿宋" w:cs="仿宋"/>
                <w:snapToGrid w:val="0"/>
                <w:color w:val="auto"/>
                <w:kern w:val="2"/>
                <w:szCs w:val="21"/>
              </w:rPr>
            </w:pPr>
          </w:p>
        </w:tc>
        <w:tc>
          <w:tcPr>
            <w:tcW w:w="1520" w:type="dxa"/>
            <w:vAlign w:val="center"/>
          </w:tcPr>
          <w:p>
            <w:pPr>
              <w:snapToGrid w:val="0"/>
              <w:jc w:val="center"/>
              <w:rPr>
                <w:rFonts w:hint="eastAsia" w:ascii="仿宋" w:hAnsi="仿宋" w:eastAsia="仿宋" w:cs="仿宋"/>
                <w:snapToGrid w:val="0"/>
                <w:color w:val="auto"/>
                <w:kern w:val="2"/>
                <w:szCs w:val="21"/>
              </w:rPr>
            </w:pPr>
          </w:p>
        </w:tc>
        <w:tc>
          <w:tcPr>
            <w:tcW w:w="3028" w:type="dxa"/>
            <w:gridSpan w:val="2"/>
            <w:vAlign w:val="center"/>
          </w:tcPr>
          <w:p>
            <w:pPr>
              <w:snapToGrid w:val="0"/>
              <w:jc w:val="center"/>
              <w:rPr>
                <w:rFonts w:hint="eastAsia" w:ascii="仿宋" w:hAnsi="仿宋" w:eastAsia="仿宋" w:cs="仿宋"/>
                <w:snapToGrid w:val="0"/>
                <w:color w:val="auto"/>
                <w:kern w:val="2"/>
                <w:szCs w:val="21"/>
              </w:rPr>
            </w:pPr>
          </w:p>
        </w:tc>
      </w:tr>
    </w:tbl>
    <w:p>
      <w:pPr>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注：主要人员指项目负责人、技术负责人、安全管理人员、质量员、施工员及其他主要人员。</w:t>
      </w:r>
    </w:p>
    <w:p>
      <w:pPr>
        <w:rPr>
          <w:rFonts w:hint="eastAsia" w:ascii="仿宋" w:hAnsi="仿宋" w:eastAsia="仿宋" w:cs="仿宋"/>
          <w:snapToGrid w:val="0"/>
          <w:color w:val="auto"/>
          <w:szCs w:val="24"/>
        </w:rPr>
      </w:pPr>
    </w:p>
    <w:bookmarkEnd w:id="1031"/>
    <w:p>
      <w:pPr>
        <w:pStyle w:val="7"/>
        <w:jc w:val="center"/>
        <w:rPr>
          <w:rFonts w:hint="eastAsia" w:ascii="仿宋" w:hAnsi="仿宋" w:eastAsia="仿宋" w:cs="仿宋"/>
          <w:snapToGrid w:val="0"/>
          <w:color w:val="auto"/>
          <w:sz w:val="28"/>
          <w:szCs w:val="28"/>
        </w:rPr>
      </w:pPr>
      <w:bookmarkStart w:id="1032" w:name="_Toc184635147"/>
      <w:bookmarkStart w:id="1033" w:name="_Toc217457104"/>
      <w:bookmarkStart w:id="1034" w:name="_Toc217819183"/>
      <w:r>
        <w:rPr>
          <w:rFonts w:hint="eastAsia" w:ascii="仿宋" w:hAnsi="仿宋" w:eastAsia="仿宋" w:cs="仿宋"/>
          <w:snapToGrid w:val="0"/>
          <w:color w:val="auto"/>
          <w:sz w:val="28"/>
          <w:szCs w:val="28"/>
        </w:rPr>
        <w:br w:type="page"/>
      </w:r>
      <w:bookmarkStart w:id="1035" w:name="_Toc336325399"/>
      <w:bookmarkStart w:id="1036" w:name="_Toc24248"/>
      <w:bookmarkStart w:id="1037" w:name="_Toc125"/>
      <w:r>
        <w:rPr>
          <w:rFonts w:hint="eastAsia" w:ascii="仿宋" w:hAnsi="仿宋" w:eastAsia="仿宋" w:cs="仿宋"/>
          <w:snapToGrid w:val="0"/>
          <w:color w:val="auto"/>
          <w:sz w:val="28"/>
          <w:szCs w:val="28"/>
        </w:rPr>
        <w:t>六、资格审查资料</w:t>
      </w:r>
      <w:bookmarkEnd w:id="1032"/>
      <w:bookmarkEnd w:id="1033"/>
      <w:bookmarkEnd w:id="1034"/>
      <w:bookmarkEnd w:id="1035"/>
      <w:bookmarkEnd w:id="1036"/>
      <w:bookmarkEnd w:id="1037"/>
    </w:p>
    <w:p>
      <w:pPr>
        <w:pStyle w:val="7"/>
        <w:jc w:val="both"/>
        <w:rPr>
          <w:rFonts w:hint="eastAsia" w:ascii="仿宋" w:hAnsi="仿宋" w:eastAsia="仿宋" w:cs="仿宋"/>
          <w:color w:val="auto"/>
          <w:szCs w:val="24"/>
        </w:rPr>
      </w:pPr>
      <w:bookmarkStart w:id="1038" w:name="_Toc23425"/>
      <w:bookmarkStart w:id="1039" w:name="_Toc336325400"/>
      <w:bookmarkStart w:id="1040" w:name="_Toc339983469"/>
      <w:bookmarkStart w:id="1041" w:name="_Toc339482562"/>
      <w:bookmarkStart w:id="1042" w:name="_Toc341965067"/>
      <w:bookmarkStart w:id="1043" w:name="_Toc14232"/>
      <w:bookmarkStart w:id="1044" w:name="_Toc833"/>
      <w:bookmarkStart w:id="1045" w:name="_Toc339224695"/>
      <w:r>
        <w:rPr>
          <w:rFonts w:hint="eastAsia" w:ascii="仿宋" w:hAnsi="仿宋" w:eastAsia="仿宋" w:cs="仿宋"/>
          <w:color w:val="auto"/>
          <w:szCs w:val="24"/>
        </w:rPr>
        <w:t>（一）投标人基本情况表</w:t>
      </w:r>
      <w:bookmarkEnd w:id="1038"/>
      <w:bookmarkEnd w:id="1039"/>
      <w:bookmarkEnd w:id="1040"/>
      <w:bookmarkEnd w:id="1041"/>
      <w:bookmarkEnd w:id="1042"/>
      <w:bookmarkEnd w:id="1043"/>
      <w:bookmarkEnd w:id="1044"/>
      <w:bookmarkEnd w:id="1045"/>
    </w:p>
    <w:p>
      <w:pPr>
        <w:jc w:val="center"/>
        <w:rPr>
          <w:rFonts w:hint="eastAsia" w:ascii="仿宋" w:hAnsi="仿宋" w:eastAsia="仿宋" w:cs="仿宋"/>
          <w:b/>
          <w:bCs/>
          <w:snapToGrid w:val="0"/>
          <w:color w:val="auto"/>
          <w:sz w:val="30"/>
          <w:szCs w:val="30"/>
        </w:rPr>
      </w:pPr>
      <w:r>
        <w:rPr>
          <w:rFonts w:hint="eastAsia" w:ascii="仿宋" w:hAnsi="仿宋" w:eastAsia="仿宋" w:cs="仿宋"/>
          <w:b/>
          <w:bCs/>
          <w:snapToGrid w:val="0"/>
          <w:color w:val="auto"/>
          <w:sz w:val="30"/>
          <w:szCs w:val="30"/>
        </w:rPr>
        <w:t>投标人基本情况表（格式）</w:t>
      </w:r>
    </w:p>
    <w:tbl>
      <w:tblPr>
        <w:tblStyle w:val="25"/>
        <w:tblW w:w="1041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2"/>
        <w:gridCol w:w="646"/>
        <w:gridCol w:w="100"/>
        <w:gridCol w:w="296"/>
        <w:gridCol w:w="649"/>
        <w:gridCol w:w="451"/>
        <w:gridCol w:w="225"/>
        <w:gridCol w:w="1228"/>
        <w:gridCol w:w="944"/>
        <w:gridCol w:w="608"/>
        <w:gridCol w:w="342"/>
        <w:gridCol w:w="160"/>
        <w:gridCol w:w="1052"/>
        <w:gridCol w:w="352"/>
        <w:gridCol w:w="898"/>
        <w:gridCol w:w="16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568" w:type="dxa"/>
            <w:gridSpan w:val="3"/>
            <w:vAlign w:val="center"/>
          </w:tcPr>
          <w:p>
            <w:pPr>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企业名称</w:t>
            </w:r>
          </w:p>
        </w:tc>
        <w:tc>
          <w:tcPr>
            <w:tcW w:w="8851" w:type="dxa"/>
            <w:gridSpan w:val="13"/>
            <w:vAlign w:val="center"/>
          </w:tcPr>
          <w:p>
            <w:pPr>
              <w:jc w:val="center"/>
              <w:rPr>
                <w:rFonts w:hint="eastAsia" w:ascii="仿宋" w:hAnsi="仿宋" w:eastAsia="仿宋" w:cs="仿宋"/>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568" w:type="dxa"/>
            <w:gridSpan w:val="3"/>
            <w:vAlign w:val="center"/>
          </w:tcPr>
          <w:p>
            <w:pPr>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注册地址</w:t>
            </w:r>
          </w:p>
        </w:tc>
        <w:tc>
          <w:tcPr>
            <w:tcW w:w="8851" w:type="dxa"/>
            <w:gridSpan w:val="13"/>
            <w:vAlign w:val="center"/>
          </w:tcPr>
          <w:p>
            <w:pPr>
              <w:jc w:val="center"/>
              <w:rPr>
                <w:rFonts w:hint="eastAsia" w:ascii="仿宋" w:hAnsi="仿宋" w:eastAsia="仿宋" w:cs="仿宋"/>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568" w:type="dxa"/>
            <w:gridSpan w:val="3"/>
            <w:vAlign w:val="center"/>
          </w:tcPr>
          <w:p>
            <w:pPr>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通信代码</w:t>
            </w:r>
          </w:p>
        </w:tc>
        <w:tc>
          <w:tcPr>
            <w:tcW w:w="1396" w:type="dxa"/>
            <w:gridSpan w:val="3"/>
            <w:vAlign w:val="center"/>
          </w:tcPr>
          <w:p>
            <w:pPr>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电话</w:t>
            </w:r>
          </w:p>
        </w:tc>
        <w:tc>
          <w:tcPr>
            <w:tcW w:w="3005" w:type="dxa"/>
            <w:gridSpan w:val="4"/>
            <w:vAlign w:val="center"/>
          </w:tcPr>
          <w:p>
            <w:pPr>
              <w:jc w:val="center"/>
              <w:rPr>
                <w:rFonts w:hint="eastAsia" w:ascii="仿宋" w:hAnsi="仿宋" w:eastAsia="仿宋" w:cs="仿宋"/>
                <w:snapToGrid w:val="0"/>
                <w:color w:val="auto"/>
                <w:kern w:val="2"/>
                <w:szCs w:val="24"/>
              </w:rPr>
            </w:pPr>
          </w:p>
        </w:tc>
        <w:tc>
          <w:tcPr>
            <w:tcW w:w="1554" w:type="dxa"/>
            <w:gridSpan w:val="3"/>
            <w:vAlign w:val="center"/>
          </w:tcPr>
          <w:p>
            <w:pPr>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传真</w:t>
            </w:r>
          </w:p>
        </w:tc>
        <w:tc>
          <w:tcPr>
            <w:tcW w:w="2896" w:type="dxa"/>
            <w:gridSpan w:val="3"/>
            <w:vAlign w:val="center"/>
          </w:tcPr>
          <w:p>
            <w:pPr>
              <w:jc w:val="center"/>
              <w:rPr>
                <w:rFonts w:hint="eastAsia" w:ascii="仿宋" w:hAnsi="仿宋" w:eastAsia="仿宋" w:cs="仿宋"/>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568" w:type="dxa"/>
            <w:gridSpan w:val="3"/>
            <w:vAlign w:val="center"/>
          </w:tcPr>
          <w:p>
            <w:pPr>
              <w:jc w:val="center"/>
              <w:rPr>
                <w:rFonts w:hint="eastAsia" w:ascii="仿宋" w:hAnsi="仿宋" w:eastAsia="仿宋" w:cs="仿宋"/>
                <w:snapToGrid w:val="0"/>
                <w:color w:val="auto"/>
                <w:kern w:val="2"/>
                <w:szCs w:val="24"/>
              </w:rPr>
            </w:pPr>
          </w:p>
        </w:tc>
        <w:tc>
          <w:tcPr>
            <w:tcW w:w="1396" w:type="dxa"/>
            <w:gridSpan w:val="3"/>
            <w:vAlign w:val="center"/>
          </w:tcPr>
          <w:p>
            <w:pPr>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网址</w:t>
            </w:r>
          </w:p>
        </w:tc>
        <w:tc>
          <w:tcPr>
            <w:tcW w:w="3005" w:type="dxa"/>
            <w:gridSpan w:val="4"/>
            <w:vAlign w:val="center"/>
          </w:tcPr>
          <w:p>
            <w:pPr>
              <w:jc w:val="center"/>
              <w:rPr>
                <w:rFonts w:hint="eastAsia" w:ascii="仿宋" w:hAnsi="仿宋" w:eastAsia="仿宋" w:cs="仿宋"/>
                <w:snapToGrid w:val="0"/>
                <w:color w:val="auto"/>
                <w:kern w:val="2"/>
                <w:szCs w:val="24"/>
              </w:rPr>
            </w:pPr>
          </w:p>
        </w:tc>
        <w:tc>
          <w:tcPr>
            <w:tcW w:w="1554" w:type="dxa"/>
            <w:gridSpan w:val="3"/>
            <w:vAlign w:val="center"/>
          </w:tcPr>
          <w:p>
            <w:pPr>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邮政编码</w:t>
            </w:r>
          </w:p>
        </w:tc>
        <w:tc>
          <w:tcPr>
            <w:tcW w:w="2896" w:type="dxa"/>
            <w:gridSpan w:val="3"/>
            <w:vAlign w:val="center"/>
          </w:tcPr>
          <w:p>
            <w:pPr>
              <w:jc w:val="center"/>
              <w:rPr>
                <w:rFonts w:hint="eastAsia" w:ascii="仿宋" w:hAnsi="仿宋" w:eastAsia="仿宋" w:cs="仿宋"/>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568" w:type="dxa"/>
            <w:gridSpan w:val="3"/>
            <w:vAlign w:val="center"/>
          </w:tcPr>
          <w:p>
            <w:pPr>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成立时间</w:t>
            </w:r>
          </w:p>
        </w:tc>
        <w:tc>
          <w:tcPr>
            <w:tcW w:w="8851" w:type="dxa"/>
            <w:gridSpan w:val="13"/>
            <w:vAlign w:val="center"/>
          </w:tcPr>
          <w:p>
            <w:pPr>
              <w:jc w:val="center"/>
              <w:rPr>
                <w:rFonts w:hint="eastAsia" w:ascii="仿宋" w:hAnsi="仿宋" w:eastAsia="仿宋" w:cs="仿宋"/>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568" w:type="dxa"/>
            <w:gridSpan w:val="3"/>
            <w:vAlign w:val="center"/>
          </w:tcPr>
          <w:p>
            <w:pPr>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企业性质</w:t>
            </w:r>
          </w:p>
        </w:tc>
        <w:tc>
          <w:tcPr>
            <w:tcW w:w="2849" w:type="dxa"/>
            <w:gridSpan w:val="5"/>
            <w:vAlign w:val="center"/>
          </w:tcPr>
          <w:p>
            <w:pPr>
              <w:jc w:val="center"/>
              <w:rPr>
                <w:rFonts w:hint="eastAsia" w:ascii="仿宋" w:hAnsi="仿宋" w:eastAsia="仿宋" w:cs="仿宋"/>
                <w:snapToGrid w:val="0"/>
                <w:color w:val="auto"/>
                <w:kern w:val="2"/>
                <w:szCs w:val="24"/>
              </w:rPr>
            </w:pPr>
          </w:p>
        </w:tc>
        <w:tc>
          <w:tcPr>
            <w:tcW w:w="2054" w:type="dxa"/>
            <w:gridSpan w:val="4"/>
            <w:vAlign w:val="center"/>
          </w:tcPr>
          <w:p>
            <w:pPr>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上级主管单位</w:t>
            </w:r>
          </w:p>
        </w:tc>
        <w:tc>
          <w:tcPr>
            <w:tcW w:w="3948" w:type="dxa"/>
            <w:gridSpan w:val="4"/>
            <w:vAlign w:val="center"/>
          </w:tcPr>
          <w:p>
            <w:pPr>
              <w:jc w:val="center"/>
              <w:rPr>
                <w:rFonts w:hint="eastAsia" w:ascii="仿宋" w:hAnsi="仿宋" w:eastAsia="仿宋" w:cs="仿宋"/>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864" w:type="dxa"/>
            <w:gridSpan w:val="4"/>
            <w:vAlign w:val="center"/>
          </w:tcPr>
          <w:p>
            <w:pPr>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法定代表人</w:t>
            </w:r>
          </w:p>
        </w:tc>
        <w:tc>
          <w:tcPr>
            <w:tcW w:w="1325" w:type="dxa"/>
            <w:gridSpan w:val="3"/>
            <w:vAlign w:val="center"/>
          </w:tcPr>
          <w:p>
            <w:pPr>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姓名</w:t>
            </w:r>
          </w:p>
        </w:tc>
        <w:tc>
          <w:tcPr>
            <w:tcW w:w="1228" w:type="dxa"/>
            <w:vAlign w:val="center"/>
          </w:tcPr>
          <w:p>
            <w:pPr>
              <w:jc w:val="center"/>
              <w:rPr>
                <w:rFonts w:hint="eastAsia" w:ascii="仿宋" w:hAnsi="仿宋" w:eastAsia="仿宋" w:cs="仿宋"/>
                <w:snapToGrid w:val="0"/>
                <w:color w:val="auto"/>
                <w:kern w:val="2"/>
                <w:szCs w:val="24"/>
              </w:rPr>
            </w:pPr>
          </w:p>
        </w:tc>
        <w:tc>
          <w:tcPr>
            <w:tcW w:w="2054" w:type="dxa"/>
            <w:gridSpan w:val="4"/>
            <w:vAlign w:val="center"/>
          </w:tcPr>
          <w:p>
            <w:pPr>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出生年月</w:t>
            </w:r>
          </w:p>
        </w:tc>
        <w:tc>
          <w:tcPr>
            <w:tcW w:w="1404" w:type="dxa"/>
            <w:gridSpan w:val="2"/>
            <w:vAlign w:val="center"/>
          </w:tcPr>
          <w:p>
            <w:pPr>
              <w:jc w:val="center"/>
              <w:rPr>
                <w:rFonts w:hint="eastAsia" w:ascii="仿宋" w:hAnsi="仿宋" w:eastAsia="仿宋" w:cs="仿宋"/>
                <w:snapToGrid w:val="0"/>
                <w:color w:val="auto"/>
                <w:kern w:val="2"/>
                <w:szCs w:val="24"/>
              </w:rPr>
            </w:pPr>
          </w:p>
        </w:tc>
        <w:tc>
          <w:tcPr>
            <w:tcW w:w="898" w:type="dxa"/>
            <w:vAlign w:val="center"/>
          </w:tcPr>
          <w:p>
            <w:pPr>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职称</w:t>
            </w:r>
          </w:p>
        </w:tc>
        <w:tc>
          <w:tcPr>
            <w:tcW w:w="1646" w:type="dxa"/>
            <w:vAlign w:val="center"/>
          </w:tcPr>
          <w:p>
            <w:pPr>
              <w:jc w:val="center"/>
              <w:rPr>
                <w:rFonts w:hint="eastAsia" w:ascii="仿宋" w:hAnsi="仿宋" w:eastAsia="仿宋" w:cs="仿宋"/>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864" w:type="dxa"/>
            <w:gridSpan w:val="4"/>
            <w:vAlign w:val="center"/>
          </w:tcPr>
          <w:p>
            <w:pPr>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技术负责人</w:t>
            </w:r>
          </w:p>
        </w:tc>
        <w:tc>
          <w:tcPr>
            <w:tcW w:w="1325" w:type="dxa"/>
            <w:gridSpan w:val="3"/>
            <w:vAlign w:val="center"/>
          </w:tcPr>
          <w:p>
            <w:pPr>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姓名</w:t>
            </w:r>
          </w:p>
        </w:tc>
        <w:tc>
          <w:tcPr>
            <w:tcW w:w="1228" w:type="dxa"/>
            <w:vAlign w:val="center"/>
          </w:tcPr>
          <w:p>
            <w:pPr>
              <w:jc w:val="center"/>
              <w:rPr>
                <w:rFonts w:hint="eastAsia" w:ascii="仿宋" w:hAnsi="仿宋" w:eastAsia="仿宋" w:cs="仿宋"/>
                <w:snapToGrid w:val="0"/>
                <w:color w:val="auto"/>
                <w:kern w:val="2"/>
                <w:szCs w:val="24"/>
              </w:rPr>
            </w:pPr>
          </w:p>
        </w:tc>
        <w:tc>
          <w:tcPr>
            <w:tcW w:w="2054" w:type="dxa"/>
            <w:gridSpan w:val="4"/>
            <w:vAlign w:val="center"/>
          </w:tcPr>
          <w:p>
            <w:pPr>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出生年月</w:t>
            </w:r>
          </w:p>
        </w:tc>
        <w:tc>
          <w:tcPr>
            <w:tcW w:w="1404" w:type="dxa"/>
            <w:gridSpan w:val="2"/>
            <w:vAlign w:val="center"/>
          </w:tcPr>
          <w:p>
            <w:pPr>
              <w:jc w:val="center"/>
              <w:rPr>
                <w:rFonts w:hint="eastAsia" w:ascii="仿宋" w:hAnsi="仿宋" w:eastAsia="仿宋" w:cs="仿宋"/>
                <w:snapToGrid w:val="0"/>
                <w:color w:val="auto"/>
                <w:kern w:val="2"/>
                <w:szCs w:val="24"/>
              </w:rPr>
            </w:pPr>
          </w:p>
        </w:tc>
        <w:tc>
          <w:tcPr>
            <w:tcW w:w="898" w:type="dxa"/>
            <w:vAlign w:val="center"/>
          </w:tcPr>
          <w:p>
            <w:pPr>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职称</w:t>
            </w:r>
          </w:p>
        </w:tc>
        <w:tc>
          <w:tcPr>
            <w:tcW w:w="1646" w:type="dxa"/>
            <w:vAlign w:val="center"/>
          </w:tcPr>
          <w:p>
            <w:pPr>
              <w:jc w:val="center"/>
              <w:rPr>
                <w:rFonts w:hint="eastAsia" w:ascii="仿宋" w:hAnsi="仿宋" w:eastAsia="仿宋" w:cs="仿宋"/>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2513" w:type="dxa"/>
            <w:gridSpan w:val="5"/>
            <w:vAlign w:val="center"/>
          </w:tcPr>
          <w:p>
            <w:pPr>
              <w:pStyle w:val="21"/>
              <w:rPr>
                <w:rFonts w:hint="eastAsia" w:ascii="仿宋" w:hAnsi="仿宋" w:eastAsia="仿宋" w:cs="仿宋"/>
                <w:snapToGrid w:val="0"/>
                <w:color w:val="auto"/>
                <w:szCs w:val="24"/>
              </w:rPr>
            </w:pPr>
            <w:r>
              <w:rPr>
                <w:rFonts w:hint="eastAsia" w:ascii="仿宋" w:hAnsi="仿宋" w:eastAsia="仿宋" w:cs="仿宋"/>
                <w:snapToGrid w:val="0"/>
                <w:color w:val="auto"/>
                <w:szCs w:val="24"/>
              </w:rPr>
              <w:t>企业资质等级</w:t>
            </w:r>
          </w:p>
        </w:tc>
        <w:tc>
          <w:tcPr>
            <w:tcW w:w="2848" w:type="dxa"/>
            <w:gridSpan w:val="4"/>
            <w:vAlign w:val="center"/>
          </w:tcPr>
          <w:p>
            <w:pPr>
              <w:jc w:val="center"/>
              <w:rPr>
                <w:rFonts w:hint="eastAsia" w:ascii="仿宋" w:hAnsi="仿宋" w:eastAsia="仿宋" w:cs="仿宋"/>
                <w:snapToGrid w:val="0"/>
                <w:color w:val="auto"/>
                <w:kern w:val="2"/>
                <w:szCs w:val="24"/>
              </w:rPr>
            </w:pPr>
          </w:p>
        </w:tc>
        <w:tc>
          <w:tcPr>
            <w:tcW w:w="2514" w:type="dxa"/>
            <w:gridSpan w:val="5"/>
            <w:vAlign w:val="center"/>
          </w:tcPr>
          <w:p>
            <w:pPr>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员工总人数(人)</w:t>
            </w:r>
          </w:p>
        </w:tc>
        <w:tc>
          <w:tcPr>
            <w:tcW w:w="2544" w:type="dxa"/>
            <w:gridSpan w:val="2"/>
            <w:vAlign w:val="center"/>
          </w:tcPr>
          <w:p>
            <w:pPr>
              <w:jc w:val="center"/>
              <w:rPr>
                <w:rFonts w:hint="eastAsia" w:ascii="仿宋" w:hAnsi="仿宋" w:eastAsia="仿宋" w:cs="仿宋"/>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2513" w:type="dxa"/>
            <w:gridSpan w:val="5"/>
            <w:vAlign w:val="center"/>
          </w:tcPr>
          <w:p>
            <w:pP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法人营业执照号</w:t>
            </w:r>
          </w:p>
        </w:tc>
        <w:tc>
          <w:tcPr>
            <w:tcW w:w="2848" w:type="dxa"/>
            <w:gridSpan w:val="4"/>
            <w:vAlign w:val="center"/>
          </w:tcPr>
          <w:p>
            <w:pPr>
              <w:jc w:val="center"/>
              <w:rPr>
                <w:rFonts w:hint="eastAsia" w:ascii="仿宋" w:hAnsi="仿宋" w:eastAsia="仿宋" w:cs="仿宋"/>
                <w:snapToGrid w:val="0"/>
                <w:color w:val="auto"/>
                <w:kern w:val="2"/>
                <w:szCs w:val="24"/>
              </w:rPr>
            </w:pPr>
          </w:p>
        </w:tc>
        <w:tc>
          <w:tcPr>
            <w:tcW w:w="950" w:type="dxa"/>
            <w:gridSpan w:val="2"/>
            <w:vMerge w:val="restart"/>
            <w:vAlign w:val="center"/>
          </w:tcPr>
          <w:p>
            <w:pPr>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其</w:t>
            </w:r>
          </w:p>
          <w:p>
            <w:pPr>
              <w:jc w:val="center"/>
              <w:rPr>
                <w:rFonts w:hint="eastAsia" w:ascii="仿宋" w:hAnsi="仿宋" w:eastAsia="仿宋" w:cs="仿宋"/>
                <w:snapToGrid w:val="0"/>
                <w:color w:val="auto"/>
                <w:kern w:val="2"/>
                <w:szCs w:val="24"/>
              </w:rPr>
            </w:pPr>
          </w:p>
          <w:p>
            <w:pPr>
              <w:jc w:val="center"/>
              <w:rPr>
                <w:rFonts w:hint="eastAsia" w:ascii="仿宋" w:hAnsi="仿宋" w:eastAsia="仿宋" w:cs="仿宋"/>
                <w:snapToGrid w:val="0"/>
                <w:color w:val="auto"/>
                <w:kern w:val="2"/>
                <w:szCs w:val="24"/>
              </w:rPr>
            </w:pPr>
          </w:p>
          <w:p>
            <w:pPr>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中</w:t>
            </w:r>
          </w:p>
        </w:tc>
        <w:tc>
          <w:tcPr>
            <w:tcW w:w="4108" w:type="dxa"/>
            <w:gridSpan w:val="5"/>
            <w:vAlign w:val="center"/>
          </w:tcPr>
          <w:p>
            <w:pP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项目经理(人)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2513" w:type="dxa"/>
            <w:gridSpan w:val="5"/>
            <w:vAlign w:val="center"/>
          </w:tcPr>
          <w:p>
            <w:pP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固定资产（万元）</w:t>
            </w:r>
          </w:p>
        </w:tc>
        <w:tc>
          <w:tcPr>
            <w:tcW w:w="2848" w:type="dxa"/>
            <w:gridSpan w:val="4"/>
            <w:vAlign w:val="center"/>
          </w:tcPr>
          <w:p>
            <w:pPr>
              <w:jc w:val="center"/>
              <w:rPr>
                <w:rFonts w:hint="eastAsia" w:ascii="仿宋" w:hAnsi="仿宋" w:eastAsia="仿宋" w:cs="仿宋"/>
                <w:snapToGrid w:val="0"/>
                <w:color w:val="auto"/>
                <w:kern w:val="2"/>
                <w:szCs w:val="24"/>
              </w:rPr>
            </w:pPr>
          </w:p>
        </w:tc>
        <w:tc>
          <w:tcPr>
            <w:tcW w:w="950" w:type="dxa"/>
            <w:gridSpan w:val="2"/>
            <w:vMerge w:val="continue"/>
            <w:vAlign w:val="center"/>
          </w:tcPr>
          <w:p>
            <w:pPr>
              <w:jc w:val="center"/>
              <w:rPr>
                <w:rFonts w:hint="eastAsia" w:ascii="仿宋" w:hAnsi="仿宋" w:eastAsia="仿宋" w:cs="仿宋"/>
                <w:snapToGrid w:val="0"/>
                <w:color w:val="auto"/>
                <w:kern w:val="2"/>
                <w:szCs w:val="24"/>
              </w:rPr>
            </w:pPr>
          </w:p>
        </w:tc>
        <w:tc>
          <w:tcPr>
            <w:tcW w:w="4108" w:type="dxa"/>
            <w:gridSpan w:val="5"/>
            <w:vAlign w:val="center"/>
          </w:tcPr>
          <w:p>
            <w:pP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高级职称人员(人)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2513" w:type="dxa"/>
            <w:gridSpan w:val="5"/>
            <w:vAlign w:val="center"/>
          </w:tcPr>
          <w:p>
            <w:pP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流动资金（万元）</w:t>
            </w:r>
          </w:p>
        </w:tc>
        <w:tc>
          <w:tcPr>
            <w:tcW w:w="2848" w:type="dxa"/>
            <w:gridSpan w:val="4"/>
            <w:vAlign w:val="center"/>
          </w:tcPr>
          <w:p>
            <w:pPr>
              <w:jc w:val="center"/>
              <w:rPr>
                <w:rFonts w:hint="eastAsia" w:ascii="仿宋" w:hAnsi="仿宋" w:eastAsia="仿宋" w:cs="仿宋"/>
                <w:snapToGrid w:val="0"/>
                <w:color w:val="auto"/>
                <w:kern w:val="2"/>
                <w:szCs w:val="24"/>
              </w:rPr>
            </w:pPr>
          </w:p>
        </w:tc>
        <w:tc>
          <w:tcPr>
            <w:tcW w:w="950" w:type="dxa"/>
            <w:gridSpan w:val="2"/>
            <w:vMerge w:val="continue"/>
            <w:vAlign w:val="center"/>
          </w:tcPr>
          <w:p>
            <w:pPr>
              <w:jc w:val="center"/>
              <w:rPr>
                <w:rFonts w:hint="eastAsia" w:ascii="仿宋" w:hAnsi="仿宋" w:eastAsia="仿宋" w:cs="仿宋"/>
                <w:snapToGrid w:val="0"/>
                <w:color w:val="auto"/>
                <w:kern w:val="2"/>
                <w:szCs w:val="24"/>
              </w:rPr>
            </w:pPr>
          </w:p>
        </w:tc>
        <w:tc>
          <w:tcPr>
            <w:tcW w:w="4108" w:type="dxa"/>
            <w:gridSpan w:val="5"/>
            <w:vAlign w:val="center"/>
          </w:tcPr>
          <w:p>
            <w:pP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中级职称人员(人)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468" w:type="dxa"/>
            <w:gridSpan w:val="2"/>
            <w:vMerge w:val="restart"/>
            <w:vAlign w:val="center"/>
          </w:tcPr>
          <w:p>
            <w:pPr>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开户银行</w:t>
            </w:r>
          </w:p>
        </w:tc>
        <w:tc>
          <w:tcPr>
            <w:tcW w:w="1045" w:type="dxa"/>
            <w:gridSpan w:val="3"/>
            <w:vAlign w:val="center"/>
          </w:tcPr>
          <w:p>
            <w:pPr>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名称</w:t>
            </w:r>
          </w:p>
        </w:tc>
        <w:tc>
          <w:tcPr>
            <w:tcW w:w="2848" w:type="dxa"/>
            <w:gridSpan w:val="4"/>
            <w:vAlign w:val="center"/>
          </w:tcPr>
          <w:p>
            <w:pPr>
              <w:jc w:val="center"/>
              <w:rPr>
                <w:rFonts w:hint="eastAsia" w:ascii="仿宋" w:hAnsi="仿宋" w:eastAsia="仿宋" w:cs="仿宋"/>
                <w:snapToGrid w:val="0"/>
                <w:color w:val="auto"/>
                <w:kern w:val="2"/>
                <w:szCs w:val="24"/>
              </w:rPr>
            </w:pPr>
          </w:p>
        </w:tc>
        <w:tc>
          <w:tcPr>
            <w:tcW w:w="950" w:type="dxa"/>
            <w:gridSpan w:val="2"/>
            <w:vMerge w:val="continue"/>
            <w:vAlign w:val="center"/>
          </w:tcPr>
          <w:p>
            <w:pPr>
              <w:jc w:val="center"/>
              <w:rPr>
                <w:rFonts w:hint="eastAsia" w:ascii="仿宋" w:hAnsi="仿宋" w:eastAsia="仿宋" w:cs="仿宋"/>
                <w:snapToGrid w:val="0"/>
                <w:color w:val="auto"/>
                <w:kern w:val="2"/>
                <w:szCs w:val="24"/>
              </w:rPr>
            </w:pPr>
          </w:p>
        </w:tc>
        <w:tc>
          <w:tcPr>
            <w:tcW w:w="4108" w:type="dxa"/>
            <w:gridSpan w:val="5"/>
            <w:vAlign w:val="center"/>
          </w:tcPr>
          <w:p>
            <w:pP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初级职称人员(人)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468" w:type="dxa"/>
            <w:gridSpan w:val="2"/>
            <w:vMerge w:val="continue"/>
            <w:vAlign w:val="center"/>
          </w:tcPr>
          <w:p>
            <w:pPr>
              <w:jc w:val="center"/>
              <w:rPr>
                <w:rFonts w:hint="eastAsia" w:ascii="仿宋" w:hAnsi="仿宋" w:eastAsia="仿宋" w:cs="仿宋"/>
                <w:snapToGrid w:val="0"/>
                <w:color w:val="auto"/>
                <w:kern w:val="2"/>
                <w:szCs w:val="24"/>
              </w:rPr>
            </w:pPr>
          </w:p>
        </w:tc>
        <w:tc>
          <w:tcPr>
            <w:tcW w:w="1045" w:type="dxa"/>
            <w:gridSpan w:val="3"/>
            <w:vAlign w:val="center"/>
          </w:tcPr>
          <w:p>
            <w:pPr>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账号</w:t>
            </w:r>
          </w:p>
        </w:tc>
        <w:tc>
          <w:tcPr>
            <w:tcW w:w="2848" w:type="dxa"/>
            <w:gridSpan w:val="4"/>
            <w:vAlign w:val="center"/>
          </w:tcPr>
          <w:p>
            <w:pPr>
              <w:jc w:val="center"/>
              <w:rPr>
                <w:rFonts w:hint="eastAsia" w:ascii="仿宋" w:hAnsi="仿宋" w:eastAsia="仿宋" w:cs="仿宋"/>
                <w:snapToGrid w:val="0"/>
                <w:color w:val="auto"/>
                <w:kern w:val="2"/>
                <w:szCs w:val="24"/>
              </w:rPr>
            </w:pPr>
          </w:p>
        </w:tc>
        <w:tc>
          <w:tcPr>
            <w:tcW w:w="950" w:type="dxa"/>
            <w:gridSpan w:val="2"/>
            <w:vMerge w:val="continue"/>
            <w:vAlign w:val="center"/>
          </w:tcPr>
          <w:p>
            <w:pPr>
              <w:jc w:val="center"/>
              <w:rPr>
                <w:rFonts w:hint="eastAsia" w:ascii="仿宋" w:hAnsi="仿宋" w:eastAsia="仿宋" w:cs="仿宋"/>
                <w:snapToGrid w:val="0"/>
                <w:color w:val="auto"/>
                <w:kern w:val="2"/>
                <w:szCs w:val="24"/>
              </w:rPr>
            </w:pPr>
          </w:p>
        </w:tc>
        <w:tc>
          <w:tcPr>
            <w:tcW w:w="4108" w:type="dxa"/>
            <w:gridSpan w:val="5"/>
            <w:vAlign w:val="center"/>
          </w:tcPr>
          <w:p>
            <w:pP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技工（人）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6311" w:type="dxa"/>
            <w:gridSpan w:val="11"/>
            <w:vAlign w:val="center"/>
          </w:tcPr>
          <w:p>
            <w:pPr>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最近5年完成的营业额（万元）</w:t>
            </w:r>
          </w:p>
        </w:tc>
        <w:tc>
          <w:tcPr>
            <w:tcW w:w="4108" w:type="dxa"/>
            <w:gridSpan w:val="5"/>
            <w:vAlign w:val="center"/>
          </w:tcPr>
          <w:p>
            <w:pPr>
              <w:jc w:val="center"/>
              <w:rPr>
                <w:rFonts w:hint="eastAsia" w:ascii="仿宋" w:hAnsi="仿宋" w:eastAsia="仿宋" w:cs="仿宋"/>
                <w:snapToGrid w:val="0"/>
                <w:color w:val="auto"/>
                <w:kern w:val="2"/>
                <w:szCs w:val="24"/>
                <w:highlight w:val="magenta"/>
              </w:rPr>
            </w:pPr>
            <w:r>
              <w:rPr>
                <w:rFonts w:hint="eastAsia" w:ascii="仿宋" w:hAnsi="仿宋" w:eastAsia="仿宋" w:cs="仿宋"/>
                <w:snapToGrid w:val="0"/>
                <w:color w:val="auto"/>
                <w:kern w:val="2"/>
                <w:szCs w:val="24"/>
              </w:rPr>
              <w:t>近期完成的类似工程情况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822" w:type="dxa"/>
            <w:vAlign w:val="center"/>
          </w:tcPr>
          <w:p>
            <w:pPr>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年</w:t>
            </w:r>
          </w:p>
        </w:tc>
        <w:tc>
          <w:tcPr>
            <w:tcW w:w="5489" w:type="dxa"/>
            <w:gridSpan w:val="10"/>
            <w:vAlign w:val="center"/>
          </w:tcPr>
          <w:p>
            <w:pPr>
              <w:jc w:val="center"/>
              <w:rPr>
                <w:rFonts w:hint="eastAsia" w:ascii="仿宋" w:hAnsi="仿宋" w:eastAsia="仿宋" w:cs="仿宋"/>
                <w:color w:val="auto"/>
                <w:kern w:val="2"/>
              </w:rPr>
            </w:pPr>
          </w:p>
        </w:tc>
        <w:tc>
          <w:tcPr>
            <w:tcW w:w="4108" w:type="dxa"/>
            <w:gridSpan w:val="5"/>
            <w:vAlign w:val="center"/>
          </w:tcPr>
          <w:p>
            <w:pPr>
              <w:rPr>
                <w:rFonts w:hint="eastAsia" w:ascii="仿宋" w:hAnsi="仿宋" w:eastAsia="仿宋" w:cs="仿宋"/>
                <w:snapToGrid w:val="0"/>
                <w:color w:val="auto"/>
                <w:kern w:val="2"/>
                <w:szCs w:val="24"/>
                <w:highlight w:val="magenta"/>
              </w:rPr>
            </w:pPr>
            <w:r>
              <w:rPr>
                <w:rFonts w:hint="eastAsia" w:ascii="仿宋" w:hAnsi="仿宋" w:eastAsia="仿宋" w:cs="仿宋"/>
                <w:snapToGrid w:val="0"/>
                <w:color w:val="auto"/>
                <w:kern w:val="2"/>
                <w:szCs w:val="24"/>
              </w:rPr>
              <w:t>另附表，格式见《近期完成的类似工程情况表》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822" w:type="dxa"/>
            <w:vAlign w:val="center"/>
          </w:tcPr>
          <w:p>
            <w:pPr>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年</w:t>
            </w:r>
          </w:p>
        </w:tc>
        <w:tc>
          <w:tcPr>
            <w:tcW w:w="5489" w:type="dxa"/>
            <w:gridSpan w:val="10"/>
            <w:vAlign w:val="center"/>
          </w:tcPr>
          <w:p>
            <w:pPr>
              <w:jc w:val="center"/>
              <w:rPr>
                <w:rFonts w:hint="eastAsia" w:ascii="仿宋" w:hAnsi="仿宋" w:eastAsia="仿宋" w:cs="仿宋"/>
                <w:color w:val="auto"/>
                <w:kern w:val="2"/>
              </w:rPr>
            </w:pPr>
          </w:p>
        </w:tc>
        <w:tc>
          <w:tcPr>
            <w:tcW w:w="4108" w:type="dxa"/>
            <w:gridSpan w:val="5"/>
            <w:vAlign w:val="center"/>
          </w:tcPr>
          <w:p>
            <w:pPr>
              <w:jc w:val="center"/>
              <w:rPr>
                <w:rFonts w:hint="eastAsia" w:ascii="仿宋" w:hAnsi="仿宋" w:eastAsia="仿宋" w:cs="仿宋"/>
                <w:snapToGrid w:val="0"/>
                <w:color w:val="auto"/>
                <w:kern w:val="2"/>
                <w:szCs w:val="24"/>
                <w:highlight w:val="magent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822" w:type="dxa"/>
            <w:vAlign w:val="center"/>
          </w:tcPr>
          <w:p>
            <w:pPr>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年</w:t>
            </w:r>
          </w:p>
        </w:tc>
        <w:tc>
          <w:tcPr>
            <w:tcW w:w="5489" w:type="dxa"/>
            <w:gridSpan w:val="10"/>
            <w:vAlign w:val="center"/>
          </w:tcPr>
          <w:p>
            <w:pPr>
              <w:jc w:val="center"/>
              <w:rPr>
                <w:rFonts w:hint="eastAsia" w:ascii="仿宋" w:hAnsi="仿宋" w:eastAsia="仿宋" w:cs="仿宋"/>
                <w:color w:val="auto"/>
                <w:kern w:val="2"/>
              </w:rPr>
            </w:pPr>
          </w:p>
        </w:tc>
        <w:tc>
          <w:tcPr>
            <w:tcW w:w="4108" w:type="dxa"/>
            <w:gridSpan w:val="5"/>
            <w:vAlign w:val="center"/>
          </w:tcPr>
          <w:p>
            <w:pPr>
              <w:jc w:val="center"/>
              <w:rPr>
                <w:rFonts w:hint="eastAsia" w:ascii="仿宋" w:hAnsi="仿宋" w:eastAsia="仿宋" w:cs="仿宋"/>
                <w:snapToGrid w:val="0"/>
                <w:color w:val="auto"/>
                <w:kern w:val="2"/>
                <w:szCs w:val="24"/>
                <w:highlight w:val="magent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10419" w:type="dxa"/>
            <w:gridSpan w:val="16"/>
            <w:vAlign w:val="center"/>
          </w:tcPr>
          <w:p>
            <w:pPr>
              <w:jc w:val="center"/>
              <w:rPr>
                <w:rFonts w:hint="eastAsia" w:ascii="仿宋" w:hAnsi="仿宋" w:eastAsia="仿宋" w:cs="仿宋"/>
                <w:snapToGrid w:val="0"/>
                <w:color w:val="auto"/>
                <w:kern w:val="2"/>
                <w:szCs w:val="24"/>
              </w:rPr>
            </w:pPr>
            <w:r>
              <w:rPr>
                <w:rFonts w:hint="eastAsia" w:ascii="仿宋" w:hAnsi="仿宋" w:eastAsia="仿宋" w:cs="仿宋"/>
                <w:snapToGrid w:val="0"/>
                <w:color w:val="auto"/>
                <w:kern w:val="2"/>
                <w:szCs w:val="24"/>
              </w:rPr>
              <w:t>能承担的年最大建安工作量（万元）</w:t>
            </w:r>
          </w:p>
        </w:tc>
      </w:tr>
    </w:tbl>
    <w:p>
      <w:pPr>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注：相关材料在“原件的扫描件或电子件”中提供。</w:t>
      </w:r>
    </w:p>
    <w:p>
      <w:pPr>
        <w:rPr>
          <w:rFonts w:hint="eastAsia" w:ascii="仿宋" w:hAnsi="仿宋" w:eastAsia="仿宋" w:cs="仿宋"/>
          <w:snapToGrid w:val="0"/>
          <w:color w:val="auto"/>
          <w:szCs w:val="24"/>
        </w:rPr>
      </w:pPr>
      <w:r>
        <w:rPr>
          <w:rFonts w:hint="eastAsia" w:ascii="仿宋" w:hAnsi="仿宋" w:eastAsia="仿宋" w:cs="仿宋"/>
          <w:snapToGrid w:val="0"/>
          <w:color w:val="auto"/>
          <w:szCs w:val="24"/>
        </w:rPr>
        <w:t>投标人：</w:t>
      </w:r>
      <w:r>
        <w:rPr>
          <w:rFonts w:hint="eastAsia" w:ascii="仿宋" w:hAnsi="仿宋" w:eastAsia="仿宋" w:cs="仿宋"/>
          <w:snapToGrid w:val="0"/>
          <w:color w:val="auto"/>
          <w:szCs w:val="24"/>
          <w:u w:val="single"/>
        </w:rPr>
        <w:t>（盖单位章）</w:t>
      </w:r>
    </w:p>
    <w:p>
      <w:pPr>
        <w:rPr>
          <w:rFonts w:hint="eastAsia" w:ascii="仿宋" w:hAnsi="仿宋" w:eastAsia="仿宋" w:cs="仿宋"/>
          <w:snapToGrid w:val="0"/>
          <w:color w:val="auto"/>
          <w:szCs w:val="24"/>
        </w:rPr>
      </w:pPr>
      <w:r>
        <w:rPr>
          <w:rFonts w:hint="eastAsia" w:ascii="仿宋" w:hAnsi="仿宋" w:eastAsia="仿宋" w:cs="仿宋"/>
          <w:snapToGrid w:val="0"/>
          <w:color w:val="auto"/>
          <w:szCs w:val="24"/>
        </w:rPr>
        <w:t>法定代表人（或委托代理人）：</w:t>
      </w:r>
      <w:r>
        <w:rPr>
          <w:rFonts w:hint="eastAsia" w:ascii="仿宋" w:hAnsi="仿宋" w:eastAsia="仿宋" w:cs="仿宋"/>
          <w:snapToGrid w:val="0"/>
          <w:color w:val="auto"/>
          <w:szCs w:val="24"/>
          <w:u w:val="single"/>
        </w:rPr>
        <w:t>（签名）</w:t>
      </w:r>
    </w:p>
    <w:p>
      <w:pPr>
        <w:ind w:firstLine="4440"/>
        <w:rPr>
          <w:rFonts w:hint="eastAsia" w:ascii="仿宋" w:hAnsi="仿宋" w:eastAsia="仿宋" w:cs="仿宋"/>
          <w:snapToGrid w:val="0"/>
          <w:color w:val="auto"/>
          <w:szCs w:val="24"/>
        </w:rPr>
      </w:pPr>
      <w:r>
        <w:rPr>
          <w:rFonts w:hint="eastAsia" w:ascii="仿宋" w:hAnsi="仿宋" w:eastAsia="仿宋" w:cs="仿宋"/>
          <w:snapToGrid w:val="0"/>
          <w:color w:val="auto"/>
          <w:szCs w:val="24"/>
        </w:rPr>
        <w:t>年月日</w:t>
      </w:r>
    </w:p>
    <w:p>
      <w:pPr>
        <w:rPr>
          <w:rFonts w:hint="eastAsia" w:ascii="仿宋" w:hAnsi="仿宋" w:eastAsia="仿宋" w:cs="仿宋"/>
          <w:snapToGrid w:val="0"/>
          <w:color w:val="auto"/>
          <w:szCs w:val="24"/>
        </w:rPr>
      </w:pPr>
    </w:p>
    <w:p>
      <w:pPr>
        <w:pStyle w:val="42"/>
        <w:rPr>
          <w:rFonts w:hint="eastAsia" w:ascii="仿宋" w:hAnsi="仿宋" w:eastAsia="仿宋" w:cs="仿宋"/>
          <w:color w:val="auto"/>
        </w:rPr>
      </w:pPr>
    </w:p>
    <w:p>
      <w:pPr>
        <w:pStyle w:val="8"/>
        <w:rPr>
          <w:rFonts w:hint="eastAsia" w:ascii="仿宋" w:hAnsi="仿宋" w:eastAsia="仿宋" w:cs="仿宋"/>
          <w:color w:val="auto"/>
          <w:szCs w:val="24"/>
        </w:rPr>
      </w:pPr>
      <w:r>
        <w:rPr>
          <w:rFonts w:hint="eastAsia" w:ascii="仿宋" w:hAnsi="仿宋" w:eastAsia="仿宋" w:cs="仿宋"/>
          <w:color w:val="auto"/>
          <w:szCs w:val="24"/>
        </w:rPr>
        <w:t>（二）201</w:t>
      </w:r>
      <w:r>
        <w:rPr>
          <w:rFonts w:hint="eastAsia" w:ascii="仿宋" w:hAnsi="仿宋" w:eastAsia="仿宋" w:cs="仿宋"/>
          <w:color w:val="auto"/>
          <w:szCs w:val="24"/>
          <w:lang w:val="en-US" w:eastAsia="zh-CN"/>
        </w:rPr>
        <w:t>8</w:t>
      </w:r>
      <w:r>
        <w:rPr>
          <w:rFonts w:hint="eastAsia" w:ascii="仿宋" w:hAnsi="仿宋" w:eastAsia="仿宋" w:cs="仿宋"/>
          <w:color w:val="auto"/>
          <w:szCs w:val="24"/>
        </w:rPr>
        <w:t>年、201</w:t>
      </w:r>
      <w:r>
        <w:rPr>
          <w:rFonts w:hint="eastAsia" w:ascii="仿宋" w:hAnsi="仿宋" w:eastAsia="仿宋" w:cs="仿宋"/>
          <w:color w:val="auto"/>
          <w:szCs w:val="24"/>
          <w:lang w:val="en-US" w:eastAsia="zh-CN"/>
        </w:rPr>
        <w:t>9</w:t>
      </w:r>
      <w:r>
        <w:rPr>
          <w:rFonts w:hint="eastAsia" w:ascii="仿宋" w:hAnsi="仿宋" w:eastAsia="仿宋" w:cs="仿宋"/>
          <w:color w:val="auto"/>
          <w:szCs w:val="24"/>
        </w:rPr>
        <w:t>年、20</w:t>
      </w:r>
      <w:r>
        <w:rPr>
          <w:rFonts w:hint="eastAsia" w:ascii="仿宋" w:hAnsi="仿宋" w:eastAsia="仿宋" w:cs="仿宋"/>
          <w:color w:val="auto"/>
          <w:szCs w:val="24"/>
          <w:lang w:val="en-US" w:eastAsia="zh-CN"/>
        </w:rPr>
        <w:t>20</w:t>
      </w:r>
      <w:r>
        <w:rPr>
          <w:rFonts w:hint="eastAsia" w:ascii="仿宋" w:hAnsi="仿宋" w:eastAsia="仿宋" w:cs="仿宋"/>
          <w:color w:val="auto"/>
          <w:szCs w:val="24"/>
        </w:rPr>
        <w:t>年财务状况表</w:t>
      </w:r>
    </w:p>
    <w:p>
      <w:pPr>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1.财务状况表</w:t>
      </w:r>
    </w:p>
    <w:p>
      <w:pPr>
        <w:jc w:val="center"/>
        <w:rPr>
          <w:rFonts w:hint="eastAsia" w:ascii="仿宋" w:hAnsi="仿宋" w:eastAsia="仿宋" w:cs="仿宋"/>
          <w:b/>
          <w:snapToGrid w:val="0"/>
          <w:color w:val="auto"/>
          <w:sz w:val="28"/>
          <w:szCs w:val="28"/>
        </w:rPr>
      </w:pPr>
      <w:r>
        <w:rPr>
          <w:rFonts w:hint="eastAsia" w:ascii="仿宋" w:hAnsi="仿宋" w:eastAsia="仿宋" w:cs="仿宋"/>
          <w:b/>
          <w:snapToGrid w:val="0"/>
          <w:color w:val="auto"/>
          <w:sz w:val="28"/>
          <w:szCs w:val="28"/>
        </w:rPr>
        <w:t>财务状况表</w:t>
      </w:r>
    </w:p>
    <w:tbl>
      <w:tblPr>
        <w:tblStyle w:val="25"/>
        <w:tblW w:w="1027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71"/>
        <w:gridCol w:w="1362"/>
        <w:gridCol w:w="2115"/>
        <w:gridCol w:w="2115"/>
        <w:gridCol w:w="21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571" w:type="dxa"/>
            <w:vAlign w:val="center"/>
          </w:tcPr>
          <w:p>
            <w:pPr>
              <w:snapToGrid w:val="0"/>
              <w:jc w:val="center"/>
              <w:rPr>
                <w:rFonts w:hint="eastAsia" w:ascii="仿宋" w:hAnsi="仿宋" w:eastAsia="仿宋" w:cs="仿宋"/>
                <w:snapToGrid w:val="0"/>
                <w:color w:val="auto"/>
                <w:kern w:val="2"/>
                <w:szCs w:val="28"/>
              </w:rPr>
            </w:pPr>
            <w:r>
              <w:rPr>
                <w:rFonts w:hint="eastAsia" w:ascii="仿宋" w:hAnsi="仿宋" w:eastAsia="仿宋" w:cs="仿宋"/>
                <w:snapToGrid w:val="0"/>
                <w:color w:val="auto"/>
                <w:kern w:val="2"/>
                <w:szCs w:val="28"/>
              </w:rPr>
              <w:t>项目名称</w:t>
            </w:r>
          </w:p>
        </w:tc>
        <w:tc>
          <w:tcPr>
            <w:tcW w:w="1362" w:type="dxa"/>
            <w:vAlign w:val="center"/>
          </w:tcPr>
          <w:p>
            <w:pPr>
              <w:snapToGrid w:val="0"/>
              <w:jc w:val="center"/>
              <w:rPr>
                <w:rFonts w:hint="eastAsia" w:ascii="仿宋" w:hAnsi="仿宋" w:eastAsia="仿宋" w:cs="仿宋"/>
                <w:snapToGrid w:val="0"/>
                <w:color w:val="auto"/>
                <w:kern w:val="2"/>
                <w:szCs w:val="28"/>
              </w:rPr>
            </w:pPr>
            <w:r>
              <w:rPr>
                <w:rFonts w:hint="eastAsia" w:ascii="仿宋" w:hAnsi="仿宋" w:eastAsia="仿宋" w:cs="仿宋"/>
                <w:snapToGrid w:val="0"/>
                <w:color w:val="auto"/>
                <w:kern w:val="2"/>
                <w:szCs w:val="28"/>
              </w:rPr>
              <w:t>单位</w:t>
            </w:r>
          </w:p>
        </w:tc>
        <w:tc>
          <w:tcPr>
            <w:tcW w:w="2115" w:type="dxa"/>
            <w:vAlign w:val="center"/>
          </w:tcPr>
          <w:p>
            <w:pPr>
              <w:snapToGrid w:val="0"/>
              <w:jc w:val="center"/>
              <w:rPr>
                <w:rFonts w:hint="eastAsia" w:ascii="仿宋" w:hAnsi="仿宋" w:eastAsia="仿宋" w:cs="仿宋"/>
                <w:snapToGrid w:val="0"/>
                <w:color w:val="auto"/>
                <w:kern w:val="2"/>
                <w:szCs w:val="28"/>
              </w:rPr>
            </w:pPr>
            <w:r>
              <w:rPr>
                <w:rFonts w:hint="eastAsia" w:ascii="仿宋" w:hAnsi="仿宋" w:eastAsia="仿宋" w:cs="仿宋"/>
                <w:snapToGrid w:val="0"/>
                <w:color w:val="auto"/>
                <w:kern w:val="2"/>
                <w:szCs w:val="28"/>
              </w:rPr>
              <w:t>年</w:t>
            </w:r>
          </w:p>
        </w:tc>
        <w:tc>
          <w:tcPr>
            <w:tcW w:w="2115" w:type="dxa"/>
            <w:vAlign w:val="center"/>
          </w:tcPr>
          <w:p>
            <w:pPr>
              <w:snapToGrid w:val="0"/>
              <w:jc w:val="center"/>
              <w:rPr>
                <w:rFonts w:hint="eastAsia" w:ascii="仿宋" w:hAnsi="仿宋" w:eastAsia="仿宋" w:cs="仿宋"/>
                <w:snapToGrid w:val="0"/>
                <w:color w:val="auto"/>
                <w:kern w:val="2"/>
                <w:szCs w:val="28"/>
              </w:rPr>
            </w:pPr>
            <w:r>
              <w:rPr>
                <w:rFonts w:hint="eastAsia" w:ascii="仿宋" w:hAnsi="仿宋" w:eastAsia="仿宋" w:cs="仿宋"/>
                <w:snapToGrid w:val="0"/>
                <w:color w:val="auto"/>
                <w:kern w:val="2"/>
                <w:szCs w:val="28"/>
              </w:rPr>
              <w:t>年</w:t>
            </w:r>
          </w:p>
        </w:tc>
        <w:tc>
          <w:tcPr>
            <w:tcW w:w="2115" w:type="dxa"/>
            <w:vAlign w:val="center"/>
          </w:tcPr>
          <w:p>
            <w:pPr>
              <w:snapToGrid w:val="0"/>
              <w:jc w:val="center"/>
              <w:rPr>
                <w:rFonts w:hint="eastAsia" w:ascii="仿宋" w:hAnsi="仿宋" w:eastAsia="仿宋" w:cs="仿宋"/>
                <w:snapToGrid w:val="0"/>
                <w:color w:val="auto"/>
                <w:kern w:val="2"/>
                <w:szCs w:val="28"/>
              </w:rPr>
            </w:pPr>
            <w:r>
              <w:rPr>
                <w:rFonts w:hint="eastAsia" w:ascii="仿宋" w:hAnsi="仿宋" w:eastAsia="仿宋" w:cs="仿宋"/>
                <w:snapToGrid w:val="0"/>
                <w:color w:val="auto"/>
                <w:kern w:val="2"/>
                <w:szCs w:val="28"/>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571" w:type="dxa"/>
            <w:vAlign w:val="center"/>
          </w:tcPr>
          <w:p>
            <w:pPr>
              <w:snapToGrid w:val="0"/>
              <w:rPr>
                <w:rFonts w:hint="eastAsia" w:ascii="仿宋" w:hAnsi="仿宋" w:eastAsia="仿宋" w:cs="仿宋"/>
                <w:snapToGrid w:val="0"/>
                <w:color w:val="auto"/>
                <w:kern w:val="2"/>
                <w:szCs w:val="28"/>
              </w:rPr>
            </w:pPr>
            <w:r>
              <w:rPr>
                <w:rFonts w:hint="eastAsia" w:ascii="仿宋" w:hAnsi="仿宋" w:eastAsia="仿宋" w:cs="仿宋"/>
                <w:snapToGrid w:val="0"/>
                <w:color w:val="auto"/>
                <w:kern w:val="2"/>
                <w:szCs w:val="28"/>
              </w:rPr>
              <w:t>一、注册资金</w:t>
            </w:r>
          </w:p>
        </w:tc>
        <w:tc>
          <w:tcPr>
            <w:tcW w:w="1362" w:type="dxa"/>
            <w:vAlign w:val="center"/>
          </w:tcPr>
          <w:p>
            <w:pPr>
              <w:snapToGrid w:val="0"/>
              <w:jc w:val="center"/>
              <w:rPr>
                <w:rFonts w:hint="eastAsia" w:ascii="仿宋" w:hAnsi="仿宋" w:eastAsia="仿宋" w:cs="仿宋"/>
                <w:snapToGrid w:val="0"/>
                <w:color w:val="auto"/>
                <w:kern w:val="2"/>
                <w:szCs w:val="28"/>
              </w:rPr>
            </w:pPr>
          </w:p>
        </w:tc>
        <w:tc>
          <w:tcPr>
            <w:tcW w:w="2115" w:type="dxa"/>
            <w:vAlign w:val="center"/>
          </w:tcPr>
          <w:p>
            <w:pPr>
              <w:snapToGrid w:val="0"/>
              <w:jc w:val="center"/>
              <w:rPr>
                <w:rFonts w:hint="eastAsia" w:ascii="仿宋" w:hAnsi="仿宋" w:eastAsia="仿宋" w:cs="仿宋"/>
                <w:snapToGrid w:val="0"/>
                <w:color w:val="auto"/>
                <w:kern w:val="2"/>
                <w:szCs w:val="28"/>
              </w:rPr>
            </w:pPr>
          </w:p>
        </w:tc>
        <w:tc>
          <w:tcPr>
            <w:tcW w:w="2115" w:type="dxa"/>
            <w:vAlign w:val="center"/>
          </w:tcPr>
          <w:p>
            <w:pPr>
              <w:snapToGrid w:val="0"/>
              <w:jc w:val="center"/>
              <w:rPr>
                <w:rFonts w:hint="eastAsia" w:ascii="仿宋" w:hAnsi="仿宋" w:eastAsia="仿宋" w:cs="仿宋"/>
                <w:snapToGrid w:val="0"/>
                <w:color w:val="auto"/>
                <w:kern w:val="2"/>
                <w:szCs w:val="28"/>
              </w:rPr>
            </w:pPr>
          </w:p>
        </w:tc>
        <w:tc>
          <w:tcPr>
            <w:tcW w:w="2115" w:type="dxa"/>
            <w:vAlign w:val="center"/>
          </w:tcPr>
          <w:p>
            <w:pPr>
              <w:snapToGrid w:val="0"/>
              <w:jc w:val="center"/>
              <w:rPr>
                <w:rFonts w:hint="eastAsia" w:ascii="仿宋" w:hAnsi="仿宋" w:eastAsia="仿宋" w:cs="仿宋"/>
                <w:snapToGrid w:val="0"/>
                <w:color w:val="auto"/>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571" w:type="dxa"/>
            <w:vAlign w:val="center"/>
          </w:tcPr>
          <w:p>
            <w:pPr>
              <w:snapToGrid w:val="0"/>
              <w:rPr>
                <w:rFonts w:hint="eastAsia" w:ascii="仿宋" w:hAnsi="仿宋" w:eastAsia="仿宋" w:cs="仿宋"/>
                <w:snapToGrid w:val="0"/>
                <w:color w:val="auto"/>
                <w:kern w:val="2"/>
                <w:szCs w:val="28"/>
              </w:rPr>
            </w:pPr>
            <w:r>
              <w:rPr>
                <w:rFonts w:hint="eastAsia" w:ascii="仿宋" w:hAnsi="仿宋" w:eastAsia="仿宋" w:cs="仿宋"/>
                <w:snapToGrid w:val="0"/>
                <w:color w:val="auto"/>
                <w:kern w:val="2"/>
                <w:szCs w:val="28"/>
              </w:rPr>
              <w:t>二、净资产</w:t>
            </w:r>
          </w:p>
        </w:tc>
        <w:tc>
          <w:tcPr>
            <w:tcW w:w="1362" w:type="dxa"/>
            <w:vAlign w:val="center"/>
          </w:tcPr>
          <w:p>
            <w:pPr>
              <w:snapToGrid w:val="0"/>
              <w:jc w:val="center"/>
              <w:rPr>
                <w:rFonts w:hint="eastAsia" w:ascii="仿宋" w:hAnsi="仿宋" w:eastAsia="仿宋" w:cs="仿宋"/>
                <w:snapToGrid w:val="0"/>
                <w:color w:val="auto"/>
                <w:kern w:val="2"/>
                <w:szCs w:val="28"/>
              </w:rPr>
            </w:pPr>
          </w:p>
        </w:tc>
        <w:tc>
          <w:tcPr>
            <w:tcW w:w="2115" w:type="dxa"/>
            <w:vAlign w:val="center"/>
          </w:tcPr>
          <w:p>
            <w:pPr>
              <w:snapToGrid w:val="0"/>
              <w:jc w:val="center"/>
              <w:rPr>
                <w:rFonts w:hint="eastAsia" w:ascii="仿宋" w:hAnsi="仿宋" w:eastAsia="仿宋" w:cs="仿宋"/>
                <w:snapToGrid w:val="0"/>
                <w:color w:val="auto"/>
                <w:kern w:val="2"/>
                <w:szCs w:val="28"/>
              </w:rPr>
            </w:pPr>
          </w:p>
        </w:tc>
        <w:tc>
          <w:tcPr>
            <w:tcW w:w="2115" w:type="dxa"/>
            <w:vAlign w:val="center"/>
          </w:tcPr>
          <w:p>
            <w:pPr>
              <w:snapToGrid w:val="0"/>
              <w:jc w:val="center"/>
              <w:rPr>
                <w:rFonts w:hint="eastAsia" w:ascii="仿宋" w:hAnsi="仿宋" w:eastAsia="仿宋" w:cs="仿宋"/>
                <w:snapToGrid w:val="0"/>
                <w:color w:val="auto"/>
                <w:kern w:val="2"/>
                <w:szCs w:val="28"/>
              </w:rPr>
            </w:pPr>
          </w:p>
        </w:tc>
        <w:tc>
          <w:tcPr>
            <w:tcW w:w="2115" w:type="dxa"/>
            <w:vAlign w:val="center"/>
          </w:tcPr>
          <w:p>
            <w:pPr>
              <w:snapToGrid w:val="0"/>
              <w:jc w:val="center"/>
              <w:rPr>
                <w:rFonts w:hint="eastAsia" w:ascii="仿宋" w:hAnsi="仿宋" w:eastAsia="仿宋" w:cs="仿宋"/>
                <w:snapToGrid w:val="0"/>
                <w:color w:val="auto"/>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571" w:type="dxa"/>
            <w:vAlign w:val="center"/>
          </w:tcPr>
          <w:p>
            <w:pPr>
              <w:snapToGrid w:val="0"/>
              <w:rPr>
                <w:rFonts w:hint="eastAsia" w:ascii="仿宋" w:hAnsi="仿宋" w:eastAsia="仿宋" w:cs="仿宋"/>
                <w:snapToGrid w:val="0"/>
                <w:color w:val="auto"/>
                <w:kern w:val="2"/>
                <w:szCs w:val="28"/>
              </w:rPr>
            </w:pPr>
            <w:r>
              <w:rPr>
                <w:rFonts w:hint="eastAsia" w:ascii="仿宋" w:hAnsi="仿宋" w:eastAsia="仿宋" w:cs="仿宋"/>
                <w:snapToGrid w:val="0"/>
                <w:color w:val="auto"/>
                <w:kern w:val="2"/>
                <w:szCs w:val="28"/>
              </w:rPr>
              <w:t>三、总资产</w:t>
            </w:r>
          </w:p>
        </w:tc>
        <w:tc>
          <w:tcPr>
            <w:tcW w:w="1362" w:type="dxa"/>
            <w:vAlign w:val="center"/>
          </w:tcPr>
          <w:p>
            <w:pPr>
              <w:snapToGrid w:val="0"/>
              <w:jc w:val="center"/>
              <w:rPr>
                <w:rFonts w:hint="eastAsia" w:ascii="仿宋" w:hAnsi="仿宋" w:eastAsia="仿宋" w:cs="仿宋"/>
                <w:snapToGrid w:val="0"/>
                <w:color w:val="auto"/>
                <w:kern w:val="2"/>
                <w:szCs w:val="28"/>
              </w:rPr>
            </w:pPr>
          </w:p>
        </w:tc>
        <w:tc>
          <w:tcPr>
            <w:tcW w:w="2115" w:type="dxa"/>
            <w:vAlign w:val="center"/>
          </w:tcPr>
          <w:p>
            <w:pPr>
              <w:snapToGrid w:val="0"/>
              <w:jc w:val="center"/>
              <w:rPr>
                <w:rFonts w:hint="eastAsia" w:ascii="仿宋" w:hAnsi="仿宋" w:eastAsia="仿宋" w:cs="仿宋"/>
                <w:snapToGrid w:val="0"/>
                <w:color w:val="auto"/>
                <w:kern w:val="2"/>
                <w:szCs w:val="28"/>
              </w:rPr>
            </w:pPr>
          </w:p>
        </w:tc>
        <w:tc>
          <w:tcPr>
            <w:tcW w:w="2115" w:type="dxa"/>
            <w:vAlign w:val="center"/>
          </w:tcPr>
          <w:p>
            <w:pPr>
              <w:snapToGrid w:val="0"/>
              <w:jc w:val="center"/>
              <w:rPr>
                <w:rFonts w:hint="eastAsia" w:ascii="仿宋" w:hAnsi="仿宋" w:eastAsia="仿宋" w:cs="仿宋"/>
                <w:snapToGrid w:val="0"/>
                <w:color w:val="auto"/>
                <w:kern w:val="2"/>
                <w:szCs w:val="28"/>
              </w:rPr>
            </w:pPr>
          </w:p>
        </w:tc>
        <w:tc>
          <w:tcPr>
            <w:tcW w:w="2115" w:type="dxa"/>
            <w:vAlign w:val="center"/>
          </w:tcPr>
          <w:p>
            <w:pPr>
              <w:snapToGrid w:val="0"/>
              <w:jc w:val="center"/>
              <w:rPr>
                <w:rFonts w:hint="eastAsia" w:ascii="仿宋" w:hAnsi="仿宋" w:eastAsia="仿宋" w:cs="仿宋"/>
                <w:snapToGrid w:val="0"/>
                <w:color w:val="auto"/>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571" w:type="dxa"/>
            <w:vAlign w:val="center"/>
          </w:tcPr>
          <w:p>
            <w:pPr>
              <w:snapToGrid w:val="0"/>
              <w:rPr>
                <w:rFonts w:hint="eastAsia" w:ascii="仿宋" w:hAnsi="仿宋" w:eastAsia="仿宋" w:cs="仿宋"/>
                <w:snapToGrid w:val="0"/>
                <w:color w:val="auto"/>
                <w:kern w:val="2"/>
                <w:szCs w:val="28"/>
              </w:rPr>
            </w:pPr>
            <w:r>
              <w:rPr>
                <w:rFonts w:hint="eastAsia" w:ascii="仿宋" w:hAnsi="仿宋" w:eastAsia="仿宋" w:cs="仿宋"/>
                <w:snapToGrid w:val="0"/>
                <w:color w:val="auto"/>
                <w:kern w:val="2"/>
                <w:szCs w:val="28"/>
              </w:rPr>
              <w:t>四、固定资产</w:t>
            </w:r>
          </w:p>
        </w:tc>
        <w:tc>
          <w:tcPr>
            <w:tcW w:w="1362" w:type="dxa"/>
            <w:vAlign w:val="center"/>
          </w:tcPr>
          <w:p>
            <w:pPr>
              <w:snapToGrid w:val="0"/>
              <w:jc w:val="center"/>
              <w:rPr>
                <w:rFonts w:hint="eastAsia" w:ascii="仿宋" w:hAnsi="仿宋" w:eastAsia="仿宋" w:cs="仿宋"/>
                <w:snapToGrid w:val="0"/>
                <w:color w:val="auto"/>
                <w:kern w:val="2"/>
                <w:szCs w:val="28"/>
              </w:rPr>
            </w:pPr>
          </w:p>
        </w:tc>
        <w:tc>
          <w:tcPr>
            <w:tcW w:w="2115" w:type="dxa"/>
            <w:vAlign w:val="center"/>
          </w:tcPr>
          <w:p>
            <w:pPr>
              <w:snapToGrid w:val="0"/>
              <w:jc w:val="center"/>
              <w:rPr>
                <w:rFonts w:hint="eastAsia" w:ascii="仿宋" w:hAnsi="仿宋" w:eastAsia="仿宋" w:cs="仿宋"/>
                <w:snapToGrid w:val="0"/>
                <w:color w:val="auto"/>
                <w:kern w:val="2"/>
                <w:szCs w:val="28"/>
              </w:rPr>
            </w:pPr>
          </w:p>
        </w:tc>
        <w:tc>
          <w:tcPr>
            <w:tcW w:w="2115" w:type="dxa"/>
            <w:vAlign w:val="center"/>
          </w:tcPr>
          <w:p>
            <w:pPr>
              <w:snapToGrid w:val="0"/>
              <w:jc w:val="center"/>
              <w:rPr>
                <w:rFonts w:hint="eastAsia" w:ascii="仿宋" w:hAnsi="仿宋" w:eastAsia="仿宋" w:cs="仿宋"/>
                <w:snapToGrid w:val="0"/>
                <w:color w:val="auto"/>
                <w:kern w:val="2"/>
                <w:szCs w:val="28"/>
              </w:rPr>
            </w:pPr>
          </w:p>
        </w:tc>
        <w:tc>
          <w:tcPr>
            <w:tcW w:w="2115" w:type="dxa"/>
            <w:vAlign w:val="center"/>
          </w:tcPr>
          <w:p>
            <w:pPr>
              <w:snapToGrid w:val="0"/>
              <w:jc w:val="center"/>
              <w:rPr>
                <w:rFonts w:hint="eastAsia" w:ascii="仿宋" w:hAnsi="仿宋" w:eastAsia="仿宋" w:cs="仿宋"/>
                <w:snapToGrid w:val="0"/>
                <w:color w:val="auto"/>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571" w:type="dxa"/>
            <w:vAlign w:val="center"/>
          </w:tcPr>
          <w:p>
            <w:pPr>
              <w:snapToGrid w:val="0"/>
              <w:rPr>
                <w:rFonts w:hint="eastAsia" w:ascii="仿宋" w:hAnsi="仿宋" w:eastAsia="仿宋" w:cs="仿宋"/>
                <w:snapToGrid w:val="0"/>
                <w:color w:val="auto"/>
                <w:kern w:val="2"/>
                <w:szCs w:val="28"/>
              </w:rPr>
            </w:pPr>
            <w:r>
              <w:rPr>
                <w:rFonts w:hint="eastAsia" w:ascii="仿宋" w:hAnsi="仿宋" w:eastAsia="仿宋" w:cs="仿宋"/>
                <w:snapToGrid w:val="0"/>
                <w:color w:val="auto"/>
                <w:kern w:val="2"/>
                <w:szCs w:val="28"/>
              </w:rPr>
              <w:t>五、流动资产</w:t>
            </w:r>
          </w:p>
        </w:tc>
        <w:tc>
          <w:tcPr>
            <w:tcW w:w="1362" w:type="dxa"/>
            <w:vAlign w:val="center"/>
          </w:tcPr>
          <w:p>
            <w:pPr>
              <w:snapToGrid w:val="0"/>
              <w:jc w:val="center"/>
              <w:rPr>
                <w:rFonts w:hint="eastAsia" w:ascii="仿宋" w:hAnsi="仿宋" w:eastAsia="仿宋" w:cs="仿宋"/>
                <w:snapToGrid w:val="0"/>
                <w:color w:val="auto"/>
                <w:kern w:val="2"/>
                <w:szCs w:val="28"/>
              </w:rPr>
            </w:pPr>
          </w:p>
        </w:tc>
        <w:tc>
          <w:tcPr>
            <w:tcW w:w="2115" w:type="dxa"/>
            <w:vAlign w:val="center"/>
          </w:tcPr>
          <w:p>
            <w:pPr>
              <w:snapToGrid w:val="0"/>
              <w:jc w:val="center"/>
              <w:rPr>
                <w:rFonts w:hint="eastAsia" w:ascii="仿宋" w:hAnsi="仿宋" w:eastAsia="仿宋" w:cs="仿宋"/>
                <w:snapToGrid w:val="0"/>
                <w:color w:val="auto"/>
                <w:kern w:val="2"/>
                <w:szCs w:val="28"/>
              </w:rPr>
            </w:pPr>
          </w:p>
        </w:tc>
        <w:tc>
          <w:tcPr>
            <w:tcW w:w="2115" w:type="dxa"/>
            <w:vAlign w:val="center"/>
          </w:tcPr>
          <w:p>
            <w:pPr>
              <w:snapToGrid w:val="0"/>
              <w:jc w:val="center"/>
              <w:rPr>
                <w:rFonts w:hint="eastAsia" w:ascii="仿宋" w:hAnsi="仿宋" w:eastAsia="仿宋" w:cs="仿宋"/>
                <w:snapToGrid w:val="0"/>
                <w:color w:val="auto"/>
                <w:kern w:val="2"/>
                <w:szCs w:val="28"/>
              </w:rPr>
            </w:pPr>
          </w:p>
        </w:tc>
        <w:tc>
          <w:tcPr>
            <w:tcW w:w="2115" w:type="dxa"/>
            <w:vAlign w:val="center"/>
          </w:tcPr>
          <w:p>
            <w:pPr>
              <w:snapToGrid w:val="0"/>
              <w:jc w:val="center"/>
              <w:rPr>
                <w:rFonts w:hint="eastAsia" w:ascii="仿宋" w:hAnsi="仿宋" w:eastAsia="仿宋" w:cs="仿宋"/>
                <w:snapToGrid w:val="0"/>
                <w:color w:val="auto"/>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571" w:type="dxa"/>
            <w:vAlign w:val="center"/>
          </w:tcPr>
          <w:p>
            <w:pPr>
              <w:snapToGrid w:val="0"/>
              <w:rPr>
                <w:rFonts w:hint="eastAsia" w:ascii="仿宋" w:hAnsi="仿宋" w:eastAsia="仿宋" w:cs="仿宋"/>
                <w:snapToGrid w:val="0"/>
                <w:color w:val="auto"/>
                <w:kern w:val="2"/>
                <w:szCs w:val="28"/>
              </w:rPr>
            </w:pPr>
            <w:r>
              <w:rPr>
                <w:rFonts w:hint="eastAsia" w:ascii="仿宋" w:hAnsi="仿宋" w:eastAsia="仿宋" w:cs="仿宋"/>
                <w:snapToGrid w:val="0"/>
                <w:color w:val="auto"/>
                <w:kern w:val="2"/>
                <w:szCs w:val="28"/>
              </w:rPr>
              <w:t>六、流动负债</w:t>
            </w:r>
          </w:p>
        </w:tc>
        <w:tc>
          <w:tcPr>
            <w:tcW w:w="1362" w:type="dxa"/>
            <w:vAlign w:val="center"/>
          </w:tcPr>
          <w:p>
            <w:pPr>
              <w:snapToGrid w:val="0"/>
              <w:jc w:val="center"/>
              <w:rPr>
                <w:rFonts w:hint="eastAsia" w:ascii="仿宋" w:hAnsi="仿宋" w:eastAsia="仿宋" w:cs="仿宋"/>
                <w:snapToGrid w:val="0"/>
                <w:color w:val="auto"/>
                <w:kern w:val="2"/>
                <w:szCs w:val="28"/>
              </w:rPr>
            </w:pPr>
          </w:p>
        </w:tc>
        <w:tc>
          <w:tcPr>
            <w:tcW w:w="2115" w:type="dxa"/>
            <w:vAlign w:val="center"/>
          </w:tcPr>
          <w:p>
            <w:pPr>
              <w:snapToGrid w:val="0"/>
              <w:jc w:val="center"/>
              <w:rPr>
                <w:rFonts w:hint="eastAsia" w:ascii="仿宋" w:hAnsi="仿宋" w:eastAsia="仿宋" w:cs="仿宋"/>
                <w:snapToGrid w:val="0"/>
                <w:color w:val="auto"/>
                <w:kern w:val="2"/>
                <w:szCs w:val="28"/>
              </w:rPr>
            </w:pPr>
          </w:p>
        </w:tc>
        <w:tc>
          <w:tcPr>
            <w:tcW w:w="2115" w:type="dxa"/>
            <w:vAlign w:val="center"/>
          </w:tcPr>
          <w:p>
            <w:pPr>
              <w:snapToGrid w:val="0"/>
              <w:jc w:val="center"/>
              <w:rPr>
                <w:rFonts w:hint="eastAsia" w:ascii="仿宋" w:hAnsi="仿宋" w:eastAsia="仿宋" w:cs="仿宋"/>
                <w:snapToGrid w:val="0"/>
                <w:color w:val="auto"/>
                <w:kern w:val="2"/>
                <w:szCs w:val="28"/>
              </w:rPr>
            </w:pPr>
          </w:p>
        </w:tc>
        <w:tc>
          <w:tcPr>
            <w:tcW w:w="2115" w:type="dxa"/>
            <w:vAlign w:val="center"/>
          </w:tcPr>
          <w:p>
            <w:pPr>
              <w:snapToGrid w:val="0"/>
              <w:jc w:val="center"/>
              <w:rPr>
                <w:rFonts w:hint="eastAsia" w:ascii="仿宋" w:hAnsi="仿宋" w:eastAsia="仿宋" w:cs="仿宋"/>
                <w:snapToGrid w:val="0"/>
                <w:color w:val="auto"/>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571" w:type="dxa"/>
            <w:vAlign w:val="center"/>
          </w:tcPr>
          <w:p>
            <w:pPr>
              <w:snapToGrid w:val="0"/>
              <w:rPr>
                <w:rFonts w:hint="eastAsia" w:ascii="仿宋" w:hAnsi="仿宋" w:eastAsia="仿宋" w:cs="仿宋"/>
                <w:snapToGrid w:val="0"/>
                <w:color w:val="auto"/>
                <w:kern w:val="2"/>
                <w:szCs w:val="28"/>
              </w:rPr>
            </w:pPr>
            <w:r>
              <w:rPr>
                <w:rFonts w:hint="eastAsia" w:ascii="仿宋" w:hAnsi="仿宋" w:eastAsia="仿宋" w:cs="仿宋"/>
                <w:snapToGrid w:val="0"/>
                <w:color w:val="auto"/>
                <w:kern w:val="2"/>
                <w:szCs w:val="28"/>
              </w:rPr>
              <w:t>七、负债合计</w:t>
            </w:r>
          </w:p>
        </w:tc>
        <w:tc>
          <w:tcPr>
            <w:tcW w:w="1362" w:type="dxa"/>
            <w:vAlign w:val="center"/>
          </w:tcPr>
          <w:p>
            <w:pPr>
              <w:snapToGrid w:val="0"/>
              <w:jc w:val="center"/>
              <w:rPr>
                <w:rFonts w:hint="eastAsia" w:ascii="仿宋" w:hAnsi="仿宋" w:eastAsia="仿宋" w:cs="仿宋"/>
                <w:snapToGrid w:val="0"/>
                <w:color w:val="auto"/>
                <w:kern w:val="2"/>
                <w:szCs w:val="28"/>
              </w:rPr>
            </w:pPr>
          </w:p>
        </w:tc>
        <w:tc>
          <w:tcPr>
            <w:tcW w:w="2115" w:type="dxa"/>
            <w:vAlign w:val="center"/>
          </w:tcPr>
          <w:p>
            <w:pPr>
              <w:snapToGrid w:val="0"/>
              <w:jc w:val="center"/>
              <w:rPr>
                <w:rFonts w:hint="eastAsia" w:ascii="仿宋" w:hAnsi="仿宋" w:eastAsia="仿宋" w:cs="仿宋"/>
                <w:snapToGrid w:val="0"/>
                <w:color w:val="auto"/>
                <w:kern w:val="2"/>
                <w:szCs w:val="28"/>
              </w:rPr>
            </w:pPr>
          </w:p>
        </w:tc>
        <w:tc>
          <w:tcPr>
            <w:tcW w:w="2115" w:type="dxa"/>
            <w:vAlign w:val="center"/>
          </w:tcPr>
          <w:p>
            <w:pPr>
              <w:snapToGrid w:val="0"/>
              <w:jc w:val="center"/>
              <w:rPr>
                <w:rFonts w:hint="eastAsia" w:ascii="仿宋" w:hAnsi="仿宋" w:eastAsia="仿宋" w:cs="仿宋"/>
                <w:snapToGrid w:val="0"/>
                <w:color w:val="auto"/>
                <w:kern w:val="2"/>
                <w:szCs w:val="28"/>
              </w:rPr>
            </w:pPr>
          </w:p>
        </w:tc>
        <w:tc>
          <w:tcPr>
            <w:tcW w:w="2115" w:type="dxa"/>
            <w:vAlign w:val="center"/>
          </w:tcPr>
          <w:p>
            <w:pPr>
              <w:snapToGrid w:val="0"/>
              <w:jc w:val="center"/>
              <w:rPr>
                <w:rFonts w:hint="eastAsia" w:ascii="仿宋" w:hAnsi="仿宋" w:eastAsia="仿宋" w:cs="仿宋"/>
                <w:snapToGrid w:val="0"/>
                <w:color w:val="auto"/>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571" w:type="dxa"/>
            <w:vAlign w:val="center"/>
          </w:tcPr>
          <w:p>
            <w:pPr>
              <w:snapToGrid w:val="0"/>
              <w:rPr>
                <w:rFonts w:hint="eastAsia" w:ascii="仿宋" w:hAnsi="仿宋" w:eastAsia="仿宋" w:cs="仿宋"/>
                <w:snapToGrid w:val="0"/>
                <w:color w:val="auto"/>
                <w:kern w:val="2"/>
                <w:szCs w:val="28"/>
              </w:rPr>
            </w:pPr>
            <w:r>
              <w:rPr>
                <w:rFonts w:hint="eastAsia" w:ascii="仿宋" w:hAnsi="仿宋" w:eastAsia="仿宋" w:cs="仿宋"/>
                <w:snapToGrid w:val="0"/>
                <w:color w:val="auto"/>
                <w:kern w:val="2"/>
                <w:szCs w:val="28"/>
              </w:rPr>
              <w:t>八、营业收入</w:t>
            </w:r>
          </w:p>
        </w:tc>
        <w:tc>
          <w:tcPr>
            <w:tcW w:w="1362" w:type="dxa"/>
            <w:vAlign w:val="center"/>
          </w:tcPr>
          <w:p>
            <w:pPr>
              <w:snapToGrid w:val="0"/>
              <w:jc w:val="center"/>
              <w:rPr>
                <w:rFonts w:hint="eastAsia" w:ascii="仿宋" w:hAnsi="仿宋" w:eastAsia="仿宋" w:cs="仿宋"/>
                <w:snapToGrid w:val="0"/>
                <w:color w:val="auto"/>
                <w:kern w:val="2"/>
                <w:szCs w:val="28"/>
              </w:rPr>
            </w:pPr>
          </w:p>
        </w:tc>
        <w:tc>
          <w:tcPr>
            <w:tcW w:w="2115" w:type="dxa"/>
            <w:vAlign w:val="center"/>
          </w:tcPr>
          <w:p>
            <w:pPr>
              <w:snapToGrid w:val="0"/>
              <w:jc w:val="center"/>
              <w:rPr>
                <w:rFonts w:hint="eastAsia" w:ascii="仿宋" w:hAnsi="仿宋" w:eastAsia="仿宋" w:cs="仿宋"/>
                <w:snapToGrid w:val="0"/>
                <w:color w:val="auto"/>
                <w:kern w:val="2"/>
                <w:szCs w:val="28"/>
              </w:rPr>
            </w:pPr>
          </w:p>
        </w:tc>
        <w:tc>
          <w:tcPr>
            <w:tcW w:w="2115" w:type="dxa"/>
            <w:vAlign w:val="center"/>
          </w:tcPr>
          <w:p>
            <w:pPr>
              <w:snapToGrid w:val="0"/>
              <w:jc w:val="center"/>
              <w:rPr>
                <w:rFonts w:hint="eastAsia" w:ascii="仿宋" w:hAnsi="仿宋" w:eastAsia="仿宋" w:cs="仿宋"/>
                <w:snapToGrid w:val="0"/>
                <w:color w:val="auto"/>
                <w:kern w:val="2"/>
                <w:szCs w:val="28"/>
              </w:rPr>
            </w:pPr>
          </w:p>
        </w:tc>
        <w:tc>
          <w:tcPr>
            <w:tcW w:w="2115" w:type="dxa"/>
            <w:vAlign w:val="center"/>
          </w:tcPr>
          <w:p>
            <w:pPr>
              <w:snapToGrid w:val="0"/>
              <w:jc w:val="center"/>
              <w:rPr>
                <w:rFonts w:hint="eastAsia" w:ascii="仿宋" w:hAnsi="仿宋" w:eastAsia="仿宋" w:cs="仿宋"/>
                <w:snapToGrid w:val="0"/>
                <w:color w:val="auto"/>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571" w:type="dxa"/>
            <w:vAlign w:val="center"/>
          </w:tcPr>
          <w:p>
            <w:pPr>
              <w:snapToGrid w:val="0"/>
              <w:rPr>
                <w:rFonts w:hint="eastAsia" w:ascii="仿宋" w:hAnsi="仿宋" w:eastAsia="仿宋" w:cs="仿宋"/>
                <w:snapToGrid w:val="0"/>
                <w:color w:val="auto"/>
                <w:kern w:val="2"/>
                <w:szCs w:val="28"/>
              </w:rPr>
            </w:pPr>
            <w:r>
              <w:rPr>
                <w:rFonts w:hint="eastAsia" w:ascii="仿宋" w:hAnsi="仿宋" w:eastAsia="仿宋" w:cs="仿宋"/>
                <w:snapToGrid w:val="0"/>
                <w:color w:val="auto"/>
                <w:kern w:val="2"/>
                <w:szCs w:val="28"/>
              </w:rPr>
              <w:t>九、净利润</w:t>
            </w:r>
          </w:p>
        </w:tc>
        <w:tc>
          <w:tcPr>
            <w:tcW w:w="1362" w:type="dxa"/>
            <w:vAlign w:val="center"/>
          </w:tcPr>
          <w:p>
            <w:pPr>
              <w:snapToGrid w:val="0"/>
              <w:jc w:val="center"/>
              <w:rPr>
                <w:rFonts w:hint="eastAsia" w:ascii="仿宋" w:hAnsi="仿宋" w:eastAsia="仿宋" w:cs="仿宋"/>
                <w:snapToGrid w:val="0"/>
                <w:color w:val="auto"/>
                <w:kern w:val="2"/>
                <w:szCs w:val="28"/>
              </w:rPr>
            </w:pPr>
          </w:p>
        </w:tc>
        <w:tc>
          <w:tcPr>
            <w:tcW w:w="2115" w:type="dxa"/>
            <w:vAlign w:val="center"/>
          </w:tcPr>
          <w:p>
            <w:pPr>
              <w:snapToGrid w:val="0"/>
              <w:jc w:val="center"/>
              <w:rPr>
                <w:rFonts w:hint="eastAsia" w:ascii="仿宋" w:hAnsi="仿宋" w:eastAsia="仿宋" w:cs="仿宋"/>
                <w:snapToGrid w:val="0"/>
                <w:color w:val="auto"/>
                <w:kern w:val="2"/>
                <w:szCs w:val="28"/>
              </w:rPr>
            </w:pPr>
          </w:p>
        </w:tc>
        <w:tc>
          <w:tcPr>
            <w:tcW w:w="2115" w:type="dxa"/>
            <w:vAlign w:val="center"/>
          </w:tcPr>
          <w:p>
            <w:pPr>
              <w:snapToGrid w:val="0"/>
              <w:jc w:val="center"/>
              <w:rPr>
                <w:rFonts w:hint="eastAsia" w:ascii="仿宋" w:hAnsi="仿宋" w:eastAsia="仿宋" w:cs="仿宋"/>
                <w:snapToGrid w:val="0"/>
                <w:color w:val="auto"/>
                <w:kern w:val="2"/>
                <w:szCs w:val="28"/>
              </w:rPr>
            </w:pPr>
          </w:p>
        </w:tc>
        <w:tc>
          <w:tcPr>
            <w:tcW w:w="2115" w:type="dxa"/>
            <w:vAlign w:val="center"/>
          </w:tcPr>
          <w:p>
            <w:pPr>
              <w:snapToGrid w:val="0"/>
              <w:jc w:val="center"/>
              <w:rPr>
                <w:rFonts w:hint="eastAsia" w:ascii="仿宋" w:hAnsi="仿宋" w:eastAsia="仿宋" w:cs="仿宋"/>
                <w:snapToGrid w:val="0"/>
                <w:color w:val="auto"/>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571" w:type="dxa"/>
            <w:vAlign w:val="center"/>
          </w:tcPr>
          <w:p>
            <w:pPr>
              <w:snapToGrid w:val="0"/>
              <w:jc w:val="center"/>
              <w:rPr>
                <w:rFonts w:hint="eastAsia" w:ascii="仿宋" w:hAnsi="仿宋" w:eastAsia="仿宋" w:cs="仿宋"/>
                <w:snapToGrid w:val="0"/>
                <w:color w:val="auto"/>
                <w:kern w:val="2"/>
                <w:szCs w:val="28"/>
              </w:rPr>
            </w:pPr>
            <w:r>
              <w:rPr>
                <w:rFonts w:hint="eastAsia" w:ascii="仿宋" w:hAnsi="仿宋" w:eastAsia="仿宋" w:cs="仿宋"/>
                <w:snapToGrid w:val="0"/>
                <w:color w:val="auto"/>
                <w:kern w:val="2"/>
                <w:szCs w:val="28"/>
              </w:rPr>
              <w:t>……</w:t>
            </w:r>
          </w:p>
        </w:tc>
        <w:tc>
          <w:tcPr>
            <w:tcW w:w="1362" w:type="dxa"/>
            <w:vAlign w:val="center"/>
          </w:tcPr>
          <w:p>
            <w:pPr>
              <w:snapToGrid w:val="0"/>
              <w:jc w:val="center"/>
              <w:rPr>
                <w:rFonts w:hint="eastAsia" w:ascii="仿宋" w:hAnsi="仿宋" w:eastAsia="仿宋" w:cs="仿宋"/>
                <w:snapToGrid w:val="0"/>
                <w:color w:val="auto"/>
                <w:kern w:val="2"/>
                <w:szCs w:val="28"/>
              </w:rPr>
            </w:pPr>
          </w:p>
        </w:tc>
        <w:tc>
          <w:tcPr>
            <w:tcW w:w="2115" w:type="dxa"/>
            <w:vAlign w:val="center"/>
          </w:tcPr>
          <w:p>
            <w:pPr>
              <w:snapToGrid w:val="0"/>
              <w:jc w:val="center"/>
              <w:rPr>
                <w:rFonts w:hint="eastAsia" w:ascii="仿宋" w:hAnsi="仿宋" w:eastAsia="仿宋" w:cs="仿宋"/>
                <w:snapToGrid w:val="0"/>
                <w:color w:val="auto"/>
                <w:kern w:val="2"/>
                <w:szCs w:val="28"/>
              </w:rPr>
            </w:pPr>
          </w:p>
        </w:tc>
        <w:tc>
          <w:tcPr>
            <w:tcW w:w="2115" w:type="dxa"/>
            <w:vAlign w:val="center"/>
          </w:tcPr>
          <w:p>
            <w:pPr>
              <w:snapToGrid w:val="0"/>
              <w:jc w:val="center"/>
              <w:rPr>
                <w:rFonts w:hint="eastAsia" w:ascii="仿宋" w:hAnsi="仿宋" w:eastAsia="仿宋" w:cs="仿宋"/>
                <w:snapToGrid w:val="0"/>
                <w:color w:val="auto"/>
                <w:kern w:val="2"/>
                <w:szCs w:val="28"/>
              </w:rPr>
            </w:pPr>
          </w:p>
        </w:tc>
        <w:tc>
          <w:tcPr>
            <w:tcW w:w="2115" w:type="dxa"/>
            <w:vAlign w:val="center"/>
          </w:tcPr>
          <w:p>
            <w:pPr>
              <w:snapToGrid w:val="0"/>
              <w:jc w:val="center"/>
              <w:rPr>
                <w:rFonts w:hint="eastAsia" w:ascii="仿宋" w:hAnsi="仿宋" w:eastAsia="仿宋" w:cs="仿宋"/>
                <w:snapToGrid w:val="0"/>
                <w:color w:val="auto"/>
                <w:kern w:val="2"/>
                <w:szCs w:val="28"/>
              </w:rPr>
            </w:pPr>
          </w:p>
        </w:tc>
      </w:tr>
    </w:tbl>
    <w:p>
      <w:pPr>
        <w:ind w:firstLine="560" w:firstLineChars="200"/>
        <w:rPr>
          <w:rFonts w:hint="eastAsia" w:ascii="仿宋" w:hAnsi="仿宋" w:eastAsia="仿宋" w:cs="仿宋"/>
          <w:snapToGrid w:val="0"/>
          <w:color w:val="auto"/>
          <w:sz w:val="28"/>
          <w:szCs w:val="28"/>
        </w:rPr>
      </w:pPr>
    </w:p>
    <w:p>
      <w:pPr>
        <w:ind w:firstLine="480" w:firstLineChars="200"/>
        <w:rPr>
          <w:rFonts w:hint="eastAsia" w:ascii="仿宋" w:hAnsi="仿宋" w:eastAsia="仿宋" w:cs="仿宋"/>
          <w:snapToGrid w:val="0"/>
          <w:color w:val="auto"/>
          <w:szCs w:val="24"/>
        </w:rPr>
      </w:pPr>
    </w:p>
    <w:p>
      <w:pPr>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2. 拟投入本项目的流动资金函</w:t>
      </w:r>
    </w:p>
    <w:p>
      <w:pPr>
        <w:ind w:firstLine="560" w:firstLineChars="200"/>
        <w:rPr>
          <w:rFonts w:hint="eastAsia" w:ascii="仿宋" w:hAnsi="仿宋" w:eastAsia="仿宋" w:cs="仿宋"/>
          <w:snapToGrid w:val="0"/>
          <w:color w:val="auto"/>
          <w:sz w:val="28"/>
          <w:szCs w:val="28"/>
        </w:rPr>
      </w:pPr>
    </w:p>
    <w:p>
      <w:pPr>
        <w:jc w:val="center"/>
        <w:rPr>
          <w:rFonts w:hint="eastAsia" w:ascii="仿宋" w:hAnsi="仿宋" w:eastAsia="仿宋" w:cs="仿宋"/>
          <w:b/>
          <w:snapToGrid w:val="0"/>
          <w:color w:val="auto"/>
          <w:sz w:val="28"/>
          <w:szCs w:val="28"/>
        </w:rPr>
      </w:pPr>
      <w:r>
        <w:rPr>
          <w:rFonts w:hint="eastAsia" w:ascii="仿宋" w:hAnsi="仿宋" w:eastAsia="仿宋" w:cs="仿宋"/>
          <w:b/>
          <w:snapToGrid w:val="0"/>
          <w:color w:val="auto"/>
          <w:sz w:val="28"/>
          <w:szCs w:val="28"/>
        </w:rPr>
        <w:t>拟投入本项目的流动资金函</w:t>
      </w:r>
    </w:p>
    <w:p>
      <w:pPr>
        <w:rPr>
          <w:rFonts w:hint="eastAsia" w:ascii="仿宋" w:hAnsi="仿宋" w:eastAsia="仿宋" w:cs="仿宋"/>
          <w:snapToGrid w:val="0"/>
          <w:color w:val="auto"/>
          <w:szCs w:val="24"/>
        </w:rPr>
      </w:pPr>
      <w:r>
        <w:rPr>
          <w:rFonts w:hint="eastAsia" w:ascii="仿宋" w:hAnsi="仿宋" w:eastAsia="仿宋" w:cs="仿宋"/>
          <w:snapToGrid w:val="0"/>
          <w:color w:val="auto"/>
          <w:szCs w:val="24"/>
          <w:u w:val="single"/>
        </w:rPr>
        <w:t>（招标人名称）</w:t>
      </w:r>
      <w:r>
        <w:rPr>
          <w:rFonts w:hint="eastAsia" w:ascii="仿宋" w:hAnsi="仿宋" w:eastAsia="仿宋" w:cs="仿宋"/>
          <w:snapToGrid w:val="0"/>
          <w:color w:val="auto"/>
          <w:szCs w:val="24"/>
        </w:rPr>
        <w:t>：</w:t>
      </w:r>
    </w:p>
    <w:p>
      <w:pPr>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我方拟投入</w:t>
      </w:r>
      <w:r>
        <w:rPr>
          <w:rFonts w:hint="eastAsia" w:ascii="仿宋" w:hAnsi="仿宋" w:eastAsia="仿宋" w:cs="仿宋"/>
          <w:snapToGrid w:val="0"/>
          <w:color w:val="auto"/>
          <w:szCs w:val="24"/>
          <w:u w:val="single"/>
        </w:rPr>
        <w:t>（项目名称）</w:t>
      </w:r>
      <w:r>
        <w:rPr>
          <w:rFonts w:hint="eastAsia" w:ascii="仿宋" w:hAnsi="仿宋" w:eastAsia="仿宋" w:cs="仿宋"/>
          <w:snapToGrid w:val="0"/>
          <w:color w:val="auto"/>
          <w:szCs w:val="24"/>
        </w:rPr>
        <w:t>（标段名称）的流动资金为______万元，资金来源于______，资金来源证明文件附后。</w:t>
      </w:r>
    </w:p>
    <w:p>
      <w:pPr>
        <w:ind w:firstLine="480" w:firstLineChars="200"/>
        <w:rPr>
          <w:rFonts w:hint="eastAsia" w:ascii="仿宋" w:hAnsi="仿宋" w:eastAsia="仿宋" w:cs="仿宋"/>
          <w:snapToGrid w:val="0"/>
          <w:color w:val="auto"/>
          <w:szCs w:val="24"/>
        </w:rPr>
      </w:pPr>
    </w:p>
    <w:p>
      <w:pPr>
        <w:rPr>
          <w:rFonts w:hint="eastAsia" w:ascii="仿宋" w:hAnsi="仿宋" w:eastAsia="仿宋" w:cs="仿宋"/>
          <w:snapToGrid w:val="0"/>
          <w:color w:val="auto"/>
          <w:szCs w:val="24"/>
        </w:rPr>
      </w:pPr>
      <w:r>
        <w:rPr>
          <w:rFonts w:hint="eastAsia" w:ascii="仿宋" w:hAnsi="仿宋" w:eastAsia="仿宋" w:cs="仿宋"/>
          <w:snapToGrid w:val="0"/>
          <w:color w:val="auto"/>
          <w:spacing w:val="142"/>
          <w:szCs w:val="24"/>
        </w:rPr>
        <w:t>申请</w:t>
      </w:r>
      <w:r>
        <w:rPr>
          <w:rFonts w:hint="eastAsia" w:ascii="仿宋" w:hAnsi="仿宋" w:eastAsia="仿宋" w:cs="仿宋"/>
          <w:snapToGrid w:val="0"/>
          <w:color w:val="auto"/>
          <w:spacing w:val="1"/>
          <w:szCs w:val="24"/>
        </w:rPr>
        <w:t>人</w:t>
      </w:r>
      <w:r>
        <w:rPr>
          <w:rFonts w:hint="eastAsia" w:ascii="仿宋" w:hAnsi="仿宋" w:eastAsia="仿宋" w:cs="仿宋"/>
          <w:snapToGrid w:val="0"/>
          <w:color w:val="auto"/>
          <w:szCs w:val="24"/>
        </w:rPr>
        <w:t>：</w:t>
      </w:r>
      <w:r>
        <w:rPr>
          <w:rFonts w:hint="eastAsia" w:ascii="仿宋" w:hAnsi="仿宋" w:eastAsia="仿宋" w:cs="仿宋"/>
          <w:snapToGrid w:val="0"/>
          <w:color w:val="auto"/>
          <w:szCs w:val="24"/>
          <w:u w:val="single"/>
        </w:rPr>
        <w:t>（盖单位章）</w:t>
      </w:r>
    </w:p>
    <w:p>
      <w:pPr>
        <w:ind w:firstLine="120" w:firstLineChars="50"/>
        <w:rPr>
          <w:rFonts w:hint="eastAsia" w:ascii="仿宋" w:hAnsi="仿宋" w:eastAsia="仿宋" w:cs="仿宋"/>
          <w:snapToGrid w:val="0"/>
          <w:color w:val="auto"/>
          <w:szCs w:val="24"/>
        </w:rPr>
      </w:pPr>
      <w:r>
        <w:rPr>
          <w:rFonts w:hint="eastAsia" w:ascii="仿宋" w:hAnsi="仿宋" w:eastAsia="仿宋" w:cs="仿宋"/>
          <w:snapToGrid w:val="0"/>
          <w:color w:val="auto"/>
          <w:szCs w:val="24"/>
        </w:rPr>
        <w:t>年月日</w:t>
      </w:r>
    </w:p>
    <w:p>
      <w:pPr>
        <w:ind w:firstLine="480" w:firstLineChars="200"/>
        <w:rPr>
          <w:rFonts w:hint="eastAsia" w:ascii="仿宋" w:hAnsi="仿宋" w:eastAsia="仿宋" w:cs="仿宋"/>
          <w:snapToGrid w:val="0"/>
          <w:color w:val="auto"/>
          <w:szCs w:val="24"/>
        </w:rPr>
      </w:pPr>
    </w:p>
    <w:p>
      <w:pPr>
        <w:ind w:firstLine="420" w:firstLineChars="2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注：相关材料在“原件的扫描件或电子件”中提供。资金来源填写银行存款、银行信贷或其他形式。</w:t>
      </w:r>
    </w:p>
    <w:p>
      <w:pPr>
        <w:ind w:firstLine="480" w:firstLineChars="200"/>
        <w:rPr>
          <w:rFonts w:hint="eastAsia" w:ascii="仿宋" w:hAnsi="仿宋" w:eastAsia="仿宋" w:cs="仿宋"/>
          <w:snapToGrid w:val="0"/>
          <w:color w:val="auto"/>
          <w:sz w:val="21"/>
          <w:szCs w:val="21"/>
        </w:rPr>
      </w:pPr>
      <w:bookmarkStart w:id="1046" w:name="_Toc260286509"/>
      <w:bookmarkStart w:id="1047" w:name="_Toc250640954"/>
      <w:r>
        <w:rPr>
          <w:rFonts w:hint="eastAsia" w:ascii="仿宋" w:hAnsi="仿宋" w:eastAsia="仿宋" w:cs="仿宋"/>
          <w:color w:val="auto"/>
        </w:rPr>
        <w:br w:type="page"/>
      </w:r>
      <w:bookmarkEnd w:id="1046"/>
      <w:bookmarkEnd w:id="1047"/>
    </w:p>
    <w:p>
      <w:pPr>
        <w:ind w:firstLine="420" w:firstLineChars="200"/>
        <w:rPr>
          <w:rFonts w:hint="eastAsia" w:ascii="仿宋" w:hAnsi="仿宋" w:eastAsia="仿宋" w:cs="仿宋"/>
          <w:snapToGrid w:val="0"/>
          <w:color w:val="auto"/>
          <w:sz w:val="21"/>
          <w:szCs w:val="21"/>
        </w:rPr>
      </w:pPr>
    </w:p>
    <w:p>
      <w:pPr>
        <w:pStyle w:val="7"/>
        <w:jc w:val="both"/>
        <w:rPr>
          <w:rFonts w:hint="eastAsia" w:ascii="仿宋" w:hAnsi="仿宋" w:eastAsia="仿宋" w:cs="仿宋"/>
          <w:color w:val="auto"/>
          <w:sz w:val="28"/>
          <w:szCs w:val="28"/>
        </w:rPr>
      </w:pPr>
      <w:bookmarkStart w:id="1048" w:name="_Toc11922"/>
      <w:bookmarkStart w:id="1049" w:name="_Toc31562"/>
      <w:bookmarkStart w:id="1050" w:name="_Toc314130651"/>
      <w:r>
        <w:rPr>
          <w:rFonts w:hint="eastAsia" w:ascii="仿宋" w:hAnsi="仿宋" w:eastAsia="仿宋" w:cs="仿宋"/>
          <w:color w:val="auto"/>
          <w:sz w:val="28"/>
          <w:szCs w:val="28"/>
        </w:rPr>
        <w:t>（三）正在施工的和新承接的项目情况表</w:t>
      </w:r>
      <w:bookmarkEnd w:id="1048"/>
      <w:bookmarkEnd w:id="1049"/>
      <w:bookmarkEnd w:id="1050"/>
    </w:p>
    <w:p>
      <w:pPr>
        <w:spacing w:after="120"/>
        <w:jc w:val="center"/>
        <w:rPr>
          <w:rFonts w:hint="eastAsia" w:ascii="仿宋" w:hAnsi="仿宋" w:eastAsia="仿宋" w:cs="仿宋"/>
          <w:color w:val="auto"/>
        </w:rPr>
      </w:pPr>
      <w:r>
        <w:rPr>
          <w:rFonts w:hint="eastAsia" w:ascii="仿宋" w:hAnsi="仿宋" w:eastAsia="仿宋" w:cs="仿宋"/>
          <w:color w:val="auto"/>
          <w:sz w:val="28"/>
          <w:szCs w:val="28"/>
        </w:rPr>
        <w:t>正在施工的和新承接的项目情况表</w:t>
      </w:r>
    </w:p>
    <w:tbl>
      <w:tblPr>
        <w:tblStyle w:val="25"/>
        <w:tblW w:w="102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7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810" w:type="dxa"/>
            <w:tcBorders>
              <w:top w:val="single" w:color="auto" w:sz="12" w:space="0"/>
              <w:left w:val="single" w:color="auto" w:sz="12" w:space="0"/>
            </w:tcBorders>
            <w:vAlign w:val="center"/>
          </w:tcPr>
          <w:p>
            <w:pPr>
              <w:spacing w:line="260" w:lineRule="exact"/>
              <w:jc w:val="center"/>
              <w:rPr>
                <w:rFonts w:hint="eastAsia" w:ascii="仿宋" w:hAnsi="仿宋" w:eastAsia="仿宋" w:cs="仿宋"/>
                <w:color w:val="auto"/>
                <w:kern w:val="2"/>
              </w:rPr>
            </w:pPr>
            <w:r>
              <w:rPr>
                <w:rFonts w:hint="eastAsia" w:ascii="仿宋" w:hAnsi="仿宋" w:eastAsia="仿宋" w:cs="仿宋"/>
                <w:color w:val="auto"/>
                <w:kern w:val="2"/>
              </w:rPr>
              <w:t>合同名称</w:t>
            </w:r>
          </w:p>
        </w:tc>
        <w:tc>
          <w:tcPr>
            <w:tcW w:w="7429" w:type="dxa"/>
            <w:tcBorders>
              <w:top w:val="single" w:color="auto" w:sz="12" w:space="0"/>
              <w:right w:val="single" w:color="auto" w:sz="12" w:space="0"/>
            </w:tcBorders>
            <w:vAlign w:val="center"/>
          </w:tcPr>
          <w:p>
            <w:pPr>
              <w:spacing w:line="260" w:lineRule="exact"/>
              <w:jc w:val="center"/>
              <w:rPr>
                <w:rFonts w:hint="eastAsia" w:ascii="仿宋" w:hAnsi="仿宋" w:eastAsia="仿宋" w:cs="仿宋"/>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10" w:type="dxa"/>
            <w:tcBorders>
              <w:left w:val="single" w:color="auto" w:sz="12" w:space="0"/>
            </w:tcBorders>
            <w:vAlign w:val="center"/>
          </w:tcPr>
          <w:p>
            <w:pPr>
              <w:spacing w:line="260" w:lineRule="exact"/>
              <w:jc w:val="center"/>
              <w:rPr>
                <w:rFonts w:hint="eastAsia" w:ascii="仿宋" w:hAnsi="仿宋" w:eastAsia="仿宋" w:cs="仿宋"/>
                <w:color w:val="auto"/>
                <w:kern w:val="2"/>
              </w:rPr>
            </w:pPr>
            <w:r>
              <w:rPr>
                <w:rFonts w:hint="eastAsia" w:ascii="仿宋" w:hAnsi="仿宋" w:eastAsia="仿宋" w:cs="仿宋"/>
                <w:color w:val="auto"/>
                <w:kern w:val="2"/>
              </w:rPr>
              <w:t>合同项目所在地</w:t>
            </w:r>
          </w:p>
        </w:tc>
        <w:tc>
          <w:tcPr>
            <w:tcW w:w="7429" w:type="dxa"/>
            <w:tcBorders>
              <w:right w:val="single" w:color="auto" w:sz="12" w:space="0"/>
            </w:tcBorders>
            <w:vAlign w:val="center"/>
          </w:tcPr>
          <w:p>
            <w:pPr>
              <w:spacing w:line="260" w:lineRule="exact"/>
              <w:jc w:val="center"/>
              <w:rPr>
                <w:rFonts w:hint="eastAsia" w:ascii="仿宋" w:hAnsi="仿宋" w:eastAsia="仿宋" w:cs="仿宋"/>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10" w:type="dxa"/>
            <w:tcBorders>
              <w:left w:val="single" w:color="auto" w:sz="12" w:space="0"/>
            </w:tcBorders>
            <w:vAlign w:val="center"/>
          </w:tcPr>
          <w:p>
            <w:pPr>
              <w:spacing w:line="260" w:lineRule="exact"/>
              <w:jc w:val="center"/>
              <w:rPr>
                <w:rFonts w:hint="eastAsia" w:ascii="仿宋" w:hAnsi="仿宋" w:eastAsia="仿宋" w:cs="仿宋"/>
                <w:color w:val="auto"/>
                <w:kern w:val="2"/>
              </w:rPr>
            </w:pPr>
            <w:r>
              <w:rPr>
                <w:rFonts w:hint="eastAsia" w:ascii="仿宋" w:hAnsi="仿宋" w:eastAsia="仿宋" w:cs="仿宋"/>
                <w:color w:val="auto"/>
                <w:kern w:val="2"/>
              </w:rPr>
              <w:t>招标人名称</w:t>
            </w:r>
          </w:p>
        </w:tc>
        <w:tc>
          <w:tcPr>
            <w:tcW w:w="7429" w:type="dxa"/>
            <w:tcBorders>
              <w:right w:val="single" w:color="auto" w:sz="12" w:space="0"/>
            </w:tcBorders>
            <w:vAlign w:val="center"/>
          </w:tcPr>
          <w:p>
            <w:pPr>
              <w:spacing w:line="260" w:lineRule="exact"/>
              <w:jc w:val="center"/>
              <w:rPr>
                <w:rFonts w:hint="eastAsia" w:ascii="仿宋" w:hAnsi="仿宋" w:eastAsia="仿宋" w:cs="仿宋"/>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10" w:type="dxa"/>
            <w:tcBorders>
              <w:left w:val="single" w:color="auto" w:sz="12" w:space="0"/>
            </w:tcBorders>
            <w:vAlign w:val="center"/>
          </w:tcPr>
          <w:p>
            <w:pPr>
              <w:spacing w:line="260" w:lineRule="exact"/>
              <w:jc w:val="center"/>
              <w:rPr>
                <w:rFonts w:hint="eastAsia" w:ascii="仿宋" w:hAnsi="仿宋" w:eastAsia="仿宋" w:cs="仿宋"/>
                <w:color w:val="auto"/>
                <w:kern w:val="2"/>
              </w:rPr>
            </w:pPr>
            <w:r>
              <w:rPr>
                <w:rFonts w:hint="eastAsia" w:ascii="仿宋" w:hAnsi="仿宋" w:eastAsia="仿宋" w:cs="仿宋"/>
                <w:color w:val="auto"/>
                <w:kern w:val="2"/>
              </w:rPr>
              <w:t>招标人地址</w:t>
            </w:r>
          </w:p>
        </w:tc>
        <w:tc>
          <w:tcPr>
            <w:tcW w:w="7429" w:type="dxa"/>
            <w:tcBorders>
              <w:right w:val="single" w:color="auto" w:sz="12" w:space="0"/>
            </w:tcBorders>
            <w:vAlign w:val="center"/>
          </w:tcPr>
          <w:p>
            <w:pPr>
              <w:spacing w:line="260" w:lineRule="exact"/>
              <w:jc w:val="center"/>
              <w:rPr>
                <w:rFonts w:hint="eastAsia" w:ascii="仿宋" w:hAnsi="仿宋" w:eastAsia="仿宋" w:cs="仿宋"/>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trPr>
        <w:tc>
          <w:tcPr>
            <w:tcW w:w="2810" w:type="dxa"/>
            <w:tcBorders>
              <w:left w:val="single" w:color="auto" w:sz="12" w:space="0"/>
            </w:tcBorders>
            <w:vAlign w:val="center"/>
          </w:tcPr>
          <w:p>
            <w:pPr>
              <w:spacing w:line="260" w:lineRule="exact"/>
              <w:jc w:val="center"/>
              <w:rPr>
                <w:rFonts w:hint="eastAsia" w:ascii="仿宋" w:hAnsi="仿宋" w:eastAsia="仿宋" w:cs="仿宋"/>
                <w:color w:val="auto"/>
                <w:kern w:val="2"/>
              </w:rPr>
            </w:pPr>
            <w:r>
              <w:rPr>
                <w:rFonts w:hint="eastAsia" w:ascii="仿宋" w:hAnsi="仿宋" w:eastAsia="仿宋" w:cs="仿宋"/>
                <w:color w:val="auto"/>
                <w:kern w:val="2"/>
              </w:rPr>
              <w:t>招标人电话</w:t>
            </w:r>
          </w:p>
        </w:tc>
        <w:tc>
          <w:tcPr>
            <w:tcW w:w="7429" w:type="dxa"/>
            <w:tcBorders>
              <w:right w:val="single" w:color="auto" w:sz="12" w:space="0"/>
            </w:tcBorders>
            <w:vAlign w:val="center"/>
          </w:tcPr>
          <w:p>
            <w:pPr>
              <w:spacing w:line="260" w:lineRule="exact"/>
              <w:jc w:val="center"/>
              <w:rPr>
                <w:rFonts w:hint="eastAsia" w:ascii="仿宋" w:hAnsi="仿宋" w:eastAsia="仿宋" w:cs="仿宋"/>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810" w:type="dxa"/>
            <w:tcBorders>
              <w:left w:val="single" w:color="auto" w:sz="12" w:space="0"/>
            </w:tcBorders>
            <w:vAlign w:val="center"/>
          </w:tcPr>
          <w:p>
            <w:pPr>
              <w:spacing w:line="260" w:lineRule="exact"/>
              <w:jc w:val="center"/>
              <w:rPr>
                <w:rFonts w:hint="eastAsia" w:ascii="仿宋" w:hAnsi="仿宋" w:eastAsia="仿宋" w:cs="仿宋"/>
                <w:color w:val="auto"/>
                <w:kern w:val="2"/>
              </w:rPr>
            </w:pPr>
            <w:r>
              <w:rPr>
                <w:rFonts w:hint="eastAsia" w:ascii="仿宋" w:hAnsi="仿宋" w:eastAsia="仿宋" w:cs="仿宋"/>
                <w:color w:val="auto"/>
                <w:kern w:val="2"/>
              </w:rPr>
              <w:t>签约合同价</w:t>
            </w:r>
          </w:p>
        </w:tc>
        <w:tc>
          <w:tcPr>
            <w:tcW w:w="7429" w:type="dxa"/>
            <w:tcBorders>
              <w:right w:val="single" w:color="auto" w:sz="12" w:space="0"/>
            </w:tcBorders>
            <w:vAlign w:val="center"/>
          </w:tcPr>
          <w:p>
            <w:pPr>
              <w:spacing w:line="260" w:lineRule="exact"/>
              <w:jc w:val="center"/>
              <w:rPr>
                <w:rFonts w:hint="eastAsia" w:ascii="仿宋" w:hAnsi="仿宋" w:eastAsia="仿宋" w:cs="仿宋"/>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10" w:type="dxa"/>
            <w:tcBorders>
              <w:left w:val="single" w:color="auto" w:sz="12" w:space="0"/>
            </w:tcBorders>
            <w:vAlign w:val="center"/>
          </w:tcPr>
          <w:p>
            <w:pPr>
              <w:spacing w:line="260" w:lineRule="exact"/>
              <w:jc w:val="center"/>
              <w:rPr>
                <w:rFonts w:hint="eastAsia" w:ascii="仿宋" w:hAnsi="仿宋" w:eastAsia="仿宋" w:cs="仿宋"/>
                <w:color w:val="auto"/>
                <w:kern w:val="2"/>
              </w:rPr>
            </w:pPr>
            <w:r>
              <w:rPr>
                <w:rFonts w:hint="eastAsia" w:ascii="仿宋" w:hAnsi="仿宋" w:eastAsia="仿宋" w:cs="仿宋"/>
                <w:color w:val="auto"/>
                <w:kern w:val="2"/>
              </w:rPr>
              <w:t>开工日期</w:t>
            </w:r>
          </w:p>
        </w:tc>
        <w:tc>
          <w:tcPr>
            <w:tcW w:w="7429" w:type="dxa"/>
            <w:tcBorders>
              <w:right w:val="single" w:color="auto" w:sz="12" w:space="0"/>
            </w:tcBorders>
            <w:vAlign w:val="center"/>
          </w:tcPr>
          <w:p>
            <w:pPr>
              <w:spacing w:line="260" w:lineRule="exact"/>
              <w:jc w:val="center"/>
              <w:rPr>
                <w:rFonts w:hint="eastAsia" w:ascii="仿宋" w:hAnsi="仿宋" w:eastAsia="仿宋" w:cs="仿宋"/>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10" w:type="dxa"/>
            <w:tcBorders>
              <w:left w:val="single" w:color="auto" w:sz="12" w:space="0"/>
            </w:tcBorders>
            <w:vAlign w:val="center"/>
          </w:tcPr>
          <w:p>
            <w:pPr>
              <w:spacing w:line="260" w:lineRule="exact"/>
              <w:jc w:val="center"/>
              <w:rPr>
                <w:rFonts w:hint="eastAsia" w:ascii="仿宋" w:hAnsi="仿宋" w:eastAsia="仿宋" w:cs="仿宋"/>
                <w:color w:val="auto"/>
                <w:kern w:val="2"/>
              </w:rPr>
            </w:pPr>
            <w:r>
              <w:rPr>
                <w:rFonts w:hint="eastAsia" w:ascii="仿宋" w:hAnsi="仿宋" w:eastAsia="仿宋" w:cs="仿宋"/>
                <w:color w:val="auto"/>
                <w:kern w:val="2"/>
              </w:rPr>
              <w:t>计划交工日期</w:t>
            </w:r>
          </w:p>
        </w:tc>
        <w:tc>
          <w:tcPr>
            <w:tcW w:w="7429" w:type="dxa"/>
            <w:tcBorders>
              <w:right w:val="single" w:color="auto" w:sz="12" w:space="0"/>
            </w:tcBorders>
            <w:vAlign w:val="center"/>
          </w:tcPr>
          <w:p>
            <w:pPr>
              <w:spacing w:line="260" w:lineRule="exact"/>
              <w:jc w:val="center"/>
              <w:rPr>
                <w:rFonts w:hint="eastAsia" w:ascii="仿宋" w:hAnsi="仿宋" w:eastAsia="仿宋" w:cs="仿宋"/>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10" w:type="dxa"/>
            <w:tcBorders>
              <w:left w:val="single" w:color="auto" w:sz="12" w:space="0"/>
            </w:tcBorders>
            <w:vAlign w:val="center"/>
          </w:tcPr>
          <w:p>
            <w:pPr>
              <w:spacing w:line="260" w:lineRule="exact"/>
              <w:jc w:val="center"/>
              <w:rPr>
                <w:rFonts w:hint="eastAsia" w:ascii="仿宋" w:hAnsi="仿宋" w:eastAsia="仿宋" w:cs="仿宋"/>
                <w:color w:val="auto"/>
                <w:kern w:val="2"/>
              </w:rPr>
            </w:pPr>
            <w:r>
              <w:rPr>
                <w:rFonts w:hint="eastAsia" w:ascii="仿宋" w:hAnsi="仿宋" w:eastAsia="仿宋" w:cs="仿宋"/>
                <w:color w:val="auto"/>
                <w:kern w:val="2"/>
              </w:rPr>
              <w:t>承担的工作</w:t>
            </w:r>
          </w:p>
        </w:tc>
        <w:tc>
          <w:tcPr>
            <w:tcW w:w="7429" w:type="dxa"/>
            <w:tcBorders>
              <w:right w:val="single" w:color="auto" w:sz="12" w:space="0"/>
            </w:tcBorders>
            <w:vAlign w:val="center"/>
          </w:tcPr>
          <w:p>
            <w:pPr>
              <w:spacing w:line="260" w:lineRule="exact"/>
              <w:jc w:val="center"/>
              <w:rPr>
                <w:rFonts w:hint="eastAsia" w:ascii="仿宋" w:hAnsi="仿宋" w:eastAsia="仿宋" w:cs="仿宋"/>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trPr>
        <w:tc>
          <w:tcPr>
            <w:tcW w:w="2810" w:type="dxa"/>
            <w:tcBorders>
              <w:left w:val="single" w:color="auto" w:sz="12" w:space="0"/>
            </w:tcBorders>
            <w:vAlign w:val="center"/>
          </w:tcPr>
          <w:p>
            <w:pPr>
              <w:spacing w:line="260" w:lineRule="exact"/>
              <w:jc w:val="center"/>
              <w:rPr>
                <w:rFonts w:hint="eastAsia" w:ascii="仿宋" w:hAnsi="仿宋" w:eastAsia="仿宋" w:cs="仿宋"/>
                <w:color w:val="auto"/>
                <w:kern w:val="2"/>
              </w:rPr>
            </w:pPr>
            <w:r>
              <w:rPr>
                <w:rFonts w:hint="eastAsia" w:ascii="仿宋" w:hAnsi="仿宋" w:eastAsia="仿宋" w:cs="仿宋"/>
                <w:color w:val="auto"/>
                <w:kern w:val="2"/>
              </w:rPr>
              <w:t>工程质量</w:t>
            </w:r>
          </w:p>
        </w:tc>
        <w:tc>
          <w:tcPr>
            <w:tcW w:w="7429" w:type="dxa"/>
            <w:tcBorders>
              <w:right w:val="single" w:color="auto" w:sz="12" w:space="0"/>
            </w:tcBorders>
            <w:vAlign w:val="center"/>
          </w:tcPr>
          <w:p>
            <w:pPr>
              <w:spacing w:line="260" w:lineRule="exact"/>
              <w:jc w:val="center"/>
              <w:rPr>
                <w:rFonts w:hint="eastAsia" w:ascii="仿宋" w:hAnsi="仿宋" w:eastAsia="仿宋" w:cs="仿宋"/>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10" w:type="dxa"/>
            <w:tcBorders>
              <w:left w:val="single" w:color="auto" w:sz="12" w:space="0"/>
            </w:tcBorders>
            <w:vAlign w:val="center"/>
          </w:tcPr>
          <w:p>
            <w:pPr>
              <w:spacing w:line="260" w:lineRule="exact"/>
              <w:jc w:val="center"/>
              <w:rPr>
                <w:rFonts w:hint="eastAsia" w:ascii="仿宋" w:hAnsi="仿宋" w:eastAsia="仿宋" w:cs="仿宋"/>
                <w:color w:val="auto"/>
                <w:kern w:val="2"/>
              </w:rPr>
            </w:pPr>
            <w:r>
              <w:rPr>
                <w:rFonts w:hint="eastAsia" w:ascii="仿宋" w:hAnsi="仿宋" w:eastAsia="仿宋" w:cs="仿宋"/>
                <w:color w:val="auto"/>
                <w:kern w:val="2"/>
              </w:rPr>
              <w:t>项目负责人</w:t>
            </w:r>
          </w:p>
        </w:tc>
        <w:tc>
          <w:tcPr>
            <w:tcW w:w="7429" w:type="dxa"/>
            <w:tcBorders>
              <w:right w:val="single" w:color="auto" w:sz="12" w:space="0"/>
            </w:tcBorders>
            <w:vAlign w:val="center"/>
          </w:tcPr>
          <w:p>
            <w:pPr>
              <w:spacing w:line="260" w:lineRule="exact"/>
              <w:jc w:val="center"/>
              <w:rPr>
                <w:rFonts w:hint="eastAsia" w:ascii="仿宋" w:hAnsi="仿宋" w:eastAsia="仿宋" w:cs="仿宋"/>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10" w:type="dxa"/>
            <w:tcBorders>
              <w:left w:val="single" w:color="auto" w:sz="12" w:space="0"/>
            </w:tcBorders>
            <w:vAlign w:val="center"/>
          </w:tcPr>
          <w:p>
            <w:pPr>
              <w:spacing w:line="260" w:lineRule="exact"/>
              <w:jc w:val="center"/>
              <w:rPr>
                <w:rFonts w:hint="eastAsia" w:ascii="仿宋" w:hAnsi="仿宋" w:eastAsia="仿宋" w:cs="仿宋"/>
                <w:color w:val="auto"/>
                <w:kern w:val="2"/>
              </w:rPr>
            </w:pPr>
            <w:r>
              <w:rPr>
                <w:rFonts w:hint="eastAsia" w:ascii="仿宋" w:hAnsi="仿宋" w:eastAsia="仿宋" w:cs="仿宋"/>
                <w:color w:val="auto"/>
                <w:kern w:val="2"/>
              </w:rPr>
              <w:t>项目技术负责人</w:t>
            </w:r>
          </w:p>
        </w:tc>
        <w:tc>
          <w:tcPr>
            <w:tcW w:w="7429" w:type="dxa"/>
            <w:tcBorders>
              <w:right w:val="single" w:color="auto" w:sz="12" w:space="0"/>
            </w:tcBorders>
            <w:vAlign w:val="center"/>
          </w:tcPr>
          <w:p>
            <w:pPr>
              <w:spacing w:line="260" w:lineRule="exact"/>
              <w:jc w:val="center"/>
              <w:rPr>
                <w:rFonts w:hint="eastAsia" w:ascii="仿宋" w:hAnsi="仿宋" w:eastAsia="仿宋" w:cs="仿宋"/>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810" w:type="dxa"/>
            <w:tcBorders>
              <w:left w:val="single" w:color="auto" w:sz="12" w:space="0"/>
            </w:tcBorders>
            <w:vAlign w:val="center"/>
          </w:tcPr>
          <w:p>
            <w:pPr>
              <w:spacing w:line="260" w:lineRule="exact"/>
              <w:jc w:val="center"/>
              <w:rPr>
                <w:rFonts w:hint="eastAsia" w:ascii="仿宋" w:hAnsi="仿宋" w:eastAsia="仿宋" w:cs="仿宋"/>
                <w:color w:val="auto"/>
                <w:kern w:val="2"/>
              </w:rPr>
            </w:pPr>
            <w:r>
              <w:rPr>
                <w:rFonts w:hint="eastAsia" w:ascii="仿宋" w:hAnsi="仿宋" w:eastAsia="仿宋" w:cs="仿宋"/>
                <w:color w:val="auto"/>
                <w:kern w:val="2"/>
              </w:rPr>
              <w:t>监理人和总监理工程师以及电话</w:t>
            </w:r>
          </w:p>
        </w:tc>
        <w:tc>
          <w:tcPr>
            <w:tcW w:w="7429" w:type="dxa"/>
            <w:tcBorders>
              <w:right w:val="single" w:color="auto" w:sz="12" w:space="0"/>
            </w:tcBorders>
            <w:vAlign w:val="center"/>
          </w:tcPr>
          <w:p>
            <w:pPr>
              <w:spacing w:line="260" w:lineRule="exact"/>
              <w:jc w:val="center"/>
              <w:rPr>
                <w:rFonts w:hint="eastAsia" w:ascii="仿宋" w:hAnsi="仿宋" w:eastAsia="仿宋" w:cs="仿宋"/>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810" w:type="dxa"/>
            <w:tcBorders>
              <w:left w:val="single" w:color="auto" w:sz="12" w:space="0"/>
            </w:tcBorders>
            <w:vAlign w:val="center"/>
          </w:tcPr>
          <w:p>
            <w:pPr>
              <w:spacing w:line="260" w:lineRule="exact"/>
              <w:jc w:val="center"/>
              <w:rPr>
                <w:rFonts w:hint="eastAsia" w:ascii="仿宋" w:hAnsi="仿宋" w:eastAsia="仿宋" w:cs="仿宋"/>
                <w:color w:val="auto"/>
                <w:kern w:val="2"/>
              </w:rPr>
            </w:pPr>
            <w:r>
              <w:rPr>
                <w:rFonts w:hint="eastAsia" w:ascii="仿宋" w:hAnsi="仿宋" w:eastAsia="仿宋" w:cs="仿宋"/>
                <w:color w:val="auto"/>
                <w:kern w:val="2"/>
              </w:rPr>
              <w:t>项目描述</w:t>
            </w:r>
          </w:p>
        </w:tc>
        <w:tc>
          <w:tcPr>
            <w:tcW w:w="7429" w:type="dxa"/>
            <w:tcBorders>
              <w:right w:val="single" w:color="auto" w:sz="12" w:space="0"/>
            </w:tcBorders>
            <w:vAlign w:val="center"/>
          </w:tcPr>
          <w:p>
            <w:pPr>
              <w:spacing w:line="260" w:lineRule="exact"/>
              <w:jc w:val="center"/>
              <w:rPr>
                <w:rFonts w:hint="eastAsia" w:ascii="仿宋" w:hAnsi="仿宋" w:eastAsia="仿宋" w:cs="仿宋"/>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2810" w:type="dxa"/>
            <w:tcBorders>
              <w:left w:val="single" w:color="auto" w:sz="12" w:space="0"/>
              <w:bottom w:val="single" w:color="auto" w:sz="12" w:space="0"/>
            </w:tcBorders>
            <w:vAlign w:val="center"/>
          </w:tcPr>
          <w:p>
            <w:pPr>
              <w:spacing w:line="260" w:lineRule="exact"/>
              <w:jc w:val="center"/>
              <w:rPr>
                <w:rFonts w:hint="eastAsia" w:ascii="仿宋" w:hAnsi="仿宋" w:eastAsia="仿宋" w:cs="仿宋"/>
                <w:color w:val="auto"/>
                <w:kern w:val="2"/>
              </w:rPr>
            </w:pPr>
            <w:r>
              <w:rPr>
                <w:rFonts w:hint="eastAsia" w:ascii="仿宋" w:hAnsi="仿宋" w:eastAsia="仿宋" w:cs="仿宋"/>
                <w:color w:val="auto"/>
                <w:kern w:val="2"/>
              </w:rPr>
              <w:t>备注</w:t>
            </w:r>
          </w:p>
        </w:tc>
        <w:tc>
          <w:tcPr>
            <w:tcW w:w="7429" w:type="dxa"/>
            <w:tcBorders>
              <w:bottom w:val="single" w:color="auto" w:sz="12" w:space="0"/>
              <w:right w:val="single" w:color="auto" w:sz="12" w:space="0"/>
            </w:tcBorders>
            <w:vAlign w:val="center"/>
          </w:tcPr>
          <w:p>
            <w:pPr>
              <w:spacing w:line="260" w:lineRule="exact"/>
              <w:jc w:val="center"/>
              <w:rPr>
                <w:rFonts w:hint="eastAsia" w:ascii="仿宋" w:hAnsi="仿宋" w:eastAsia="仿宋" w:cs="仿宋"/>
                <w:color w:val="auto"/>
                <w:kern w:val="2"/>
              </w:rPr>
            </w:pPr>
            <w:r>
              <w:rPr>
                <w:rFonts w:hint="eastAsia" w:ascii="仿宋" w:hAnsi="仿宋" w:eastAsia="仿宋" w:cs="仿宋"/>
                <w:color w:val="auto"/>
                <w:kern w:val="2"/>
              </w:rPr>
              <w:t>项目描述内容至少包括项目概述、本合同在项目中的地位（部位、合同价格所占比例）</w:t>
            </w:r>
          </w:p>
        </w:tc>
      </w:tr>
    </w:tbl>
    <w:p>
      <w:pPr>
        <w:pStyle w:val="16"/>
        <w:spacing w:line="300" w:lineRule="exact"/>
        <w:ind w:left="1723" w:leftChars="200" w:hanging="1243" w:hangingChars="444"/>
        <w:rPr>
          <w:rFonts w:hint="eastAsia" w:ascii="仿宋" w:hAnsi="仿宋" w:eastAsia="仿宋" w:cs="仿宋"/>
          <w:color w:val="auto"/>
        </w:rPr>
      </w:pPr>
    </w:p>
    <w:p>
      <w:pPr>
        <w:widowControl/>
        <w:snapToGrid w:val="0"/>
        <w:spacing w:line="420" w:lineRule="exact"/>
        <w:ind w:firstLine="411" w:firstLineChars="196"/>
        <w:jc w:val="left"/>
        <w:rPr>
          <w:rFonts w:hint="eastAsia" w:ascii="仿宋" w:hAnsi="仿宋" w:eastAsia="仿宋" w:cs="仿宋"/>
          <w:color w:val="auto"/>
          <w:sz w:val="21"/>
          <w:szCs w:val="21"/>
        </w:rPr>
      </w:pPr>
      <w:r>
        <w:rPr>
          <w:rFonts w:hint="eastAsia" w:ascii="仿宋" w:hAnsi="仿宋" w:eastAsia="仿宋" w:cs="仿宋"/>
          <w:snapToGrid w:val="0"/>
          <w:color w:val="auto"/>
          <w:sz w:val="21"/>
          <w:szCs w:val="21"/>
        </w:rPr>
        <w:t>注：</w:t>
      </w:r>
      <w:r>
        <w:rPr>
          <w:rFonts w:hint="eastAsia" w:ascii="仿宋" w:hAnsi="仿宋" w:eastAsia="仿宋" w:cs="仿宋"/>
          <w:color w:val="auto"/>
          <w:sz w:val="21"/>
          <w:szCs w:val="21"/>
        </w:rPr>
        <w:t>相关材料扫描件在“原件的扫描件或电子件”中提供。</w:t>
      </w:r>
    </w:p>
    <w:p>
      <w:pPr>
        <w:ind w:firstLine="420" w:firstLineChars="200"/>
        <w:rPr>
          <w:rFonts w:hint="eastAsia" w:ascii="仿宋" w:hAnsi="仿宋" w:eastAsia="仿宋" w:cs="仿宋"/>
          <w:snapToGrid w:val="0"/>
          <w:color w:val="auto"/>
          <w:sz w:val="21"/>
          <w:szCs w:val="21"/>
        </w:rPr>
      </w:pPr>
    </w:p>
    <w:p>
      <w:pPr>
        <w:ind w:firstLine="420" w:firstLineChars="200"/>
        <w:rPr>
          <w:rFonts w:hint="eastAsia" w:ascii="仿宋" w:hAnsi="仿宋" w:eastAsia="仿宋" w:cs="仿宋"/>
          <w:snapToGrid w:val="0"/>
          <w:color w:val="auto"/>
          <w:sz w:val="21"/>
          <w:szCs w:val="21"/>
        </w:rPr>
      </w:pPr>
    </w:p>
    <w:p>
      <w:pPr>
        <w:ind w:firstLine="420" w:firstLineChars="200"/>
        <w:rPr>
          <w:rFonts w:hint="eastAsia" w:ascii="仿宋" w:hAnsi="仿宋" w:eastAsia="仿宋" w:cs="仿宋"/>
          <w:snapToGrid w:val="0"/>
          <w:color w:val="auto"/>
          <w:sz w:val="21"/>
          <w:szCs w:val="21"/>
        </w:rPr>
      </w:pPr>
    </w:p>
    <w:p>
      <w:pPr>
        <w:ind w:firstLine="420" w:firstLineChars="200"/>
        <w:rPr>
          <w:rFonts w:hint="eastAsia" w:ascii="仿宋" w:hAnsi="仿宋" w:eastAsia="仿宋" w:cs="仿宋"/>
          <w:snapToGrid w:val="0"/>
          <w:color w:val="auto"/>
          <w:sz w:val="21"/>
          <w:szCs w:val="21"/>
        </w:rPr>
      </w:pPr>
    </w:p>
    <w:p>
      <w:pPr>
        <w:ind w:firstLine="420" w:firstLineChars="200"/>
        <w:rPr>
          <w:rFonts w:hint="eastAsia" w:ascii="仿宋" w:hAnsi="仿宋" w:eastAsia="仿宋" w:cs="仿宋"/>
          <w:snapToGrid w:val="0"/>
          <w:color w:val="auto"/>
          <w:sz w:val="21"/>
          <w:szCs w:val="21"/>
        </w:rPr>
      </w:pPr>
    </w:p>
    <w:p>
      <w:pPr>
        <w:ind w:firstLine="420" w:firstLineChars="200"/>
        <w:rPr>
          <w:rFonts w:hint="eastAsia" w:ascii="仿宋" w:hAnsi="仿宋" w:eastAsia="仿宋" w:cs="仿宋"/>
          <w:snapToGrid w:val="0"/>
          <w:color w:val="auto"/>
          <w:sz w:val="21"/>
          <w:szCs w:val="21"/>
        </w:rPr>
      </w:pPr>
    </w:p>
    <w:p>
      <w:pPr>
        <w:ind w:firstLine="420" w:firstLineChars="200"/>
        <w:rPr>
          <w:rFonts w:hint="eastAsia" w:ascii="仿宋" w:hAnsi="仿宋" w:eastAsia="仿宋" w:cs="仿宋"/>
          <w:snapToGrid w:val="0"/>
          <w:color w:val="auto"/>
          <w:sz w:val="21"/>
          <w:szCs w:val="21"/>
        </w:rPr>
      </w:pPr>
    </w:p>
    <w:p>
      <w:pPr>
        <w:ind w:firstLine="420" w:firstLineChars="200"/>
        <w:rPr>
          <w:rFonts w:hint="eastAsia" w:ascii="仿宋" w:hAnsi="仿宋" w:eastAsia="仿宋" w:cs="仿宋"/>
          <w:snapToGrid w:val="0"/>
          <w:color w:val="auto"/>
          <w:sz w:val="21"/>
          <w:szCs w:val="21"/>
        </w:rPr>
      </w:pPr>
    </w:p>
    <w:p>
      <w:pPr>
        <w:ind w:firstLine="420" w:firstLineChars="200"/>
        <w:rPr>
          <w:rFonts w:hint="eastAsia" w:ascii="仿宋" w:hAnsi="仿宋" w:eastAsia="仿宋" w:cs="仿宋"/>
          <w:snapToGrid w:val="0"/>
          <w:color w:val="auto"/>
          <w:sz w:val="21"/>
          <w:szCs w:val="21"/>
        </w:rPr>
      </w:pPr>
    </w:p>
    <w:p>
      <w:pPr>
        <w:pStyle w:val="8"/>
        <w:rPr>
          <w:rFonts w:hint="eastAsia" w:ascii="仿宋" w:hAnsi="仿宋" w:eastAsia="仿宋" w:cs="仿宋"/>
          <w:color w:val="auto"/>
        </w:rPr>
      </w:pPr>
      <w:r>
        <w:rPr>
          <w:rFonts w:hint="eastAsia" w:ascii="仿宋" w:hAnsi="仿宋" w:eastAsia="仿宋" w:cs="仿宋"/>
          <w:color w:val="auto"/>
          <w:szCs w:val="24"/>
        </w:rPr>
        <w:t>（四）</w:t>
      </w:r>
      <w:r>
        <w:rPr>
          <w:rFonts w:hint="eastAsia" w:ascii="仿宋" w:hAnsi="仿宋" w:eastAsia="仿宋" w:cs="仿宋"/>
          <w:color w:val="auto"/>
          <w:szCs w:val="24"/>
          <w:lang w:eastAsia="zh-CN"/>
        </w:rPr>
        <w:t>2018</w:t>
      </w:r>
      <w:r>
        <w:rPr>
          <w:rFonts w:hint="eastAsia" w:ascii="仿宋" w:hAnsi="仿宋" w:eastAsia="仿宋" w:cs="仿宋"/>
          <w:color w:val="auto"/>
          <w:szCs w:val="24"/>
        </w:rPr>
        <w:t>年1月1日至投标截止日以来发生的诉讼及仲裁情况表</w:t>
      </w:r>
    </w:p>
    <w:p>
      <w:pPr>
        <w:rPr>
          <w:rFonts w:hint="eastAsia" w:ascii="仿宋" w:hAnsi="仿宋" w:eastAsia="仿宋" w:cs="仿宋"/>
          <w:snapToGrid w:val="0"/>
          <w:color w:val="auto"/>
          <w:szCs w:val="24"/>
        </w:rPr>
      </w:pPr>
    </w:p>
    <w:tbl>
      <w:tblPr>
        <w:tblStyle w:val="25"/>
        <w:tblW w:w="1019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554"/>
        <w:gridCol w:w="1913"/>
        <w:gridCol w:w="1551"/>
        <w:gridCol w:w="1554"/>
        <w:gridCol w:w="15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73" w:type="dxa"/>
            <w:vAlign w:val="center"/>
          </w:tcPr>
          <w:p>
            <w:pPr>
              <w:snapToGrid w:val="0"/>
              <w:jc w:val="center"/>
              <w:rPr>
                <w:rFonts w:hint="eastAsia" w:ascii="仿宋" w:hAnsi="仿宋" w:eastAsia="仿宋" w:cs="仿宋"/>
                <w:snapToGrid w:val="0"/>
                <w:color w:val="auto"/>
                <w:kern w:val="2"/>
                <w:szCs w:val="28"/>
              </w:rPr>
            </w:pPr>
            <w:r>
              <w:rPr>
                <w:rFonts w:hint="eastAsia" w:ascii="仿宋" w:hAnsi="仿宋" w:eastAsia="仿宋" w:cs="仿宋"/>
                <w:snapToGrid w:val="0"/>
                <w:color w:val="auto"/>
                <w:kern w:val="2"/>
                <w:szCs w:val="28"/>
              </w:rPr>
              <w:t>序号</w:t>
            </w:r>
          </w:p>
        </w:tc>
        <w:tc>
          <w:tcPr>
            <w:tcW w:w="2554" w:type="dxa"/>
            <w:vAlign w:val="center"/>
          </w:tcPr>
          <w:p>
            <w:pPr>
              <w:snapToGrid w:val="0"/>
              <w:jc w:val="center"/>
              <w:rPr>
                <w:rFonts w:hint="eastAsia" w:ascii="仿宋" w:hAnsi="仿宋" w:eastAsia="仿宋" w:cs="仿宋"/>
                <w:snapToGrid w:val="0"/>
                <w:color w:val="auto"/>
                <w:kern w:val="2"/>
                <w:szCs w:val="28"/>
              </w:rPr>
            </w:pPr>
            <w:r>
              <w:rPr>
                <w:rFonts w:hint="eastAsia" w:ascii="仿宋" w:hAnsi="仿宋" w:eastAsia="仿宋" w:cs="仿宋"/>
                <w:snapToGrid w:val="0"/>
                <w:color w:val="auto"/>
                <w:kern w:val="2"/>
                <w:szCs w:val="24"/>
              </w:rPr>
              <w:t>诉讼或仲裁事项</w:t>
            </w:r>
          </w:p>
        </w:tc>
        <w:tc>
          <w:tcPr>
            <w:tcW w:w="1913" w:type="dxa"/>
            <w:vAlign w:val="center"/>
          </w:tcPr>
          <w:p>
            <w:pPr>
              <w:snapToGrid w:val="0"/>
              <w:jc w:val="center"/>
              <w:rPr>
                <w:rFonts w:hint="eastAsia" w:ascii="仿宋" w:hAnsi="仿宋" w:eastAsia="仿宋" w:cs="仿宋"/>
                <w:snapToGrid w:val="0"/>
                <w:color w:val="auto"/>
                <w:kern w:val="2"/>
                <w:szCs w:val="28"/>
              </w:rPr>
            </w:pPr>
            <w:r>
              <w:rPr>
                <w:rFonts w:hint="eastAsia" w:ascii="仿宋" w:hAnsi="仿宋" w:eastAsia="仿宋" w:cs="仿宋"/>
                <w:snapToGrid w:val="0"/>
                <w:color w:val="auto"/>
                <w:kern w:val="2"/>
                <w:szCs w:val="24"/>
              </w:rPr>
              <w:t>诉讼或仲裁中的地位</w:t>
            </w:r>
          </w:p>
        </w:tc>
        <w:tc>
          <w:tcPr>
            <w:tcW w:w="1551" w:type="dxa"/>
            <w:vAlign w:val="center"/>
          </w:tcPr>
          <w:p>
            <w:pPr>
              <w:snapToGrid w:val="0"/>
              <w:jc w:val="center"/>
              <w:rPr>
                <w:rFonts w:hint="eastAsia" w:ascii="仿宋" w:hAnsi="仿宋" w:eastAsia="仿宋" w:cs="仿宋"/>
                <w:snapToGrid w:val="0"/>
                <w:color w:val="auto"/>
                <w:kern w:val="2"/>
                <w:szCs w:val="28"/>
              </w:rPr>
            </w:pPr>
            <w:r>
              <w:rPr>
                <w:rFonts w:hint="eastAsia" w:ascii="仿宋" w:hAnsi="仿宋" w:eastAsia="仿宋" w:cs="仿宋"/>
                <w:snapToGrid w:val="0"/>
                <w:color w:val="auto"/>
                <w:kern w:val="2"/>
                <w:szCs w:val="28"/>
              </w:rPr>
              <w:t>缘由</w:t>
            </w:r>
          </w:p>
        </w:tc>
        <w:tc>
          <w:tcPr>
            <w:tcW w:w="1554" w:type="dxa"/>
            <w:vAlign w:val="center"/>
          </w:tcPr>
          <w:p>
            <w:pPr>
              <w:snapToGrid w:val="0"/>
              <w:jc w:val="center"/>
              <w:rPr>
                <w:rFonts w:hint="eastAsia" w:ascii="仿宋" w:hAnsi="仿宋" w:eastAsia="仿宋" w:cs="仿宋"/>
                <w:snapToGrid w:val="0"/>
                <w:color w:val="auto"/>
                <w:kern w:val="2"/>
                <w:szCs w:val="28"/>
              </w:rPr>
            </w:pPr>
            <w:r>
              <w:rPr>
                <w:rFonts w:hint="eastAsia" w:ascii="仿宋" w:hAnsi="仿宋" w:eastAsia="仿宋" w:cs="仿宋"/>
                <w:snapToGrid w:val="0"/>
                <w:color w:val="auto"/>
                <w:kern w:val="2"/>
                <w:szCs w:val="28"/>
              </w:rPr>
              <w:t>结果</w:t>
            </w:r>
          </w:p>
        </w:tc>
        <w:tc>
          <w:tcPr>
            <w:tcW w:w="1551" w:type="dxa"/>
            <w:vAlign w:val="center"/>
          </w:tcPr>
          <w:p>
            <w:pPr>
              <w:snapToGrid w:val="0"/>
              <w:jc w:val="center"/>
              <w:rPr>
                <w:rFonts w:hint="eastAsia" w:ascii="仿宋" w:hAnsi="仿宋" w:eastAsia="仿宋" w:cs="仿宋"/>
                <w:snapToGrid w:val="0"/>
                <w:color w:val="auto"/>
                <w:kern w:val="2"/>
                <w:szCs w:val="28"/>
              </w:rPr>
            </w:pPr>
            <w:r>
              <w:rPr>
                <w:rFonts w:hint="eastAsia" w:ascii="仿宋" w:hAnsi="仿宋" w:eastAsia="仿宋" w:cs="仿宋"/>
                <w:snapToGrid w:val="0"/>
                <w:color w:val="auto"/>
                <w:kern w:val="2"/>
                <w:szCs w:val="2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hint="eastAsia" w:ascii="仿宋" w:hAnsi="仿宋" w:eastAsia="仿宋" w:cs="仿宋"/>
                <w:snapToGrid w:val="0"/>
                <w:color w:val="auto"/>
                <w:kern w:val="2"/>
                <w:szCs w:val="28"/>
              </w:rPr>
            </w:pPr>
            <w:r>
              <w:rPr>
                <w:rFonts w:hint="eastAsia" w:ascii="仿宋" w:hAnsi="仿宋" w:eastAsia="仿宋" w:cs="仿宋"/>
                <w:snapToGrid w:val="0"/>
                <w:color w:val="auto"/>
                <w:kern w:val="2"/>
                <w:szCs w:val="28"/>
              </w:rPr>
              <w:t>一</w:t>
            </w:r>
          </w:p>
        </w:tc>
        <w:tc>
          <w:tcPr>
            <w:tcW w:w="2554" w:type="dxa"/>
            <w:vAlign w:val="center"/>
          </w:tcPr>
          <w:p>
            <w:pPr>
              <w:snapToGrid w:val="0"/>
              <w:jc w:val="center"/>
              <w:rPr>
                <w:rFonts w:hint="eastAsia" w:ascii="仿宋" w:hAnsi="仿宋" w:eastAsia="仿宋" w:cs="仿宋"/>
                <w:snapToGrid w:val="0"/>
                <w:color w:val="auto"/>
                <w:kern w:val="2"/>
                <w:szCs w:val="28"/>
              </w:rPr>
            </w:pPr>
            <w:r>
              <w:rPr>
                <w:rFonts w:hint="eastAsia" w:ascii="仿宋" w:hAnsi="仿宋" w:eastAsia="仿宋" w:cs="仿宋"/>
                <w:snapToGrid w:val="0"/>
                <w:color w:val="auto"/>
                <w:kern w:val="2"/>
                <w:szCs w:val="24"/>
              </w:rPr>
              <w:t>诉讼事项</w:t>
            </w:r>
          </w:p>
        </w:tc>
        <w:tc>
          <w:tcPr>
            <w:tcW w:w="1913"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c>
          <w:tcPr>
            <w:tcW w:w="1554"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hint="eastAsia" w:ascii="仿宋" w:hAnsi="仿宋" w:eastAsia="仿宋" w:cs="仿宋"/>
                <w:snapToGrid w:val="0"/>
                <w:color w:val="auto"/>
                <w:kern w:val="2"/>
                <w:szCs w:val="28"/>
              </w:rPr>
            </w:pPr>
          </w:p>
        </w:tc>
        <w:tc>
          <w:tcPr>
            <w:tcW w:w="2554" w:type="dxa"/>
            <w:vAlign w:val="center"/>
          </w:tcPr>
          <w:p>
            <w:pPr>
              <w:snapToGrid w:val="0"/>
              <w:jc w:val="center"/>
              <w:rPr>
                <w:rFonts w:hint="eastAsia" w:ascii="仿宋" w:hAnsi="仿宋" w:eastAsia="仿宋" w:cs="仿宋"/>
                <w:snapToGrid w:val="0"/>
                <w:color w:val="auto"/>
                <w:kern w:val="2"/>
                <w:szCs w:val="28"/>
              </w:rPr>
            </w:pPr>
          </w:p>
        </w:tc>
        <w:tc>
          <w:tcPr>
            <w:tcW w:w="1913"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c>
          <w:tcPr>
            <w:tcW w:w="1554"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hint="eastAsia" w:ascii="仿宋" w:hAnsi="仿宋" w:eastAsia="仿宋" w:cs="仿宋"/>
                <w:snapToGrid w:val="0"/>
                <w:color w:val="auto"/>
                <w:kern w:val="2"/>
                <w:szCs w:val="28"/>
              </w:rPr>
            </w:pPr>
          </w:p>
        </w:tc>
        <w:tc>
          <w:tcPr>
            <w:tcW w:w="2554" w:type="dxa"/>
            <w:vAlign w:val="center"/>
          </w:tcPr>
          <w:p>
            <w:pPr>
              <w:snapToGrid w:val="0"/>
              <w:jc w:val="center"/>
              <w:rPr>
                <w:rFonts w:hint="eastAsia" w:ascii="仿宋" w:hAnsi="仿宋" w:eastAsia="仿宋" w:cs="仿宋"/>
                <w:snapToGrid w:val="0"/>
                <w:color w:val="auto"/>
                <w:kern w:val="2"/>
                <w:szCs w:val="28"/>
              </w:rPr>
            </w:pPr>
          </w:p>
        </w:tc>
        <w:tc>
          <w:tcPr>
            <w:tcW w:w="1913"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c>
          <w:tcPr>
            <w:tcW w:w="1554"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hint="eastAsia" w:ascii="仿宋" w:hAnsi="仿宋" w:eastAsia="仿宋" w:cs="仿宋"/>
                <w:snapToGrid w:val="0"/>
                <w:color w:val="auto"/>
                <w:kern w:val="2"/>
                <w:szCs w:val="28"/>
              </w:rPr>
            </w:pPr>
          </w:p>
        </w:tc>
        <w:tc>
          <w:tcPr>
            <w:tcW w:w="2554" w:type="dxa"/>
            <w:vAlign w:val="center"/>
          </w:tcPr>
          <w:p>
            <w:pPr>
              <w:snapToGrid w:val="0"/>
              <w:jc w:val="center"/>
              <w:rPr>
                <w:rFonts w:hint="eastAsia" w:ascii="仿宋" w:hAnsi="仿宋" w:eastAsia="仿宋" w:cs="仿宋"/>
                <w:snapToGrid w:val="0"/>
                <w:color w:val="auto"/>
                <w:kern w:val="2"/>
                <w:szCs w:val="28"/>
              </w:rPr>
            </w:pPr>
          </w:p>
        </w:tc>
        <w:tc>
          <w:tcPr>
            <w:tcW w:w="1913"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c>
          <w:tcPr>
            <w:tcW w:w="1554"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hint="eastAsia" w:ascii="仿宋" w:hAnsi="仿宋" w:eastAsia="仿宋" w:cs="仿宋"/>
                <w:snapToGrid w:val="0"/>
                <w:color w:val="auto"/>
                <w:kern w:val="2"/>
                <w:szCs w:val="28"/>
              </w:rPr>
            </w:pPr>
          </w:p>
        </w:tc>
        <w:tc>
          <w:tcPr>
            <w:tcW w:w="2554" w:type="dxa"/>
            <w:vAlign w:val="center"/>
          </w:tcPr>
          <w:p>
            <w:pPr>
              <w:snapToGrid w:val="0"/>
              <w:jc w:val="center"/>
              <w:rPr>
                <w:rFonts w:hint="eastAsia" w:ascii="仿宋" w:hAnsi="仿宋" w:eastAsia="仿宋" w:cs="仿宋"/>
                <w:snapToGrid w:val="0"/>
                <w:color w:val="auto"/>
                <w:kern w:val="2"/>
                <w:szCs w:val="28"/>
              </w:rPr>
            </w:pPr>
          </w:p>
        </w:tc>
        <w:tc>
          <w:tcPr>
            <w:tcW w:w="1913"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c>
          <w:tcPr>
            <w:tcW w:w="1554"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hint="eastAsia" w:ascii="仿宋" w:hAnsi="仿宋" w:eastAsia="仿宋" w:cs="仿宋"/>
                <w:snapToGrid w:val="0"/>
                <w:color w:val="auto"/>
                <w:kern w:val="2"/>
                <w:szCs w:val="28"/>
              </w:rPr>
            </w:pPr>
          </w:p>
        </w:tc>
        <w:tc>
          <w:tcPr>
            <w:tcW w:w="2554" w:type="dxa"/>
            <w:vAlign w:val="center"/>
          </w:tcPr>
          <w:p>
            <w:pPr>
              <w:snapToGrid w:val="0"/>
              <w:jc w:val="center"/>
              <w:rPr>
                <w:rFonts w:hint="eastAsia" w:ascii="仿宋" w:hAnsi="仿宋" w:eastAsia="仿宋" w:cs="仿宋"/>
                <w:snapToGrid w:val="0"/>
                <w:color w:val="auto"/>
                <w:kern w:val="2"/>
                <w:szCs w:val="28"/>
              </w:rPr>
            </w:pPr>
          </w:p>
        </w:tc>
        <w:tc>
          <w:tcPr>
            <w:tcW w:w="1913"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c>
          <w:tcPr>
            <w:tcW w:w="1554"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hint="eastAsia" w:ascii="仿宋" w:hAnsi="仿宋" w:eastAsia="仿宋" w:cs="仿宋"/>
                <w:snapToGrid w:val="0"/>
                <w:color w:val="auto"/>
                <w:kern w:val="2"/>
                <w:szCs w:val="28"/>
              </w:rPr>
            </w:pPr>
          </w:p>
        </w:tc>
        <w:tc>
          <w:tcPr>
            <w:tcW w:w="2554" w:type="dxa"/>
            <w:vAlign w:val="center"/>
          </w:tcPr>
          <w:p>
            <w:pPr>
              <w:snapToGrid w:val="0"/>
              <w:jc w:val="center"/>
              <w:rPr>
                <w:rFonts w:hint="eastAsia" w:ascii="仿宋" w:hAnsi="仿宋" w:eastAsia="仿宋" w:cs="仿宋"/>
                <w:snapToGrid w:val="0"/>
                <w:color w:val="auto"/>
                <w:kern w:val="2"/>
                <w:szCs w:val="28"/>
              </w:rPr>
            </w:pPr>
          </w:p>
        </w:tc>
        <w:tc>
          <w:tcPr>
            <w:tcW w:w="1913"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c>
          <w:tcPr>
            <w:tcW w:w="1554"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hint="eastAsia" w:ascii="仿宋" w:hAnsi="仿宋" w:eastAsia="仿宋" w:cs="仿宋"/>
                <w:snapToGrid w:val="0"/>
                <w:color w:val="auto"/>
                <w:kern w:val="2"/>
                <w:szCs w:val="28"/>
              </w:rPr>
            </w:pPr>
          </w:p>
        </w:tc>
        <w:tc>
          <w:tcPr>
            <w:tcW w:w="2554" w:type="dxa"/>
            <w:vAlign w:val="center"/>
          </w:tcPr>
          <w:p>
            <w:pPr>
              <w:snapToGrid w:val="0"/>
              <w:jc w:val="center"/>
              <w:rPr>
                <w:rFonts w:hint="eastAsia" w:ascii="仿宋" w:hAnsi="仿宋" w:eastAsia="仿宋" w:cs="仿宋"/>
                <w:snapToGrid w:val="0"/>
                <w:color w:val="auto"/>
                <w:kern w:val="2"/>
                <w:szCs w:val="28"/>
              </w:rPr>
            </w:pPr>
          </w:p>
        </w:tc>
        <w:tc>
          <w:tcPr>
            <w:tcW w:w="1913"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c>
          <w:tcPr>
            <w:tcW w:w="1554"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hint="eastAsia" w:ascii="仿宋" w:hAnsi="仿宋" w:eastAsia="仿宋" w:cs="仿宋"/>
                <w:snapToGrid w:val="0"/>
                <w:color w:val="auto"/>
                <w:kern w:val="2"/>
                <w:szCs w:val="28"/>
              </w:rPr>
            </w:pPr>
          </w:p>
        </w:tc>
        <w:tc>
          <w:tcPr>
            <w:tcW w:w="2554" w:type="dxa"/>
            <w:vAlign w:val="center"/>
          </w:tcPr>
          <w:p>
            <w:pPr>
              <w:snapToGrid w:val="0"/>
              <w:jc w:val="center"/>
              <w:rPr>
                <w:rFonts w:hint="eastAsia" w:ascii="仿宋" w:hAnsi="仿宋" w:eastAsia="仿宋" w:cs="仿宋"/>
                <w:snapToGrid w:val="0"/>
                <w:color w:val="auto"/>
                <w:kern w:val="2"/>
                <w:szCs w:val="28"/>
              </w:rPr>
            </w:pPr>
          </w:p>
        </w:tc>
        <w:tc>
          <w:tcPr>
            <w:tcW w:w="1913"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c>
          <w:tcPr>
            <w:tcW w:w="1554"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hint="eastAsia" w:ascii="仿宋" w:hAnsi="仿宋" w:eastAsia="仿宋" w:cs="仿宋"/>
                <w:snapToGrid w:val="0"/>
                <w:color w:val="auto"/>
                <w:kern w:val="2"/>
                <w:szCs w:val="28"/>
              </w:rPr>
            </w:pPr>
            <w:r>
              <w:rPr>
                <w:rFonts w:hint="eastAsia" w:ascii="仿宋" w:hAnsi="仿宋" w:eastAsia="仿宋" w:cs="仿宋"/>
                <w:snapToGrid w:val="0"/>
                <w:color w:val="auto"/>
                <w:kern w:val="2"/>
                <w:szCs w:val="28"/>
              </w:rPr>
              <w:t>二</w:t>
            </w:r>
          </w:p>
        </w:tc>
        <w:tc>
          <w:tcPr>
            <w:tcW w:w="2554" w:type="dxa"/>
            <w:vAlign w:val="center"/>
          </w:tcPr>
          <w:p>
            <w:pPr>
              <w:snapToGrid w:val="0"/>
              <w:jc w:val="center"/>
              <w:rPr>
                <w:rFonts w:hint="eastAsia" w:ascii="仿宋" w:hAnsi="仿宋" w:eastAsia="仿宋" w:cs="仿宋"/>
                <w:snapToGrid w:val="0"/>
                <w:color w:val="auto"/>
                <w:kern w:val="2"/>
                <w:szCs w:val="28"/>
              </w:rPr>
            </w:pPr>
            <w:r>
              <w:rPr>
                <w:rFonts w:hint="eastAsia" w:ascii="仿宋" w:hAnsi="仿宋" w:eastAsia="仿宋" w:cs="仿宋"/>
                <w:snapToGrid w:val="0"/>
                <w:color w:val="auto"/>
                <w:kern w:val="2"/>
                <w:szCs w:val="24"/>
              </w:rPr>
              <w:t>仲裁事项</w:t>
            </w:r>
          </w:p>
        </w:tc>
        <w:tc>
          <w:tcPr>
            <w:tcW w:w="1913"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c>
          <w:tcPr>
            <w:tcW w:w="1554"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hint="eastAsia" w:ascii="仿宋" w:hAnsi="仿宋" w:eastAsia="仿宋" w:cs="仿宋"/>
                <w:snapToGrid w:val="0"/>
                <w:color w:val="auto"/>
                <w:kern w:val="2"/>
                <w:szCs w:val="28"/>
              </w:rPr>
            </w:pPr>
          </w:p>
        </w:tc>
        <w:tc>
          <w:tcPr>
            <w:tcW w:w="2554" w:type="dxa"/>
            <w:vAlign w:val="center"/>
          </w:tcPr>
          <w:p>
            <w:pPr>
              <w:snapToGrid w:val="0"/>
              <w:jc w:val="center"/>
              <w:rPr>
                <w:rFonts w:hint="eastAsia" w:ascii="仿宋" w:hAnsi="仿宋" w:eastAsia="仿宋" w:cs="仿宋"/>
                <w:snapToGrid w:val="0"/>
                <w:color w:val="auto"/>
                <w:kern w:val="2"/>
                <w:szCs w:val="28"/>
              </w:rPr>
            </w:pPr>
          </w:p>
        </w:tc>
        <w:tc>
          <w:tcPr>
            <w:tcW w:w="1913"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c>
          <w:tcPr>
            <w:tcW w:w="1554"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hint="eastAsia" w:ascii="仿宋" w:hAnsi="仿宋" w:eastAsia="仿宋" w:cs="仿宋"/>
                <w:snapToGrid w:val="0"/>
                <w:color w:val="auto"/>
                <w:kern w:val="2"/>
                <w:szCs w:val="28"/>
              </w:rPr>
            </w:pPr>
          </w:p>
        </w:tc>
        <w:tc>
          <w:tcPr>
            <w:tcW w:w="2554" w:type="dxa"/>
            <w:vAlign w:val="center"/>
          </w:tcPr>
          <w:p>
            <w:pPr>
              <w:snapToGrid w:val="0"/>
              <w:jc w:val="center"/>
              <w:rPr>
                <w:rFonts w:hint="eastAsia" w:ascii="仿宋" w:hAnsi="仿宋" w:eastAsia="仿宋" w:cs="仿宋"/>
                <w:snapToGrid w:val="0"/>
                <w:color w:val="auto"/>
                <w:kern w:val="2"/>
                <w:szCs w:val="28"/>
              </w:rPr>
            </w:pPr>
          </w:p>
        </w:tc>
        <w:tc>
          <w:tcPr>
            <w:tcW w:w="1913"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c>
          <w:tcPr>
            <w:tcW w:w="1554"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hint="eastAsia" w:ascii="仿宋" w:hAnsi="仿宋" w:eastAsia="仿宋" w:cs="仿宋"/>
                <w:snapToGrid w:val="0"/>
                <w:color w:val="auto"/>
                <w:kern w:val="2"/>
                <w:szCs w:val="28"/>
              </w:rPr>
            </w:pPr>
          </w:p>
        </w:tc>
        <w:tc>
          <w:tcPr>
            <w:tcW w:w="2554" w:type="dxa"/>
            <w:vAlign w:val="center"/>
          </w:tcPr>
          <w:p>
            <w:pPr>
              <w:snapToGrid w:val="0"/>
              <w:jc w:val="center"/>
              <w:rPr>
                <w:rFonts w:hint="eastAsia" w:ascii="仿宋" w:hAnsi="仿宋" w:eastAsia="仿宋" w:cs="仿宋"/>
                <w:snapToGrid w:val="0"/>
                <w:color w:val="auto"/>
                <w:kern w:val="2"/>
                <w:szCs w:val="28"/>
              </w:rPr>
            </w:pPr>
          </w:p>
        </w:tc>
        <w:tc>
          <w:tcPr>
            <w:tcW w:w="1913"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c>
          <w:tcPr>
            <w:tcW w:w="1554"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hint="eastAsia" w:ascii="仿宋" w:hAnsi="仿宋" w:eastAsia="仿宋" w:cs="仿宋"/>
                <w:snapToGrid w:val="0"/>
                <w:color w:val="auto"/>
                <w:kern w:val="2"/>
                <w:szCs w:val="28"/>
              </w:rPr>
            </w:pPr>
          </w:p>
        </w:tc>
        <w:tc>
          <w:tcPr>
            <w:tcW w:w="2554" w:type="dxa"/>
            <w:vAlign w:val="center"/>
          </w:tcPr>
          <w:p>
            <w:pPr>
              <w:snapToGrid w:val="0"/>
              <w:jc w:val="center"/>
              <w:rPr>
                <w:rFonts w:hint="eastAsia" w:ascii="仿宋" w:hAnsi="仿宋" w:eastAsia="仿宋" w:cs="仿宋"/>
                <w:snapToGrid w:val="0"/>
                <w:color w:val="auto"/>
                <w:kern w:val="2"/>
                <w:szCs w:val="28"/>
              </w:rPr>
            </w:pPr>
          </w:p>
        </w:tc>
        <w:tc>
          <w:tcPr>
            <w:tcW w:w="1913"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c>
          <w:tcPr>
            <w:tcW w:w="1554"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hint="eastAsia" w:ascii="仿宋" w:hAnsi="仿宋" w:eastAsia="仿宋" w:cs="仿宋"/>
                <w:snapToGrid w:val="0"/>
                <w:color w:val="auto"/>
                <w:kern w:val="2"/>
                <w:szCs w:val="28"/>
              </w:rPr>
            </w:pPr>
          </w:p>
        </w:tc>
        <w:tc>
          <w:tcPr>
            <w:tcW w:w="2554" w:type="dxa"/>
            <w:vAlign w:val="center"/>
          </w:tcPr>
          <w:p>
            <w:pPr>
              <w:snapToGrid w:val="0"/>
              <w:jc w:val="center"/>
              <w:rPr>
                <w:rFonts w:hint="eastAsia" w:ascii="仿宋" w:hAnsi="仿宋" w:eastAsia="仿宋" w:cs="仿宋"/>
                <w:snapToGrid w:val="0"/>
                <w:color w:val="auto"/>
                <w:kern w:val="2"/>
                <w:szCs w:val="28"/>
              </w:rPr>
            </w:pPr>
          </w:p>
        </w:tc>
        <w:tc>
          <w:tcPr>
            <w:tcW w:w="1913"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c>
          <w:tcPr>
            <w:tcW w:w="1554"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hint="eastAsia" w:ascii="仿宋" w:hAnsi="仿宋" w:eastAsia="仿宋" w:cs="仿宋"/>
                <w:snapToGrid w:val="0"/>
                <w:color w:val="auto"/>
                <w:kern w:val="2"/>
                <w:szCs w:val="28"/>
              </w:rPr>
            </w:pPr>
          </w:p>
        </w:tc>
        <w:tc>
          <w:tcPr>
            <w:tcW w:w="2554" w:type="dxa"/>
            <w:vAlign w:val="center"/>
          </w:tcPr>
          <w:p>
            <w:pPr>
              <w:snapToGrid w:val="0"/>
              <w:jc w:val="center"/>
              <w:rPr>
                <w:rFonts w:hint="eastAsia" w:ascii="仿宋" w:hAnsi="仿宋" w:eastAsia="仿宋" w:cs="仿宋"/>
                <w:snapToGrid w:val="0"/>
                <w:color w:val="auto"/>
                <w:kern w:val="2"/>
                <w:szCs w:val="28"/>
              </w:rPr>
            </w:pPr>
          </w:p>
        </w:tc>
        <w:tc>
          <w:tcPr>
            <w:tcW w:w="1913"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c>
          <w:tcPr>
            <w:tcW w:w="1554"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hint="eastAsia" w:ascii="仿宋" w:hAnsi="仿宋" w:eastAsia="仿宋" w:cs="仿宋"/>
                <w:snapToGrid w:val="0"/>
                <w:color w:val="auto"/>
                <w:kern w:val="2"/>
                <w:szCs w:val="28"/>
              </w:rPr>
            </w:pPr>
          </w:p>
        </w:tc>
        <w:tc>
          <w:tcPr>
            <w:tcW w:w="2554" w:type="dxa"/>
            <w:vAlign w:val="center"/>
          </w:tcPr>
          <w:p>
            <w:pPr>
              <w:snapToGrid w:val="0"/>
              <w:jc w:val="center"/>
              <w:rPr>
                <w:rFonts w:hint="eastAsia" w:ascii="仿宋" w:hAnsi="仿宋" w:eastAsia="仿宋" w:cs="仿宋"/>
                <w:snapToGrid w:val="0"/>
                <w:color w:val="auto"/>
                <w:kern w:val="2"/>
                <w:szCs w:val="28"/>
              </w:rPr>
            </w:pPr>
          </w:p>
        </w:tc>
        <w:tc>
          <w:tcPr>
            <w:tcW w:w="1913"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c>
          <w:tcPr>
            <w:tcW w:w="1554"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hint="eastAsia" w:ascii="仿宋" w:hAnsi="仿宋" w:eastAsia="仿宋" w:cs="仿宋"/>
                <w:snapToGrid w:val="0"/>
                <w:color w:val="auto"/>
                <w:kern w:val="2"/>
                <w:szCs w:val="28"/>
              </w:rPr>
            </w:pPr>
          </w:p>
        </w:tc>
        <w:tc>
          <w:tcPr>
            <w:tcW w:w="2554" w:type="dxa"/>
            <w:vAlign w:val="center"/>
          </w:tcPr>
          <w:p>
            <w:pPr>
              <w:snapToGrid w:val="0"/>
              <w:jc w:val="center"/>
              <w:rPr>
                <w:rFonts w:hint="eastAsia" w:ascii="仿宋" w:hAnsi="仿宋" w:eastAsia="仿宋" w:cs="仿宋"/>
                <w:snapToGrid w:val="0"/>
                <w:color w:val="auto"/>
                <w:kern w:val="2"/>
                <w:szCs w:val="28"/>
              </w:rPr>
            </w:pPr>
          </w:p>
        </w:tc>
        <w:tc>
          <w:tcPr>
            <w:tcW w:w="1913"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c>
          <w:tcPr>
            <w:tcW w:w="1554" w:type="dxa"/>
            <w:vAlign w:val="center"/>
          </w:tcPr>
          <w:p>
            <w:pPr>
              <w:snapToGrid w:val="0"/>
              <w:jc w:val="center"/>
              <w:rPr>
                <w:rFonts w:hint="eastAsia" w:ascii="仿宋" w:hAnsi="仿宋" w:eastAsia="仿宋" w:cs="仿宋"/>
                <w:snapToGrid w:val="0"/>
                <w:color w:val="auto"/>
                <w:kern w:val="2"/>
                <w:szCs w:val="28"/>
              </w:rPr>
            </w:pPr>
          </w:p>
        </w:tc>
        <w:tc>
          <w:tcPr>
            <w:tcW w:w="1551" w:type="dxa"/>
            <w:vAlign w:val="center"/>
          </w:tcPr>
          <w:p>
            <w:pPr>
              <w:snapToGrid w:val="0"/>
              <w:jc w:val="center"/>
              <w:rPr>
                <w:rFonts w:hint="eastAsia" w:ascii="仿宋" w:hAnsi="仿宋" w:eastAsia="仿宋" w:cs="仿宋"/>
                <w:snapToGrid w:val="0"/>
                <w:color w:val="auto"/>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073" w:type="dxa"/>
            <w:vAlign w:val="center"/>
          </w:tcPr>
          <w:p>
            <w:pPr>
              <w:snapToGrid w:val="0"/>
              <w:spacing w:line="360" w:lineRule="auto"/>
              <w:ind w:firstLine="480" w:firstLineChars="200"/>
              <w:jc w:val="center"/>
              <w:rPr>
                <w:rFonts w:hint="eastAsia" w:ascii="仿宋" w:hAnsi="仿宋" w:eastAsia="仿宋" w:cs="仿宋"/>
                <w:snapToGrid w:val="0"/>
                <w:color w:val="auto"/>
                <w:kern w:val="2"/>
                <w:szCs w:val="28"/>
              </w:rPr>
            </w:pPr>
          </w:p>
        </w:tc>
        <w:tc>
          <w:tcPr>
            <w:tcW w:w="2554" w:type="dxa"/>
            <w:vAlign w:val="center"/>
          </w:tcPr>
          <w:p>
            <w:pPr>
              <w:snapToGrid w:val="0"/>
              <w:spacing w:line="360" w:lineRule="auto"/>
              <w:ind w:firstLine="480" w:firstLineChars="200"/>
              <w:jc w:val="center"/>
              <w:rPr>
                <w:rFonts w:hint="eastAsia" w:ascii="仿宋" w:hAnsi="仿宋" w:eastAsia="仿宋" w:cs="仿宋"/>
                <w:snapToGrid w:val="0"/>
                <w:color w:val="auto"/>
                <w:kern w:val="2"/>
                <w:szCs w:val="28"/>
              </w:rPr>
            </w:pPr>
          </w:p>
        </w:tc>
        <w:tc>
          <w:tcPr>
            <w:tcW w:w="1913" w:type="dxa"/>
            <w:vAlign w:val="center"/>
          </w:tcPr>
          <w:p>
            <w:pPr>
              <w:snapToGrid w:val="0"/>
              <w:spacing w:line="360" w:lineRule="auto"/>
              <w:ind w:firstLine="480" w:firstLineChars="200"/>
              <w:jc w:val="center"/>
              <w:rPr>
                <w:rFonts w:hint="eastAsia" w:ascii="仿宋" w:hAnsi="仿宋" w:eastAsia="仿宋" w:cs="仿宋"/>
                <w:snapToGrid w:val="0"/>
                <w:color w:val="auto"/>
                <w:kern w:val="2"/>
                <w:szCs w:val="28"/>
              </w:rPr>
            </w:pPr>
          </w:p>
        </w:tc>
        <w:tc>
          <w:tcPr>
            <w:tcW w:w="1551" w:type="dxa"/>
            <w:vAlign w:val="center"/>
          </w:tcPr>
          <w:p>
            <w:pPr>
              <w:snapToGrid w:val="0"/>
              <w:spacing w:line="360" w:lineRule="auto"/>
              <w:ind w:firstLine="480" w:firstLineChars="200"/>
              <w:jc w:val="center"/>
              <w:rPr>
                <w:rFonts w:hint="eastAsia" w:ascii="仿宋" w:hAnsi="仿宋" w:eastAsia="仿宋" w:cs="仿宋"/>
                <w:snapToGrid w:val="0"/>
                <w:color w:val="auto"/>
                <w:kern w:val="2"/>
                <w:szCs w:val="28"/>
              </w:rPr>
            </w:pPr>
          </w:p>
        </w:tc>
        <w:tc>
          <w:tcPr>
            <w:tcW w:w="1554" w:type="dxa"/>
            <w:vAlign w:val="center"/>
          </w:tcPr>
          <w:p>
            <w:pPr>
              <w:snapToGrid w:val="0"/>
              <w:spacing w:line="360" w:lineRule="auto"/>
              <w:ind w:firstLine="480" w:firstLineChars="200"/>
              <w:jc w:val="center"/>
              <w:rPr>
                <w:rFonts w:hint="eastAsia" w:ascii="仿宋" w:hAnsi="仿宋" w:eastAsia="仿宋" w:cs="仿宋"/>
                <w:snapToGrid w:val="0"/>
                <w:color w:val="auto"/>
                <w:kern w:val="2"/>
                <w:szCs w:val="28"/>
              </w:rPr>
            </w:pPr>
          </w:p>
        </w:tc>
        <w:tc>
          <w:tcPr>
            <w:tcW w:w="1551" w:type="dxa"/>
            <w:vAlign w:val="center"/>
          </w:tcPr>
          <w:p>
            <w:pPr>
              <w:snapToGrid w:val="0"/>
              <w:spacing w:line="360" w:lineRule="auto"/>
              <w:ind w:firstLine="480" w:firstLineChars="200"/>
              <w:jc w:val="center"/>
              <w:rPr>
                <w:rFonts w:hint="eastAsia" w:ascii="仿宋" w:hAnsi="仿宋" w:eastAsia="仿宋" w:cs="仿宋"/>
                <w:snapToGrid w:val="0"/>
                <w:color w:val="auto"/>
                <w:kern w:val="2"/>
                <w:szCs w:val="28"/>
              </w:rPr>
            </w:pPr>
          </w:p>
        </w:tc>
      </w:tr>
    </w:tbl>
    <w:p>
      <w:pPr>
        <w:pStyle w:val="8"/>
        <w:rPr>
          <w:rFonts w:hint="eastAsia" w:ascii="仿宋" w:hAnsi="仿宋" w:eastAsia="仿宋" w:cs="仿宋"/>
          <w:color w:val="auto"/>
          <w:sz w:val="21"/>
          <w:szCs w:val="21"/>
        </w:rPr>
      </w:pPr>
      <w:r>
        <w:rPr>
          <w:rFonts w:hint="eastAsia" w:ascii="仿宋" w:hAnsi="仿宋" w:eastAsia="仿宋" w:cs="仿宋"/>
          <w:color w:val="auto"/>
          <w:sz w:val="21"/>
          <w:szCs w:val="21"/>
        </w:rPr>
        <w:t>注：相关材料扫描件在“原件的扫描件或电子件”中提供。</w:t>
      </w:r>
    </w:p>
    <w:p>
      <w:pPr>
        <w:pStyle w:val="8"/>
        <w:rPr>
          <w:rFonts w:hint="eastAsia" w:ascii="仿宋" w:hAnsi="仿宋" w:eastAsia="仿宋" w:cs="仿宋"/>
          <w:color w:val="auto"/>
          <w:sz w:val="21"/>
          <w:szCs w:val="21"/>
        </w:rPr>
      </w:pPr>
      <w:r>
        <w:rPr>
          <w:rFonts w:hint="eastAsia" w:ascii="仿宋" w:hAnsi="仿宋" w:eastAsia="仿宋" w:cs="仿宋"/>
          <w:color w:val="auto"/>
          <w:sz w:val="21"/>
          <w:szCs w:val="21"/>
        </w:rPr>
        <w:br w:type="page"/>
      </w:r>
    </w:p>
    <w:p>
      <w:pPr>
        <w:pStyle w:val="8"/>
        <w:rPr>
          <w:rFonts w:hint="eastAsia" w:ascii="仿宋" w:hAnsi="仿宋" w:eastAsia="仿宋" w:cs="仿宋"/>
          <w:color w:val="auto"/>
          <w:szCs w:val="24"/>
        </w:rPr>
      </w:pPr>
    </w:p>
    <w:p>
      <w:pPr>
        <w:pStyle w:val="8"/>
        <w:rPr>
          <w:rFonts w:hint="eastAsia" w:ascii="仿宋" w:hAnsi="仿宋" w:eastAsia="仿宋" w:cs="仿宋"/>
          <w:color w:val="auto"/>
        </w:rPr>
      </w:pPr>
      <w:r>
        <w:rPr>
          <w:rFonts w:hint="eastAsia" w:ascii="仿宋" w:hAnsi="仿宋" w:eastAsia="仿宋" w:cs="仿宋"/>
          <w:color w:val="auto"/>
          <w:szCs w:val="24"/>
        </w:rPr>
        <w:t>（五）</w:t>
      </w:r>
      <w:r>
        <w:rPr>
          <w:rFonts w:hint="eastAsia" w:ascii="仿宋" w:hAnsi="仿宋" w:eastAsia="仿宋" w:cs="仿宋"/>
          <w:color w:val="auto"/>
          <w:szCs w:val="24"/>
          <w:lang w:eastAsia="zh-CN"/>
        </w:rPr>
        <w:t>2018</w:t>
      </w:r>
      <w:r>
        <w:rPr>
          <w:rFonts w:hint="eastAsia" w:ascii="仿宋" w:hAnsi="仿宋" w:eastAsia="仿宋" w:cs="仿宋"/>
          <w:color w:val="auto"/>
          <w:szCs w:val="24"/>
        </w:rPr>
        <w:t>年1月1日以来投标人及拟派项目负责人行贿犯罪记录申报表</w:t>
      </w:r>
    </w:p>
    <w:p>
      <w:pPr>
        <w:pStyle w:val="5"/>
        <w:ind w:firstLine="0"/>
        <w:rPr>
          <w:rFonts w:hint="eastAsia" w:ascii="仿宋" w:hAnsi="仿宋" w:eastAsia="仿宋" w:cs="仿宋"/>
          <w:snapToGrid w:val="0"/>
          <w:color w:val="auto"/>
        </w:rPr>
      </w:pPr>
    </w:p>
    <w:p>
      <w:pPr>
        <w:jc w:val="center"/>
        <w:rPr>
          <w:rFonts w:hint="eastAsia" w:ascii="仿宋" w:hAnsi="仿宋" w:eastAsia="仿宋" w:cs="仿宋"/>
          <w:b/>
          <w:snapToGrid w:val="0"/>
          <w:color w:val="auto"/>
        </w:rPr>
      </w:pPr>
      <w:r>
        <w:rPr>
          <w:rFonts w:hint="eastAsia" w:ascii="仿宋" w:hAnsi="仿宋" w:eastAsia="仿宋" w:cs="仿宋"/>
          <w:b/>
          <w:snapToGrid w:val="0"/>
          <w:color w:val="auto"/>
        </w:rPr>
        <w:t>投标人应如实填写下列内容</w:t>
      </w:r>
    </w:p>
    <w:p>
      <w:pPr>
        <w:jc w:val="center"/>
        <w:rPr>
          <w:rFonts w:hint="eastAsia" w:ascii="仿宋" w:hAnsi="仿宋" w:eastAsia="仿宋" w:cs="仿宋"/>
          <w:snapToGrid w:val="0"/>
          <w:color w:val="auto"/>
        </w:rPr>
      </w:pPr>
    </w:p>
    <w:tbl>
      <w:tblPr>
        <w:tblStyle w:val="25"/>
        <w:tblW w:w="1035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11"/>
        <w:gridCol w:w="59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11" w:type="dxa"/>
            <w:vAlign w:val="center"/>
          </w:tcPr>
          <w:p>
            <w:pPr>
              <w:snapToGrid w:val="0"/>
              <w:jc w:val="center"/>
              <w:rPr>
                <w:rFonts w:hint="eastAsia" w:ascii="仿宋" w:hAnsi="仿宋" w:eastAsia="仿宋" w:cs="仿宋"/>
                <w:snapToGrid w:val="0"/>
                <w:color w:val="auto"/>
                <w:kern w:val="2"/>
              </w:rPr>
            </w:pPr>
            <w:r>
              <w:rPr>
                <w:rFonts w:hint="eastAsia" w:ascii="仿宋" w:hAnsi="仿宋" w:eastAsia="仿宋" w:cs="仿宋"/>
                <w:snapToGrid w:val="0"/>
                <w:color w:val="auto"/>
                <w:kern w:val="2"/>
              </w:rPr>
              <w:t>1.近3年以来投标人行贿犯罪记录</w:t>
            </w:r>
          </w:p>
          <w:p>
            <w:pPr>
              <w:snapToGrid w:val="0"/>
              <w:jc w:val="center"/>
              <w:rPr>
                <w:rFonts w:hint="eastAsia" w:ascii="仿宋" w:hAnsi="仿宋" w:eastAsia="仿宋" w:cs="仿宋"/>
                <w:snapToGrid w:val="0"/>
                <w:color w:val="auto"/>
                <w:kern w:val="2"/>
              </w:rPr>
            </w:pPr>
          </w:p>
          <w:p>
            <w:pPr>
              <w:snapToGrid w:val="0"/>
              <w:jc w:val="center"/>
              <w:rPr>
                <w:rFonts w:hint="eastAsia" w:ascii="仿宋" w:hAnsi="仿宋" w:eastAsia="仿宋" w:cs="仿宋"/>
                <w:snapToGrid w:val="0"/>
                <w:color w:val="auto"/>
                <w:kern w:val="2"/>
              </w:rPr>
            </w:pPr>
          </w:p>
          <w:p>
            <w:pPr>
              <w:snapToGrid w:val="0"/>
              <w:jc w:val="center"/>
              <w:rPr>
                <w:rFonts w:hint="eastAsia" w:ascii="仿宋" w:hAnsi="仿宋" w:eastAsia="仿宋" w:cs="仿宋"/>
                <w:snapToGrid w:val="0"/>
                <w:color w:val="auto"/>
                <w:kern w:val="2"/>
              </w:rPr>
            </w:pPr>
          </w:p>
          <w:p>
            <w:pPr>
              <w:snapToGrid w:val="0"/>
              <w:jc w:val="center"/>
              <w:rPr>
                <w:rFonts w:hint="eastAsia" w:ascii="仿宋" w:hAnsi="仿宋" w:eastAsia="仿宋" w:cs="仿宋"/>
                <w:snapToGrid w:val="0"/>
                <w:color w:val="auto"/>
                <w:kern w:val="2"/>
              </w:rPr>
            </w:pPr>
          </w:p>
          <w:p>
            <w:pPr>
              <w:snapToGrid w:val="0"/>
              <w:jc w:val="center"/>
              <w:rPr>
                <w:rFonts w:hint="eastAsia" w:ascii="仿宋" w:hAnsi="仿宋" w:eastAsia="仿宋" w:cs="仿宋"/>
                <w:snapToGrid w:val="0"/>
                <w:color w:val="auto"/>
                <w:kern w:val="2"/>
              </w:rPr>
            </w:pPr>
          </w:p>
          <w:p>
            <w:pPr>
              <w:snapToGrid w:val="0"/>
              <w:jc w:val="center"/>
              <w:rPr>
                <w:rFonts w:hint="eastAsia" w:ascii="仿宋" w:hAnsi="仿宋" w:eastAsia="仿宋" w:cs="仿宋"/>
                <w:snapToGrid w:val="0"/>
                <w:color w:val="auto"/>
                <w:kern w:val="2"/>
              </w:rPr>
            </w:pPr>
          </w:p>
          <w:p>
            <w:pPr>
              <w:snapToGrid w:val="0"/>
              <w:jc w:val="center"/>
              <w:rPr>
                <w:rFonts w:hint="eastAsia" w:ascii="仿宋" w:hAnsi="仿宋" w:eastAsia="仿宋" w:cs="仿宋"/>
                <w:snapToGrid w:val="0"/>
                <w:color w:val="auto"/>
                <w:kern w:val="2"/>
              </w:rPr>
            </w:pPr>
          </w:p>
          <w:p>
            <w:pPr>
              <w:snapToGrid w:val="0"/>
              <w:jc w:val="center"/>
              <w:rPr>
                <w:rFonts w:hint="eastAsia" w:ascii="仿宋" w:hAnsi="仿宋" w:eastAsia="仿宋" w:cs="仿宋"/>
                <w:snapToGrid w:val="0"/>
                <w:color w:val="auto"/>
                <w:kern w:val="2"/>
              </w:rPr>
            </w:pPr>
          </w:p>
          <w:p>
            <w:pPr>
              <w:snapToGrid w:val="0"/>
              <w:jc w:val="center"/>
              <w:rPr>
                <w:rFonts w:hint="eastAsia" w:ascii="仿宋" w:hAnsi="仿宋" w:eastAsia="仿宋" w:cs="仿宋"/>
                <w:snapToGrid w:val="0"/>
                <w:color w:val="auto"/>
                <w:kern w:val="2"/>
              </w:rPr>
            </w:pPr>
          </w:p>
          <w:p>
            <w:pPr>
              <w:snapToGrid w:val="0"/>
              <w:jc w:val="center"/>
              <w:rPr>
                <w:rFonts w:hint="eastAsia" w:ascii="仿宋" w:hAnsi="仿宋" w:eastAsia="仿宋" w:cs="仿宋"/>
                <w:snapToGrid w:val="0"/>
                <w:color w:val="auto"/>
                <w:kern w:val="2"/>
              </w:rPr>
            </w:pPr>
          </w:p>
        </w:tc>
        <w:tc>
          <w:tcPr>
            <w:tcW w:w="5948" w:type="dxa"/>
            <w:vAlign w:val="center"/>
          </w:tcPr>
          <w:p>
            <w:pPr>
              <w:snapToGrid w:val="0"/>
              <w:jc w:val="center"/>
              <w:rPr>
                <w:rFonts w:hint="eastAsia" w:ascii="仿宋" w:hAnsi="仿宋" w:eastAsia="仿宋" w:cs="仿宋"/>
                <w:snapToGrid w:val="0"/>
                <w:color w:val="auto"/>
                <w:kern w:val="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11" w:type="dxa"/>
            <w:vAlign w:val="center"/>
          </w:tcPr>
          <w:p>
            <w:pPr>
              <w:snapToGrid w:val="0"/>
              <w:jc w:val="center"/>
              <w:rPr>
                <w:rFonts w:hint="eastAsia" w:ascii="仿宋" w:hAnsi="仿宋" w:eastAsia="仿宋" w:cs="仿宋"/>
                <w:snapToGrid w:val="0"/>
                <w:color w:val="auto"/>
                <w:kern w:val="2"/>
              </w:rPr>
            </w:pPr>
            <w:r>
              <w:rPr>
                <w:rFonts w:hint="eastAsia" w:ascii="仿宋" w:hAnsi="仿宋" w:eastAsia="仿宋" w:cs="仿宋"/>
                <w:snapToGrid w:val="0"/>
                <w:color w:val="auto"/>
                <w:kern w:val="2"/>
              </w:rPr>
              <w:t>2.近3年以来拟派标段目项目负责人行贿犯罪记录</w:t>
            </w:r>
          </w:p>
          <w:p>
            <w:pPr>
              <w:snapToGrid w:val="0"/>
              <w:jc w:val="center"/>
              <w:rPr>
                <w:rFonts w:hint="eastAsia" w:ascii="仿宋" w:hAnsi="仿宋" w:eastAsia="仿宋" w:cs="仿宋"/>
                <w:snapToGrid w:val="0"/>
                <w:color w:val="auto"/>
                <w:kern w:val="2"/>
              </w:rPr>
            </w:pPr>
          </w:p>
          <w:p>
            <w:pPr>
              <w:snapToGrid w:val="0"/>
              <w:jc w:val="center"/>
              <w:rPr>
                <w:rFonts w:hint="eastAsia" w:ascii="仿宋" w:hAnsi="仿宋" w:eastAsia="仿宋" w:cs="仿宋"/>
                <w:snapToGrid w:val="0"/>
                <w:color w:val="auto"/>
                <w:kern w:val="2"/>
              </w:rPr>
            </w:pPr>
          </w:p>
          <w:p>
            <w:pPr>
              <w:snapToGrid w:val="0"/>
              <w:jc w:val="center"/>
              <w:rPr>
                <w:rFonts w:hint="eastAsia" w:ascii="仿宋" w:hAnsi="仿宋" w:eastAsia="仿宋" w:cs="仿宋"/>
                <w:snapToGrid w:val="0"/>
                <w:color w:val="auto"/>
                <w:kern w:val="2"/>
              </w:rPr>
            </w:pPr>
          </w:p>
          <w:p>
            <w:pPr>
              <w:snapToGrid w:val="0"/>
              <w:jc w:val="center"/>
              <w:rPr>
                <w:rFonts w:hint="eastAsia" w:ascii="仿宋" w:hAnsi="仿宋" w:eastAsia="仿宋" w:cs="仿宋"/>
                <w:snapToGrid w:val="0"/>
                <w:color w:val="auto"/>
                <w:kern w:val="2"/>
              </w:rPr>
            </w:pPr>
          </w:p>
          <w:p>
            <w:pPr>
              <w:snapToGrid w:val="0"/>
              <w:jc w:val="center"/>
              <w:rPr>
                <w:rFonts w:hint="eastAsia" w:ascii="仿宋" w:hAnsi="仿宋" w:eastAsia="仿宋" w:cs="仿宋"/>
                <w:snapToGrid w:val="0"/>
                <w:color w:val="auto"/>
                <w:kern w:val="2"/>
              </w:rPr>
            </w:pPr>
          </w:p>
          <w:p>
            <w:pPr>
              <w:snapToGrid w:val="0"/>
              <w:jc w:val="center"/>
              <w:rPr>
                <w:rFonts w:hint="eastAsia" w:ascii="仿宋" w:hAnsi="仿宋" w:eastAsia="仿宋" w:cs="仿宋"/>
                <w:snapToGrid w:val="0"/>
                <w:color w:val="auto"/>
                <w:kern w:val="2"/>
              </w:rPr>
            </w:pPr>
          </w:p>
          <w:p>
            <w:pPr>
              <w:snapToGrid w:val="0"/>
              <w:jc w:val="center"/>
              <w:rPr>
                <w:rFonts w:hint="eastAsia" w:ascii="仿宋" w:hAnsi="仿宋" w:eastAsia="仿宋" w:cs="仿宋"/>
                <w:snapToGrid w:val="0"/>
                <w:color w:val="auto"/>
                <w:kern w:val="2"/>
              </w:rPr>
            </w:pPr>
          </w:p>
          <w:p>
            <w:pPr>
              <w:snapToGrid w:val="0"/>
              <w:jc w:val="center"/>
              <w:rPr>
                <w:rFonts w:hint="eastAsia" w:ascii="仿宋" w:hAnsi="仿宋" w:eastAsia="仿宋" w:cs="仿宋"/>
                <w:snapToGrid w:val="0"/>
                <w:color w:val="auto"/>
                <w:kern w:val="2"/>
              </w:rPr>
            </w:pPr>
          </w:p>
          <w:p>
            <w:pPr>
              <w:snapToGrid w:val="0"/>
              <w:jc w:val="center"/>
              <w:rPr>
                <w:rFonts w:hint="eastAsia" w:ascii="仿宋" w:hAnsi="仿宋" w:eastAsia="仿宋" w:cs="仿宋"/>
                <w:snapToGrid w:val="0"/>
                <w:color w:val="auto"/>
                <w:kern w:val="2"/>
              </w:rPr>
            </w:pPr>
          </w:p>
          <w:p>
            <w:pPr>
              <w:snapToGrid w:val="0"/>
              <w:jc w:val="center"/>
              <w:rPr>
                <w:rFonts w:hint="eastAsia" w:ascii="仿宋" w:hAnsi="仿宋" w:eastAsia="仿宋" w:cs="仿宋"/>
                <w:snapToGrid w:val="0"/>
                <w:color w:val="auto"/>
                <w:kern w:val="2"/>
              </w:rPr>
            </w:pPr>
          </w:p>
          <w:p>
            <w:pPr>
              <w:snapToGrid w:val="0"/>
              <w:jc w:val="center"/>
              <w:rPr>
                <w:rFonts w:hint="eastAsia" w:ascii="仿宋" w:hAnsi="仿宋" w:eastAsia="仿宋" w:cs="仿宋"/>
                <w:snapToGrid w:val="0"/>
                <w:color w:val="auto"/>
                <w:kern w:val="2"/>
              </w:rPr>
            </w:pPr>
          </w:p>
          <w:p>
            <w:pPr>
              <w:snapToGrid w:val="0"/>
              <w:jc w:val="center"/>
              <w:rPr>
                <w:rFonts w:hint="eastAsia" w:ascii="仿宋" w:hAnsi="仿宋" w:eastAsia="仿宋" w:cs="仿宋"/>
                <w:snapToGrid w:val="0"/>
                <w:color w:val="auto"/>
                <w:kern w:val="2"/>
              </w:rPr>
            </w:pPr>
          </w:p>
        </w:tc>
        <w:tc>
          <w:tcPr>
            <w:tcW w:w="5948" w:type="dxa"/>
            <w:vAlign w:val="center"/>
          </w:tcPr>
          <w:p>
            <w:pPr>
              <w:snapToGrid w:val="0"/>
              <w:jc w:val="center"/>
              <w:rPr>
                <w:rFonts w:hint="eastAsia" w:ascii="仿宋" w:hAnsi="仿宋" w:eastAsia="仿宋" w:cs="仿宋"/>
                <w:snapToGrid w:val="0"/>
                <w:color w:val="auto"/>
                <w:kern w:val="2"/>
              </w:rPr>
            </w:pPr>
          </w:p>
        </w:tc>
      </w:tr>
    </w:tbl>
    <w:p>
      <w:pPr>
        <w:rPr>
          <w:rFonts w:hint="eastAsia" w:ascii="仿宋" w:hAnsi="仿宋" w:eastAsia="仿宋" w:cs="仿宋"/>
          <w:b/>
          <w:snapToGrid w:val="0"/>
          <w:color w:val="auto"/>
          <w:sz w:val="21"/>
          <w:szCs w:val="21"/>
        </w:rPr>
      </w:pPr>
      <w:r>
        <w:rPr>
          <w:rFonts w:hint="eastAsia" w:ascii="仿宋" w:hAnsi="仿宋" w:eastAsia="仿宋" w:cs="仿宋"/>
          <w:b/>
          <w:snapToGrid w:val="0"/>
          <w:color w:val="auto"/>
          <w:sz w:val="21"/>
          <w:szCs w:val="21"/>
        </w:rPr>
        <w:t>注：1）投标人应如实填写，若隐瞒不报，经查实一律取消中标资格。</w:t>
      </w:r>
    </w:p>
    <w:p>
      <w:pPr>
        <w:ind w:firstLine="420" w:firstLineChars="200"/>
        <w:rPr>
          <w:rFonts w:hint="eastAsia" w:ascii="仿宋" w:hAnsi="仿宋" w:eastAsia="仿宋" w:cs="仿宋"/>
          <w:b/>
          <w:snapToGrid w:val="0"/>
          <w:color w:val="auto"/>
          <w:sz w:val="21"/>
          <w:szCs w:val="21"/>
        </w:rPr>
        <w:sectPr>
          <w:pgSz w:w="11850" w:h="16783"/>
          <w:pgMar w:top="1474" w:right="907" w:bottom="1474" w:left="907" w:header="1304" w:footer="1134" w:gutter="0"/>
          <w:pgNumType w:chapStyle="1"/>
          <w:cols w:space="720" w:num="1"/>
          <w:titlePg/>
          <w:docGrid w:type="linesAndChars" w:linePitch="457" w:charSpace="0"/>
        </w:sectPr>
      </w:pPr>
      <w:r>
        <w:rPr>
          <w:rFonts w:hint="eastAsia" w:ascii="仿宋" w:hAnsi="仿宋" w:eastAsia="仿宋" w:cs="仿宋"/>
          <w:b/>
          <w:snapToGrid w:val="0"/>
          <w:color w:val="auto"/>
          <w:sz w:val="21"/>
          <w:szCs w:val="21"/>
        </w:rPr>
        <w:t>2）</w:t>
      </w:r>
      <w:r>
        <w:rPr>
          <w:rFonts w:hint="eastAsia" w:ascii="仿宋" w:hAnsi="仿宋" w:eastAsia="仿宋" w:cs="仿宋"/>
          <w:b/>
          <w:bCs/>
          <w:snapToGrid w:val="0"/>
          <w:color w:val="auto"/>
          <w:sz w:val="21"/>
          <w:szCs w:val="21"/>
        </w:rPr>
        <w:t>附中国裁判文书网结果网页打印页</w:t>
      </w:r>
      <w:r>
        <w:rPr>
          <w:rFonts w:hint="eastAsia" w:ascii="仿宋" w:hAnsi="仿宋" w:eastAsia="仿宋" w:cs="仿宋"/>
          <w:b/>
          <w:snapToGrid w:val="0"/>
          <w:color w:val="auto"/>
          <w:sz w:val="21"/>
          <w:szCs w:val="21"/>
        </w:rPr>
        <w:t>。</w:t>
      </w:r>
    </w:p>
    <w:p>
      <w:pPr>
        <w:pStyle w:val="8"/>
        <w:ind w:left="540"/>
        <w:rPr>
          <w:rFonts w:hint="eastAsia" w:ascii="仿宋" w:hAnsi="仿宋" w:eastAsia="仿宋" w:cs="仿宋"/>
          <w:color w:val="auto"/>
          <w:szCs w:val="24"/>
        </w:rPr>
      </w:pPr>
      <w:bookmarkStart w:id="1051" w:name="_Toc259802287"/>
      <w:bookmarkStart w:id="1052" w:name="_Toc250640968"/>
      <w:bookmarkStart w:id="1053" w:name="_Toc240864065"/>
      <w:bookmarkStart w:id="1054" w:name="_Toc232080214"/>
    </w:p>
    <w:p>
      <w:pPr>
        <w:pStyle w:val="8"/>
        <w:ind w:left="540"/>
        <w:rPr>
          <w:rFonts w:hint="eastAsia" w:ascii="仿宋" w:hAnsi="仿宋" w:eastAsia="仿宋" w:cs="仿宋"/>
          <w:color w:val="auto"/>
          <w:szCs w:val="24"/>
        </w:rPr>
      </w:pPr>
      <w:r>
        <w:rPr>
          <w:rFonts w:hint="eastAsia" w:ascii="仿宋" w:hAnsi="仿宋" w:eastAsia="仿宋" w:cs="仿宋"/>
          <w:color w:val="auto"/>
          <w:szCs w:val="24"/>
        </w:rPr>
        <w:t>（六）资格审查自审表</w:t>
      </w:r>
    </w:p>
    <w:p>
      <w:pPr>
        <w:pStyle w:val="5"/>
        <w:rPr>
          <w:rFonts w:hint="eastAsia" w:ascii="仿宋" w:hAnsi="仿宋" w:eastAsia="仿宋" w:cs="仿宋"/>
          <w:color w:val="auto"/>
        </w:rPr>
      </w:pPr>
    </w:p>
    <w:tbl>
      <w:tblPr>
        <w:tblStyle w:val="25"/>
        <w:tblW w:w="99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4155"/>
        <w:gridCol w:w="973"/>
        <w:gridCol w:w="1079"/>
        <w:gridCol w:w="24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3" w:hRule="atLeast"/>
          <w:tblHeader/>
          <w:jc w:val="center"/>
        </w:trPr>
        <w:tc>
          <w:tcPr>
            <w:tcW w:w="1274" w:type="dxa"/>
            <w:vAlign w:val="center"/>
          </w:tcPr>
          <w:p>
            <w:pPr>
              <w:snapToGrid w:val="0"/>
              <w:ind w:left="-72" w:leftChars="-30" w:right="-72" w:rightChars="-3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序号</w:t>
            </w:r>
          </w:p>
        </w:tc>
        <w:tc>
          <w:tcPr>
            <w:tcW w:w="4155" w:type="dxa"/>
            <w:vAlign w:val="center"/>
          </w:tcPr>
          <w:p>
            <w:pPr>
              <w:snapToGrid w:val="0"/>
              <w:ind w:left="-72" w:leftChars="-30" w:right="-72" w:rightChars="-3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审查因素</w:t>
            </w:r>
          </w:p>
        </w:tc>
        <w:tc>
          <w:tcPr>
            <w:tcW w:w="973" w:type="dxa"/>
            <w:vAlign w:val="center"/>
          </w:tcPr>
          <w:p>
            <w:pPr>
              <w:snapToGrid w:val="0"/>
              <w:ind w:left="-72" w:leftChars="-30" w:right="-72" w:rightChars="-3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审查标准</w:t>
            </w:r>
          </w:p>
        </w:tc>
        <w:tc>
          <w:tcPr>
            <w:tcW w:w="1079" w:type="dxa"/>
            <w:vAlign w:val="center"/>
          </w:tcPr>
          <w:p>
            <w:pPr>
              <w:snapToGrid w:val="0"/>
              <w:ind w:left="-72" w:leftChars="-30" w:right="-72" w:rightChars="-3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审查结果</w:t>
            </w:r>
          </w:p>
        </w:tc>
        <w:tc>
          <w:tcPr>
            <w:tcW w:w="2482" w:type="dxa"/>
            <w:vAlign w:val="center"/>
          </w:tcPr>
          <w:p>
            <w:pPr>
              <w:snapToGrid w:val="0"/>
              <w:ind w:left="-72" w:leftChars="-30" w:right="-72" w:rightChars="-3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引用的证明材料对应页码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74" w:type="dxa"/>
            <w:vAlign w:val="center"/>
          </w:tcPr>
          <w:p>
            <w:pPr>
              <w:snapToGrid w:val="0"/>
              <w:ind w:left="-72" w:leftChars="-30" w:right="-72" w:rightChars="-30"/>
              <w:jc w:val="center"/>
              <w:rPr>
                <w:rFonts w:hint="eastAsia" w:ascii="仿宋" w:hAnsi="仿宋" w:eastAsia="仿宋" w:cs="仿宋"/>
                <w:b/>
                <w:snapToGrid w:val="0"/>
                <w:color w:val="auto"/>
                <w:kern w:val="2"/>
                <w:sz w:val="21"/>
                <w:szCs w:val="21"/>
              </w:rPr>
            </w:pPr>
            <w:r>
              <w:rPr>
                <w:rFonts w:hint="eastAsia" w:ascii="仿宋" w:hAnsi="仿宋" w:eastAsia="仿宋" w:cs="仿宋"/>
                <w:b/>
                <w:snapToGrid w:val="0"/>
                <w:color w:val="auto"/>
                <w:kern w:val="2"/>
                <w:sz w:val="21"/>
                <w:szCs w:val="21"/>
              </w:rPr>
              <w:t>1</w:t>
            </w:r>
          </w:p>
        </w:tc>
        <w:tc>
          <w:tcPr>
            <w:tcW w:w="4155" w:type="dxa"/>
            <w:vAlign w:val="center"/>
          </w:tcPr>
          <w:p>
            <w:pPr>
              <w:snapToGrid w:val="0"/>
              <w:ind w:left="-72" w:leftChars="-30" w:right="-72" w:rightChars="-30"/>
              <w:rPr>
                <w:rFonts w:hint="eastAsia" w:ascii="仿宋" w:hAnsi="仿宋" w:eastAsia="仿宋" w:cs="仿宋"/>
                <w:b/>
                <w:snapToGrid w:val="0"/>
                <w:color w:val="auto"/>
                <w:spacing w:val="-4"/>
                <w:kern w:val="2"/>
                <w:sz w:val="21"/>
                <w:szCs w:val="21"/>
              </w:rPr>
            </w:pPr>
            <w:r>
              <w:rPr>
                <w:rFonts w:hint="eastAsia" w:ascii="仿宋" w:hAnsi="仿宋" w:eastAsia="仿宋" w:cs="仿宋"/>
                <w:b/>
                <w:snapToGrid w:val="0"/>
                <w:color w:val="auto"/>
                <w:spacing w:val="-4"/>
                <w:kern w:val="2"/>
                <w:sz w:val="21"/>
                <w:szCs w:val="21"/>
              </w:rPr>
              <w:t>企业部分</w:t>
            </w:r>
          </w:p>
        </w:tc>
        <w:tc>
          <w:tcPr>
            <w:tcW w:w="973" w:type="dxa"/>
            <w:vAlign w:val="center"/>
          </w:tcPr>
          <w:p>
            <w:pPr>
              <w:snapToGrid w:val="0"/>
              <w:ind w:left="-72" w:leftChars="-30" w:right="-72" w:rightChars="-30"/>
              <w:jc w:val="center"/>
              <w:rPr>
                <w:rFonts w:hint="eastAsia" w:ascii="仿宋" w:hAnsi="仿宋" w:eastAsia="仿宋" w:cs="仿宋"/>
                <w:b/>
                <w:snapToGrid w:val="0"/>
                <w:color w:val="auto"/>
                <w:kern w:val="2"/>
                <w:szCs w:val="24"/>
              </w:rPr>
            </w:pPr>
          </w:p>
        </w:tc>
        <w:tc>
          <w:tcPr>
            <w:tcW w:w="1079" w:type="dxa"/>
            <w:vAlign w:val="center"/>
          </w:tcPr>
          <w:p>
            <w:pPr>
              <w:snapToGrid w:val="0"/>
              <w:ind w:left="-72" w:leftChars="-30" w:right="-72" w:rightChars="-30"/>
              <w:jc w:val="center"/>
              <w:rPr>
                <w:rFonts w:hint="eastAsia" w:ascii="仿宋" w:hAnsi="仿宋" w:eastAsia="仿宋" w:cs="仿宋"/>
                <w:b/>
                <w:snapToGrid w:val="0"/>
                <w:color w:val="auto"/>
                <w:kern w:val="2"/>
                <w:szCs w:val="24"/>
              </w:rPr>
            </w:pPr>
          </w:p>
        </w:tc>
        <w:tc>
          <w:tcPr>
            <w:tcW w:w="2482" w:type="dxa"/>
            <w:vAlign w:val="center"/>
          </w:tcPr>
          <w:p>
            <w:pPr>
              <w:snapToGrid w:val="0"/>
              <w:ind w:left="-72" w:leftChars="-30" w:right="-72" w:rightChars="-30"/>
              <w:jc w:val="center"/>
              <w:rPr>
                <w:rFonts w:hint="eastAsia" w:ascii="仿宋" w:hAnsi="仿宋" w:eastAsia="仿宋" w:cs="仿宋"/>
                <w:b/>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vAlign w:val="center"/>
          </w:tcPr>
          <w:p>
            <w:pPr>
              <w:snapToGrid w:val="0"/>
              <w:ind w:left="-72" w:leftChars="-30" w:right="-72" w:rightChars="-3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1.1</w:t>
            </w:r>
          </w:p>
        </w:tc>
        <w:tc>
          <w:tcPr>
            <w:tcW w:w="4155" w:type="dxa"/>
            <w:vAlign w:val="center"/>
          </w:tcPr>
          <w:p>
            <w:pPr>
              <w:snapToGrid w:val="0"/>
              <w:ind w:left="-72" w:leftChars="-30" w:right="-72" w:rightChars="-30"/>
              <w:rPr>
                <w:rFonts w:hint="eastAsia" w:ascii="仿宋" w:hAnsi="仿宋" w:eastAsia="仿宋" w:cs="仿宋"/>
                <w:snapToGrid w:val="0"/>
                <w:color w:val="auto"/>
                <w:kern w:val="2"/>
                <w:sz w:val="21"/>
                <w:szCs w:val="21"/>
              </w:rPr>
            </w:pPr>
            <w:r>
              <w:rPr>
                <w:rFonts w:hint="eastAsia" w:ascii="仿宋" w:hAnsi="仿宋" w:eastAsia="仿宋" w:cs="仿宋"/>
                <w:snapToGrid w:val="0"/>
                <w:color w:val="auto"/>
                <w:spacing w:val="-4"/>
                <w:kern w:val="2"/>
                <w:sz w:val="21"/>
                <w:szCs w:val="21"/>
              </w:rPr>
              <w:t>营业执照</w:t>
            </w:r>
          </w:p>
        </w:tc>
        <w:tc>
          <w:tcPr>
            <w:tcW w:w="973"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c>
          <w:tcPr>
            <w:tcW w:w="1079"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c>
          <w:tcPr>
            <w:tcW w:w="2482"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vAlign w:val="center"/>
          </w:tcPr>
          <w:p>
            <w:pPr>
              <w:snapToGrid w:val="0"/>
              <w:ind w:left="-72" w:leftChars="-30" w:right="-72" w:rightChars="-3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1.2</w:t>
            </w:r>
          </w:p>
        </w:tc>
        <w:tc>
          <w:tcPr>
            <w:tcW w:w="4155" w:type="dxa"/>
            <w:vAlign w:val="center"/>
          </w:tcPr>
          <w:p>
            <w:pPr>
              <w:snapToGrid w:val="0"/>
              <w:ind w:left="-72" w:leftChars="-30" w:right="-72" w:rightChars="-30"/>
              <w:rPr>
                <w:rFonts w:hint="eastAsia" w:ascii="仿宋" w:hAnsi="仿宋" w:eastAsia="仿宋" w:cs="仿宋"/>
                <w:snapToGrid w:val="0"/>
                <w:color w:val="auto"/>
                <w:kern w:val="2"/>
                <w:sz w:val="21"/>
                <w:szCs w:val="21"/>
              </w:rPr>
            </w:pPr>
            <w:r>
              <w:rPr>
                <w:rFonts w:hint="eastAsia" w:ascii="仿宋" w:hAnsi="仿宋" w:eastAsia="仿宋" w:cs="仿宋"/>
                <w:snapToGrid w:val="0"/>
                <w:color w:val="auto"/>
                <w:spacing w:val="-4"/>
                <w:kern w:val="2"/>
                <w:sz w:val="21"/>
                <w:szCs w:val="21"/>
              </w:rPr>
              <w:t>安全生产许可证</w:t>
            </w:r>
          </w:p>
        </w:tc>
        <w:tc>
          <w:tcPr>
            <w:tcW w:w="973"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c>
          <w:tcPr>
            <w:tcW w:w="1079"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c>
          <w:tcPr>
            <w:tcW w:w="2482"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vAlign w:val="center"/>
          </w:tcPr>
          <w:p>
            <w:pPr>
              <w:snapToGrid w:val="0"/>
              <w:ind w:left="-72" w:leftChars="-30" w:right="-72" w:rightChars="-3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1.3</w:t>
            </w:r>
          </w:p>
        </w:tc>
        <w:tc>
          <w:tcPr>
            <w:tcW w:w="4155" w:type="dxa"/>
            <w:vAlign w:val="center"/>
          </w:tcPr>
          <w:p>
            <w:pPr>
              <w:snapToGrid w:val="0"/>
              <w:ind w:left="-72" w:leftChars="-30" w:right="-72" w:rightChars="-30"/>
              <w:rPr>
                <w:rFonts w:hint="eastAsia" w:ascii="仿宋" w:hAnsi="仿宋" w:eastAsia="仿宋" w:cs="仿宋"/>
                <w:snapToGrid w:val="0"/>
                <w:color w:val="auto"/>
                <w:kern w:val="2"/>
                <w:sz w:val="21"/>
                <w:szCs w:val="21"/>
              </w:rPr>
            </w:pPr>
            <w:r>
              <w:rPr>
                <w:rFonts w:hint="eastAsia" w:ascii="仿宋" w:hAnsi="仿宋" w:eastAsia="仿宋" w:cs="仿宋"/>
                <w:snapToGrid w:val="0"/>
                <w:color w:val="auto"/>
                <w:spacing w:val="-4"/>
                <w:kern w:val="2"/>
                <w:sz w:val="21"/>
                <w:szCs w:val="21"/>
              </w:rPr>
              <w:t>资质证书及等级</w:t>
            </w:r>
          </w:p>
        </w:tc>
        <w:tc>
          <w:tcPr>
            <w:tcW w:w="973"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c>
          <w:tcPr>
            <w:tcW w:w="1079"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c>
          <w:tcPr>
            <w:tcW w:w="2482"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vAlign w:val="center"/>
          </w:tcPr>
          <w:p>
            <w:pPr>
              <w:snapToGrid w:val="0"/>
              <w:ind w:left="-72" w:leftChars="-30" w:right="-72" w:rightChars="-3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1.4</w:t>
            </w:r>
          </w:p>
        </w:tc>
        <w:tc>
          <w:tcPr>
            <w:tcW w:w="4155" w:type="dxa"/>
            <w:vAlign w:val="center"/>
          </w:tcPr>
          <w:p>
            <w:pPr>
              <w:snapToGrid w:val="0"/>
              <w:ind w:right="-72" w:rightChars="-30"/>
              <w:rPr>
                <w:rFonts w:hint="eastAsia" w:ascii="仿宋" w:hAnsi="仿宋" w:eastAsia="仿宋" w:cs="仿宋"/>
                <w:snapToGrid w:val="0"/>
                <w:color w:val="auto"/>
                <w:spacing w:val="-4"/>
                <w:kern w:val="2"/>
                <w:sz w:val="21"/>
                <w:szCs w:val="21"/>
              </w:rPr>
            </w:pPr>
            <w:r>
              <w:rPr>
                <w:rFonts w:hint="eastAsia" w:ascii="仿宋" w:hAnsi="仿宋" w:eastAsia="仿宋" w:cs="仿宋"/>
                <w:snapToGrid w:val="0"/>
                <w:color w:val="auto"/>
                <w:kern w:val="2"/>
                <w:sz w:val="21"/>
                <w:szCs w:val="21"/>
              </w:rPr>
              <w:t>法人代表安全生产考核合格证书</w:t>
            </w:r>
          </w:p>
        </w:tc>
        <w:tc>
          <w:tcPr>
            <w:tcW w:w="973"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c>
          <w:tcPr>
            <w:tcW w:w="1079"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c>
          <w:tcPr>
            <w:tcW w:w="2482"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vAlign w:val="center"/>
          </w:tcPr>
          <w:p>
            <w:pPr>
              <w:snapToGrid w:val="0"/>
              <w:ind w:left="-72" w:leftChars="-30" w:right="-72" w:rightChars="-3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1.5</w:t>
            </w:r>
          </w:p>
        </w:tc>
        <w:tc>
          <w:tcPr>
            <w:tcW w:w="4155" w:type="dxa"/>
            <w:vAlign w:val="center"/>
          </w:tcPr>
          <w:p>
            <w:pPr>
              <w:snapToGrid w:val="0"/>
              <w:ind w:left="-72" w:leftChars="-30" w:right="-72" w:rightChars="-30"/>
              <w:rPr>
                <w:rFonts w:hint="eastAsia" w:ascii="仿宋" w:hAnsi="仿宋" w:eastAsia="仿宋" w:cs="仿宋"/>
                <w:snapToGrid w:val="0"/>
                <w:color w:val="auto"/>
                <w:kern w:val="2"/>
                <w:sz w:val="21"/>
                <w:szCs w:val="21"/>
              </w:rPr>
            </w:pPr>
            <w:r>
              <w:rPr>
                <w:rFonts w:hint="eastAsia" w:ascii="仿宋" w:hAnsi="仿宋" w:eastAsia="仿宋" w:cs="仿宋"/>
                <w:color w:val="auto"/>
                <w:kern w:val="2"/>
                <w:sz w:val="21"/>
                <w:szCs w:val="21"/>
              </w:rPr>
              <w:t>总经理安全生产考核合格证书</w:t>
            </w:r>
          </w:p>
        </w:tc>
        <w:tc>
          <w:tcPr>
            <w:tcW w:w="973"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c>
          <w:tcPr>
            <w:tcW w:w="1079"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c>
          <w:tcPr>
            <w:tcW w:w="2482"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vAlign w:val="center"/>
          </w:tcPr>
          <w:p>
            <w:pPr>
              <w:snapToGrid w:val="0"/>
              <w:ind w:left="-72" w:leftChars="-30" w:right="-72" w:rightChars="-3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1.6</w:t>
            </w:r>
          </w:p>
        </w:tc>
        <w:tc>
          <w:tcPr>
            <w:tcW w:w="4155" w:type="dxa"/>
            <w:vAlign w:val="center"/>
          </w:tcPr>
          <w:p>
            <w:pPr>
              <w:snapToGrid w:val="0"/>
              <w:ind w:left="-72" w:leftChars="-30" w:right="-72" w:rightChars="-30"/>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分管安全生产的副总经理安全生产考核合格证书</w:t>
            </w:r>
          </w:p>
        </w:tc>
        <w:tc>
          <w:tcPr>
            <w:tcW w:w="973"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c>
          <w:tcPr>
            <w:tcW w:w="1079"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c>
          <w:tcPr>
            <w:tcW w:w="2482"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vAlign w:val="center"/>
          </w:tcPr>
          <w:p>
            <w:pPr>
              <w:snapToGrid w:val="0"/>
              <w:ind w:left="-72" w:leftChars="-30" w:right="-72" w:rightChars="-3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1.7</w:t>
            </w:r>
          </w:p>
        </w:tc>
        <w:tc>
          <w:tcPr>
            <w:tcW w:w="4155" w:type="dxa"/>
            <w:vAlign w:val="center"/>
          </w:tcPr>
          <w:p>
            <w:pPr>
              <w:snapToGrid w:val="0"/>
              <w:ind w:left="-72" w:leftChars="-30" w:right="-72" w:rightChars="-30"/>
              <w:rPr>
                <w:rFonts w:hint="eastAsia" w:ascii="仿宋" w:hAnsi="仿宋" w:eastAsia="仿宋" w:cs="仿宋"/>
                <w:snapToGrid w:val="0"/>
                <w:color w:val="auto"/>
                <w:kern w:val="2"/>
                <w:sz w:val="21"/>
                <w:szCs w:val="21"/>
              </w:rPr>
            </w:pPr>
            <w:r>
              <w:rPr>
                <w:rFonts w:hint="eastAsia" w:ascii="仿宋" w:hAnsi="仿宋" w:eastAsia="仿宋" w:cs="仿宋"/>
                <w:color w:val="auto"/>
                <w:kern w:val="2"/>
                <w:sz w:val="21"/>
                <w:szCs w:val="21"/>
              </w:rPr>
              <w:t>分管安全生产副总经理的任命书</w:t>
            </w:r>
          </w:p>
        </w:tc>
        <w:tc>
          <w:tcPr>
            <w:tcW w:w="973"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c>
          <w:tcPr>
            <w:tcW w:w="1079"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c>
          <w:tcPr>
            <w:tcW w:w="2482"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vAlign w:val="center"/>
          </w:tcPr>
          <w:p>
            <w:pPr>
              <w:snapToGrid w:val="0"/>
              <w:ind w:left="-72" w:leftChars="-30" w:right="-72" w:rightChars="-3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1.8</w:t>
            </w:r>
          </w:p>
        </w:tc>
        <w:tc>
          <w:tcPr>
            <w:tcW w:w="4155" w:type="dxa"/>
            <w:vAlign w:val="center"/>
          </w:tcPr>
          <w:p>
            <w:pPr>
              <w:snapToGrid w:val="0"/>
              <w:ind w:left="-72" w:leftChars="-30" w:right="-72" w:rightChars="-30"/>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技术负责人安全生产考核合格证书</w:t>
            </w:r>
          </w:p>
        </w:tc>
        <w:tc>
          <w:tcPr>
            <w:tcW w:w="973"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c>
          <w:tcPr>
            <w:tcW w:w="1079"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c>
          <w:tcPr>
            <w:tcW w:w="2482"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vAlign w:val="center"/>
          </w:tcPr>
          <w:p>
            <w:pPr>
              <w:snapToGrid w:val="0"/>
              <w:ind w:left="-72" w:leftChars="-30" w:right="-72" w:rightChars="-3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1.9</w:t>
            </w:r>
          </w:p>
        </w:tc>
        <w:tc>
          <w:tcPr>
            <w:tcW w:w="4155" w:type="dxa"/>
            <w:vAlign w:val="center"/>
          </w:tcPr>
          <w:p>
            <w:pPr>
              <w:jc w:val="left"/>
              <w:textAlignment w:val="auto"/>
              <w:rPr>
                <w:rFonts w:hint="eastAsia" w:ascii="仿宋" w:hAnsi="仿宋" w:eastAsia="仿宋" w:cs="仿宋"/>
                <w:color w:val="auto"/>
                <w:kern w:val="2"/>
                <w:sz w:val="21"/>
                <w:szCs w:val="21"/>
              </w:rPr>
            </w:pPr>
            <w:r>
              <w:rPr>
                <w:rFonts w:hint="eastAsia" w:ascii="仿宋" w:hAnsi="仿宋" w:eastAsia="仿宋" w:cs="仿宋"/>
                <w:snapToGrid w:val="0"/>
                <w:color w:val="auto"/>
                <w:kern w:val="2"/>
                <w:sz w:val="21"/>
                <w:szCs w:val="21"/>
              </w:rPr>
              <w:t>经会计师事务所或审计机构审计的财务会计报表，包括资产负债表、现金流量表、利润表和财务情况说明书</w:t>
            </w:r>
          </w:p>
        </w:tc>
        <w:tc>
          <w:tcPr>
            <w:tcW w:w="973"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c>
          <w:tcPr>
            <w:tcW w:w="1079"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c>
          <w:tcPr>
            <w:tcW w:w="2482"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vAlign w:val="center"/>
          </w:tcPr>
          <w:p>
            <w:pPr>
              <w:snapToGrid w:val="0"/>
              <w:ind w:left="-72" w:leftChars="-30" w:right="-72" w:rightChars="-3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1.10</w:t>
            </w:r>
          </w:p>
        </w:tc>
        <w:tc>
          <w:tcPr>
            <w:tcW w:w="4155" w:type="dxa"/>
            <w:vAlign w:val="center"/>
          </w:tcPr>
          <w:p>
            <w:pPr>
              <w:jc w:val="left"/>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投标人在“浙江省水利建设市场信息平台”公示本企业及拟投入本项目管理班子成员信息的网页打印件。</w:t>
            </w:r>
          </w:p>
        </w:tc>
        <w:tc>
          <w:tcPr>
            <w:tcW w:w="973"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c>
          <w:tcPr>
            <w:tcW w:w="1079"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c>
          <w:tcPr>
            <w:tcW w:w="2482"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vAlign w:val="center"/>
          </w:tcPr>
          <w:p>
            <w:pPr>
              <w:snapToGrid w:val="0"/>
              <w:ind w:left="-72" w:leftChars="-30" w:right="-72" w:rightChars="-3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1.11</w:t>
            </w:r>
          </w:p>
        </w:tc>
        <w:tc>
          <w:tcPr>
            <w:tcW w:w="4155" w:type="dxa"/>
            <w:vAlign w:val="center"/>
          </w:tcPr>
          <w:p>
            <w:pPr>
              <w:jc w:val="left"/>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其他资料（投标人业绩等）</w:t>
            </w:r>
          </w:p>
        </w:tc>
        <w:tc>
          <w:tcPr>
            <w:tcW w:w="973" w:type="dxa"/>
            <w:vAlign w:val="center"/>
          </w:tcPr>
          <w:p>
            <w:pPr>
              <w:snapToGrid w:val="0"/>
              <w:ind w:left="-72" w:leftChars="-30" w:right="-72" w:rightChars="-30"/>
              <w:jc w:val="center"/>
              <w:rPr>
                <w:rFonts w:hint="eastAsia" w:ascii="仿宋" w:hAnsi="仿宋" w:eastAsia="仿宋" w:cs="仿宋"/>
                <w:snapToGrid w:val="0"/>
                <w:color w:val="auto"/>
                <w:kern w:val="2"/>
                <w:szCs w:val="24"/>
                <w:highlight w:val="magenta"/>
              </w:rPr>
            </w:pPr>
          </w:p>
        </w:tc>
        <w:tc>
          <w:tcPr>
            <w:tcW w:w="1079" w:type="dxa"/>
            <w:vAlign w:val="center"/>
          </w:tcPr>
          <w:p>
            <w:pPr>
              <w:snapToGrid w:val="0"/>
              <w:ind w:left="-72" w:leftChars="-30" w:right="-72" w:rightChars="-30"/>
              <w:jc w:val="center"/>
              <w:rPr>
                <w:rFonts w:hint="eastAsia" w:ascii="仿宋" w:hAnsi="仿宋" w:eastAsia="仿宋" w:cs="仿宋"/>
                <w:snapToGrid w:val="0"/>
                <w:color w:val="auto"/>
                <w:kern w:val="2"/>
                <w:szCs w:val="24"/>
                <w:highlight w:val="magenta"/>
              </w:rPr>
            </w:pPr>
          </w:p>
        </w:tc>
        <w:tc>
          <w:tcPr>
            <w:tcW w:w="2482" w:type="dxa"/>
            <w:vAlign w:val="center"/>
          </w:tcPr>
          <w:p>
            <w:pPr>
              <w:snapToGrid w:val="0"/>
              <w:ind w:left="-72" w:leftChars="-30" w:right="-72" w:rightChars="-30"/>
              <w:jc w:val="center"/>
              <w:rPr>
                <w:rFonts w:hint="eastAsia" w:ascii="仿宋" w:hAnsi="仿宋" w:eastAsia="仿宋" w:cs="仿宋"/>
                <w:snapToGrid w:val="0"/>
                <w:color w:val="auto"/>
                <w:kern w:val="2"/>
                <w:szCs w:val="24"/>
                <w:highlight w:val="magent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274" w:type="dxa"/>
            <w:vAlign w:val="center"/>
          </w:tcPr>
          <w:p>
            <w:pPr>
              <w:snapToGrid w:val="0"/>
              <w:ind w:left="-72" w:leftChars="-30" w:right="-72" w:rightChars="-30"/>
              <w:jc w:val="center"/>
              <w:rPr>
                <w:rFonts w:hint="eastAsia" w:ascii="仿宋" w:hAnsi="仿宋" w:eastAsia="仿宋" w:cs="仿宋"/>
                <w:b/>
                <w:snapToGrid w:val="0"/>
                <w:color w:val="auto"/>
                <w:kern w:val="2"/>
                <w:sz w:val="21"/>
                <w:szCs w:val="21"/>
              </w:rPr>
            </w:pPr>
            <w:r>
              <w:rPr>
                <w:rFonts w:hint="eastAsia" w:ascii="仿宋" w:hAnsi="仿宋" w:eastAsia="仿宋" w:cs="仿宋"/>
                <w:b/>
                <w:snapToGrid w:val="0"/>
                <w:color w:val="auto"/>
                <w:kern w:val="2"/>
                <w:sz w:val="21"/>
                <w:szCs w:val="21"/>
              </w:rPr>
              <w:t>2</w:t>
            </w:r>
          </w:p>
        </w:tc>
        <w:tc>
          <w:tcPr>
            <w:tcW w:w="4155" w:type="dxa"/>
            <w:vAlign w:val="center"/>
          </w:tcPr>
          <w:p>
            <w:pPr>
              <w:snapToGrid w:val="0"/>
              <w:ind w:left="-72" w:leftChars="-30" w:right="-72" w:rightChars="-30"/>
              <w:rPr>
                <w:rFonts w:hint="eastAsia" w:ascii="仿宋" w:hAnsi="仿宋" w:eastAsia="仿宋" w:cs="仿宋"/>
                <w:b/>
                <w:snapToGrid w:val="0"/>
                <w:color w:val="auto"/>
                <w:spacing w:val="-4"/>
                <w:kern w:val="2"/>
                <w:sz w:val="21"/>
                <w:szCs w:val="21"/>
              </w:rPr>
            </w:pPr>
            <w:r>
              <w:rPr>
                <w:rFonts w:hint="eastAsia" w:ascii="仿宋" w:hAnsi="仿宋" w:eastAsia="仿宋" w:cs="仿宋"/>
                <w:b/>
                <w:snapToGrid w:val="0"/>
                <w:color w:val="auto"/>
                <w:spacing w:val="-4"/>
                <w:kern w:val="2"/>
                <w:sz w:val="21"/>
                <w:szCs w:val="21"/>
              </w:rPr>
              <w:t>项目部部分</w:t>
            </w:r>
          </w:p>
        </w:tc>
        <w:tc>
          <w:tcPr>
            <w:tcW w:w="973"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c>
          <w:tcPr>
            <w:tcW w:w="1079"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c>
          <w:tcPr>
            <w:tcW w:w="2482"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74" w:type="dxa"/>
            <w:vAlign w:val="center"/>
          </w:tcPr>
          <w:p>
            <w:pPr>
              <w:snapToGrid w:val="0"/>
              <w:ind w:left="-72" w:leftChars="-30" w:right="-72" w:rightChars="-3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2.2</w:t>
            </w:r>
          </w:p>
        </w:tc>
        <w:tc>
          <w:tcPr>
            <w:tcW w:w="4155" w:type="dxa"/>
            <w:vAlign w:val="center"/>
          </w:tcPr>
          <w:p>
            <w:pPr>
              <w:snapToGrid w:val="0"/>
              <w:ind w:left="-72" w:leftChars="-30" w:right="-72" w:rightChars="-30"/>
              <w:rPr>
                <w:rFonts w:hint="eastAsia" w:ascii="仿宋" w:hAnsi="仿宋" w:eastAsia="仿宋" w:cs="仿宋"/>
                <w:snapToGrid w:val="0"/>
                <w:color w:val="auto"/>
                <w:kern w:val="2"/>
                <w:sz w:val="21"/>
                <w:szCs w:val="21"/>
                <w:lang w:eastAsia="zh-CN"/>
              </w:rPr>
            </w:pPr>
            <w:r>
              <w:rPr>
                <w:rFonts w:hint="eastAsia" w:ascii="仿宋" w:hAnsi="仿宋" w:eastAsia="仿宋" w:cs="仿宋"/>
                <w:color w:val="auto"/>
                <w:kern w:val="2"/>
                <w:sz w:val="21"/>
                <w:szCs w:val="21"/>
              </w:rPr>
              <w:t>项目负责人应持有</w:t>
            </w:r>
            <w:r>
              <w:rPr>
                <w:rFonts w:hint="eastAsia" w:ascii="仿宋" w:hAnsi="仿宋" w:eastAsia="仿宋" w:cs="仿宋"/>
                <w:b/>
                <w:bCs/>
                <w:color w:val="auto"/>
                <w:kern w:val="2"/>
                <w:sz w:val="21"/>
                <w:szCs w:val="21"/>
              </w:rPr>
              <w:t>水利水电</w:t>
            </w:r>
            <w:r>
              <w:rPr>
                <w:rFonts w:hint="eastAsia" w:ascii="仿宋" w:hAnsi="仿宋" w:eastAsia="仿宋" w:cs="仿宋"/>
                <w:color w:val="auto"/>
                <w:kern w:val="2"/>
                <w:sz w:val="21"/>
                <w:szCs w:val="21"/>
              </w:rPr>
              <w:t>专业贰级及以上建造师注册证书，并在投标截止日不得在其他任何在建合同工程中担任项目负责人。其他在建合同工程的开始时间为合同工程中标通知书发出之日（不通过招标方式的，开始时间为合同签订之日），结束时间为该合同工程通过验收或合同解除之日</w:t>
            </w:r>
            <w:r>
              <w:rPr>
                <w:rFonts w:hint="eastAsia" w:ascii="仿宋" w:hAnsi="仿宋" w:eastAsia="仿宋" w:cs="仿宋"/>
                <w:color w:val="auto"/>
                <w:kern w:val="2"/>
                <w:sz w:val="21"/>
                <w:szCs w:val="21"/>
                <w:lang w:eastAsia="zh-CN"/>
              </w:rPr>
              <w:t>。</w:t>
            </w:r>
          </w:p>
        </w:tc>
        <w:tc>
          <w:tcPr>
            <w:tcW w:w="973"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c>
          <w:tcPr>
            <w:tcW w:w="1079"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c>
          <w:tcPr>
            <w:tcW w:w="2482"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74" w:type="dxa"/>
            <w:vAlign w:val="center"/>
          </w:tcPr>
          <w:p>
            <w:pPr>
              <w:snapToGrid w:val="0"/>
              <w:ind w:left="-72" w:leftChars="-30" w:right="-72" w:rightChars="-3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2.3</w:t>
            </w:r>
          </w:p>
        </w:tc>
        <w:tc>
          <w:tcPr>
            <w:tcW w:w="4155" w:type="dxa"/>
            <w:vAlign w:val="center"/>
          </w:tcPr>
          <w:p>
            <w:pPr>
              <w:snapToGrid w:val="0"/>
              <w:ind w:left="-72" w:leftChars="-30" w:right="-72" w:rightChars="-30"/>
              <w:rPr>
                <w:rFonts w:hint="eastAsia" w:ascii="仿宋" w:hAnsi="仿宋" w:eastAsia="仿宋" w:cs="仿宋"/>
                <w:snapToGrid w:val="0"/>
                <w:color w:val="auto"/>
                <w:kern w:val="2"/>
                <w:sz w:val="21"/>
                <w:szCs w:val="21"/>
              </w:rPr>
            </w:pPr>
            <w:r>
              <w:rPr>
                <w:rFonts w:hint="eastAsia" w:ascii="仿宋" w:hAnsi="仿宋" w:eastAsia="仿宋" w:cs="仿宋"/>
                <w:color w:val="auto"/>
                <w:kern w:val="2"/>
                <w:sz w:val="21"/>
                <w:szCs w:val="21"/>
              </w:rPr>
              <w:t>项目负责人安全生产考核合格证书</w:t>
            </w:r>
          </w:p>
        </w:tc>
        <w:tc>
          <w:tcPr>
            <w:tcW w:w="973"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c>
          <w:tcPr>
            <w:tcW w:w="1079"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c>
          <w:tcPr>
            <w:tcW w:w="2482"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74" w:type="dxa"/>
            <w:tcBorders>
              <w:bottom w:val="single" w:color="auto" w:sz="4" w:space="0"/>
            </w:tcBorders>
            <w:vAlign w:val="center"/>
          </w:tcPr>
          <w:p>
            <w:pPr>
              <w:snapToGrid w:val="0"/>
              <w:ind w:left="-72" w:leftChars="-30" w:right="-72" w:rightChars="-3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2.4</w:t>
            </w:r>
          </w:p>
        </w:tc>
        <w:tc>
          <w:tcPr>
            <w:tcW w:w="4155" w:type="dxa"/>
            <w:tcBorders>
              <w:bottom w:val="single" w:color="auto" w:sz="4" w:space="0"/>
            </w:tcBorders>
            <w:vAlign w:val="center"/>
          </w:tcPr>
          <w:p>
            <w:pPr>
              <w:snapToGrid w:val="0"/>
              <w:ind w:left="-72" w:leftChars="-30" w:right="-72" w:rightChars="-30"/>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项目技术负责人职称证书</w:t>
            </w:r>
          </w:p>
        </w:tc>
        <w:tc>
          <w:tcPr>
            <w:tcW w:w="973"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c>
          <w:tcPr>
            <w:tcW w:w="1079"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c>
          <w:tcPr>
            <w:tcW w:w="2482"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74" w:type="dxa"/>
            <w:tcBorders>
              <w:top w:val="single" w:color="auto" w:sz="4" w:space="0"/>
              <w:bottom w:val="single" w:color="auto" w:sz="4" w:space="0"/>
            </w:tcBorders>
            <w:vAlign w:val="center"/>
          </w:tcPr>
          <w:p>
            <w:pPr>
              <w:snapToGrid w:val="0"/>
              <w:ind w:left="-72" w:leftChars="-30" w:right="-72" w:rightChars="-3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2.5</w:t>
            </w:r>
          </w:p>
        </w:tc>
        <w:tc>
          <w:tcPr>
            <w:tcW w:w="4155" w:type="dxa"/>
            <w:tcBorders>
              <w:top w:val="single" w:color="auto" w:sz="4" w:space="0"/>
              <w:bottom w:val="single" w:color="auto" w:sz="4" w:space="0"/>
            </w:tcBorders>
            <w:vAlign w:val="center"/>
          </w:tcPr>
          <w:p>
            <w:pPr>
              <w:snapToGrid w:val="0"/>
              <w:ind w:left="-72" w:leftChars="-30" w:right="-72" w:rightChars="-30"/>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项目安全管理人员安全生产考核合格证书</w:t>
            </w:r>
          </w:p>
        </w:tc>
        <w:tc>
          <w:tcPr>
            <w:tcW w:w="973"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c>
          <w:tcPr>
            <w:tcW w:w="1079"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c>
          <w:tcPr>
            <w:tcW w:w="2482"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74" w:type="dxa"/>
            <w:tcBorders>
              <w:top w:val="single" w:color="auto" w:sz="4" w:space="0"/>
              <w:bottom w:val="single" w:color="auto" w:sz="4" w:space="0"/>
            </w:tcBorders>
            <w:vAlign w:val="center"/>
          </w:tcPr>
          <w:p>
            <w:pPr>
              <w:snapToGrid w:val="0"/>
              <w:ind w:left="-72" w:leftChars="-30" w:right="-72" w:rightChars="-3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2.6</w:t>
            </w:r>
          </w:p>
        </w:tc>
        <w:tc>
          <w:tcPr>
            <w:tcW w:w="4155" w:type="dxa"/>
            <w:tcBorders>
              <w:top w:val="single" w:color="auto" w:sz="4" w:space="0"/>
              <w:bottom w:val="single" w:color="auto" w:sz="4" w:space="0"/>
            </w:tcBorders>
            <w:vAlign w:val="center"/>
          </w:tcPr>
          <w:p>
            <w:pPr>
              <w:jc w:val="left"/>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项目安全员、质量员和施工员的省级及以上水行政主管部门颁发或认可的上岗证。</w:t>
            </w:r>
          </w:p>
        </w:tc>
        <w:tc>
          <w:tcPr>
            <w:tcW w:w="973"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c>
          <w:tcPr>
            <w:tcW w:w="1079"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c>
          <w:tcPr>
            <w:tcW w:w="2482"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74" w:type="dxa"/>
            <w:tcBorders>
              <w:top w:val="single" w:color="auto" w:sz="4" w:space="0"/>
              <w:bottom w:val="single" w:color="auto" w:sz="4" w:space="0"/>
            </w:tcBorders>
            <w:vAlign w:val="center"/>
          </w:tcPr>
          <w:p>
            <w:pPr>
              <w:snapToGrid w:val="0"/>
              <w:ind w:left="-72" w:leftChars="-30" w:right="-72" w:rightChars="-30"/>
              <w:jc w:val="center"/>
              <w:rPr>
                <w:rFonts w:hint="eastAsia" w:ascii="仿宋" w:hAnsi="仿宋" w:eastAsia="仿宋" w:cs="仿宋"/>
                <w:snapToGrid w:val="0"/>
                <w:color w:val="auto"/>
                <w:kern w:val="2"/>
                <w:sz w:val="21"/>
                <w:szCs w:val="21"/>
              </w:rPr>
            </w:pPr>
            <w:r>
              <w:rPr>
                <w:rFonts w:hint="eastAsia" w:ascii="仿宋" w:hAnsi="仿宋" w:eastAsia="仿宋" w:cs="仿宋"/>
                <w:snapToGrid w:val="0"/>
                <w:color w:val="auto"/>
                <w:kern w:val="2"/>
                <w:sz w:val="21"/>
                <w:szCs w:val="21"/>
              </w:rPr>
              <w:t>2.7</w:t>
            </w:r>
          </w:p>
        </w:tc>
        <w:tc>
          <w:tcPr>
            <w:tcW w:w="4155" w:type="dxa"/>
            <w:tcBorders>
              <w:top w:val="single" w:color="auto" w:sz="4" w:space="0"/>
              <w:bottom w:val="single" w:color="auto" w:sz="4" w:space="0"/>
            </w:tcBorders>
            <w:vAlign w:val="center"/>
          </w:tcPr>
          <w:p>
            <w:pPr>
              <w:jc w:val="left"/>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项目负责人师无现任其他工程项目负责人、无限制投标的不良行为记录承诺书</w:t>
            </w:r>
          </w:p>
        </w:tc>
        <w:tc>
          <w:tcPr>
            <w:tcW w:w="973"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c>
          <w:tcPr>
            <w:tcW w:w="1079"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c>
          <w:tcPr>
            <w:tcW w:w="2482" w:type="dxa"/>
            <w:vAlign w:val="center"/>
          </w:tcPr>
          <w:p>
            <w:pPr>
              <w:snapToGrid w:val="0"/>
              <w:ind w:left="-72" w:leftChars="-30" w:right="-72" w:rightChars="-30"/>
              <w:jc w:val="center"/>
              <w:rPr>
                <w:rFonts w:hint="eastAsia" w:ascii="仿宋" w:hAnsi="仿宋" w:eastAsia="仿宋" w:cs="仿宋"/>
                <w:snapToGrid w:val="0"/>
                <w:color w:val="auto"/>
                <w:kern w:val="2"/>
                <w:szCs w:val="24"/>
              </w:rPr>
            </w:pPr>
          </w:p>
        </w:tc>
      </w:tr>
    </w:tbl>
    <w:p>
      <w:pPr>
        <w:pStyle w:val="15"/>
        <w:adjustRightInd w:val="0"/>
        <w:rPr>
          <w:rFonts w:hint="eastAsia" w:ascii="仿宋" w:hAnsi="仿宋" w:eastAsia="仿宋" w:cs="仿宋"/>
          <w:b/>
          <w:bCs/>
          <w:snapToGrid w:val="0"/>
          <w:color w:val="auto"/>
          <w:kern w:val="0"/>
          <w:sz w:val="28"/>
        </w:rPr>
        <w:sectPr>
          <w:footerReference r:id="rId8" w:type="default"/>
          <w:pgSz w:w="11850" w:h="16783"/>
          <w:pgMar w:top="1701" w:right="1418" w:bottom="1418" w:left="1701" w:header="1304" w:footer="624" w:gutter="0"/>
          <w:pgNumType w:chapStyle="1"/>
          <w:cols w:space="720" w:num="1"/>
          <w:docGrid w:linePitch="326" w:charSpace="0"/>
        </w:sectPr>
      </w:pPr>
    </w:p>
    <w:p>
      <w:pPr>
        <w:pStyle w:val="7"/>
        <w:ind w:firstLine="3064" w:firstLineChars="1090"/>
        <w:rPr>
          <w:rFonts w:hint="eastAsia" w:ascii="仿宋" w:hAnsi="仿宋" w:eastAsia="仿宋" w:cs="仿宋"/>
          <w:snapToGrid w:val="0"/>
          <w:color w:val="auto"/>
          <w:sz w:val="28"/>
          <w:szCs w:val="28"/>
        </w:rPr>
      </w:pPr>
      <w:bookmarkStart w:id="1055" w:name="_Toc336325401"/>
    </w:p>
    <w:p>
      <w:pPr>
        <w:pStyle w:val="7"/>
        <w:rPr>
          <w:rFonts w:hint="eastAsia" w:ascii="仿宋" w:hAnsi="仿宋" w:eastAsia="仿宋" w:cs="仿宋"/>
          <w:snapToGrid w:val="0"/>
          <w:color w:val="auto"/>
          <w:sz w:val="28"/>
          <w:szCs w:val="28"/>
        </w:rPr>
      </w:pPr>
      <w:bookmarkStart w:id="1056" w:name="_Toc15217"/>
      <w:bookmarkStart w:id="1057" w:name="_Toc22770"/>
      <w:r>
        <w:rPr>
          <w:rFonts w:hint="eastAsia" w:ascii="仿宋" w:hAnsi="仿宋" w:eastAsia="仿宋" w:cs="仿宋"/>
          <w:snapToGrid w:val="0"/>
          <w:color w:val="auto"/>
          <w:sz w:val="28"/>
          <w:szCs w:val="28"/>
        </w:rPr>
        <w:t>七、原件的扫描件或电子件</w:t>
      </w:r>
      <w:bookmarkEnd w:id="1051"/>
      <w:bookmarkEnd w:id="1055"/>
      <w:bookmarkEnd w:id="1056"/>
      <w:bookmarkEnd w:id="1057"/>
    </w:p>
    <w:p>
      <w:pPr>
        <w:pStyle w:val="7"/>
        <w:ind w:firstLine="240" w:firstLineChars="100"/>
        <w:rPr>
          <w:rFonts w:hint="eastAsia" w:ascii="仿宋" w:hAnsi="仿宋" w:eastAsia="仿宋" w:cs="仿宋"/>
          <w:b w:val="0"/>
          <w:color w:val="auto"/>
        </w:rPr>
      </w:pPr>
      <w:bookmarkStart w:id="1058" w:name="_Toc336325402"/>
    </w:p>
    <w:p>
      <w:pPr>
        <w:pStyle w:val="17"/>
        <w:ind w:firstLine="0"/>
        <w:rPr>
          <w:rFonts w:hint="eastAsia" w:ascii="仿宋" w:hAnsi="仿宋" w:eastAsia="仿宋" w:cs="仿宋"/>
          <w:color w:val="auto"/>
          <w:sz w:val="24"/>
        </w:rPr>
      </w:pPr>
      <w:r>
        <w:rPr>
          <w:rFonts w:hint="eastAsia" w:ascii="仿宋" w:hAnsi="仿宋" w:eastAsia="仿宋" w:cs="仿宋"/>
          <w:color w:val="auto"/>
          <w:sz w:val="24"/>
        </w:rPr>
        <w:t>（1）需要的原件清单详见投标人须知前附表第10.3款规定。</w:t>
      </w:r>
    </w:p>
    <w:p>
      <w:pPr>
        <w:spacing w:line="300" w:lineRule="exact"/>
        <w:rPr>
          <w:rFonts w:hint="eastAsia" w:ascii="仿宋" w:hAnsi="仿宋" w:eastAsia="仿宋" w:cs="仿宋"/>
          <w:b/>
          <w:snapToGrid w:val="0"/>
          <w:color w:val="auto"/>
          <w:sz w:val="21"/>
          <w:szCs w:val="21"/>
        </w:rPr>
      </w:pPr>
      <w:r>
        <w:rPr>
          <w:rFonts w:hint="eastAsia" w:ascii="仿宋" w:hAnsi="仿宋" w:eastAsia="仿宋" w:cs="仿宋"/>
          <w:color w:val="auto"/>
        </w:rPr>
        <w:t>（2）投标人须将上述原件的扫描件或电子件及其他认为必须的扫描件或电子件放入投标文件（CA锁）中。</w:t>
      </w:r>
    </w:p>
    <w:p>
      <w:pPr>
        <w:spacing w:line="300" w:lineRule="exact"/>
        <w:rPr>
          <w:rFonts w:hint="eastAsia" w:ascii="仿宋" w:hAnsi="仿宋" w:eastAsia="仿宋" w:cs="仿宋"/>
          <w:b/>
          <w:snapToGrid w:val="0"/>
          <w:color w:val="auto"/>
          <w:sz w:val="21"/>
          <w:szCs w:val="21"/>
        </w:rPr>
      </w:pPr>
    </w:p>
    <w:p>
      <w:pPr>
        <w:spacing w:line="300" w:lineRule="exact"/>
        <w:rPr>
          <w:rFonts w:hint="eastAsia" w:ascii="仿宋" w:hAnsi="仿宋" w:eastAsia="仿宋" w:cs="仿宋"/>
          <w:b/>
          <w:snapToGrid w:val="0"/>
          <w:color w:val="auto"/>
          <w:sz w:val="21"/>
          <w:szCs w:val="21"/>
        </w:rPr>
      </w:pPr>
    </w:p>
    <w:p>
      <w:pPr>
        <w:spacing w:line="300" w:lineRule="exact"/>
        <w:rPr>
          <w:rFonts w:hint="eastAsia" w:ascii="仿宋" w:hAnsi="仿宋" w:eastAsia="仿宋" w:cs="仿宋"/>
          <w:b/>
          <w:snapToGrid w:val="0"/>
          <w:color w:val="auto"/>
          <w:sz w:val="21"/>
          <w:szCs w:val="21"/>
        </w:rPr>
      </w:pPr>
    </w:p>
    <w:p>
      <w:pPr>
        <w:spacing w:line="300" w:lineRule="exact"/>
        <w:rPr>
          <w:rFonts w:hint="eastAsia" w:ascii="仿宋" w:hAnsi="仿宋" w:eastAsia="仿宋" w:cs="仿宋"/>
          <w:b/>
          <w:snapToGrid w:val="0"/>
          <w:color w:val="auto"/>
          <w:sz w:val="21"/>
          <w:szCs w:val="21"/>
        </w:rPr>
      </w:pPr>
    </w:p>
    <w:p>
      <w:pPr>
        <w:spacing w:line="300" w:lineRule="exact"/>
        <w:rPr>
          <w:rFonts w:hint="eastAsia" w:ascii="仿宋" w:hAnsi="仿宋" w:eastAsia="仿宋" w:cs="仿宋"/>
          <w:b/>
          <w:snapToGrid w:val="0"/>
          <w:color w:val="auto"/>
          <w:sz w:val="21"/>
          <w:szCs w:val="21"/>
        </w:rPr>
      </w:pPr>
    </w:p>
    <w:p>
      <w:pPr>
        <w:spacing w:line="300" w:lineRule="exact"/>
        <w:rPr>
          <w:rFonts w:hint="eastAsia" w:ascii="仿宋" w:hAnsi="仿宋" w:eastAsia="仿宋" w:cs="仿宋"/>
          <w:b/>
          <w:snapToGrid w:val="0"/>
          <w:color w:val="auto"/>
          <w:sz w:val="21"/>
          <w:szCs w:val="21"/>
        </w:rPr>
      </w:pPr>
    </w:p>
    <w:p>
      <w:pPr>
        <w:spacing w:line="300" w:lineRule="exact"/>
        <w:rPr>
          <w:rFonts w:hint="eastAsia" w:ascii="仿宋" w:hAnsi="仿宋" w:eastAsia="仿宋" w:cs="仿宋"/>
          <w:b/>
          <w:snapToGrid w:val="0"/>
          <w:color w:val="auto"/>
          <w:sz w:val="21"/>
          <w:szCs w:val="21"/>
        </w:rPr>
      </w:pPr>
    </w:p>
    <w:p>
      <w:pPr>
        <w:spacing w:line="300" w:lineRule="exact"/>
        <w:rPr>
          <w:rFonts w:hint="eastAsia" w:ascii="仿宋" w:hAnsi="仿宋" w:eastAsia="仿宋" w:cs="仿宋"/>
          <w:b/>
          <w:snapToGrid w:val="0"/>
          <w:color w:val="auto"/>
          <w:sz w:val="21"/>
          <w:szCs w:val="21"/>
        </w:rPr>
      </w:pPr>
    </w:p>
    <w:p>
      <w:pPr>
        <w:spacing w:line="300" w:lineRule="exact"/>
        <w:rPr>
          <w:rFonts w:hint="eastAsia" w:ascii="仿宋" w:hAnsi="仿宋" w:eastAsia="仿宋" w:cs="仿宋"/>
          <w:b/>
          <w:snapToGrid w:val="0"/>
          <w:color w:val="auto"/>
          <w:sz w:val="28"/>
          <w:szCs w:val="28"/>
        </w:rPr>
      </w:pPr>
    </w:p>
    <w:p>
      <w:pPr>
        <w:spacing w:line="300" w:lineRule="exact"/>
        <w:rPr>
          <w:rFonts w:hint="eastAsia" w:ascii="仿宋" w:hAnsi="仿宋" w:eastAsia="仿宋" w:cs="仿宋"/>
          <w:b/>
          <w:snapToGrid w:val="0"/>
          <w:color w:val="auto"/>
          <w:sz w:val="28"/>
          <w:szCs w:val="28"/>
        </w:rPr>
      </w:pPr>
    </w:p>
    <w:p>
      <w:pPr>
        <w:spacing w:line="300" w:lineRule="exact"/>
        <w:rPr>
          <w:rFonts w:hint="eastAsia" w:ascii="仿宋" w:hAnsi="仿宋" w:eastAsia="仿宋" w:cs="仿宋"/>
          <w:b/>
          <w:snapToGrid w:val="0"/>
          <w:color w:val="auto"/>
          <w:sz w:val="28"/>
          <w:szCs w:val="28"/>
        </w:rPr>
      </w:pPr>
    </w:p>
    <w:p>
      <w:pPr>
        <w:spacing w:line="300" w:lineRule="exact"/>
        <w:rPr>
          <w:rFonts w:hint="eastAsia" w:ascii="仿宋" w:hAnsi="仿宋" w:eastAsia="仿宋" w:cs="仿宋"/>
          <w:b/>
          <w:snapToGrid w:val="0"/>
          <w:color w:val="auto"/>
          <w:sz w:val="28"/>
          <w:szCs w:val="28"/>
        </w:rPr>
      </w:pPr>
    </w:p>
    <w:p>
      <w:pPr>
        <w:spacing w:line="300" w:lineRule="exact"/>
        <w:rPr>
          <w:rFonts w:hint="eastAsia" w:ascii="仿宋" w:hAnsi="仿宋" w:eastAsia="仿宋" w:cs="仿宋"/>
          <w:b/>
          <w:snapToGrid w:val="0"/>
          <w:color w:val="auto"/>
          <w:sz w:val="28"/>
          <w:szCs w:val="28"/>
        </w:rPr>
      </w:pPr>
    </w:p>
    <w:p>
      <w:pPr>
        <w:spacing w:line="300" w:lineRule="exact"/>
        <w:rPr>
          <w:rFonts w:hint="eastAsia" w:ascii="仿宋" w:hAnsi="仿宋" w:eastAsia="仿宋" w:cs="仿宋"/>
          <w:b/>
          <w:snapToGrid w:val="0"/>
          <w:color w:val="auto"/>
          <w:sz w:val="28"/>
          <w:szCs w:val="28"/>
        </w:rPr>
      </w:pPr>
    </w:p>
    <w:p>
      <w:pPr>
        <w:spacing w:line="300" w:lineRule="exact"/>
        <w:rPr>
          <w:rFonts w:hint="eastAsia" w:ascii="仿宋" w:hAnsi="仿宋" w:eastAsia="仿宋" w:cs="仿宋"/>
          <w:b/>
          <w:snapToGrid w:val="0"/>
          <w:color w:val="auto"/>
          <w:sz w:val="28"/>
          <w:szCs w:val="28"/>
        </w:rPr>
      </w:pPr>
    </w:p>
    <w:p>
      <w:pPr>
        <w:spacing w:line="300" w:lineRule="exact"/>
        <w:rPr>
          <w:rFonts w:hint="eastAsia" w:ascii="仿宋" w:hAnsi="仿宋" w:eastAsia="仿宋" w:cs="仿宋"/>
          <w:b/>
          <w:snapToGrid w:val="0"/>
          <w:color w:val="auto"/>
          <w:sz w:val="28"/>
          <w:szCs w:val="28"/>
        </w:rPr>
      </w:pPr>
    </w:p>
    <w:p>
      <w:pPr>
        <w:spacing w:line="300" w:lineRule="exact"/>
        <w:rPr>
          <w:rFonts w:hint="eastAsia" w:ascii="仿宋" w:hAnsi="仿宋" w:eastAsia="仿宋" w:cs="仿宋"/>
          <w:b/>
          <w:snapToGrid w:val="0"/>
          <w:color w:val="auto"/>
          <w:sz w:val="28"/>
          <w:szCs w:val="28"/>
        </w:rPr>
      </w:pPr>
    </w:p>
    <w:p>
      <w:pPr>
        <w:spacing w:line="300" w:lineRule="exact"/>
        <w:rPr>
          <w:rFonts w:hint="eastAsia" w:ascii="仿宋" w:hAnsi="仿宋" w:eastAsia="仿宋" w:cs="仿宋"/>
          <w:b/>
          <w:snapToGrid w:val="0"/>
          <w:color w:val="auto"/>
          <w:sz w:val="28"/>
          <w:szCs w:val="28"/>
        </w:rPr>
      </w:pPr>
    </w:p>
    <w:p>
      <w:pPr>
        <w:spacing w:line="300" w:lineRule="exact"/>
        <w:rPr>
          <w:rFonts w:hint="eastAsia" w:ascii="仿宋" w:hAnsi="仿宋" w:eastAsia="仿宋" w:cs="仿宋"/>
          <w:b/>
          <w:snapToGrid w:val="0"/>
          <w:color w:val="auto"/>
          <w:sz w:val="28"/>
          <w:szCs w:val="28"/>
        </w:rPr>
      </w:pPr>
    </w:p>
    <w:p>
      <w:pPr>
        <w:spacing w:line="300" w:lineRule="exact"/>
        <w:rPr>
          <w:rFonts w:hint="eastAsia" w:ascii="仿宋" w:hAnsi="仿宋" w:eastAsia="仿宋" w:cs="仿宋"/>
          <w:b/>
          <w:snapToGrid w:val="0"/>
          <w:color w:val="auto"/>
          <w:sz w:val="28"/>
          <w:szCs w:val="28"/>
        </w:rPr>
      </w:pPr>
    </w:p>
    <w:p>
      <w:pPr>
        <w:spacing w:line="300" w:lineRule="exact"/>
        <w:rPr>
          <w:rFonts w:hint="eastAsia" w:ascii="仿宋" w:hAnsi="仿宋" w:eastAsia="仿宋" w:cs="仿宋"/>
          <w:b/>
          <w:snapToGrid w:val="0"/>
          <w:color w:val="auto"/>
          <w:sz w:val="28"/>
          <w:szCs w:val="28"/>
        </w:rPr>
      </w:pPr>
    </w:p>
    <w:p>
      <w:pPr>
        <w:spacing w:line="300" w:lineRule="exact"/>
        <w:rPr>
          <w:rFonts w:hint="eastAsia" w:ascii="仿宋" w:hAnsi="仿宋" w:eastAsia="仿宋" w:cs="仿宋"/>
          <w:b/>
          <w:snapToGrid w:val="0"/>
          <w:color w:val="auto"/>
          <w:sz w:val="28"/>
          <w:szCs w:val="28"/>
        </w:rPr>
      </w:pPr>
    </w:p>
    <w:p>
      <w:pPr>
        <w:spacing w:line="300" w:lineRule="exact"/>
        <w:rPr>
          <w:rFonts w:hint="eastAsia" w:ascii="仿宋" w:hAnsi="仿宋" w:eastAsia="仿宋" w:cs="仿宋"/>
          <w:b/>
          <w:snapToGrid w:val="0"/>
          <w:color w:val="auto"/>
          <w:sz w:val="28"/>
          <w:szCs w:val="28"/>
        </w:rPr>
      </w:pPr>
    </w:p>
    <w:p>
      <w:pPr>
        <w:spacing w:line="300" w:lineRule="exact"/>
        <w:rPr>
          <w:rFonts w:hint="eastAsia" w:ascii="仿宋" w:hAnsi="仿宋" w:eastAsia="仿宋" w:cs="仿宋"/>
          <w:b/>
          <w:snapToGrid w:val="0"/>
          <w:color w:val="auto"/>
          <w:sz w:val="28"/>
          <w:szCs w:val="28"/>
        </w:rPr>
      </w:pPr>
    </w:p>
    <w:p>
      <w:pPr>
        <w:spacing w:line="300" w:lineRule="exact"/>
        <w:rPr>
          <w:rFonts w:hint="eastAsia" w:ascii="仿宋" w:hAnsi="仿宋" w:eastAsia="仿宋" w:cs="仿宋"/>
          <w:b/>
          <w:snapToGrid w:val="0"/>
          <w:color w:val="auto"/>
          <w:sz w:val="28"/>
          <w:szCs w:val="28"/>
        </w:rPr>
      </w:pPr>
    </w:p>
    <w:p>
      <w:pPr>
        <w:spacing w:line="300" w:lineRule="exact"/>
        <w:rPr>
          <w:rFonts w:hint="eastAsia" w:ascii="仿宋" w:hAnsi="仿宋" w:eastAsia="仿宋" w:cs="仿宋"/>
          <w:b/>
          <w:snapToGrid w:val="0"/>
          <w:color w:val="auto"/>
          <w:sz w:val="28"/>
          <w:szCs w:val="28"/>
        </w:rPr>
      </w:pPr>
    </w:p>
    <w:p>
      <w:pPr>
        <w:spacing w:line="300" w:lineRule="exact"/>
        <w:rPr>
          <w:rFonts w:hint="eastAsia" w:ascii="仿宋" w:hAnsi="仿宋" w:eastAsia="仿宋" w:cs="仿宋"/>
          <w:b/>
          <w:snapToGrid w:val="0"/>
          <w:color w:val="auto"/>
          <w:sz w:val="28"/>
          <w:szCs w:val="28"/>
        </w:rPr>
      </w:pPr>
    </w:p>
    <w:p>
      <w:pPr>
        <w:spacing w:line="300" w:lineRule="exact"/>
        <w:rPr>
          <w:rFonts w:hint="eastAsia" w:ascii="仿宋" w:hAnsi="仿宋" w:eastAsia="仿宋" w:cs="仿宋"/>
          <w:b/>
          <w:snapToGrid w:val="0"/>
          <w:color w:val="auto"/>
          <w:sz w:val="28"/>
          <w:szCs w:val="28"/>
        </w:rPr>
      </w:pPr>
    </w:p>
    <w:p>
      <w:pPr>
        <w:spacing w:line="300" w:lineRule="exact"/>
        <w:rPr>
          <w:rFonts w:hint="eastAsia" w:ascii="仿宋" w:hAnsi="仿宋" w:eastAsia="仿宋" w:cs="仿宋"/>
          <w:b/>
          <w:snapToGrid w:val="0"/>
          <w:color w:val="auto"/>
          <w:sz w:val="28"/>
          <w:szCs w:val="28"/>
        </w:rPr>
      </w:pPr>
    </w:p>
    <w:p>
      <w:pPr>
        <w:spacing w:line="300" w:lineRule="exact"/>
        <w:rPr>
          <w:rFonts w:hint="eastAsia" w:ascii="仿宋" w:hAnsi="仿宋" w:eastAsia="仿宋" w:cs="仿宋"/>
          <w:b/>
          <w:snapToGrid w:val="0"/>
          <w:color w:val="auto"/>
          <w:sz w:val="28"/>
          <w:szCs w:val="28"/>
        </w:rPr>
      </w:pPr>
    </w:p>
    <w:p>
      <w:pPr>
        <w:spacing w:line="300" w:lineRule="exact"/>
        <w:rPr>
          <w:rFonts w:hint="eastAsia" w:ascii="仿宋" w:hAnsi="仿宋" w:eastAsia="仿宋" w:cs="仿宋"/>
          <w:b/>
          <w:snapToGrid w:val="0"/>
          <w:color w:val="auto"/>
          <w:sz w:val="28"/>
          <w:szCs w:val="28"/>
        </w:rPr>
      </w:pPr>
    </w:p>
    <w:p>
      <w:pPr>
        <w:spacing w:line="300" w:lineRule="exact"/>
        <w:rPr>
          <w:rFonts w:hint="eastAsia" w:ascii="仿宋" w:hAnsi="仿宋" w:eastAsia="仿宋" w:cs="仿宋"/>
          <w:b/>
          <w:snapToGrid w:val="0"/>
          <w:color w:val="auto"/>
          <w:sz w:val="28"/>
          <w:szCs w:val="28"/>
        </w:rPr>
      </w:pPr>
    </w:p>
    <w:p>
      <w:pPr>
        <w:spacing w:line="300" w:lineRule="exact"/>
        <w:rPr>
          <w:rFonts w:hint="eastAsia" w:ascii="仿宋" w:hAnsi="仿宋" w:eastAsia="仿宋" w:cs="仿宋"/>
          <w:b/>
          <w:snapToGrid w:val="0"/>
          <w:color w:val="auto"/>
          <w:sz w:val="28"/>
          <w:szCs w:val="28"/>
        </w:rPr>
      </w:pPr>
    </w:p>
    <w:p>
      <w:pPr>
        <w:spacing w:line="300" w:lineRule="exact"/>
        <w:rPr>
          <w:rFonts w:hint="eastAsia" w:ascii="仿宋" w:hAnsi="仿宋" w:eastAsia="仿宋" w:cs="仿宋"/>
          <w:b/>
          <w:snapToGrid w:val="0"/>
          <w:color w:val="auto"/>
          <w:sz w:val="28"/>
          <w:szCs w:val="28"/>
        </w:rPr>
      </w:pPr>
    </w:p>
    <w:p>
      <w:pPr>
        <w:spacing w:line="300" w:lineRule="exact"/>
        <w:rPr>
          <w:rFonts w:hint="eastAsia" w:ascii="仿宋" w:hAnsi="仿宋" w:eastAsia="仿宋" w:cs="仿宋"/>
          <w:b/>
          <w:snapToGrid w:val="0"/>
          <w:color w:val="auto"/>
          <w:sz w:val="28"/>
          <w:szCs w:val="28"/>
        </w:rPr>
      </w:pPr>
    </w:p>
    <w:p>
      <w:pPr>
        <w:spacing w:line="300" w:lineRule="exact"/>
        <w:rPr>
          <w:rFonts w:hint="eastAsia" w:ascii="仿宋" w:hAnsi="仿宋" w:eastAsia="仿宋" w:cs="仿宋"/>
          <w:b/>
          <w:snapToGrid w:val="0"/>
          <w:color w:val="auto"/>
          <w:sz w:val="28"/>
          <w:szCs w:val="28"/>
        </w:rPr>
      </w:pPr>
    </w:p>
    <w:p>
      <w:pPr>
        <w:spacing w:line="300" w:lineRule="exact"/>
        <w:rPr>
          <w:rFonts w:hint="eastAsia" w:ascii="仿宋" w:hAnsi="仿宋" w:eastAsia="仿宋" w:cs="仿宋"/>
          <w:b/>
          <w:snapToGrid w:val="0"/>
          <w:color w:val="auto"/>
          <w:sz w:val="28"/>
          <w:szCs w:val="28"/>
        </w:rPr>
      </w:pPr>
    </w:p>
    <w:p>
      <w:pPr>
        <w:spacing w:line="300" w:lineRule="exact"/>
        <w:rPr>
          <w:rFonts w:hint="eastAsia" w:ascii="仿宋" w:hAnsi="仿宋" w:eastAsia="仿宋" w:cs="仿宋"/>
          <w:b/>
          <w:snapToGrid w:val="0"/>
          <w:color w:val="auto"/>
          <w:sz w:val="28"/>
          <w:szCs w:val="28"/>
        </w:rPr>
      </w:pPr>
    </w:p>
    <w:p>
      <w:pPr>
        <w:spacing w:line="500" w:lineRule="exact"/>
        <w:ind w:firstLine="3654" w:firstLineChars="1300"/>
        <w:rPr>
          <w:rFonts w:hint="eastAsia" w:ascii="仿宋" w:hAnsi="仿宋" w:eastAsia="仿宋" w:cs="仿宋"/>
          <w:b/>
          <w:snapToGrid w:val="0"/>
          <w:color w:val="auto"/>
        </w:rPr>
      </w:pPr>
      <w:r>
        <w:rPr>
          <w:rFonts w:hint="eastAsia" w:ascii="仿宋" w:hAnsi="仿宋" w:eastAsia="仿宋" w:cs="仿宋"/>
          <w:b/>
          <w:snapToGrid w:val="0"/>
          <w:color w:val="auto"/>
          <w:sz w:val="28"/>
          <w:szCs w:val="28"/>
        </w:rPr>
        <w:t>八、其他材料</w:t>
      </w:r>
      <w:bookmarkEnd w:id="1052"/>
      <w:bookmarkEnd w:id="1053"/>
      <w:bookmarkEnd w:id="1054"/>
      <w:bookmarkEnd w:id="1058"/>
    </w:p>
    <w:p>
      <w:pPr>
        <w:ind w:firstLine="1265" w:firstLineChars="450"/>
        <w:jc w:val="left"/>
        <w:textAlignment w:val="auto"/>
        <w:rPr>
          <w:rFonts w:hint="eastAsia" w:ascii="仿宋" w:hAnsi="仿宋" w:eastAsia="仿宋" w:cs="仿宋"/>
          <w:b/>
          <w:snapToGrid w:val="0"/>
          <w:color w:val="auto"/>
          <w:sz w:val="28"/>
          <w:szCs w:val="28"/>
        </w:rPr>
      </w:pPr>
      <w:r>
        <w:rPr>
          <w:rFonts w:hint="eastAsia" w:ascii="仿宋" w:hAnsi="仿宋" w:eastAsia="仿宋" w:cs="仿宋"/>
          <w:b/>
          <w:snapToGrid w:val="0"/>
          <w:color w:val="auto"/>
          <w:sz w:val="28"/>
          <w:szCs w:val="28"/>
        </w:rPr>
        <w:t>1、拟派项目负责人无限制投标的不良行为记录承诺书</w:t>
      </w:r>
    </w:p>
    <w:p>
      <w:pPr>
        <w:spacing w:line="420" w:lineRule="exact"/>
        <w:ind w:firstLine="105" w:firstLineChars="50"/>
        <w:jc w:val="left"/>
        <w:textAlignment w:val="auto"/>
        <w:rPr>
          <w:rFonts w:hint="eastAsia" w:ascii="仿宋" w:hAnsi="仿宋" w:eastAsia="仿宋" w:cs="仿宋"/>
          <w:color w:val="auto"/>
          <w:sz w:val="21"/>
          <w:szCs w:val="21"/>
          <w:u w:val="single"/>
        </w:rPr>
      </w:pPr>
      <w:r>
        <w:rPr>
          <w:rFonts w:hint="eastAsia" w:ascii="仿宋" w:hAnsi="仿宋" w:eastAsia="仿宋" w:cs="仿宋"/>
          <w:color w:val="auto"/>
          <w:sz w:val="21"/>
          <w:szCs w:val="21"/>
          <w:u w:val="single"/>
        </w:rPr>
        <w:t>（招标人名称）</w:t>
      </w:r>
      <w:r>
        <w:rPr>
          <w:rFonts w:hint="eastAsia" w:ascii="仿宋" w:hAnsi="仿宋" w:eastAsia="仿宋" w:cs="仿宋"/>
          <w:color w:val="auto"/>
          <w:sz w:val="21"/>
          <w:szCs w:val="21"/>
        </w:rPr>
        <w:t>：</w:t>
      </w:r>
    </w:p>
    <w:p>
      <w:pPr>
        <w:spacing w:line="42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本投标人</w:t>
      </w:r>
      <w:r>
        <w:rPr>
          <w:rFonts w:hint="eastAsia" w:ascii="仿宋" w:hAnsi="仿宋" w:eastAsia="仿宋" w:cs="仿宋"/>
          <w:color w:val="auto"/>
          <w:sz w:val="21"/>
          <w:szCs w:val="21"/>
          <w:u w:val="single"/>
        </w:rPr>
        <w:t>（投标人名称）</w:t>
      </w:r>
      <w:r>
        <w:rPr>
          <w:rFonts w:hint="eastAsia" w:ascii="仿宋" w:hAnsi="仿宋" w:eastAsia="仿宋" w:cs="仿宋"/>
          <w:color w:val="auto"/>
          <w:sz w:val="21"/>
          <w:szCs w:val="21"/>
        </w:rPr>
        <w:t>郑重承诺：</w:t>
      </w:r>
    </w:p>
    <w:p>
      <w:pPr>
        <w:spacing w:line="42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1、拟派本招标项目_____________（招标项目名称）______________（标段名称）的项目负责人</w:t>
      </w:r>
      <w:r>
        <w:rPr>
          <w:rFonts w:hint="eastAsia" w:ascii="仿宋" w:hAnsi="仿宋" w:eastAsia="仿宋" w:cs="仿宋"/>
          <w:color w:val="auto"/>
          <w:sz w:val="21"/>
          <w:szCs w:val="21"/>
          <w:u w:val="single"/>
        </w:rPr>
        <w:t>（姓名）</w:t>
      </w:r>
      <w:r>
        <w:rPr>
          <w:rFonts w:hint="eastAsia" w:ascii="仿宋" w:hAnsi="仿宋" w:eastAsia="仿宋" w:cs="仿宋"/>
          <w:color w:val="auto"/>
          <w:sz w:val="21"/>
          <w:szCs w:val="21"/>
        </w:rPr>
        <w:t>（建造师注册证书号：__________________）无招标文件所指的在建工程。</w:t>
      </w:r>
    </w:p>
    <w:p>
      <w:pPr>
        <w:spacing w:line="42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2、本投标人及拟派本招标项目的项目负责人无本地区范围内的水利建设市场限制投标期内的不良行为记录（以当地水行政主管部门不良行为记录查询结果为准）。</w:t>
      </w:r>
    </w:p>
    <w:p>
      <w:pPr>
        <w:spacing w:line="42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3、本投标人及拟派本招标项目项目负责人_________（身份证号码：____________）自____年____月_____日（以法院判决书出具的日期为准）以来至投标截止时间，无行贿犯罪记录。</w:t>
      </w:r>
    </w:p>
    <w:p>
      <w:pPr>
        <w:spacing w:line="42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4.本投标人提供的资料保证真实。</w:t>
      </w:r>
    </w:p>
    <w:p>
      <w:pPr>
        <w:spacing w:line="420" w:lineRule="exact"/>
        <w:ind w:firstLine="211" w:firstLineChars="100"/>
        <w:jc w:val="left"/>
        <w:textAlignment w:val="auto"/>
        <w:rPr>
          <w:rFonts w:hint="eastAsia" w:ascii="仿宋" w:hAnsi="仿宋" w:eastAsia="仿宋" w:cs="仿宋"/>
          <w:color w:val="auto"/>
          <w:sz w:val="21"/>
          <w:szCs w:val="21"/>
        </w:rPr>
      </w:pPr>
      <w:r>
        <w:rPr>
          <w:rFonts w:hint="eastAsia" w:ascii="仿宋" w:hAnsi="仿宋" w:eastAsia="仿宋" w:cs="仿宋"/>
          <w:b/>
          <w:bCs/>
          <w:color w:val="auto"/>
          <w:sz w:val="21"/>
          <w:szCs w:val="21"/>
        </w:rPr>
        <w:t>以上情况如有不实，愿意被取消本项目投标资格、被没收投标保证金和无条件接受3个月及以上的不良行为公示。</w:t>
      </w:r>
    </w:p>
    <w:p>
      <w:pPr>
        <w:spacing w:line="42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附：拟派项目负责人身份证扫描件</w:t>
      </w:r>
    </w:p>
    <w:tbl>
      <w:tblPr>
        <w:tblStyle w:val="25"/>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9004" w:type="dxa"/>
          </w:tcPr>
          <w:p>
            <w:pPr>
              <w:spacing w:line="600" w:lineRule="auto"/>
              <w:jc w:val="center"/>
              <w:rPr>
                <w:rFonts w:hint="eastAsia" w:ascii="仿宋" w:hAnsi="仿宋" w:eastAsia="仿宋" w:cs="仿宋"/>
                <w:color w:val="auto"/>
                <w:kern w:val="2"/>
                <w:szCs w:val="24"/>
              </w:rPr>
            </w:pPr>
          </w:p>
          <w:p>
            <w:pPr>
              <w:spacing w:line="600" w:lineRule="auto"/>
              <w:jc w:val="center"/>
              <w:rPr>
                <w:rFonts w:hint="eastAsia" w:ascii="仿宋" w:hAnsi="仿宋" w:eastAsia="仿宋" w:cs="仿宋"/>
                <w:color w:val="auto"/>
                <w:kern w:val="2"/>
                <w:szCs w:val="24"/>
              </w:rPr>
            </w:pPr>
          </w:p>
          <w:p>
            <w:pPr>
              <w:spacing w:line="600" w:lineRule="auto"/>
              <w:jc w:val="center"/>
              <w:rPr>
                <w:rFonts w:hint="eastAsia" w:ascii="仿宋" w:hAnsi="仿宋" w:eastAsia="仿宋" w:cs="仿宋"/>
                <w:color w:val="auto"/>
                <w:kern w:val="2"/>
                <w:szCs w:val="24"/>
              </w:rPr>
            </w:pPr>
          </w:p>
          <w:p>
            <w:pPr>
              <w:spacing w:line="600" w:lineRule="auto"/>
              <w:jc w:val="center"/>
              <w:rPr>
                <w:rFonts w:hint="eastAsia" w:ascii="仿宋" w:hAnsi="仿宋" w:eastAsia="仿宋" w:cs="仿宋"/>
                <w:color w:val="auto"/>
                <w:kern w:val="2"/>
                <w:szCs w:val="24"/>
              </w:rPr>
            </w:pPr>
            <w:r>
              <w:rPr>
                <w:rFonts w:hint="eastAsia" w:ascii="仿宋" w:hAnsi="仿宋" w:eastAsia="仿宋" w:cs="仿宋"/>
                <w:color w:val="auto"/>
                <w:kern w:val="2"/>
                <w:szCs w:val="24"/>
              </w:rPr>
              <w:t>拟派项目负责人身份证（正、反面）</w:t>
            </w:r>
          </w:p>
        </w:tc>
      </w:tr>
    </w:tbl>
    <w:p>
      <w:pPr>
        <w:spacing w:line="600" w:lineRule="auto"/>
        <w:rPr>
          <w:rFonts w:hint="eastAsia" w:ascii="仿宋" w:hAnsi="仿宋" w:eastAsia="仿宋" w:cs="仿宋"/>
          <w:color w:val="auto"/>
          <w:szCs w:val="24"/>
        </w:rPr>
      </w:pPr>
    </w:p>
    <w:p>
      <w:pPr>
        <w:spacing w:line="276" w:lineRule="auto"/>
        <w:ind w:right="-20" w:firstLine="200"/>
        <w:jc w:val="left"/>
        <w:rPr>
          <w:rFonts w:hint="eastAsia" w:ascii="仿宋" w:hAnsi="仿宋" w:eastAsia="仿宋" w:cs="仿宋"/>
          <w:color w:val="auto"/>
          <w:sz w:val="20"/>
        </w:rPr>
      </w:pPr>
    </w:p>
    <w:p>
      <w:pPr>
        <w:spacing w:line="360" w:lineRule="auto"/>
        <w:ind w:firstLine="3570" w:firstLineChars="1700"/>
        <w:rPr>
          <w:rFonts w:hint="eastAsia" w:ascii="仿宋" w:hAnsi="仿宋" w:eastAsia="仿宋" w:cs="仿宋"/>
          <w:snapToGrid w:val="0"/>
          <w:color w:val="auto"/>
          <w:sz w:val="21"/>
          <w:szCs w:val="21"/>
        </w:rPr>
      </w:pPr>
      <w:r>
        <w:rPr>
          <w:rFonts w:hint="eastAsia" w:ascii="仿宋" w:hAnsi="仿宋" w:eastAsia="仿宋" w:cs="仿宋"/>
          <w:snapToGrid w:val="0"/>
          <w:color w:val="auto"/>
          <w:sz w:val="21"/>
          <w:szCs w:val="21"/>
        </w:rPr>
        <w:t>投标人：</w:t>
      </w:r>
      <w:r>
        <w:rPr>
          <w:rFonts w:hint="eastAsia" w:ascii="仿宋" w:hAnsi="仿宋" w:eastAsia="仿宋" w:cs="仿宋"/>
          <w:snapToGrid w:val="0"/>
          <w:color w:val="auto"/>
          <w:sz w:val="21"/>
          <w:szCs w:val="21"/>
          <w:u w:val="single"/>
        </w:rPr>
        <w:t xml:space="preserve">             （盖单位章）</w:t>
      </w:r>
    </w:p>
    <w:p>
      <w:pPr>
        <w:spacing w:line="600" w:lineRule="auto"/>
        <w:jc w:val="center"/>
        <w:rPr>
          <w:rFonts w:hint="eastAsia" w:ascii="仿宋" w:hAnsi="仿宋" w:eastAsia="仿宋" w:cs="仿宋"/>
          <w:b/>
          <w:snapToGrid w:val="0"/>
          <w:color w:val="auto"/>
          <w:sz w:val="44"/>
          <w:szCs w:val="44"/>
        </w:rPr>
      </w:pPr>
      <w:r>
        <w:rPr>
          <w:rFonts w:hint="eastAsia" w:ascii="仿宋" w:hAnsi="仿宋" w:eastAsia="仿宋" w:cs="仿宋"/>
          <w:snapToGrid w:val="0"/>
          <w:color w:val="auto"/>
          <w:sz w:val="21"/>
          <w:szCs w:val="21"/>
        </w:rPr>
        <w:t>年月日</w:t>
      </w:r>
    </w:p>
    <w:p>
      <w:pPr>
        <w:spacing w:line="600" w:lineRule="auto"/>
        <w:jc w:val="center"/>
        <w:rPr>
          <w:rFonts w:hint="eastAsia" w:ascii="仿宋" w:hAnsi="仿宋" w:eastAsia="仿宋" w:cs="仿宋"/>
          <w:b/>
          <w:snapToGrid w:val="0"/>
          <w:color w:val="auto"/>
          <w:sz w:val="44"/>
          <w:szCs w:val="44"/>
        </w:rPr>
      </w:pPr>
    </w:p>
    <w:p>
      <w:pPr>
        <w:jc w:val="center"/>
        <w:rPr>
          <w:rFonts w:hint="eastAsia" w:ascii="仿宋" w:hAnsi="仿宋" w:eastAsia="仿宋" w:cs="仿宋"/>
          <w:b/>
          <w:snapToGrid w:val="0"/>
          <w:color w:val="auto"/>
          <w:sz w:val="28"/>
          <w:szCs w:val="28"/>
        </w:rPr>
      </w:pPr>
    </w:p>
    <w:p>
      <w:pPr>
        <w:jc w:val="center"/>
        <w:rPr>
          <w:rFonts w:hint="eastAsia" w:ascii="仿宋" w:hAnsi="仿宋" w:eastAsia="仿宋" w:cs="仿宋"/>
          <w:b/>
          <w:snapToGrid w:val="0"/>
          <w:color w:val="auto"/>
          <w:sz w:val="28"/>
          <w:szCs w:val="28"/>
        </w:rPr>
      </w:pPr>
    </w:p>
    <w:p>
      <w:pPr>
        <w:jc w:val="center"/>
        <w:rPr>
          <w:rFonts w:hint="eastAsia" w:ascii="仿宋" w:hAnsi="仿宋" w:eastAsia="仿宋" w:cs="仿宋"/>
          <w:b/>
          <w:snapToGrid w:val="0"/>
          <w:color w:val="auto"/>
          <w:sz w:val="28"/>
          <w:szCs w:val="28"/>
        </w:rPr>
      </w:pPr>
    </w:p>
    <w:p>
      <w:pPr>
        <w:spacing w:line="340" w:lineRule="exact"/>
        <w:ind w:firstLine="1365" w:firstLineChars="650"/>
        <w:rPr>
          <w:rFonts w:hint="eastAsia" w:ascii="仿宋" w:hAnsi="仿宋" w:eastAsia="仿宋" w:cs="仿宋"/>
          <w:b/>
          <w:bCs/>
          <w:color w:val="auto"/>
        </w:rPr>
      </w:pPr>
      <w:r>
        <w:rPr>
          <w:rFonts w:hint="eastAsia" w:ascii="仿宋" w:hAnsi="仿宋" w:eastAsia="仿宋" w:cs="仿宋"/>
          <w:snapToGrid w:val="0"/>
          <w:color w:val="auto"/>
          <w:sz w:val="21"/>
          <w:szCs w:val="21"/>
        </w:rPr>
        <w:t>2</w:t>
      </w:r>
      <w:r>
        <w:rPr>
          <w:rFonts w:hint="eastAsia" w:ascii="仿宋" w:hAnsi="仿宋" w:eastAsia="仿宋" w:cs="仿宋"/>
          <w:b/>
          <w:bCs/>
          <w:color w:val="auto"/>
        </w:rPr>
        <w:t>、投标人及拟派项目负责人（总监）信用信息情况表</w:t>
      </w:r>
    </w:p>
    <w:tbl>
      <w:tblPr>
        <w:tblStyle w:val="25"/>
        <w:tblW w:w="10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100"/>
        <w:gridCol w:w="215"/>
        <w:gridCol w:w="2732"/>
        <w:gridCol w:w="3570"/>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60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投标人名称</w:t>
            </w:r>
          </w:p>
        </w:tc>
        <w:tc>
          <w:tcPr>
            <w:tcW w:w="27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仿宋" w:hAnsi="仿宋" w:eastAsia="仿宋" w:cs="仿宋"/>
                <w:color w:val="auto"/>
                <w:kern w:val="2"/>
                <w:sz w:val="21"/>
                <w:szCs w:val="21"/>
              </w:rPr>
            </w:pPr>
          </w:p>
        </w:tc>
        <w:tc>
          <w:tcPr>
            <w:tcW w:w="3570"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企业资质等级</w:t>
            </w:r>
          </w:p>
        </w:tc>
        <w:tc>
          <w:tcPr>
            <w:tcW w:w="1315"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仿宋" w:hAnsi="仿宋" w:eastAsia="仿宋" w:cs="仿宋"/>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60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企业注册地址</w:t>
            </w:r>
          </w:p>
        </w:tc>
        <w:tc>
          <w:tcPr>
            <w:tcW w:w="27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仿宋" w:hAnsi="仿宋" w:eastAsia="仿宋" w:cs="仿宋"/>
                <w:color w:val="auto"/>
                <w:kern w:val="2"/>
                <w:sz w:val="21"/>
                <w:szCs w:val="21"/>
              </w:rPr>
            </w:pPr>
          </w:p>
        </w:tc>
        <w:tc>
          <w:tcPr>
            <w:tcW w:w="3570"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联 系 电 话</w:t>
            </w:r>
          </w:p>
        </w:tc>
        <w:tc>
          <w:tcPr>
            <w:tcW w:w="1315"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仿宋" w:hAnsi="仿宋" w:eastAsia="仿宋" w:cs="仿宋"/>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60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统一社会信用代码</w:t>
            </w:r>
          </w:p>
        </w:tc>
        <w:tc>
          <w:tcPr>
            <w:tcW w:w="27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仿宋" w:hAnsi="仿宋" w:eastAsia="仿宋" w:cs="仿宋"/>
                <w:color w:val="auto"/>
                <w:kern w:val="2"/>
                <w:sz w:val="21"/>
                <w:szCs w:val="21"/>
              </w:rPr>
            </w:pPr>
          </w:p>
        </w:tc>
        <w:tc>
          <w:tcPr>
            <w:tcW w:w="3570"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拟派项目负责人（总监）</w:t>
            </w:r>
          </w:p>
        </w:tc>
        <w:tc>
          <w:tcPr>
            <w:tcW w:w="1315"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仿宋" w:hAnsi="仿宋" w:eastAsia="仿宋" w:cs="仿宋"/>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trPr>
        <w:tc>
          <w:tcPr>
            <w:tcW w:w="1285"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投标人信用信息</w:t>
            </w:r>
          </w:p>
          <w:p>
            <w:pPr>
              <w:spacing w:line="340" w:lineRule="exact"/>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情况</w:t>
            </w:r>
          </w:p>
        </w:tc>
        <w:tc>
          <w:tcPr>
            <w:tcW w:w="7617" w:type="dxa"/>
            <w:gridSpan w:val="4"/>
            <w:tcBorders>
              <w:top w:val="single" w:color="auto" w:sz="4" w:space="0"/>
              <w:left w:val="single" w:color="auto" w:sz="4" w:space="0"/>
              <w:right w:val="single" w:color="auto" w:sz="4" w:space="0"/>
            </w:tcBorders>
            <w:vAlign w:val="center"/>
          </w:tcPr>
          <w:p>
            <w:pPr>
              <w:spacing w:line="340" w:lineRule="exact"/>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 xml:space="preserve">投标人有无正在被公示与工程建设相关的不良行为记录〔不包括被项目所在地区（（区）或湖州市或浙江省〕水利建设市场限制投标的〕。   </w:t>
            </w:r>
          </w:p>
        </w:tc>
        <w:tc>
          <w:tcPr>
            <w:tcW w:w="1315" w:type="dxa"/>
            <w:tcBorders>
              <w:top w:val="single" w:color="auto" w:sz="4" w:space="0"/>
              <w:left w:val="single" w:color="auto" w:sz="4" w:space="0"/>
              <w:right w:val="single" w:color="auto" w:sz="4" w:space="0"/>
            </w:tcBorders>
            <w:vAlign w:val="center"/>
          </w:tcPr>
          <w:p>
            <w:pPr>
              <w:spacing w:line="340" w:lineRule="exact"/>
              <w:rPr>
                <w:rFonts w:hint="eastAsia" w:ascii="仿宋" w:hAnsi="仿宋" w:eastAsia="仿宋" w:cs="仿宋"/>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285"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仿宋" w:hAnsi="仿宋" w:eastAsia="仿宋" w:cs="仿宋"/>
                <w:color w:val="auto"/>
                <w:kern w:val="2"/>
                <w:sz w:val="21"/>
                <w:szCs w:val="21"/>
              </w:rPr>
            </w:pPr>
          </w:p>
        </w:tc>
        <w:tc>
          <w:tcPr>
            <w:tcW w:w="7617"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投标截止日前一年内有无与工程建设相关的受到行政机关罚款及以上的行政处罚。</w:t>
            </w:r>
          </w:p>
        </w:tc>
        <w:tc>
          <w:tcPr>
            <w:tcW w:w="1315"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仿宋" w:hAnsi="仿宋" w:eastAsia="仿宋" w:cs="仿宋"/>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1" w:hRule="atLeast"/>
        </w:trPr>
        <w:tc>
          <w:tcPr>
            <w:tcW w:w="1285"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拟派项目</w:t>
            </w:r>
          </w:p>
          <w:p>
            <w:pPr>
              <w:spacing w:line="340" w:lineRule="exact"/>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负责人（总监）信用信息</w:t>
            </w:r>
          </w:p>
          <w:p>
            <w:pPr>
              <w:spacing w:line="340" w:lineRule="exact"/>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情况</w:t>
            </w:r>
          </w:p>
        </w:tc>
        <w:tc>
          <w:tcPr>
            <w:tcW w:w="7617" w:type="dxa"/>
            <w:gridSpan w:val="4"/>
            <w:tcBorders>
              <w:top w:val="single" w:color="auto" w:sz="4" w:space="0"/>
              <w:left w:val="single" w:color="auto" w:sz="4" w:space="0"/>
              <w:right w:val="single" w:color="auto" w:sz="4" w:space="0"/>
            </w:tcBorders>
            <w:vAlign w:val="center"/>
          </w:tcPr>
          <w:p>
            <w:pPr>
              <w:spacing w:line="340" w:lineRule="exact"/>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 xml:space="preserve">拟派项目负责人（总监）有无正在被公示的与工程建设相关的不良行为记录〔不包括被项目所在地区（县（区）或湖州市）水利建设市场限制投标的〕。       </w:t>
            </w:r>
          </w:p>
        </w:tc>
        <w:tc>
          <w:tcPr>
            <w:tcW w:w="1315" w:type="dxa"/>
            <w:tcBorders>
              <w:top w:val="single" w:color="auto" w:sz="4" w:space="0"/>
              <w:left w:val="single" w:color="auto" w:sz="4" w:space="0"/>
              <w:right w:val="single" w:color="auto" w:sz="4" w:space="0"/>
            </w:tcBorders>
            <w:vAlign w:val="center"/>
          </w:tcPr>
          <w:p>
            <w:pPr>
              <w:spacing w:line="340" w:lineRule="exact"/>
              <w:rPr>
                <w:rFonts w:hint="eastAsia" w:ascii="仿宋" w:hAnsi="仿宋" w:eastAsia="仿宋" w:cs="仿宋"/>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285"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仿宋" w:hAnsi="仿宋" w:eastAsia="仿宋" w:cs="仿宋"/>
                <w:color w:val="auto"/>
                <w:kern w:val="2"/>
                <w:sz w:val="21"/>
                <w:szCs w:val="21"/>
              </w:rPr>
            </w:pPr>
          </w:p>
        </w:tc>
        <w:tc>
          <w:tcPr>
            <w:tcW w:w="7617"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拟派项目负责人（总监）投标截止日前一年内有无与工程建设相关的受到行政机关罚款及以上的行政处罚。</w:t>
            </w:r>
          </w:p>
        </w:tc>
        <w:tc>
          <w:tcPr>
            <w:tcW w:w="1315"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仿宋" w:hAnsi="仿宋" w:eastAsia="仿宋" w:cs="仿宋"/>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9" w:hRule="atLeast"/>
        </w:trPr>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投标 人 声 明</w:t>
            </w:r>
          </w:p>
        </w:tc>
        <w:tc>
          <w:tcPr>
            <w:tcW w:w="7832" w:type="dxa"/>
            <w:gridSpan w:val="4"/>
            <w:tcBorders>
              <w:top w:val="single" w:color="auto" w:sz="4" w:space="0"/>
              <w:left w:val="single" w:color="auto" w:sz="4" w:space="0"/>
              <w:bottom w:val="single" w:color="auto" w:sz="4" w:space="0"/>
              <w:right w:val="single" w:color="auto" w:sz="4" w:space="0"/>
            </w:tcBorders>
          </w:tcPr>
          <w:p>
            <w:pPr>
              <w:ind w:firstLine="308" w:firstLineChars="147"/>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以上内容是本投标人信用信息的真实反映，如有不实，自愿取消本项目投标资格，并无条件接受行政主管部门的行政处罚。</w:t>
            </w:r>
          </w:p>
          <w:p>
            <w:pPr>
              <w:spacing w:line="340" w:lineRule="exact"/>
              <w:rPr>
                <w:rFonts w:hint="eastAsia" w:ascii="仿宋" w:hAnsi="仿宋" w:eastAsia="仿宋" w:cs="仿宋"/>
                <w:color w:val="auto"/>
                <w:kern w:val="2"/>
                <w:sz w:val="21"/>
                <w:szCs w:val="21"/>
              </w:rPr>
            </w:pPr>
          </w:p>
          <w:p>
            <w:pPr>
              <w:spacing w:line="340" w:lineRule="exact"/>
              <w:ind w:firstLine="1890" w:firstLineChars="900"/>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 xml:space="preserve">  法定代表人：            （签字或盖章）</w:t>
            </w:r>
          </w:p>
          <w:p>
            <w:pPr>
              <w:spacing w:line="340" w:lineRule="exact"/>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投标人：(单位公章)</w:t>
            </w:r>
          </w:p>
          <w:p>
            <w:pPr>
              <w:spacing w:line="340" w:lineRule="exact"/>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 xml:space="preserve">                               日    期：     年   月  日</w:t>
            </w:r>
          </w:p>
        </w:tc>
      </w:tr>
    </w:tbl>
    <w:p>
      <w:pPr>
        <w:spacing w:line="340" w:lineRule="exact"/>
        <w:rPr>
          <w:rFonts w:hint="eastAsia" w:ascii="仿宋" w:hAnsi="仿宋" w:eastAsia="仿宋" w:cs="仿宋"/>
          <w:b/>
          <w:bCs/>
          <w:color w:val="auto"/>
          <w:sz w:val="21"/>
          <w:szCs w:val="21"/>
        </w:rPr>
      </w:pPr>
      <w:r>
        <w:rPr>
          <w:rFonts w:hint="eastAsia" w:ascii="仿宋" w:hAnsi="仿宋" w:eastAsia="仿宋" w:cs="仿宋"/>
          <w:b/>
          <w:bCs/>
          <w:color w:val="auto"/>
          <w:sz w:val="21"/>
          <w:szCs w:val="21"/>
        </w:rPr>
        <w:t>注： 1. “投标人信用信息情况”、“拟派项目负责人（总监）信用信息情况”表格内必须填写“有”或“无”。如为空白或“/”的均以未按规定的格式填写处理。</w:t>
      </w:r>
    </w:p>
    <w:p>
      <w:pPr>
        <w:spacing w:line="340" w:lineRule="exact"/>
        <w:rPr>
          <w:rFonts w:hint="eastAsia" w:ascii="仿宋" w:hAnsi="仿宋" w:eastAsia="仿宋" w:cs="仿宋"/>
          <w:b/>
          <w:bCs/>
          <w:color w:val="auto"/>
          <w:sz w:val="21"/>
          <w:szCs w:val="21"/>
        </w:rPr>
      </w:pPr>
      <w:r>
        <w:rPr>
          <w:rFonts w:hint="eastAsia" w:ascii="仿宋" w:hAnsi="仿宋" w:eastAsia="仿宋" w:cs="仿宋"/>
          <w:b/>
          <w:bCs/>
          <w:color w:val="auto"/>
          <w:sz w:val="21"/>
          <w:szCs w:val="21"/>
        </w:rPr>
        <w:t>不良行为记录是指各行政机关出具的不良行为认定书、黑名单、失信名单或通知、通报、警示警告、责令整改（停工）通知书等明确认定为“不良行为”的各类文书，该文书注明时限的以时限为准，未注明时限的按一年计。</w:t>
      </w:r>
    </w:p>
    <w:p>
      <w:pPr>
        <w:spacing w:line="340" w:lineRule="exact"/>
        <w:rPr>
          <w:rFonts w:hint="eastAsia" w:ascii="仿宋" w:hAnsi="仿宋" w:eastAsia="仿宋" w:cs="仿宋"/>
          <w:b/>
          <w:bCs/>
          <w:color w:val="auto"/>
          <w:sz w:val="21"/>
          <w:szCs w:val="21"/>
        </w:rPr>
      </w:pPr>
      <w:r>
        <w:rPr>
          <w:rFonts w:hint="eastAsia" w:ascii="仿宋" w:hAnsi="仿宋" w:eastAsia="仿宋" w:cs="仿宋"/>
          <w:b/>
          <w:bCs/>
          <w:color w:val="auto"/>
          <w:sz w:val="21"/>
          <w:szCs w:val="21"/>
        </w:rPr>
        <w:t>行政处罚是指各行政机关作出的行政处罚决定书，时间以作出行政处罚决定的日期为准。</w:t>
      </w:r>
    </w:p>
    <w:p>
      <w:pPr>
        <w:spacing w:line="340" w:lineRule="exact"/>
        <w:rPr>
          <w:rFonts w:hint="eastAsia" w:ascii="仿宋" w:hAnsi="仿宋" w:eastAsia="仿宋" w:cs="仿宋"/>
          <w:b/>
          <w:bCs/>
          <w:color w:val="auto"/>
          <w:sz w:val="21"/>
          <w:szCs w:val="21"/>
        </w:rPr>
      </w:pPr>
      <w:r>
        <w:rPr>
          <w:rFonts w:hint="eastAsia" w:ascii="仿宋" w:hAnsi="仿宋" w:eastAsia="仿宋" w:cs="仿宋"/>
          <w:b/>
          <w:bCs/>
          <w:color w:val="auto"/>
          <w:sz w:val="21"/>
          <w:szCs w:val="21"/>
        </w:rPr>
        <w:t>4.不良行为记录和行政处罚如提前结束或被撤销的，投标文件中必须提供原处理部门出具的正式文书。如未提供均按未如实填写处理。</w:t>
      </w:r>
    </w:p>
    <w:p>
      <w:pPr>
        <w:spacing w:line="340" w:lineRule="exact"/>
        <w:rPr>
          <w:rFonts w:hint="eastAsia" w:ascii="仿宋" w:hAnsi="仿宋" w:eastAsia="仿宋" w:cs="仿宋"/>
          <w:b/>
          <w:bCs/>
          <w:color w:val="auto"/>
          <w:sz w:val="21"/>
          <w:szCs w:val="21"/>
        </w:rPr>
      </w:pPr>
      <w:r>
        <w:rPr>
          <w:rFonts w:hint="eastAsia" w:ascii="仿宋" w:hAnsi="仿宋" w:eastAsia="仿宋" w:cs="仿宋"/>
          <w:b/>
          <w:bCs/>
          <w:color w:val="auto"/>
          <w:sz w:val="21"/>
          <w:szCs w:val="21"/>
        </w:rPr>
        <w:t>5.与工程建设相关的行政处罚或不良行为记录是指：投标人或拟派项目负责人（总监）在从事工程建设活动中，因违反招标投标规定、法定建设程序、工程合同约定被各级行政机关作出行政处罚或记录不良行为，以及因危害社会公共安全被追究刑事责任的情形。</w:t>
      </w:r>
    </w:p>
    <w:p>
      <w:pPr>
        <w:rPr>
          <w:rFonts w:hint="eastAsia" w:ascii="仿宋" w:hAnsi="仿宋" w:eastAsia="仿宋" w:cs="仿宋"/>
          <w:color w:val="auto"/>
        </w:rPr>
      </w:pPr>
    </w:p>
    <w:p>
      <w:pPr>
        <w:jc w:val="center"/>
        <w:rPr>
          <w:rFonts w:hint="eastAsia" w:ascii="仿宋" w:hAnsi="仿宋" w:eastAsia="仿宋" w:cs="仿宋"/>
          <w:b/>
          <w:snapToGrid w:val="0"/>
          <w:color w:val="auto"/>
          <w:sz w:val="28"/>
          <w:szCs w:val="28"/>
        </w:rPr>
      </w:pPr>
    </w:p>
    <w:p>
      <w:pPr>
        <w:jc w:val="center"/>
        <w:rPr>
          <w:rFonts w:hint="eastAsia" w:ascii="仿宋" w:hAnsi="仿宋" w:eastAsia="仿宋" w:cs="仿宋"/>
          <w:b/>
          <w:snapToGrid w:val="0"/>
          <w:color w:val="auto"/>
          <w:sz w:val="28"/>
          <w:szCs w:val="28"/>
        </w:rPr>
      </w:pPr>
      <w:r>
        <w:rPr>
          <w:rFonts w:hint="eastAsia" w:ascii="仿宋" w:hAnsi="仿宋" w:eastAsia="仿宋" w:cs="仿宋"/>
          <w:b/>
          <w:snapToGrid w:val="0"/>
          <w:color w:val="auto"/>
          <w:sz w:val="28"/>
          <w:szCs w:val="28"/>
        </w:rPr>
        <w:t>3、“无欠薪”承诺</w:t>
      </w:r>
    </w:p>
    <w:p>
      <w:pPr>
        <w:spacing w:line="420" w:lineRule="exact"/>
        <w:jc w:val="left"/>
        <w:rPr>
          <w:rFonts w:hint="eastAsia" w:ascii="仿宋" w:hAnsi="仿宋" w:eastAsia="仿宋" w:cs="仿宋"/>
          <w:color w:val="auto"/>
          <w:szCs w:val="21"/>
          <w:u w:val="single"/>
        </w:rPr>
      </w:pPr>
      <w:r>
        <w:rPr>
          <w:rFonts w:hint="eastAsia" w:ascii="仿宋" w:hAnsi="仿宋" w:eastAsia="仿宋" w:cs="仿宋"/>
          <w:color w:val="auto"/>
          <w:szCs w:val="21"/>
        </w:rPr>
        <w:softHyphen/>
      </w:r>
      <w:r>
        <w:rPr>
          <w:rFonts w:hint="eastAsia" w:ascii="仿宋" w:hAnsi="仿宋" w:eastAsia="仿宋" w:cs="仿宋"/>
          <w:color w:val="auto"/>
          <w:szCs w:val="21"/>
        </w:rPr>
        <w:softHyphen/>
      </w:r>
      <w:r>
        <w:rPr>
          <w:rFonts w:hint="eastAsia" w:ascii="仿宋" w:hAnsi="仿宋" w:eastAsia="仿宋" w:cs="仿宋"/>
          <w:color w:val="auto"/>
          <w:szCs w:val="21"/>
        </w:rPr>
        <w:softHyphen/>
      </w:r>
      <w:r>
        <w:rPr>
          <w:rFonts w:hint="eastAsia" w:ascii="仿宋" w:hAnsi="仿宋" w:eastAsia="仿宋" w:cs="仿宋"/>
          <w:color w:val="auto"/>
          <w:szCs w:val="21"/>
        </w:rPr>
        <w:softHyphen/>
      </w:r>
      <w:r>
        <w:rPr>
          <w:rFonts w:hint="eastAsia" w:ascii="仿宋" w:hAnsi="仿宋" w:eastAsia="仿宋" w:cs="仿宋"/>
          <w:color w:val="auto"/>
          <w:szCs w:val="21"/>
        </w:rPr>
        <w:softHyphen/>
      </w:r>
      <w:r>
        <w:rPr>
          <w:rFonts w:hint="eastAsia" w:ascii="仿宋" w:hAnsi="仿宋" w:eastAsia="仿宋" w:cs="仿宋"/>
          <w:color w:val="auto"/>
          <w:szCs w:val="21"/>
        </w:rPr>
        <w:softHyphen/>
      </w:r>
      <w:r>
        <w:rPr>
          <w:rFonts w:hint="eastAsia" w:ascii="仿宋" w:hAnsi="仿宋" w:eastAsia="仿宋" w:cs="仿宋"/>
          <w:color w:val="auto"/>
          <w:szCs w:val="21"/>
        </w:rPr>
        <w:softHyphen/>
      </w:r>
      <w:r>
        <w:rPr>
          <w:rFonts w:hint="eastAsia" w:ascii="仿宋" w:hAnsi="仿宋" w:eastAsia="仿宋" w:cs="仿宋"/>
          <w:color w:val="auto"/>
          <w:szCs w:val="21"/>
        </w:rPr>
        <w:softHyphen/>
      </w:r>
      <w:r>
        <w:rPr>
          <w:rFonts w:hint="eastAsia" w:ascii="仿宋" w:hAnsi="仿宋" w:eastAsia="仿宋" w:cs="仿宋"/>
          <w:color w:val="auto"/>
          <w:szCs w:val="21"/>
        </w:rPr>
        <w:softHyphen/>
      </w:r>
      <w:r>
        <w:rPr>
          <w:rFonts w:hint="eastAsia" w:ascii="仿宋" w:hAnsi="仿宋" w:eastAsia="仿宋" w:cs="仿宋"/>
          <w:color w:val="auto"/>
          <w:szCs w:val="21"/>
        </w:rPr>
        <w:softHyphen/>
      </w:r>
      <w:r>
        <w:rPr>
          <w:rFonts w:hint="eastAsia" w:ascii="仿宋" w:hAnsi="仿宋" w:eastAsia="仿宋" w:cs="仿宋"/>
          <w:color w:val="auto"/>
          <w:szCs w:val="21"/>
        </w:rPr>
        <w:softHyphen/>
      </w:r>
      <w:r>
        <w:rPr>
          <w:rFonts w:hint="eastAsia" w:ascii="仿宋" w:hAnsi="仿宋" w:eastAsia="仿宋" w:cs="仿宋"/>
          <w:color w:val="auto"/>
          <w:szCs w:val="21"/>
        </w:rPr>
        <w:softHyphen/>
      </w:r>
      <w:r>
        <w:rPr>
          <w:rFonts w:hint="eastAsia" w:ascii="仿宋" w:hAnsi="仿宋" w:eastAsia="仿宋" w:cs="仿宋"/>
          <w:color w:val="auto"/>
          <w:szCs w:val="21"/>
        </w:rPr>
        <w:softHyphen/>
      </w:r>
      <w:r>
        <w:rPr>
          <w:rFonts w:hint="eastAsia" w:ascii="仿宋" w:hAnsi="仿宋" w:eastAsia="仿宋" w:cs="仿宋"/>
          <w:color w:val="auto"/>
          <w:szCs w:val="21"/>
        </w:rPr>
        <w:softHyphen/>
      </w:r>
      <w:r>
        <w:rPr>
          <w:rFonts w:hint="eastAsia" w:ascii="仿宋" w:hAnsi="仿宋" w:eastAsia="仿宋" w:cs="仿宋"/>
          <w:color w:val="auto"/>
          <w:szCs w:val="21"/>
        </w:rPr>
        <w:softHyphen/>
      </w:r>
      <w:r>
        <w:rPr>
          <w:rFonts w:hint="eastAsia" w:ascii="仿宋" w:hAnsi="仿宋" w:eastAsia="仿宋" w:cs="仿宋"/>
          <w:color w:val="auto"/>
          <w:szCs w:val="21"/>
        </w:rPr>
        <w:softHyphen/>
      </w:r>
      <w:r>
        <w:rPr>
          <w:rFonts w:hint="eastAsia" w:ascii="仿宋" w:hAnsi="仿宋" w:eastAsia="仿宋" w:cs="仿宋"/>
          <w:color w:val="auto"/>
          <w:szCs w:val="21"/>
        </w:rPr>
        <w:softHyphen/>
      </w:r>
      <w:r>
        <w:rPr>
          <w:rFonts w:hint="eastAsia" w:ascii="仿宋" w:hAnsi="仿宋" w:eastAsia="仿宋" w:cs="仿宋"/>
          <w:color w:val="auto"/>
          <w:szCs w:val="21"/>
        </w:rPr>
        <w:t>__________________（招标人名称）：</w:t>
      </w:r>
    </w:p>
    <w:p>
      <w:pPr>
        <w:spacing w:line="420" w:lineRule="exact"/>
        <w:jc w:val="left"/>
        <w:rPr>
          <w:rFonts w:hint="eastAsia" w:ascii="仿宋" w:hAnsi="仿宋" w:eastAsia="仿宋" w:cs="仿宋"/>
          <w:color w:val="auto"/>
          <w:szCs w:val="21"/>
        </w:rPr>
      </w:pPr>
      <w:r>
        <w:rPr>
          <w:rFonts w:hint="eastAsia" w:ascii="仿宋" w:hAnsi="仿宋" w:eastAsia="仿宋" w:cs="仿宋"/>
          <w:color w:val="auto"/>
          <w:szCs w:val="21"/>
        </w:rPr>
        <w:t>本投标人___________（投标人名称）郑重承诺：</w:t>
      </w:r>
    </w:p>
    <w:p>
      <w:pPr>
        <w:spacing w:line="420" w:lineRule="exact"/>
        <w:jc w:val="left"/>
        <w:rPr>
          <w:rFonts w:hint="eastAsia" w:ascii="仿宋" w:hAnsi="仿宋" w:eastAsia="仿宋" w:cs="仿宋"/>
          <w:color w:val="auto"/>
          <w:szCs w:val="21"/>
        </w:rPr>
      </w:pPr>
      <w:r>
        <w:rPr>
          <w:rFonts w:hint="eastAsia" w:ascii="仿宋" w:hAnsi="仿宋" w:eastAsia="仿宋" w:cs="仿宋"/>
          <w:color w:val="auto"/>
          <w:szCs w:val="21"/>
        </w:rPr>
        <w:t>1、拟派本招标项目______________（招标项目名称）_________（标段名称）的项目</w:t>
      </w:r>
      <w:r>
        <w:rPr>
          <w:rFonts w:hint="eastAsia" w:ascii="仿宋" w:hAnsi="仿宋" w:eastAsia="仿宋" w:cs="仿宋"/>
          <w:color w:val="auto"/>
          <w:szCs w:val="21"/>
          <w:lang w:eastAsia="zh-CN"/>
        </w:rPr>
        <w:t>负责人</w:t>
      </w:r>
      <w:r>
        <w:rPr>
          <w:rFonts w:hint="eastAsia" w:ascii="仿宋" w:hAnsi="仿宋" w:eastAsia="仿宋" w:cs="仿宋"/>
          <w:color w:val="auto"/>
          <w:szCs w:val="21"/>
        </w:rPr>
        <w:t>____________（姓名）“无欠薪”承诺。</w:t>
      </w:r>
    </w:p>
    <w:p>
      <w:pPr>
        <w:rPr>
          <w:rFonts w:hint="eastAsia" w:ascii="仿宋" w:hAnsi="仿宋" w:eastAsia="仿宋" w:cs="仿宋"/>
          <w:color w:val="auto"/>
        </w:rPr>
      </w:pPr>
      <w:r>
        <w:rPr>
          <w:rFonts w:hint="eastAsia" w:ascii="仿宋" w:hAnsi="仿宋" w:eastAsia="仿宋" w:cs="仿宋"/>
          <w:color w:val="auto"/>
          <w:szCs w:val="21"/>
        </w:rPr>
        <w:t>2、本投标人实行全员实名制管理，</w:t>
      </w:r>
      <w:r>
        <w:rPr>
          <w:rFonts w:hint="eastAsia" w:ascii="仿宋" w:hAnsi="仿宋" w:eastAsia="仿宋" w:cs="仿宋"/>
          <w:color w:val="auto"/>
        </w:rPr>
        <w:t>建立农民工工资专用账户，实行银行按月代发工资制度并且招标人有监督的权利。如本项目未按规定兑现，招标人不需经本标投标人同意确认有权直接从工程款中扣除该费用，用于直接支付民工工资，并扣罚双倍的费用。</w:t>
      </w:r>
    </w:p>
    <w:p>
      <w:pPr>
        <w:spacing w:line="420" w:lineRule="exact"/>
        <w:jc w:val="left"/>
        <w:rPr>
          <w:rFonts w:hint="eastAsia" w:ascii="仿宋" w:hAnsi="仿宋" w:eastAsia="仿宋" w:cs="仿宋"/>
          <w:color w:val="auto"/>
          <w:szCs w:val="21"/>
        </w:rPr>
      </w:pPr>
      <w:r>
        <w:rPr>
          <w:rFonts w:hint="eastAsia" w:ascii="仿宋" w:hAnsi="仿宋" w:eastAsia="仿宋" w:cs="仿宋"/>
          <w:color w:val="auto"/>
          <w:szCs w:val="21"/>
        </w:rPr>
        <w:t>3、本投标人提供的资料保证真实。</w:t>
      </w:r>
    </w:p>
    <w:p>
      <w:pPr>
        <w:spacing w:line="420" w:lineRule="exact"/>
        <w:jc w:val="left"/>
        <w:rPr>
          <w:rFonts w:hint="eastAsia" w:ascii="仿宋" w:hAnsi="仿宋" w:eastAsia="仿宋" w:cs="仿宋"/>
          <w:color w:val="auto"/>
          <w:szCs w:val="21"/>
        </w:rPr>
      </w:pPr>
      <w:r>
        <w:rPr>
          <w:rFonts w:hint="eastAsia" w:ascii="仿宋" w:hAnsi="仿宋" w:eastAsia="仿宋" w:cs="仿宋"/>
          <w:color w:val="auto"/>
          <w:szCs w:val="21"/>
        </w:rPr>
        <w:t>以上情况如有不实，愿意被取消中标资格并上报行政主管部门，由行政主管部门列入不良行为记录，并</w:t>
      </w:r>
      <w:r>
        <w:rPr>
          <w:rFonts w:hint="eastAsia" w:ascii="仿宋" w:hAnsi="仿宋" w:eastAsia="仿宋" w:cs="仿宋"/>
          <w:color w:val="auto"/>
        </w:rPr>
        <w:t>没收投标保证金</w:t>
      </w:r>
      <w:r>
        <w:rPr>
          <w:rFonts w:hint="eastAsia" w:ascii="仿宋" w:hAnsi="仿宋" w:eastAsia="仿宋" w:cs="仿宋"/>
          <w:color w:val="auto"/>
          <w:szCs w:val="21"/>
        </w:rPr>
        <w:t>。</w:t>
      </w:r>
    </w:p>
    <w:p>
      <w:pPr>
        <w:spacing w:line="420" w:lineRule="exact"/>
        <w:jc w:val="left"/>
        <w:rPr>
          <w:rFonts w:hint="eastAsia" w:ascii="仿宋" w:hAnsi="仿宋" w:eastAsia="仿宋" w:cs="仿宋"/>
          <w:color w:val="auto"/>
          <w:szCs w:val="21"/>
        </w:rPr>
      </w:pPr>
      <w:r>
        <w:rPr>
          <w:rFonts w:hint="eastAsia" w:ascii="仿宋" w:hAnsi="仿宋" w:eastAsia="仿宋" w:cs="仿宋"/>
          <w:color w:val="auto"/>
          <w:szCs w:val="21"/>
        </w:rPr>
        <w:t>附：项目</w:t>
      </w:r>
      <w:r>
        <w:rPr>
          <w:rFonts w:hint="eastAsia" w:ascii="仿宋" w:hAnsi="仿宋" w:eastAsia="仿宋" w:cs="仿宋"/>
          <w:color w:val="auto"/>
          <w:szCs w:val="21"/>
          <w:lang w:eastAsia="zh-CN"/>
        </w:rPr>
        <w:t>负责人</w:t>
      </w:r>
      <w:r>
        <w:rPr>
          <w:rFonts w:hint="eastAsia" w:ascii="仿宋" w:hAnsi="仿宋" w:eastAsia="仿宋" w:cs="仿宋"/>
          <w:color w:val="auto"/>
          <w:szCs w:val="21"/>
        </w:rPr>
        <w:t>身份证扫描件</w:t>
      </w:r>
    </w:p>
    <w:tbl>
      <w:tblPr>
        <w:tblStyle w:val="25"/>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9" w:hRule="atLeast"/>
        </w:trPr>
        <w:tc>
          <w:tcPr>
            <w:tcW w:w="10100" w:type="dxa"/>
          </w:tcPr>
          <w:p>
            <w:pPr>
              <w:spacing w:line="600" w:lineRule="auto"/>
              <w:jc w:val="center"/>
              <w:rPr>
                <w:rFonts w:hint="eastAsia" w:ascii="仿宋" w:hAnsi="仿宋" w:eastAsia="仿宋" w:cs="仿宋"/>
                <w:color w:val="auto"/>
                <w:kern w:val="2"/>
                <w:szCs w:val="24"/>
              </w:rPr>
            </w:pPr>
          </w:p>
          <w:p>
            <w:pPr>
              <w:spacing w:line="600" w:lineRule="auto"/>
              <w:jc w:val="center"/>
              <w:rPr>
                <w:rFonts w:hint="eastAsia" w:ascii="仿宋" w:hAnsi="仿宋" w:eastAsia="仿宋" w:cs="仿宋"/>
                <w:color w:val="auto"/>
                <w:kern w:val="2"/>
                <w:szCs w:val="24"/>
              </w:rPr>
            </w:pPr>
          </w:p>
          <w:p>
            <w:pPr>
              <w:spacing w:line="600" w:lineRule="auto"/>
              <w:jc w:val="center"/>
              <w:rPr>
                <w:rFonts w:hint="eastAsia" w:ascii="仿宋" w:hAnsi="仿宋" w:eastAsia="仿宋" w:cs="仿宋"/>
                <w:color w:val="auto"/>
                <w:kern w:val="2"/>
                <w:szCs w:val="24"/>
              </w:rPr>
            </w:pPr>
          </w:p>
          <w:p>
            <w:pPr>
              <w:spacing w:line="600" w:lineRule="auto"/>
              <w:jc w:val="center"/>
              <w:rPr>
                <w:rFonts w:hint="eastAsia" w:ascii="仿宋" w:hAnsi="仿宋" w:eastAsia="仿宋" w:cs="仿宋"/>
                <w:color w:val="auto"/>
                <w:kern w:val="2"/>
                <w:szCs w:val="24"/>
              </w:rPr>
            </w:pPr>
            <w:r>
              <w:rPr>
                <w:rFonts w:hint="eastAsia" w:ascii="仿宋" w:hAnsi="仿宋" w:eastAsia="仿宋" w:cs="仿宋"/>
                <w:color w:val="auto"/>
                <w:szCs w:val="21"/>
              </w:rPr>
              <w:t>项目</w:t>
            </w:r>
            <w:r>
              <w:rPr>
                <w:rFonts w:hint="eastAsia" w:ascii="仿宋" w:hAnsi="仿宋" w:eastAsia="仿宋" w:cs="仿宋"/>
                <w:color w:val="auto"/>
                <w:szCs w:val="21"/>
                <w:lang w:eastAsia="zh-CN"/>
              </w:rPr>
              <w:t>负责人</w:t>
            </w:r>
            <w:r>
              <w:rPr>
                <w:rFonts w:hint="eastAsia" w:ascii="仿宋" w:hAnsi="仿宋" w:eastAsia="仿宋" w:cs="仿宋"/>
                <w:color w:val="auto"/>
                <w:kern w:val="2"/>
                <w:szCs w:val="24"/>
              </w:rPr>
              <w:t>身份证（正、反面）</w:t>
            </w:r>
          </w:p>
        </w:tc>
      </w:tr>
    </w:tbl>
    <w:p>
      <w:pPr>
        <w:spacing w:line="600" w:lineRule="auto"/>
        <w:rPr>
          <w:rFonts w:hint="eastAsia" w:ascii="仿宋" w:hAnsi="仿宋" w:eastAsia="仿宋" w:cs="仿宋"/>
          <w:color w:val="auto"/>
          <w:szCs w:val="24"/>
        </w:rPr>
      </w:pPr>
    </w:p>
    <w:p>
      <w:pPr>
        <w:jc w:val="right"/>
        <w:rPr>
          <w:rFonts w:hint="eastAsia" w:ascii="仿宋" w:hAnsi="仿宋" w:eastAsia="仿宋" w:cs="仿宋"/>
          <w:color w:val="auto"/>
          <w:szCs w:val="21"/>
        </w:rPr>
      </w:pPr>
      <w:r>
        <w:rPr>
          <w:rFonts w:hint="eastAsia" w:ascii="仿宋" w:hAnsi="仿宋" w:eastAsia="仿宋" w:cs="仿宋"/>
          <w:color w:val="auto"/>
          <w:szCs w:val="21"/>
        </w:rPr>
        <w:t>投标人：_______________（盖单位章）</w:t>
      </w:r>
    </w:p>
    <w:p>
      <w:pPr>
        <w:jc w:val="right"/>
        <w:rPr>
          <w:rFonts w:hint="eastAsia" w:ascii="仿宋" w:hAnsi="仿宋" w:eastAsia="仿宋" w:cs="仿宋"/>
          <w:color w:val="auto"/>
          <w:szCs w:val="21"/>
        </w:rPr>
      </w:pPr>
    </w:p>
    <w:p>
      <w:pPr>
        <w:jc w:val="right"/>
        <w:rPr>
          <w:rFonts w:hint="eastAsia" w:ascii="仿宋" w:hAnsi="仿宋" w:eastAsia="仿宋" w:cs="仿宋"/>
          <w:color w:val="auto"/>
          <w:szCs w:val="21"/>
        </w:rPr>
      </w:pPr>
      <w:r>
        <w:rPr>
          <w:rFonts w:hint="eastAsia" w:ascii="仿宋" w:hAnsi="仿宋" w:eastAsia="仿宋" w:cs="仿宋"/>
          <w:color w:val="auto"/>
          <w:szCs w:val="21"/>
        </w:rPr>
        <w:t>年   月    日</w:t>
      </w:r>
    </w:p>
    <w:p>
      <w:pPr>
        <w:spacing w:line="600" w:lineRule="auto"/>
        <w:jc w:val="center"/>
        <w:rPr>
          <w:rFonts w:hint="eastAsia" w:ascii="仿宋" w:hAnsi="仿宋" w:eastAsia="仿宋" w:cs="仿宋"/>
          <w:b/>
          <w:snapToGrid w:val="0"/>
          <w:color w:val="auto"/>
          <w:sz w:val="44"/>
          <w:szCs w:val="44"/>
        </w:rPr>
      </w:pPr>
    </w:p>
    <w:p>
      <w:pPr>
        <w:pStyle w:val="42"/>
        <w:rPr>
          <w:rFonts w:hint="eastAsia" w:ascii="仿宋" w:hAnsi="仿宋" w:eastAsia="仿宋" w:cs="仿宋"/>
          <w:b/>
          <w:snapToGrid w:val="0"/>
          <w:color w:val="auto"/>
          <w:sz w:val="44"/>
          <w:szCs w:val="44"/>
        </w:rPr>
      </w:pPr>
    </w:p>
    <w:p>
      <w:pPr>
        <w:pStyle w:val="42"/>
        <w:rPr>
          <w:rFonts w:hint="eastAsia" w:ascii="仿宋" w:hAnsi="仿宋" w:eastAsia="仿宋" w:cs="仿宋"/>
          <w:b/>
          <w:snapToGrid w:val="0"/>
          <w:color w:val="auto"/>
          <w:sz w:val="44"/>
          <w:szCs w:val="44"/>
        </w:rPr>
      </w:pPr>
    </w:p>
    <w:p>
      <w:pPr>
        <w:pStyle w:val="42"/>
        <w:rPr>
          <w:rFonts w:hint="eastAsia" w:ascii="仿宋" w:hAnsi="仿宋" w:eastAsia="仿宋" w:cs="仿宋"/>
          <w:b/>
          <w:snapToGrid w:val="0"/>
          <w:color w:val="auto"/>
          <w:sz w:val="44"/>
          <w:szCs w:val="44"/>
        </w:rPr>
      </w:pPr>
    </w:p>
    <w:p>
      <w:pPr>
        <w:rPr>
          <w:rFonts w:hint="eastAsia" w:ascii="仿宋" w:hAnsi="仿宋" w:eastAsia="仿宋" w:cs="仿宋"/>
          <w:b/>
          <w:snapToGrid w:val="0"/>
          <w:color w:val="auto"/>
          <w:sz w:val="44"/>
          <w:szCs w:val="44"/>
        </w:rPr>
      </w:pPr>
    </w:p>
    <w:p>
      <w:pPr>
        <w:jc w:val="center"/>
        <w:rPr>
          <w:rFonts w:hint="eastAsia" w:ascii="仿宋" w:hAnsi="仿宋" w:eastAsia="仿宋" w:cs="仿宋"/>
          <w:b/>
          <w:snapToGrid w:val="0"/>
          <w:color w:val="auto"/>
          <w:sz w:val="28"/>
          <w:szCs w:val="28"/>
        </w:rPr>
      </w:pPr>
    </w:p>
    <w:p>
      <w:pPr>
        <w:jc w:val="left"/>
        <w:rPr>
          <w:rFonts w:hint="eastAsia" w:ascii="仿宋" w:hAnsi="仿宋" w:eastAsia="仿宋" w:cs="仿宋"/>
          <w:b/>
          <w:snapToGrid w:val="0"/>
          <w:color w:val="auto"/>
          <w:sz w:val="28"/>
          <w:szCs w:val="28"/>
        </w:rPr>
      </w:pPr>
      <w:r>
        <w:rPr>
          <w:rFonts w:hint="eastAsia" w:ascii="仿宋" w:hAnsi="仿宋" w:eastAsia="仿宋" w:cs="仿宋"/>
          <w:b/>
          <w:snapToGrid w:val="0"/>
          <w:color w:val="auto"/>
          <w:sz w:val="28"/>
          <w:szCs w:val="28"/>
        </w:rPr>
        <w:br w:type="page"/>
      </w:r>
    </w:p>
    <w:p>
      <w:pPr>
        <w:jc w:val="center"/>
        <w:rPr>
          <w:rFonts w:hint="eastAsia" w:ascii="仿宋" w:hAnsi="仿宋" w:eastAsia="仿宋" w:cs="仿宋"/>
          <w:b/>
          <w:snapToGrid w:val="0"/>
          <w:color w:val="auto"/>
          <w:sz w:val="28"/>
          <w:szCs w:val="28"/>
        </w:rPr>
      </w:pPr>
      <w:r>
        <w:rPr>
          <w:rFonts w:hint="eastAsia" w:ascii="仿宋" w:hAnsi="仿宋" w:eastAsia="仿宋" w:cs="仿宋"/>
          <w:b/>
          <w:snapToGrid w:val="0"/>
          <w:color w:val="auto"/>
          <w:sz w:val="28"/>
          <w:szCs w:val="28"/>
        </w:rPr>
        <w:t>4、湖州市政府投资建设项目投标人</w:t>
      </w:r>
    </w:p>
    <w:p>
      <w:pPr>
        <w:snapToGrid w:val="0"/>
        <w:spacing w:before="100" w:beforeAutospacing="1" w:after="100" w:afterAutospacing="1" w:line="460" w:lineRule="exact"/>
        <w:jc w:val="center"/>
        <w:rPr>
          <w:rFonts w:hint="eastAsia" w:ascii="仿宋" w:hAnsi="仿宋" w:eastAsia="仿宋" w:cs="仿宋"/>
          <w:color w:val="auto"/>
          <w:spacing w:val="40"/>
          <w:sz w:val="44"/>
          <w:szCs w:val="44"/>
        </w:rPr>
      </w:pPr>
      <w:r>
        <w:rPr>
          <w:rFonts w:hint="eastAsia" w:ascii="仿宋" w:hAnsi="仿宋" w:eastAsia="仿宋" w:cs="仿宋"/>
          <w:color w:val="auto"/>
          <w:spacing w:val="40"/>
          <w:sz w:val="44"/>
          <w:szCs w:val="44"/>
        </w:rPr>
        <w:t>廉洁守信承诺书</w:t>
      </w:r>
    </w:p>
    <w:p>
      <w:pPr>
        <w:rPr>
          <w:rFonts w:hint="eastAsia" w:ascii="仿宋" w:hAnsi="仿宋" w:eastAsia="仿宋" w:cs="仿宋"/>
          <w:color w:val="auto"/>
        </w:rPr>
      </w:pPr>
    </w:p>
    <w:p>
      <w:pPr>
        <w:rPr>
          <w:rFonts w:hint="eastAsia" w:ascii="仿宋" w:hAnsi="仿宋" w:eastAsia="仿宋" w:cs="仿宋"/>
          <w:color w:val="auto"/>
        </w:rPr>
      </w:pPr>
      <w:r>
        <w:rPr>
          <w:rFonts w:hint="eastAsia" w:ascii="仿宋" w:hAnsi="仿宋" w:eastAsia="仿宋" w:cs="仿宋"/>
          <w:color w:val="auto"/>
        </w:rPr>
        <w:t>本公司决定参加</w:t>
      </w:r>
      <w:r>
        <w:rPr>
          <w:rFonts w:hint="eastAsia" w:ascii="仿宋" w:hAnsi="仿宋" w:eastAsia="仿宋" w:cs="仿宋"/>
          <w:color w:val="auto"/>
          <w:u w:val="single"/>
        </w:rPr>
        <w:t>　</w:t>
      </w:r>
      <w:r>
        <w:rPr>
          <w:rFonts w:hint="eastAsia" w:ascii="仿宋" w:hAnsi="仿宋" w:eastAsia="仿宋" w:cs="仿宋"/>
          <w:color w:val="auto"/>
        </w:rPr>
        <w:t>项目投标。为维护公平竞争的市场秩序，促进企业廉洁从业、诚实守信，特承诺如下：</w:t>
      </w:r>
    </w:p>
    <w:p>
      <w:pPr>
        <w:rPr>
          <w:rFonts w:hint="eastAsia" w:ascii="仿宋" w:hAnsi="仿宋" w:eastAsia="仿宋" w:cs="仿宋"/>
          <w:color w:val="auto"/>
        </w:rPr>
      </w:pPr>
      <w:r>
        <w:rPr>
          <w:rFonts w:hint="eastAsia" w:ascii="仿宋" w:hAnsi="仿宋" w:eastAsia="仿宋" w:cs="仿宋"/>
          <w:color w:val="auto"/>
        </w:rPr>
        <w:t>一、严格遵守《中华人民共和国招标投标法》、《湖州市限额以下工程建设项目招标办法》等法律法规，决不发生以下行为：</w:t>
      </w:r>
    </w:p>
    <w:p>
      <w:pPr>
        <w:rPr>
          <w:rFonts w:hint="eastAsia" w:ascii="仿宋" w:hAnsi="仿宋" w:eastAsia="仿宋" w:cs="仿宋"/>
          <w:color w:val="auto"/>
        </w:rPr>
      </w:pPr>
      <w:r>
        <w:rPr>
          <w:rFonts w:hint="eastAsia" w:ascii="仿宋" w:hAnsi="仿宋" w:eastAsia="仿宋" w:cs="仿宋"/>
          <w:color w:val="auto"/>
        </w:rPr>
        <w:t>1.以他人名义投标，允许其他单位或个人使用本单位资质投标；</w:t>
      </w:r>
    </w:p>
    <w:p>
      <w:pPr>
        <w:rPr>
          <w:rFonts w:hint="eastAsia" w:ascii="仿宋" w:hAnsi="仿宋" w:eastAsia="仿宋" w:cs="仿宋"/>
          <w:color w:val="auto"/>
        </w:rPr>
      </w:pPr>
      <w:r>
        <w:rPr>
          <w:rFonts w:hint="eastAsia" w:ascii="仿宋" w:hAnsi="仿宋" w:eastAsia="仿宋" w:cs="仿宋"/>
          <w:color w:val="auto"/>
        </w:rPr>
        <w:t>2.提供虚假材料，或以其他方式弄虚作假骗取中标；</w:t>
      </w:r>
    </w:p>
    <w:p>
      <w:pPr>
        <w:rPr>
          <w:rFonts w:hint="eastAsia" w:ascii="仿宋" w:hAnsi="仿宋" w:eastAsia="仿宋" w:cs="仿宋"/>
          <w:color w:val="auto"/>
        </w:rPr>
      </w:pPr>
      <w:r>
        <w:rPr>
          <w:rFonts w:hint="eastAsia" w:ascii="仿宋" w:hAnsi="仿宋" w:eastAsia="仿宋" w:cs="仿宋"/>
          <w:color w:val="auto"/>
        </w:rPr>
        <w:t>3.与招标人或者其他投标人相互串通投标；</w:t>
      </w:r>
    </w:p>
    <w:p>
      <w:pPr>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sz w:val="21"/>
          <w:szCs w:val="21"/>
        </w:rPr>
        <w:t xml:space="preserve"> </w:t>
      </w:r>
      <w:r>
        <w:rPr>
          <w:rFonts w:hint="eastAsia" w:ascii="仿宋" w:hAnsi="仿宋" w:eastAsia="仿宋" w:cs="仿宋"/>
          <w:color w:val="auto"/>
        </w:rPr>
        <w:t>中标后将项目转包，或违法分包；</w:t>
      </w:r>
    </w:p>
    <w:p>
      <w:pPr>
        <w:rPr>
          <w:rFonts w:hint="eastAsia" w:ascii="仿宋" w:hAnsi="仿宋" w:eastAsia="仿宋" w:cs="仿宋"/>
          <w:color w:val="auto"/>
        </w:rPr>
      </w:pPr>
      <w:r>
        <w:rPr>
          <w:rFonts w:hint="eastAsia" w:ascii="仿宋" w:hAnsi="仿宋" w:eastAsia="仿宋" w:cs="仿宋"/>
          <w:color w:val="auto"/>
        </w:rPr>
        <w:t>5.</w:t>
      </w:r>
      <w:r>
        <w:rPr>
          <w:rFonts w:hint="eastAsia" w:ascii="仿宋" w:hAnsi="仿宋" w:eastAsia="仿宋" w:cs="仿宋"/>
          <w:color w:val="auto"/>
          <w:sz w:val="21"/>
          <w:szCs w:val="21"/>
        </w:rPr>
        <w:t xml:space="preserve"> </w:t>
      </w:r>
      <w:r>
        <w:rPr>
          <w:rFonts w:hint="eastAsia" w:ascii="仿宋" w:hAnsi="仿宋" w:eastAsia="仿宋" w:cs="仿宋"/>
          <w:color w:val="auto"/>
        </w:rPr>
        <w:t>中标后与招标人签订背离投标文件及合同实质性内容的私下协议；</w:t>
      </w:r>
    </w:p>
    <w:p>
      <w:pPr>
        <w:rPr>
          <w:rFonts w:hint="eastAsia" w:ascii="仿宋" w:hAnsi="仿宋" w:eastAsia="仿宋" w:cs="仿宋"/>
          <w:color w:val="auto"/>
        </w:rPr>
      </w:pPr>
      <w:r>
        <w:rPr>
          <w:rFonts w:hint="eastAsia" w:ascii="仿宋" w:hAnsi="仿宋" w:eastAsia="仿宋" w:cs="仿宋"/>
          <w:color w:val="auto"/>
        </w:rPr>
        <w:t>6.其他违反招标投标、政府采购等法律法规的行为。</w:t>
      </w:r>
    </w:p>
    <w:p>
      <w:pPr>
        <w:rPr>
          <w:rFonts w:hint="eastAsia" w:ascii="仿宋" w:hAnsi="仿宋" w:eastAsia="仿宋" w:cs="仿宋"/>
          <w:color w:val="auto"/>
        </w:rPr>
      </w:pPr>
      <w:r>
        <w:rPr>
          <w:rFonts w:hint="eastAsia" w:ascii="仿宋" w:hAnsi="仿宋" w:eastAsia="仿宋" w:cs="仿宋"/>
          <w:color w:val="auto"/>
        </w:rPr>
        <w:t>二、不以任何理由给予建设单位、主管部门、相关单位及其工作人员、专家评委以下好处：</w:t>
      </w:r>
    </w:p>
    <w:p>
      <w:pPr>
        <w:rPr>
          <w:rFonts w:hint="eastAsia" w:ascii="仿宋" w:hAnsi="仿宋" w:eastAsia="仿宋" w:cs="仿宋"/>
          <w:color w:val="auto"/>
        </w:rPr>
      </w:pPr>
      <w:r>
        <w:rPr>
          <w:rFonts w:hint="eastAsia" w:ascii="仿宋" w:hAnsi="仿宋" w:eastAsia="仿宋" w:cs="仿宋"/>
          <w:color w:val="auto"/>
        </w:rPr>
        <w:t>1.赠送礼金、有价证券、贵重物品，或给予回扣、感谢费、劳务费等各种名目的经费；</w:t>
      </w:r>
    </w:p>
    <w:p>
      <w:pPr>
        <w:rPr>
          <w:rFonts w:hint="eastAsia" w:ascii="仿宋" w:hAnsi="仿宋" w:eastAsia="仿宋" w:cs="仿宋"/>
          <w:color w:val="auto"/>
        </w:rPr>
      </w:pPr>
      <w:r>
        <w:rPr>
          <w:rFonts w:hint="eastAsia" w:ascii="仿宋" w:hAnsi="仿宋" w:eastAsia="仿宋" w:cs="仿宋"/>
          <w:color w:val="auto"/>
        </w:rPr>
        <w:t>2.报销应由上述单位或个人支付的费用；</w:t>
      </w:r>
    </w:p>
    <w:p>
      <w:pPr>
        <w:rPr>
          <w:rFonts w:hint="eastAsia" w:ascii="仿宋" w:hAnsi="仿宋" w:eastAsia="仿宋" w:cs="仿宋"/>
          <w:color w:val="auto"/>
        </w:rPr>
      </w:pPr>
      <w:r>
        <w:rPr>
          <w:rFonts w:hint="eastAsia" w:ascii="仿宋" w:hAnsi="仿宋" w:eastAsia="仿宋" w:cs="仿宋"/>
          <w:color w:val="auto"/>
        </w:rPr>
        <w:t>3.赠送或提供通讯工具、交通工具和高档办公用品等；</w:t>
      </w:r>
    </w:p>
    <w:p>
      <w:pPr>
        <w:rPr>
          <w:rFonts w:hint="eastAsia" w:ascii="仿宋" w:hAnsi="仿宋" w:eastAsia="仿宋" w:cs="仿宋"/>
          <w:color w:val="auto"/>
        </w:rPr>
      </w:pPr>
      <w:r>
        <w:rPr>
          <w:rFonts w:hint="eastAsia" w:ascii="仿宋" w:hAnsi="仿宋" w:eastAsia="仿宋" w:cs="仿宋"/>
          <w:color w:val="auto"/>
        </w:rPr>
        <w:t>4.提供宴请、健身、旅游、娱乐等高消费活动；</w:t>
      </w:r>
    </w:p>
    <w:p>
      <w:pPr>
        <w:rPr>
          <w:rFonts w:hint="eastAsia" w:ascii="仿宋" w:hAnsi="仿宋" w:eastAsia="仿宋" w:cs="仿宋"/>
          <w:color w:val="auto"/>
        </w:rPr>
      </w:pPr>
      <w:r>
        <w:rPr>
          <w:rFonts w:hint="eastAsia" w:ascii="仿宋" w:hAnsi="仿宋" w:eastAsia="仿宋" w:cs="仿宋"/>
          <w:color w:val="auto"/>
        </w:rPr>
        <w:t>5.无偿或明显低于市场价装修住房。</w:t>
      </w:r>
    </w:p>
    <w:p>
      <w:pPr>
        <w:rPr>
          <w:rFonts w:hint="eastAsia" w:ascii="仿宋" w:hAnsi="仿宋" w:eastAsia="仿宋" w:cs="仿宋"/>
          <w:color w:val="auto"/>
        </w:rPr>
      </w:pPr>
      <w:r>
        <w:rPr>
          <w:rFonts w:hint="eastAsia" w:ascii="仿宋" w:hAnsi="仿宋" w:eastAsia="仿宋" w:cs="仿宋"/>
          <w:color w:val="auto"/>
        </w:rPr>
        <w:t>三、不以任何理由为建设单位、主管部门、相关单位的工作人员及其配偶、子女等亲属的工作安排以及出国（境）等提供方便。</w:t>
      </w:r>
    </w:p>
    <w:p>
      <w:pPr>
        <w:rPr>
          <w:rFonts w:hint="eastAsia" w:ascii="仿宋" w:hAnsi="仿宋" w:eastAsia="仿宋" w:cs="仿宋"/>
          <w:color w:val="auto"/>
        </w:rPr>
      </w:pPr>
      <w:r>
        <w:rPr>
          <w:rFonts w:hint="eastAsia" w:ascii="仿宋" w:hAnsi="仿宋" w:eastAsia="仿宋" w:cs="仿宋"/>
          <w:color w:val="auto"/>
        </w:rPr>
        <w:t>四、自觉接受有关部门和派驻廉政监察组等机构的监督，积极配合建设单位开展廉政文化进工程工作，加强廉洁从业环境宣传、项目管理制度建设，多种形式开展廉洁教育。</w:t>
      </w:r>
    </w:p>
    <w:p>
      <w:pPr>
        <w:rPr>
          <w:rFonts w:hint="eastAsia" w:ascii="仿宋" w:hAnsi="仿宋" w:eastAsia="仿宋" w:cs="仿宋"/>
          <w:color w:val="auto"/>
        </w:rPr>
      </w:pPr>
      <w:r>
        <w:rPr>
          <w:rFonts w:hint="eastAsia" w:ascii="仿宋" w:hAnsi="仿宋" w:eastAsia="仿宋" w:cs="仿宋"/>
          <w:color w:val="auto"/>
        </w:rPr>
        <w:t>五、本公司自愿将此承诺书在信用湖州网站进行公示。</w:t>
      </w:r>
    </w:p>
    <w:p>
      <w:pPr>
        <w:rPr>
          <w:rFonts w:hint="eastAsia" w:ascii="仿宋" w:hAnsi="仿宋" w:eastAsia="仿宋" w:cs="仿宋"/>
          <w:color w:val="auto"/>
        </w:rPr>
      </w:pPr>
      <w:r>
        <w:rPr>
          <w:rFonts w:hint="eastAsia" w:ascii="仿宋" w:hAnsi="仿宋" w:eastAsia="仿宋" w:cs="仿宋"/>
          <w:color w:val="auto"/>
        </w:rPr>
        <w:t>上述承诺如有违反，愿接受录入诚信档案的处理，构成违纪违法的，由相关部门依纪依法作出处理。</w:t>
      </w:r>
    </w:p>
    <w:p>
      <w:pPr>
        <w:rPr>
          <w:rFonts w:hint="eastAsia" w:ascii="仿宋" w:hAnsi="仿宋" w:eastAsia="仿宋" w:cs="仿宋"/>
          <w:color w:val="auto"/>
        </w:rPr>
      </w:pPr>
      <w:r>
        <w:rPr>
          <w:rFonts w:hint="eastAsia" w:ascii="仿宋" w:hAnsi="仿宋" w:eastAsia="仿宋" w:cs="仿宋"/>
          <w:color w:val="auto"/>
        </w:rPr>
        <w:t>　　　　　　</w:t>
      </w:r>
    </w:p>
    <w:p>
      <w:pPr>
        <w:rPr>
          <w:rFonts w:hint="eastAsia" w:ascii="仿宋" w:hAnsi="仿宋" w:eastAsia="仿宋" w:cs="仿宋"/>
          <w:color w:val="auto"/>
        </w:rPr>
      </w:pPr>
    </w:p>
    <w:p>
      <w:pPr>
        <w:rPr>
          <w:rFonts w:hint="eastAsia" w:ascii="仿宋" w:hAnsi="仿宋" w:eastAsia="仿宋" w:cs="仿宋"/>
          <w:color w:val="auto"/>
        </w:rPr>
      </w:pPr>
      <w:r>
        <w:rPr>
          <w:rFonts w:hint="eastAsia" w:ascii="仿宋" w:hAnsi="仿宋" w:eastAsia="仿宋" w:cs="仿宋"/>
          <w:color w:val="auto"/>
        </w:rPr>
        <w:t>法定代表人（签字或盖章）：</w:t>
      </w:r>
    </w:p>
    <w:p>
      <w:pPr>
        <w:ind w:firstLine="240" w:firstLineChars="100"/>
        <w:rPr>
          <w:rFonts w:hint="eastAsia" w:ascii="仿宋" w:hAnsi="仿宋" w:eastAsia="仿宋" w:cs="仿宋"/>
          <w:color w:val="auto"/>
        </w:rPr>
      </w:pPr>
      <w:r>
        <w:rPr>
          <w:rFonts w:hint="eastAsia" w:ascii="仿宋" w:hAnsi="仿宋" w:eastAsia="仿宋" w:cs="仿宋"/>
          <w:color w:val="auto"/>
        </w:rPr>
        <w:t>承诺单位（公章）：</w:t>
      </w:r>
    </w:p>
    <w:p>
      <w:pPr>
        <w:rPr>
          <w:rFonts w:hint="eastAsia" w:ascii="仿宋" w:hAnsi="仿宋" w:eastAsia="仿宋" w:cs="仿宋"/>
          <w:color w:val="auto"/>
        </w:rPr>
      </w:pPr>
      <w:r>
        <w:rPr>
          <w:rFonts w:hint="eastAsia" w:ascii="仿宋" w:hAnsi="仿宋" w:eastAsia="仿宋" w:cs="仿宋"/>
          <w:color w:val="auto"/>
        </w:rPr>
        <w:t>　　承诺日期：</w:t>
      </w: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ind w:firstLine="1446" w:firstLineChars="400"/>
        <w:rPr>
          <w:rFonts w:hint="eastAsia" w:ascii="仿宋" w:hAnsi="仿宋" w:eastAsia="仿宋" w:cs="仿宋"/>
          <w:b/>
          <w:snapToGrid w:val="0"/>
          <w:color w:val="auto"/>
          <w:sz w:val="36"/>
          <w:szCs w:val="36"/>
        </w:rPr>
      </w:pPr>
    </w:p>
    <w:p>
      <w:pPr>
        <w:pStyle w:val="6"/>
        <w:jc w:val="center"/>
        <w:rPr>
          <w:rFonts w:hint="eastAsia" w:ascii="仿宋" w:hAnsi="仿宋" w:eastAsia="仿宋" w:cs="仿宋"/>
          <w:bCs/>
          <w:color w:val="auto"/>
          <w:sz w:val="32"/>
          <w:szCs w:val="32"/>
        </w:rPr>
      </w:pPr>
      <w:r>
        <w:rPr>
          <w:rFonts w:hint="eastAsia" w:ascii="仿宋" w:hAnsi="仿宋" w:eastAsia="仿宋" w:cs="仿宋"/>
          <w:color w:val="auto"/>
        </w:rPr>
        <w:br w:type="page"/>
      </w:r>
      <w:bookmarkStart w:id="1059" w:name="_Toc13989"/>
      <w:bookmarkStart w:id="1060" w:name="_Toc16215"/>
      <w:r>
        <w:rPr>
          <w:rFonts w:hint="eastAsia" w:ascii="仿宋" w:hAnsi="仿宋" w:eastAsia="仿宋" w:cs="仿宋"/>
          <w:color w:val="auto"/>
        </w:rPr>
        <w:t>商务文件目录</w:t>
      </w:r>
      <w:bookmarkEnd w:id="1059"/>
      <w:bookmarkEnd w:id="1060"/>
    </w:p>
    <w:p>
      <w:pPr>
        <w:spacing w:line="360" w:lineRule="auto"/>
        <w:ind w:firstLine="480" w:firstLineChars="200"/>
        <w:rPr>
          <w:rFonts w:hint="eastAsia" w:ascii="仿宋" w:hAnsi="仿宋" w:eastAsia="仿宋" w:cs="仿宋"/>
          <w:snapToGrid w:val="0"/>
          <w:color w:val="auto"/>
          <w:szCs w:val="21"/>
        </w:rPr>
      </w:pPr>
    </w:p>
    <w:p>
      <w:pPr>
        <w:spacing w:line="700" w:lineRule="exact"/>
        <w:ind w:firstLine="480" w:firstLineChars="200"/>
        <w:rPr>
          <w:rFonts w:hint="eastAsia" w:ascii="仿宋" w:hAnsi="仿宋" w:eastAsia="仿宋" w:cs="仿宋"/>
          <w:snapToGrid w:val="0"/>
          <w:color w:val="auto"/>
          <w:szCs w:val="21"/>
        </w:rPr>
      </w:pPr>
      <w:r>
        <w:rPr>
          <w:rFonts w:hint="eastAsia" w:ascii="仿宋" w:hAnsi="仿宋" w:eastAsia="仿宋" w:cs="仿宋"/>
          <w:snapToGrid w:val="0"/>
          <w:color w:val="auto"/>
          <w:szCs w:val="21"/>
        </w:rPr>
        <w:t>一、投标函</w:t>
      </w:r>
    </w:p>
    <w:p>
      <w:pPr>
        <w:spacing w:line="700" w:lineRule="exact"/>
        <w:ind w:firstLine="480" w:firstLineChars="200"/>
        <w:rPr>
          <w:rFonts w:hint="eastAsia" w:ascii="仿宋" w:hAnsi="仿宋" w:eastAsia="仿宋" w:cs="仿宋"/>
          <w:snapToGrid w:val="0"/>
          <w:color w:val="auto"/>
          <w:szCs w:val="21"/>
        </w:rPr>
      </w:pPr>
      <w:r>
        <w:rPr>
          <w:rFonts w:hint="eastAsia" w:ascii="仿宋" w:hAnsi="仿宋" w:eastAsia="仿宋" w:cs="仿宋"/>
          <w:snapToGrid w:val="0"/>
          <w:color w:val="auto"/>
          <w:szCs w:val="21"/>
        </w:rPr>
        <w:t>二、已标价的工程量清单</w:t>
      </w:r>
    </w:p>
    <w:p>
      <w:pPr>
        <w:spacing w:line="700" w:lineRule="exact"/>
        <w:ind w:firstLine="480" w:firstLineChars="200"/>
        <w:rPr>
          <w:rFonts w:hint="eastAsia" w:ascii="仿宋" w:hAnsi="仿宋" w:eastAsia="仿宋" w:cs="仿宋"/>
          <w:snapToGrid w:val="0"/>
          <w:color w:val="auto"/>
          <w:szCs w:val="21"/>
        </w:rPr>
      </w:pPr>
      <w:r>
        <w:rPr>
          <w:rFonts w:hint="eastAsia" w:ascii="仿宋" w:hAnsi="仿宋" w:eastAsia="仿宋" w:cs="仿宋"/>
          <w:snapToGrid w:val="0"/>
          <w:color w:val="auto"/>
          <w:szCs w:val="21"/>
        </w:rPr>
        <w:t>三、其他材料</w:t>
      </w:r>
    </w:p>
    <w:p>
      <w:pPr>
        <w:tabs>
          <w:tab w:val="left" w:pos="-3216"/>
        </w:tabs>
        <w:spacing w:line="360" w:lineRule="auto"/>
        <w:rPr>
          <w:rFonts w:hint="eastAsia" w:ascii="仿宋" w:hAnsi="仿宋" w:eastAsia="仿宋" w:cs="仿宋"/>
          <w:snapToGrid w:val="0"/>
          <w:color w:val="auto"/>
        </w:rPr>
      </w:pPr>
    </w:p>
    <w:p>
      <w:pPr>
        <w:tabs>
          <w:tab w:val="left" w:pos="-3216"/>
        </w:tabs>
        <w:spacing w:line="360" w:lineRule="auto"/>
        <w:rPr>
          <w:rFonts w:hint="eastAsia" w:ascii="仿宋" w:hAnsi="仿宋" w:eastAsia="仿宋" w:cs="仿宋"/>
          <w:snapToGrid w:val="0"/>
          <w:color w:val="auto"/>
        </w:rPr>
      </w:pPr>
    </w:p>
    <w:p>
      <w:pPr>
        <w:pStyle w:val="7"/>
        <w:spacing w:line="360" w:lineRule="auto"/>
        <w:jc w:val="center"/>
        <w:rPr>
          <w:rFonts w:hint="eastAsia" w:ascii="仿宋" w:hAnsi="仿宋" w:eastAsia="仿宋" w:cs="仿宋"/>
          <w:snapToGrid w:val="0"/>
          <w:color w:val="auto"/>
          <w:sz w:val="30"/>
          <w:szCs w:val="30"/>
        </w:rPr>
      </w:pPr>
      <w:r>
        <w:rPr>
          <w:rFonts w:hint="eastAsia" w:ascii="仿宋" w:hAnsi="仿宋" w:eastAsia="仿宋" w:cs="仿宋"/>
          <w:snapToGrid w:val="0"/>
          <w:color w:val="auto"/>
          <w:sz w:val="30"/>
          <w:szCs w:val="30"/>
        </w:rPr>
        <w:br w:type="page"/>
      </w:r>
      <w:bookmarkStart w:id="1061" w:name="_Toc24905"/>
      <w:bookmarkStart w:id="1062" w:name="_Toc336325405"/>
      <w:bookmarkStart w:id="1063" w:name="_Toc259802277"/>
      <w:bookmarkStart w:id="1064" w:name="_Toc13503"/>
      <w:bookmarkStart w:id="1065" w:name="_Toc217457096"/>
      <w:r>
        <w:rPr>
          <w:rFonts w:hint="eastAsia" w:ascii="仿宋" w:hAnsi="仿宋" w:eastAsia="仿宋" w:cs="仿宋"/>
          <w:snapToGrid w:val="0"/>
          <w:color w:val="auto"/>
          <w:sz w:val="30"/>
          <w:szCs w:val="30"/>
        </w:rPr>
        <w:t>一、投标函</w:t>
      </w:r>
      <w:bookmarkEnd w:id="1061"/>
      <w:bookmarkEnd w:id="1062"/>
      <w:bookmarkEnd w:id="1063"/>
      <w:bookmarkEnd w:id="1064"/>
    </w:p>
    <w:p>
      <w:pPr>
        <w:numPr>
          <w:ilvl w:val="0"/>
          <w:numId w:val="12"/>
        </w:numPr>
        <w:spacing w:line="360" w:lineRule="auto"/>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投标函</w:t>
      </w:r>
    </w:p>
    <w:p>
      <w:pPr>
        <w:spacing w:line="360" w:lineRule="auto"/>
        <w:rPr>
          <w:rFonts w:hint="eastAsia" w:ascii="仿宋" w:hAnsi="仿宋" w:eastAsia="仿宋" w:cs="仿宋"/>
          <w:snapToGrid w:val="0"/>
          <w:color w:val="auto"/>
          <w:szCs w:val="24"/>
          <w:u w:val="single"/>
        </w:rPr>
      </w:pPr>
      <w:r>
        <w:rPr>
          <w:rFonts w:hint="eastAsia" w:ascii="仿宋" w:hAnsi="仿宋" w:eastAsia="仿宋" w:cs="仿宋"/>
          <w:snapToGrid w:val="0"/>
          <w:color w:val="auto"/>
          <w:szCs w:val="24"/>
        </w:rPr>
        <w:t xml:space="preserve">___________________（招标人名称）: </w:t>
      </w:r>
    </w:p>
    <w:p>
      <w:pPr>
        <w:spacing w:line="360" w:lineRule="auto"/>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1．我方已仔细研究了________________（项目名称）_________（标段名称）招标文件的全部内容，愿意以人民币（大写） _______元（￥______元）的投标综合报价，工期____天，拟派__________为本项目负责人，按合同约定实施和完成中标工程，修补工程中的任何缺陷，工程质量达到_______。</w:t>
      </w:r>
    </w:p>
    <w:p>
      <w:pPr>
        <w:spacing w:line="360" w:lineRule="auto"/>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2．我方承诺在投标有效期内不补充、修改、替代或者撤回本投标文件。</w:t>
      </w:r>
    </w:p>
    <w:p>
      <w:pPr>
        <w:spacing w:line="360" w:lineRule="auto"/>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3．随同本投标函递交投标保证金一份，金额为人民币（大写）_______元（￥___元）。</w:t>
      </w:r>
    </w:p>
    <w:p>
      <w:pPr>
        <w:spacing w:line="500" w:lineRule="exact"/>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4．如我方中标：</w:t>
      </w:r>
    </w:p>
    <w:p>
      <w:pPr>
        <w:spacing w:line="500" w:lineRule="exact"/>
        <w:ind w:firstLine="480" w:firstLineChars="200"/>
        <w:rPr>
          <w:rFonts w:hint="eastAsia" w:ascii="仿宋" w:hAnsi="仿宋" w:eastAsia="仿宋" w:cs="仿宋"/>
          <w:snapToGrid w:val="0"/>
          <w:color w:val="auto"/>
          <w:spacing w:val="-8"/>
          <w:szCs w:val="24"/>
        </w:rPr>
      </w:pPr>
      <w:r>
        <w:rPr>
          <w:rFonts w:hint="eastAsia" w:ascii="仿宋" w:hAnsi="仿宋" w:eastAsia="仿宋" w:cs="仿宋"/>
          <w:snapToGrid w:val="0"/>
          <w:color w:val="auto"/>
          <w:szCs w:val="24"/>
        </w:rPr>
        <w:t xml:space="preserve">(1) </w:t>
      </w:r>
      <w:r>
        <w:rPr>
          <w:rFonts w:hint="eastAsia" w:ascii="仿宋" w:hAnsi="仿宋" w:eastAsia="仿宋" w:cs="仿宋"/>
          <w:snapToGrid w:val="0"/>
          <w:color w:val="auto"/>
          <w:spacing w:val="-8"/>
          <w:szCs w:val="24"/>
        </w:rPr>
        <w:t>我方承诺在收到中标通知书后，在中标通知书规定的期限内与你方签订合同；</w:t>
      </w:r>
    </w:p>
    <w:p>
      <w:pPr>
        <w:spacing w:line="500" w:lineRule="exact"/>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(2) 随同本投标函递交的投标函附录属于合同文件的组成部分；</w:t>
      </w:r>
    </w:p>
    <w:p>
      <w:pPr>
        <w:spacing w:line="500" w:lineRule="exact"/>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(3) 我方承诺按照招标文件规定向你方递交履约担保；</w:t>
      </w:r>
    </w:p>
    <w:p>
      <w:pPr>
        <w:spacing w:line="360" w:lineRule="auto"/>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(4) 我方承诺按照招标文件规定向你方递交民工工资支付担保；</w:t>
      </w:r>
    </w:p>
    <w:p>
      <w:pPr>
        <w:spacing w:line="360" w:lineRule="auto"/>
        <w:ind w:firstLine="480" w:firstLineChars="200"/>
        <w:rPr>
          <w:rFonts w:hint="eastAsia" w:ascii="仿宋" w:hAnsi="仿宋" w:eastAsia="仿宋" w:cs="仿宋"/>
          <w:snapToGrid w:val="0"/>
          <w:color w:val="auto"/>
          <w:szCs w:val="21"/>
        </w:rPr>
      </w:pPr>
      <w:r>
        <w:rPr>
          <w:rFonts w:hint="eastAsia" w:ascii="仿宋" w:hAnsi="仿宋" w:eastAsia="仿宋" w:cs="仿宋"/>
          <w:snapToGrid w:val="0"/>
          <w:color w:val="auto"/>
          <w:szCs w:val="21"/>
        </w:rPr>
        <w:t>(5) 我方承诺在合同约定的期限内完成并移交全部合同工程。</w:t>
      </w:r>
    </w:p>
    <w:p>
      <w:pPr>
        <w:spacing w:line="500" w:lineRule="exact"/>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5．我方在此声明，所递交的投标文件及有关资料内容完整、真实和准确，且不存在第2章投标人须知第1.4.3款规定的任何一种情形。</w:t>
      </w:r>
    </w:p>
    <w:p>
      <w:pPr>
        <w:spacing w:line="500" w:lineRule="exact"/>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6. （其它补充说明）。</w:t>
      </w:r>
    </w:p>
    <w:p>
      <w:pPr>
        <w:spacing w:line="360" w:lineRule="auto"/>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投标人：_______________________（盖单位章）</w:t>
      </w:r>
    </w:p>
    <w:p>
      <w:pPr>
        <w:spacing w:line="360" w:lineRule="auto"/>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法定代表人或其委托代理人：______________（签字）</w:t>
      </w:r>
    </w:p>
    <w:p>
      <w:pPr>
        <w:spacing w:line="360" w:lineRule="auto"/>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地址：________________________________</w:t>
      </w:r>
    </w:p>
    <w:p>
      <w:pPr>
        <w:spacing w:line="360" w:lineRule="auto"/>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网址：________________________________</w:t>
      </w:r>
    </w:p>
    <w:p>
      <w:pPr>
        <w:spacing w:line="360" w:lineRule="auto"/>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电话：________________________________</w:t>
      </w:r>
    </w:p>
    <w:p>
      <w:pPr>
        <w:spacing w:line="360" w:lineRule="auto"/>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传真：________________________________</w:t>
      </w:r>
    </w:p>
    <w:p>
      <w:pPr>
        <w:spacing w:line="360" w:lineRule="auto"/>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邮政编码：_____________________</w:t>
      </w:r>
    </w:p>
    <w:p>
      <w:pPr>
        <w:spacing w:line="360" w:lineRule="auto"/>
        <w:ind w:firstLine="480" w:firstLineChars="200"/>
        <w:rPr>
          <w:rFonts w:hint="eastAsia" w:ascii="仿宋" w:hAnsi="仿宋" w:eastAsia="仿宋" w:cs="仿宋"/>
          <w:snapToGrid w:val="0"/>
          <w:color w:val="auto"/>
          <w:szCs w:val="24"/>
        </w:rPr>
      </w:pPr>
      <w:r>
        <w:rPr>
          <w:rFonts w:hint="eastAsia" w:ascii="仿宋" w:hAnsi="仿宋" w:eastAsia="仿宋" w:cs="仿宋"/>
          <w:snapToGrid w:val="0"/>
          <w:color w:val="auto"/>
          <w:szCs w:val="24"/>
        </w:rPr>
        <w:t>年月日</w:t>
      </w:r>
    </w:p>
    <w:p>
      <w:pPr>
        <w:ind w:firstLine="560" w:firstLineChars="200"/>
        <w:rPr>
          <w:rFonts w:hint="eastAsia" w:ascii="仿宋" w:hAnsi="仿宋" w:eastAsia="仿宋" w:cs="仿宋"/>
          <w:snapToGrid w:val="0"/>
          <w:color w:val="auto"/>
          <w:sz w:val="28"/>
          <w:szCs w:val="28"/>
        </w:rPr>
        <w:sectPr>
          <w:footerReference r:id="rId9" w:type="default"/>
          <w:pgSz w:w="11850" w:h="16783"/>
          <w:pgMar w:top="1440" w:right="1080" w:bottom="1440" w:left="1080" w:header="1304" w:footer="964" w:gutter="0"/>
          <w:pgNumType w:chapStyle="1"/>
          <w:cols w:space="720" w:num="1"/>
          <w:docGrid w:linePitch="326" w:charSpace="0"/>
        </w:sectPr>
      </w:pPr>
    </w:p>
    <w:p>
      <w:pPr>
        <w:pStyle w:val="7"/>
        <w:spacing w:line="360" w:lineRule="auto"/>
        <w:jc w:val="center"/>
        <w:rPr>
          <w:rFonts w:hint="eastAsia" w:ascii="仿宋" w:hAnsi="仿宋" w:eastAsia="仿宋" w:cs="仿宋"/>
          <w:snapToGrid w:val="0"/>
          <w:color w:val="auto"/>
          <w:sz w:val="30"/>
          <w:szCs w:val="30"/>
        </w:rPr>
      </w:pPr>
    </w:p>
    <w:bookmarkEnd w:id="1065"/>
    <w:p>
      <w:pPr>
        <w:pStyle w:val="7"/>
        <w:spacing w:line="360" w:lineRule="auto"/>
        <w:jc w:val="center"/>
        <w:rPr>
          <w:rFonts w:hint="eastAsia" w:ascii="仿宋" w:hAnsi="仿宋" w:eastAsia="仿宋" w:cs="仿宋"/>
          <w:snapToGrid w:val="0"/>
          <w:color w:val="auto"/>
          <w:sz w:val="30"/>
          <w:szCs w:val="30"/>
        </w:rPr>
      </w:pPr>
      <w:bookmarkStart w:id="1066" w:name="_Toc11014"/>
      <w:bookmarkStart w:id="1067" w:name="_Toc17216"/>
      <w:bookmarkStart w:id="1068" w:name="_Toc336325406"/>
      <w:r>
        <w:rPr>
          <w:rFonts w:hint="eastAsia" w:ascii="仿宋" w:hAnsi="仿宋" w:eastAsia="仿宋" w:cs="仿宋"/>
          <w:snapToGrid w:val="0"/>
          <w:color w:val="auto"/>
          <w:sz w:val="30"/>
          <w:szCs w:val="30"/>
        </w:rPr>
        <w:t>二、已标价的工程量清单</w:t>
      </w:r>
      <w:bookmarkEnd w:id="1066"/>
      <w:bookmarkEnd w:id="1067"/>
      <w:bookmarkEnd w:id="1068"/>
    </w:p>
    <w:p>
      <w:pPr>
        <w:pStyle w:val="42"/>
        <w:rPr>
          <w:rFonts w:hint="eastAsia" w:ascii="仿宋" w:hAnsi="仿宋" w:eastAsia="仿宋" w:cs="仿宋"/>
          <w:b/>
          <w:bCs/>
          <w:color w:val="auto"/>
          <w:sz w:val="40"/>
        </w:rPr>
      </w:pPr>
    </w:p>
    <w:p>
      <w:pPr>
        <w:pStyle w:val="42"/>
        <w:rPr>
          <w:rFonts w:hint="eastAsia" w:ascii="仿宋" w:hAnsi="仿宋" w:eastAsia="仿宋" w:cs="仿宋"/>
          <w:b/>
          <w:bCs/>
          <w:color w:val="auto"/>
          <w:sz w:val="40"/>
        </w:rPr>
      </w:pPr>
    </w:p>
    <w:p>
      <w:pPr>
        <w:pStyle w:val="42"/>
        <w:rPr>
          <w:rFonts w:hint="eastAsia" w:ascii="仿宋" w:hAnsi="仿宋" w:eastAsia="仿宋" w:cs="仿宋"/>
          <w:b/>
          <w:bCs/>
          <w:color w:val="auto"/>
        </w:rPr>
      </w:pPr>
      <w:r>
        <w:rPr>
          <w:rFonts w:hint="eastAsia" w:ascii="仿宋" w:hAnsi="仿宋" w:eastAsia="仿宋" w:cs="仿宋"/>
          <w:b/>
          <w:bCs/>
          <w:color w:val="auto"/>
          <w:sz w:val="40"/>
        </w:rPr>
        <w:t>注：各投标人需在湖州市公共资源交易平台上传已标价的工程量清单电子扫描件</w:t>
      </w:r>
      <w:r>
        <w:rPr>
          <w:rFonts w:hint="eastAsia" w:ascii="仿宋" w:hAnsi="仿宋" w:eastAsia="仿宋" w:cs="仿宋"/>
          <w:b/>
          <w:bCs/>
          <w:color w:val="auto"/>
        </w:rPr>
        <w:t>。</w:t>
      </w:r>
    </w:p>
    <w:p>
      <w:pPr>
        <w:tabs>
          <w:tab w:val="left" w:pos="-3216"/>
        </w:tabs>
        <w:spacing w:line="360" w:lineRule="auto"/>
        <w:ind w:firstLine="480" w:firstLineChars="200"/>
        <w:rPr>
          <w:rFonts w:hint="eastAsia" w:ascii="仿宋" w:hAnsi="仿宋" w:eastAsia="仿宋" w:cs="仿宋"/>
          <w:snapToGrid w:val="0"/>
          <w:color w:val="auto"/>
        </w:rPr>
      </w:pPr>
    </w:p>
    <w:p>
      <w:pPr>
        <w:tabs>
          <w:tab w:val="left" w:pos="-3216"/>
        </w:tabs>
        <w:spacing w:line="360" w:lineRule="auto"/>
        <w:ind w:firstLine="480" w:firstLineChars="200"/>
        <w:rPr>
          <w:rFonts w:hint="eastAsia" w:ascii="仿宋" w:hAnsi="仿宋" w:eastAsia="仿宋" w:cs="仿宋"/>
          <w:snapToGrid w:val="0"/>
          <w:color w:val="auto"/>
        </w:rPr>
      </w:pPr>
    </w:p>
    <w:p>
      <w:pPr>
        <w:tabs>
          <w:tab w:val="left" w:pos="-3216"/>
        </w:tabs>
        <w:spacing w:line="360" w:lineRule="auto"/>
        <w:ind w:firstLine="480" w:firstLineChars="200"/>
        <w:rPr>
          <w:rFonts w:hint="eastAsia" w:ascii="仿宋" w:hAnsi="仿宋" w:eastAsia="仿宋" w:cs="仿宋"/>
          <w:snapToGrid w:val="0"/>
          <w:color w:val="auto"/>
        </w:rPr>
      </w:pPr>
    </w:p>
    <w:p>
      <w:pPr>
        <w:tabs>
          <w:tab w:val="left" w:pos="-3216"/>
        </w:tabs>
        <w:spacing w:line="360" w:lineRule="auto"/>
        <w:ind w:firstLine="480" w:firstLineChars="200"/>
        <w:rPr>
          <w:rFonts w:hint="eastAsia" w:ascii="仿宋" w:hAnsi="仿宋" w:eastAsia="仿宋" w:cs="仿宋"/>
          <w:snapToGrid w:val="0"/>
          <w:color w:val="auto"/>
        </w:rPr>
      </w:pPr>
    </w:p>
    <w:p>
      <w:pPr>
        <w:tabs>
          <w:tab w:val="left" w:pos="-3216"/>
        </w:tabs>
        <w:spacing w:line="360" w:lineRule="auto"/>
        <w:ind w:firstLine="480" w:firstLineChars="200"/>
        <w:rPr>
          <w:rFonts w:hint="eastAsia" w:ascii="仿宋" w:hAnsi="仿宋" w:eastAsia="仿宋" w:cs="仿宋"/>
          <w:snapToGrid w:val="0"/>
          <w:color w:val="auto"/>
        </w:rPr>
      </w:pPr>
    </w:p>
    <w:p>
      <w:pPr>
        <w:pStyle w:val="7"/>
        <w:spacing w:line="360" w:lineRule="auto"/>
        <w:jc w:val="both"/>
        <w:rPr>
          <w:rFonts w:hint="eastAsia" w:ascii="仿宋" w:hAnsi="仿宋" w:eastAsia="仿宋" w:cs="仿宋"/>
          <w:snapToGrid w:val="0"/>
          <w:color w:val="auto"/>
          <w:sz w:val="30"/>
          <w:szCs w:val="30"/>
        </w:rPr>
        <w:sectPr>
          <w:pgSz w:w="11850" w:h="16783"/>
          <w:pgMar w:top="1361" w:right="1247" w:bottom="1361" w:left="1247" w:header="1077" w:footer="1077" w:gutter="0"/>
          <w:pgNumType w:chapStyle="1"/>
          <w:cols w:space="720" w:num="1"/>
          <w:docGrid w:linePitch="312" w:charSpace="0"/>
        </w:sectPr>
      </w:pPr>
      <w:bookmarkStart w:id="1069" w:name="_Toc336325407"/>
      <w:bookmarkStart w:id="1070" w:name="_Toc16931"/>
    </w:p>
    <w:bookmarkEnd w:id="1069"/>
    <w:bookmarkEnd w:id="1070"/>
    <w:p>
      <w:pPr>
        <w:pStyle w:val="7"/>
        <w:spacing w:line="360" w:lineRule="auto"/>
        <w:jc w:val="center"/>
        <w:rPr>
          <w:rFonts w:hint="eastAsia" w:ascii="仿宋" w:hAnsi="仿宋" w:eastAsia="仿宋" w:cs="仿宋"/>
          <w:snapToGrid w:val="0"/>
          <w:color w:val="auto"/>
          <w:sz w:val="30"/>
          <w:szCs w:val="30"/>
        </w:rPr>
      </w:pPr>
    </w:p>
    <w:p>
      <w:pPr>
        <w:pStyle w:val="7"/>
        <w:spacing w:line="360" w:lineRule="auto"/>
        <w:jc w:val="center"/>
        <w:rPr>
          <w:rFonts w:hint="eastAsia" w:ascii="仿宋" w:hAnsi="仿宋" w:eastAsia="仿宋" w:cs="仿宋"/>
          <w:snapToGrid w:val="0"/>
          <w:color w:val="auto"/>
          <w:sz w:val="30"/>
          <w:szCs w:val="30"/>
        </w:rPr>
      </w:pPr>
      <w:bookmarkStart w:id="1071" w:name="_Toc13693"/>
      <w:bookmarkStart w:id="1072" w:name="_Toc29252"/>
      <w:r>
        <w:rPr>
          <w:rFonts w:hint="eastAsia" w:ascii="仿宋" w:hAnsi="仿宋" w:eastAsia="仿宋" w:cs="仿宋"/>
          <w:snapToGrid w:val="0"/>
          <w:color w:val="auto"/>
          <w:sz w:val="30"/>
          <w:szCs w:val="30"/>
        </w:rPr>
        <w:t>三、其他材料</w:t>
      </w:r>
      <w:bookmarkEnd w:id="1071"/>
      <w:bookmarkEnd w:id="1072"/>
    </w:p>
    <w:p>
      <w:pPr>
        <w:spacing w:line="360" w:lineRule="auto"/>
        <w:rPr>
          <w:rFonts w:hint="eastAsia" w:ascii="仿宋" w:hAnsi="仿宋" w:eastAsia="仿宋" w:cs="仿宋"/>
          <w:color w:val="auto"/>
        </w:rPr>
      </w:pPr>
    </w:p>
    <w:sectPr>
      <w:pgSz w:w="11850" w:h="16783"/>
      <w:pgMar w:top="1361" w:right="1247" w:bottom="1361" w:left="1247" w:header="1077" w:footer="1077"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9"/>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G6rssBAACWAwAADgAAAGRycy9lMm9Eb2MueG1srVNLbtswEN0XyB0I&#10;7mspAtK4gukghZGgQNAWSHsAmqIsAvyBQ1vyBdobdNVN9z2Xz9EhJTlFuskiG2qGM3wz781odTMY&#10;TQ4ygHKW0ctFSYm0wjXK7hj99vXu7ZISiNw2XDsrGT1KoDfrizer3teycp3TjQwEQSzUvWe0i9HX&#10;RQGik4bDwnlpMdi6YHhEN+yKJvAe0Y0uqrJ8V/QuND44IQHwdjMG6YQYXgLo2lYJuXFib6SNI2qQ&#10;mkekBJ3yQNe527aVIn5uW5CRaEaRacwnFkF7m85iveL1LnDfKTG1wF/SwjNOhiuLRc9QGx452Qf1&#10;H5RRIjhwbVwIZ4qRSFYEWVyWz7R57LiXmQtKDf4sOrwerPh0+BKIahitKLHc4MBPP3+cfv05/f5O&#10;rpM8vYcasx495sXhgxtwaeZ7wMvEemiDSV/kQzCO4h7P4sohEpEeLavlssSQwNjsIH7x9NwHiPfS&#10;GZIMRgNOL4vKDw8Qx9Q5JVWz7k5pnSeoLekZfX9VXeUH5wiCa4s1Eomx2WTFYTtMzLauOSKxHjeA&#10;UYsLT4n+aFHgtCyzEWZjOxmpOvjbfcQOcmMJdYSaiuG4MrVptdI+/OvnrKffaf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XBuq7LAQAAlgMAAA4AAAAAAAAAAQAgAAAAHgEAAGRycy9lMm9E&#10;b2MueG1sUEsFBgAAAAAGAAYAWQEAAFsFAAAAAA==&#10;">
              <v:fill on="f" focussize="0,0"/>
              <v:stroke on="f"/>
              <v:imagedata o:title=""/>
              <o:lock v:ext="edit" aspectratio="f"/>
              <v:textbox inset="0mm,0mm,0mm,0mm" style="mso-fit-shape-to-text:t;">
                <w:txbxContent>
                  <w:p>
                    <w:pPr>
                      <w:pStyle w:val="19"/>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9"/>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Xyq7csBAACWAwAADgAAAGRycy9lMm9Eb2MueG1srVNLbtswEN0XyB0I&#10;7mMpLlKogukghZEgQNEWSHsAmqIsAvyBQ1vyBdobdNVN9z2Xz9EhJTlFuskiG2qGM3wz781odTMY&#10;TQ4ygHKW0atFSYm0wjXK7hj99vXusqIEIrcN185KRo8S6M364s2q97Vcus7pRgaCIBbq3jPaxejr&#10;ogDRScNh4by0GGxdMDyiG3ZFE3iP6EYXy7J8V/QuND44IQHwdjMG6YQYXgLo2lYJuXFib6SNI2qQ&#10;mkekBJ3yQNe527aVIn5uW5CRaEaRacwnFkF7m85iveL1LnDfKTG1wF/SwjNOhiuLRc9QGx452Qf1&#10;H5RRIjhwbVwIZ4qRSFYEWVyVz7R57LiXmQtKDf4sOrwerPh0+BKIahh9S4nlBgd++vnj9OvP6fd3&#10;UiV5eg81Zj16zIvDBzfg0sz3gJeJ9dAGk77Ih2AcxT2exZVDJCI9qpZVVWJIYGx2EL94eu4DxHvp&#10;DEkGowGnl0Xlh48Qx9Q5JVWz7k5pnSeoLekZfX+9vM4PzhEE1xZrJBJjs8mKw3aYmG1dc0RiPW4A&#10;oxYXnhL9YFHgtCyzEWZjOxmpOvjbfcQOcmMJdYSaiuG4MrVptdI+/OvnrKffaf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F8qu3LAQAAlgMAAA4AAAAAAAAAAQAgAAAAHgEAAGRycy9lMm9E&#10;b2MueG1sUEsFBgAAAAAGAAYAWQEAAFsFAAAAAA==&#10;">
              <v:fill on="f" focussize="0,0"/>
              <v:stroke on="f"/>
              <v:imagedata o:title=""/>
              <o:lock v:ext="edit" aspectratio="f"/>
              <v:textbox inset="0mm,0mm,0mm,0mm" style="mso-fit-shape-to-text:t;">
                <w:txbxContent>
                  <w:p>
                    <w:pPr>
                      <w:pStyle w:val="19"/>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9"/>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125</w:t>
                          </w:r>
                          <w:r>
                            <w:rPr>
                              <w:rFonts w:hint="eastAsia"/>
                            </w:rPr>
                            <w:fldChar w:fldCharType="end"/>
                          </w:r>
                        </w:p>
                      </w:txbxContent>
                    </wps:txbx>
                    <wps:bodyPr wrap="none" lIns="0" tIns="0" rIns="0" bIns="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fxOMsBAACWAwAADgAAAGRycy9lMm9Eb2MueG1srVPNjtMwEL4j8Q6W&#10;7zTZikXdqO4KVC1CQoC0ywO4jt1Y8p88bpO+ALwBJy7cea4+B2Mn6aLlsgcuzoxn/M1830zWt4M1&#10;5CgjaO8YvVrUlEgnfKvdntGvD3evVpRA4q7lxjvJ6EkCvd28fLHuQyOXvvOmlZEgiIOmD4x2KYWm&#10;qkB00nJY+CAdBpWPlid0475qI+8R3ZpqWddvqt7HNkQvJADebscgnRDjcwC9UlrIrRcHK10aUaM0&#10;PCEl6HQAuindKiVF+qwUyEQMo8g0lROLoL3LZ7VZ82Yfeei0mFrgz2nhCSfLtcOiF6gtT5wcov4H&#10;ymoRPXiVFsLbaiRSFEEWV/UTbe47HmThglJDuIgO/w9WfDp+iUS3jL6mxHGLAz//+H7++fv86xu5&#10;yfL0ARrMug+Yl4Z3fsClme8BLzPrQUWbv8iHYBzFPV3ElUMiIj9aLVerGkMCY7OD+NXj8xAhvZfe&#10;kmwwGnF6RVR+/AhpTJ1TcjXn77QxZYLGkZ7Rm+vldXlwiSC4cVgjkxibzVYadsPEbOfbExLrcQMY&#10;dbjwlJgPDgXOyzIbcTZ2k5GrQ3h7SNhBaSyjjlBTMRxXoTatVt6Hv/2S9fg7b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BH8TjLAQAAlgMAAA4AAAAAAAAAAQAgAAAAHgEAAGRycy9lMm9E&#10;b2MueG1sUEsFBgAAAAAGAAYAWQEAAFsFAAAAAA==&#10;">
              <v:fill on="f" focussize="0,0"/>
              <v:stroke on="f"/>
              <v:imagedata o:title=""/>
              <o:lock v:ext="edit" aspectratio="f"/>
              <v:textbox inset="0mm,0mm,0mm,0mm" style="mso-fit-shape-to-text:t;">
                <w:txbxContent>
                  <w:p>
                    <w:pPr>
                      <w:pStyle w:val="19"/>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125</w:t>
                    </w:r>
                    <w:r>
                      <w:rPr>
                        <w:rFonts w:hint="eastAsia"/>
                      </w:rPr>
                      <w:fldChar w:fldCharType="end"/>
                    </w:r>
                  </w:p>
                </w:txbxContent>
              </v:textbox>
            </v:shape>
          </w:pict>
        </mc:Fallback>
      </mc:AlternateContent>
    </w: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3990" cy="278765"/>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1.95pt;width:13.7pt;mso-position-horizontal:center;mso-position-horizontal-relative:margin;mso-wrap-style:none;z-index:251659264;mso-width-relative:page;mso-height-relative:page;" filled="f" stroked="f" coordsize="21600,21600" o:gfxdata="UEsDBAoAAAAAAIdO4kAAAAAAAAAAAAAAAAAEAAAAZHJzL1BLAwQUAAAACACHTuJA7ILrG9MAAAAD&#10;AQAADwAAAGRycy9kb3ducmV2LnhtbE2PzU7DMBCE70i8g7VI3KjTNuInZFOJivSIRMOBoxsvScBe&#10;R7abhrev4QKXlUYzmvm23MzWiIl8GBwjLBcZCOLW6YE7hLemvrkHEaJirYxjQvimAJvq8qJUhXYn&#10;fqVpHzuRSjgUCqGPcSykDG1PVoWFG4mT9+G8VTFJ30nt1SmVWyNXWXYrrRo4LfRqpG1P7df+aBG2&#10;ddP4iYI377Sr158vTzk9z4jXV8vsEUSkOf6F4Qc/oUOVmA7uyDoIg5Aeib83eau7HMQBIV8/gKxK&#10;+Z+9OgNQSwMEFAAAAAgAh07iQF164h8yAgAAZQQAAA4AAABkcnMvZTJvRG9jLnhtbK1UzY7TMBC+&#10;I/EOlu80aRFLVTVdla2KkCp2pQVxdh2nieQ/2W6T8gDwBpy4cN/n6nPw2Wm6aOGwBy7p2DP+Zr5v&#10;Zjq/7pQkB+F8Y3RBx6OcEqG5KRu9K+jnT+tXU0p8YLpk0mhR0KPw9Hrx8sW8tTMxMbWRpXAEINrP&#10;WlvQOgQ7yzLPa6GYHxkrNJyVcYoFHN0uKx1rga5kNsnzq6w1rrTOcOE9ble9k54R3XMATVU1XKwM&#10;3yuhQ4/qhGQBlHzdWE8XqdqqEjzcVpUXgciCgmlIXySBvY3fbDFns51jtm74uQT2nBKecFKs0Uh6&#10;gVqxwMjeNX9BqYY7400VRtyorCeSFAGLcf5Em/uaWZG4QGpvL6L7/wfLPx7uHGnKgl69pUQzhY6f&#10;fnw//Xw4/fpGcAeBWutniLu3iAzdO9NhbIZ7j8vIu6ucir9gROCHvMeLvKILhMdH08l0msPF4RsO&#10;wM8en1vnw3thFIlGQR36l2Rlh40PfegQErNps26kTD2UmrQg8fpNnh5cPACXOsaKNA1nmEipLz1a&#10;odt2Z55bUx5B05l+Urzl6walbJgPd8xhNFA+lifc4lNJg5TmbFFSG/f1X/cxHh2Dl5IWo1ZQjc2i&#10;RH7Q6CQAw2C4wdgOht6rG4PZHWMpLU8mHrggB7NyRn3BRi1jDriY5shU0DCYN6Efd2wkF8tlCsLs&#10;WRY2+t7yCB3l8Xa5D5AzqRxF6ZVAd+IB05f6dN6UON5/nlPU47/D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sgusb0wAAAAMBAAAPAAAAAAAAAAEAIAAAACIAAABkcnMvZG93bnJldi54bWxQSwEC&#10;FAAUAAAACACHTuJAXXriHzICAABlBAAADgAAAAAAAAABACAAAAAiAQAAZHJzL2Uyb0RvYy54bWxQ&#10;SwUGAAAAAAYABgBZAQAAxg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eastAsia" w:ascii="仿宋" w:hAnsi="仿宋" w:eastAsia="仿宋" w:cs="仿宋"/>
        <w:lang w:eastAsia="zh-CN"/>
      </w:rPr>
    </w:pPr>
    <w:r>
      <w:rPr>
        <w:rFonts w:hint="eastAsia" w:ascii="仿宋" w:hAnsi="仿宋" w:eastAsia="仿宋" w:cs="仿宋"/>
        <w:lang w:eastAsia="zh-CN"/>
      </w:rPr>
      <w:t>东林镇农村人居环境改善项目美丽乡村（锦山片、东林镇镇区周边水系综合整治）一期工程）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left="180" w:hanging="180" w:hangingChars="100"/>
      <w:jc w:val="right"/>
      <w:rPr>
        <w:rFonts w:ascii="仿宋" w:hAnsi="仿宋" w:eastAsia="仿宋" w:cs="仿宋"/>
      </w:rPr>
    </w:pPr>
    <w:r>
      <w:rPr>
        <w:rFonts w:hint="eastAsia" w:ascii="仿宋" w:hAnsi="仿宋" w:eastAsia="仿宋" w:cs="仿宋"/>
      </w:rPr>
      <w:t>织里镇骥村村机四圩护岸建设工程</w:t>
    </w:r>
    <w:r>
      <w:rPr>
        <w:rFonts w:hint="eastAsia" w:ascii="仿宋" w:hAnsi="仿宋" w:eastAsia="仿宋" w:cs="仿宋"/>
        <w:lang w:eastAsia="zh-CN"/>
      </w:rPr>
      <w:t>招标文件</w:t>
    </w:r>
    <w:r>
      <w:rPr>
        <w:rFonts w:hint="eastAsia" w:ascii="仿宋" w:hAnsi="仿宋" w:eastAsia="仿宋" w:cs="仿宋"/>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left="180" w:hanging="180" w:hangingChars="100"/>
      <w:jc w:val="right"/>
    </w:pPr>
    <w:r>
      <w:rPr>
        <w:rFonts w:hint="eastAsia" w:ascii="仿宋" w:hAnsi="仿宋" w:eastAsia="仿宋" w:cs="仿宋"/>
        <w:lang w:eastAsia="zh-CN"/>
      </w:rPr>
      <w:t>织里镇骥村村机四圩护岸建设工程招标文件</w:t>
    </w:r>
    <w:r>
      <w:rPr>
        <w:rFonts w:hint="eastAsia" w:ascii="仿宋" w:hAnsi="仿宋" w:eastAsia="仿宋" w:cs="仿宋"/>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25B4F"/>
    <w:multiLevelType w:val="singleLevel"/>
    <w:tmpl w:val="90525B4F"/>
    <w:lvl w:ilvl="0" w:tentative="0">
      <w:start w:val="1"/>
      <w:numFmt w:val="decimal"/>
      <w:suff w:val="space"/>
      <w:lvlText w:val="%1."/>
      <w:lvlJc w:val="left"/>
    </w:lvl>
  </w:abstractNum>
  <w:abstractNum w:abstractNumId="1">
    <w:nsid w:val="E9916B79"/>
    <w:multiLevelType w:val="singleLevel"/>
    <w:tmpl w:val="E9916B79"/>
    <w:lvl w:ilvl="0" w:tentative="0">
      <w:start w:val="1"/>
      <w:numFmt w:val="decimal"/>
      <w:suff w:val="nothing"/>
      <w:lvlText w:val="%1、"/>
      <w:lvlJc w:val="left"/>
    </w:lvl>
  </w:abstractNum>
  <w:abstractNum w:abstractNumId="2">
    <w:nsid w:val="EE9531A3"/>
    <w:multiLevelType w:val="singleLevel"/>
    <w:tmpl w:val="EE9531A3"/>
    <w:lvl w:ilvl="0" w:tentative="0">
      <w:start w:val="1"/>
      <w:numFmt w:val="decimal"/>
      <w:suff w:val="space"/>
      <w:lvlText w:val="(%1)"/>
      <w:lvlJc w:val="left"/>
    </w:lvl>
  </w:abstractNum>
  <w:abstractNum w:abstractNumId="3">
    <w:nsid w:val="00000004"/>
    <w:multiLevelType w:val="multilevel"/>
    <w:tmpl w:val="00000004"/>
    <w:lvl w:ilvl="0" w:tentative="0">
      <w:start w:val="1"/>
      <w:numFmt w:val="decimal"/>
      <w:lvlText w:val="%1、"/>
      <w:lvlJc w:val="left"/>
      <w:pPr>
        <w:tabs>
          <w:tab w:val="left" w:pos="600"/>
        </w:tabs>
        <w:ind w:left="600" w:hanging="360"/>
      </w:pPr>
      <w:rPr>
        <w:rFonts w:hint="default"/>
      </w:rPr>
    </w:lvl>
    <w:lvl w:ilvl="1" w:tentative="0">
      <w:start w:val="1"/>
      <w:numFmt w:val="lowerLetter"/>
      <w:pStyle w:val="60"/>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4">
    <w:nsid w:val="0000000D"/>
    <w:multiLevelType w:val="multilevel"/>
    <w:tmpl w:val="0000000D"/>
    <w:lvl w:ilvl="0" w:tentative="0">
      <w:start w:val="1"/>
      <w:numFmt w:val="japaneseCounting"/>
      <w:lvlText w:val="（%1）"/>
      <w:lvlJc w:val="left"/>
      <w:pPr>
        <w:tabs>
          <w:tab w:val="left" w:pos="1260"/>
        </w:tabs>
        <w:ind w:left="1260" w:hanging="72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9"/>
    <w:multiLevelType w:val="multilevel"/>
    <w:tmpl w:val="00000029"/>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980"/>
        </w:tabs>
        <w:ind w:left="1980" w:hanging="720"/>
      </w:pPr>
      <w:rPr>
        <w:rFonts w:hint="default" w:ascii="宋体"/>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A28DC96"/>
    <w:multiLevelType w:val="singleLevel"/>
    <w:tmpl w:val="1A28DC96"/>
    <w:lvl w:ilvl="0" w:tentative="0">
      <w:start w:val="1"/>
      <w:numFmt w:val="decimal"/>
      <w:lvlText w:val="%1."/>
      <w:lvlJc w:val="left"/>
      <w:pPr>
        <w:tabs>
          <w:tab w:val="left" w:pos="312"/>
        </w:tabs>
      </w:pPr>
    </w:lvl>
  </w:abstractNum>
  <w:abstractNum w:abstractNumId="7">
    <w:nsid w:val="20615317"/>
    <w:multiLevelType w:val="multilevel"/>
    <w:tmpl w:val="20615317"/>
    <w:lvl w:ilvl="0" w:tentative="0">
      <w:start w:val="3"/>
      <w:numFmt w:val="decimal"/>
      <w:lvlText w:val="%1"/>
      <w:lvlJc w:val="left"/>
      <w:pPr>
        <w:tabs>
          <w:tab w:val="left" w:pos="782"/>
        </w:tabs>
        <w:ind w:left="782" w:hanging="36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8">
    <w:nsid w:val="20BD1A32"/>
    <w:multiLevelType w:val="multilevel"/>
    <w:tmpl w:val="20BD1A32"/>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4805653"/>
    <w:multiLevelType w:val="singleLevel"/>
    <w:tmpl w:val="54805653"/>
    <w:lvl w:ilvl="0" w:tentative="0">
      <w:start w:val="1"/>
      <w:numFmt w:val="decimal"/>
      <w:lvlText w:val="%1)"/>
      <w:lvlJc w:val="left"/>
      <w:pPr>
        <w:tabs>
          <w:tab w:val="left" w:pos="425"/>
        </w:tabs>
        <w:ind w:left="425" w:hanging="425"/>
      </w:pPr>
      <w:rPr>
        <w:rFonts w:hint="default"/>
      </w:rPr>
    </w:lvl>
  </w:abstractNum>
  <w:abstractNum w:abstractNumId="10">
    <w:nsid w:val="59005C29"/>
    <w:multiLevelType w:val="singleLevel"/>
    <w:tmpl w:val="59005C29"/>
    <w:lvl w:ilvl="0" w:tentative="0">
      <w:start w:val="1"/>
      <w:numFmt w:val="chineseCounting"/>
      <w:suff w:val="nothing"/>
      <w:lvlText w:val="（%1）"/>
      <w:lvlJc w:val="left"/>
    </w:lvl>
  </w:abstractNum>
  <w:abstractNum w:abstractNumId="11">
    <w:nsid w:val="61DE5ED8"/>
    <w:multiLevelType w:val="multilevel"/>
    <w:tmpl w:val="61DE5ED8"/>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pStyle w:val="9"/>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1"/>
  </w:num>
  <w:num w:numId="2">
    <w:abstractNumId w:val="3"/>
  </w:num>
  <w:num w:numId="3">
    <w:abstractNumId w:val="0"/>
  </w:num>
  <w:num w:numId="4">
    <w:abstractNumId w:val="1"/>
  </w:num>
  <w:num w:numId="5">
    <w:abstractNumId w:val="8"/>
  </w:num>
  <w:num w:numId="6">
    <w:abstractNumId w:val="6"/>
  </w:num>
  <w:num w:numId="7">
    <w:abstractNumId w:val="2"/>
  </w:num>
  <w:num w:numId="8">
    <w:abstractNumId w:val="7"/>
  </w:num>
  <w:num w:numId="9">
    <w:abstractNumId w:val="9"/>
  </w:num>
  <w:num w:numId="10">
    <w:abstractNumId w:val="4"/>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C59C1"/>
    <w:rsid w:val="00005197"/>
    <w:rsid w:val="0000653C"/>
    <w:rsid w:val="00006989"/>
    <w:rsid w:val="00011AD3"/>
    <w:rsid w:val="000142FD"/>
    <w:rsid w:val="000161BD"/>
    <w:rsid w:val="00024053"/>
    <w:rsid w:val="00024F95"/>
    <w:rsid w:val="00025A87"/>
    <w:rsid w:val="00025F2B"/>
    <w:rsid w:val="0003058A"/>
    <w:rsid w:val="00033556"/>
    <w:rsid w:val="00036E79"/>
    <w:rsid w:val="0004114A"/>
    <w:rsid w:val="00046337"/>
    <w:rsid w:val="00050DF9"/>
    <w:rsid w:val="00051292"/>
    <w:rsid w:val="0005233A"/>
    <w:rsid w:val="0005647F"/>
    <w:rsid w:val="00061A4F"/>
    <w:rsid w:val="00062901"/>
    <w:rsid w:val="00063C3D"/>
    <w:rsid w:val="00063D55"/>
    <w:rsid w:val="0006710E"/>
    <w:rsid w:val="000709F7"/>
    <w:rsid w:val="00072C08"/>
    <w:rsid w:val="00090573"/>
    <w:rsid w:val="00093D8B"/>
    <w:rsid w:val="0009534F"/>
    <w:rsid w:val="000977CB"/>
    <w:rsid w:val="000A0C40"/>
    <w:rsid w:val="000A2174"/>
    <w:rsid w:val="000A30D3"/>
    <w:rsid w:val="000B387D"/>
    <w:rsid w:val="000B5BFD"/>
    <w:rsid w:val="000C1535"/>
    <w:rsid w:val="000C2F27"/>
    <w:rsid w:val="000C3FA2"/>
    <w:rsid w:val="000C7052"/>
    <w:rsid w:val="000D1F7E"/>
    <w:rsid w:val="000D4A98"/>
    <w:rsid w:val="000D4BA4"/>
    <w:rsid w:val="000D64B6"/>
    <w:rsid w:val="000D65FD"/>
    <w:rsid w:val="000F1493"/>
    <w:rsid w:val="001005AF"/>
    <w:rsid w:val="00100E59"/>
    <w:rsid w:val="001032DD"/>
    <w:rsid w:val="001053F2"/>
    <w:rsid w:val="0011038E"/>
    <w:rsid w:val="00110DDE"/>
    <w:rsid w:val="00112E5B"/>
    <w:rsid w:val="00114ABD"/>
    <w:rsid w:val="00116423"/>
    <w:rsid w:val="00121930"/>
    <w:rsid w:val="00123E5A"/>
    <w:rsid w:val="0012672B"/>
    <w:rsid w:val="00127056"/>
    <w:rsid w:val="0012752D"/>
    <w:rsid w:val="001306CD"/>
    <w:rsid w:val="0013188A"/>
    <w:rsid w:val="001319E4"/>
    <w:rsid w:val="00132335"/>
    <w:rsid w:val="001337C1"/>
    <w:rsid w:val="001363DA"/>
    <w:rsid w:val="00141723"/>
    <w:rsid w:val="001437FB"/>
    <w:rsid w:val="00147EAA"/>
    <w:rsid w:val="00147EC0"/>
    <w:rsid w:val="00147EE2"/>
    <w:rsid w:val="0015008D"/>
    <w:rsid w:val="001511B3"/>
    <w:rsid w:val="00155DAE"/>
    <w:rsid w:val="0016026C"/>
    <w:rsid w:val="0016099E"/>
    <w:rsid w:val="0016197A"/>
    <w:rsid w:val="00163DD2"/>
    <w:rsid w:val="00172B94"/>
    <w:rsid w:val="001772D2"/>
    <w:rsid w:val="00177876"/>
    <w:rsid w:val="00177F16"/>
    <w:rsid w:val="00180F7A"/>
    <w:rsid w:val="00182C8F"/>
    <w:rsid w:val="001864AA"/>
    <w:rsid w:val="00191E07"/>
    <w:rsid w:val="00191FAB"/>
    <w:rsid w:val="00192471"/>
    <w:rsid w:val="00193AE2"/>
    <w:rsid w:val="0019499B"/>
    <w:rsid w:val="0019597B"/>
    <w:rsid w:val="001A3074"/>
    <w:rsid w:val="001A444A"/>
    <w:rsid w:val="001A654E"/>
    <w:rsid w:val="001B060A"/>
    <w:rsid w:val="001B1AB4"/>
    <w:rsid w:val="001B2F22"/>
    <w:rsid w:val="001B5567"/>
    <w:rsid w:val="001B5CFB"/>
    <w:rsid w:val="001C2FFD"/>
    <w:rsid w:val="001D31E4"/>
    <w:rsid w:val="001D3ABA"/>
    <w:rsid w:val="001D5455"/>
    <w:rsid w:val="001E1D78"/>
    <w:rsid w:val="001E3B26"/>
    <w:rsid w:val="001E5E93"/>
    <w:rsid w:val="001E5F9B"/>
    <w:rsid w:val="001E6E42"/>
    <w:rsid w:val="001F2CCE"/>
    <w:rsid w:val="001F701B"/>
    <w:rsid w:val="0020004E"/>
    <w:rsid w:val="002132CB"/>
    <w:rsid w:val="00214D46"/>
    <w:rsid w:val="00214FA0"/>
    <w:rsid w:val="00216AAE"/>
    <w:rsid w:val="002223BD"/>
    <w:rsid w:val="0022466B"/>
    <w:rsid w:val="002261C0"/>
    <w:rsid w:val="00227B2A"/>
    <w:rsid w:val="002311AD"/>
    <w:rsid w:val="002363DF"/>
    <w:rsid w:val="00245A98"/>
    <w:rsid w:val="0024663B"/>
    <w:rsid w:val="00252144"/>
    <w:rsid w:val="00254054"/>
    <w:rsid w:val="0025611F"/>
    <w:rsid w:val="00262461"/>
    <w:rsid w:val="00264D90"/>
    <w:rsid w:val="002664F2"/>
    <w:rsid w:val="00266D3D"/>
    <w:rsid w:val="0026716A"/>
    <w:rsid w:val="00270022"/>
    <w:rsid w:val="00270423"/>
    <w:rsid w:val="00271FC0"/>
    <w:rsid w:val="00273355"/>
    <w:rsid w:val="0027488E"/>
    <w:rsid w:val="00275C14"/>
    <w:rsid w:val="0027701A"/>
    <w:rsid w:val="00282B70"/>
    <w:rsid w:val="0029074C"/>
    <w:rsid w:val="002933B2"/>
    <w:rsid w:val="00293DCA"/>
    <w:rsid w:val="00294880"/>
    <w:rsid w:val="00296F50"/>
    <w:rsid w:val="002A1570"/>
    <w:rsid w:val="002A3367"/>
    <w:rsid w:val="002B5191"/>
    <w:rsid w:val="002B53DC"/>
    <w:rsid w:val="002B79FC"/>
    <w:rsid w:val="002B7BC2"/>
    <w:rsid w:val="002C44CE"/>
    <w:rsid w:val="002D1912"/>
    <w:rsid w:val="002D5C6B"/>
    <w:rsid w:val="002D621E"/>
    <w:rsid w:val="002D7C02"/>
    <w:rsid w:val="002E0D99"/>
    <w:rsid w:val="002E30E0"/>
    <w:rsid w:val="002E6BD0"/>
    <w:rsid w:val="002E722E"/>
    <w:rsid w:val="002E7437"/>
    <w:rsid w:val="002F04C7"/>
    <w:rsid w:val="002F12A5"/>
    <w:rsid w:val="002F3A3F"/>
    <w:rsid w:val="00300B17"/>
    <w:rsid w:val="00300BE5"/>
    <w:rsid w:val="003022FA"/>
    <w:rsid w:val="00310525"/>
    <w:rsid w:val="003106C0"/>
    <w:rsid w:val="00312F3A"/>
    <w:rsid w:val="00313D3C"/>
    <w:rsid w:val="00314348"/>
    <w:rsid w:val="003214D9"/>
    <w:rsid w:val="00323DC9"/>
    <w:rsid w:val="00324DE8"/>
    <w:rsid w:val="003353A3"/>
    <w:rsid w:val="0034051E"/>
    <w:rsid w:val="00343C51"/>
    <w:rsid w:val="00344AD4"/>
    <w:rsid w:val="00345868"/>
    <w:rsid w:val="003471E5"/>
    <w:rsid w:val="00350A6B"/>
    <w:rsid w:val="00351B0E"/>
    <w:rsid w:val="00352415"/>
    <w:rsid w:val="0035390F"/>
    <w:rsid w:val="0035406B"/>
    <w:rsid w:val="00364B37"/>
    <w:rsid w:val="00365C7E"/>
    <w:rsid w:val="003714F5"/>
    <w:rsid w:val="0037197E"/>
    <w:rsid w:val="003720C0"/>
    <w:rsid w:val="00372D3E"/>
    <w:rsid w:val="00373CCF"/>
    <w:rsid w:val="00374E79"/>
    <w:rsid w:val="00374FC1"/>
    <w:rsid w:val="00377600"/>
    <w:rsid w:val="0038456E"/>
    <w:rsid w:val="00384788"/>
    <w:rsid w:val="00386692"/>
    <w:rsid w:val="00397838"/>
    <w:rsid w:val="00397B06"/>
    <w:rsid w:val="003A007A"/>
    <w:rsid w:val="003A20EF"/>
    <w:rsid w:val="003A6697"/>
    <w:rsid w:val="003B166B"/>
    <w:rsid w:val="003B20D5"/>
    <w:rsid w:val="003B52AA"/>
    <w:rsid w:val="003B66D9"/>
    <w:rsid w:val="003B6AE5"/>
    <w:rsid w:val="003C035B"/>
    <w:rsid w:val="003C0387"/>
    <w:rsid w:val="003C1EEE"/>
    <w:rsid w:val="003C48D4"/>
    <w:rsid w:val="003C493F"/>
    <w:rsid w:val="003C64A7"/>
    <w:rsid w:val="003C6C3C"/>
    <w:rsid w:val="003C6D8F"/>
    <w:rsid w:val="003D1BD8"/>
    <w:rsid w:val="003D25E5"/>
    <w:rsid w:val="003D2BEC"/>
    <w:rsid w:val="003D33AA"/>
    <w:rsid w:val="003D4D75"/>
    <w:rsid w:val="003D505E"/>
    <w:rsid w:val="003D6303"/>
    <w:rsid w:val="003E58E9"/>
    <w:rsid w:val="003F0265"/>
    <w:rsid w:val="003F1EA5"/>
    <w:rsid w:val="003F2FC8"/>
    <w:rsid w:val="003F49C3"/>
    <w:rsid w:val="003F56FA"/>
    <w:rsid w:val="003F57E2"/>
    <w:rsid w:val="0040262F"/>
    <w:rsid w:val="0040568D"/>
    <w:rsid w:val="00410E87"/>
    <w:rsid w:val="00412DCB"/>
    <w:rsid w:val="00414406"/>
    <w:rsid w:val="00414CB3"/>
    <w:rsid w:val="004151C1"/>
    <w:rsid w:val="00416FC7"/>
    <w:rsid w:val="004244D1"/>
    <w:rsid w:val="00426AAE"/>
    <w:rsid w:val="00433CC2"/>
    <w:rsid w:val="004356A6"/>
    <w:rsid w:val="00452D06"/>
    <w:rsid w:val="00464D6D"/>
    <w:rsid w:val="0047635A"/>
    <w:rsid w:val="0047703A"/>
    <w:rsid w:val="00480A3C"/>
    <w:rsid w:val="00482404"/>
    <w:rsid w:val="0048508C"/>
    <w:rsid w:val="004862B3"/>
    <w:rsid w:val="00486DDD"/>
    <w:rsid w:val="004A1444"/>
    <w:rsid w:val="004A22A6"/>
    <w:rsid w:val="004A3075"/>
    <w:rsid w:val="004A3ECC"/>
    <w:rsid w:val="004B0FA1"/>
    <w:rsid w:val="004B59F0"/>
    <w:rsid w:val="004B5E38"/>
    <w:rsid w:val="004C03F2"/>
    <w:rsid w:val="004C30ED"/>
    <w:rsid w:val="004C7812"/>
    <w:rsid w:val="004D05A3"/>
    <w:rsid w:val="004D2B4A"/>
    <w:rsid w:val="004D3613"/>
    <w:rsid w:val="004D3B02"/>
    <w:rsid w:val="004D3B66"/>
    <w:rsid w:val="004D4CD0"/>
    <w:rsid w:val="004D5D28"/>
    <w:rsid w:val="004E336B"/>
    <w:rsid w:val="004E3429"/>
    <w:rsid w:val="004E47DE"/>
    <w:rsid w:val="004E73D6"/>
    <w:rsid w:val="004E7944"/>
    <w:rsid w:val="004F543E"/>
    <w:rsid w:val="004F6E20"/>
    <w:rsid w:val="004F6E22"/>
    <w:rsid w:val="004F724F"/>
    <w:rsid w:val="004F77A1"/>
    <w:rsid w:val="00502A7F"/>
    <w:rsid w:val="00502E77"/>
    <w:rsid w:val="00507481"/>
    <w:rsid w:val="00510CF0"/>
    <w:rsid w:val="00512D8D"/>
    <w:rsid w:val="00515148"/>
    <w:rsid w:val="00520951"/>
    <w:rsid w:val="00520DEA"/>
    <w:rsid w:val="005218D1"/>
    <w:rsid w:val="00522495"/>
    <w:rsid w:val="00522630"/>
    <w:rsid w:val="00523AA4"/>
    <w:rsid w:val="00531BE1"/>
    <w:rsid w:val="00543098"/>
    <w:rsid w:val="00543A07"/>
    <w:rsid w:val="00560559"/>
    <w:rsid w:val="00561044"/>
    <w:rsid w:val="005624A6"/>
    <w:rsid w:val="00564BD5"/>
    <w:rsid w:val="00565363"/>
    <w:rsid w:val="0056648A"/>
    <w:rsid w:val="00574EEC"/>
    <w:rsid w:val="005774F5"/>
    <w:rsid w:val="00581A4E"/>
    <w:rsid w:val="00581F1F"/>
    <w:rsid w:val="00593116"/>
    <w:rsid w:val="005968D5"/>
    <w:rsid w:val="005A5380"/>
    <w:rsid w:val="005A6D4A"/>
    <w:rsid w:val="005B2079"/>
    <w:rsid w:val="005B2508"/>
    <w:rsid w:val="005B2568"/>
    <w:rsid w:val="005B3EBB"/>
    <w:rsid w:val="005B64BC"/>
    <w:rsid w:val="005B7271"/>
    <w:rsid w:val="005B7BD4"/>
    <w:rsid w:val="005C10DD"/>
    <w:rsid w:val="005C5C79"/>
    <w:rsid w:val="005D39C0"/>
    <w:rsid w:val="005D41EE"/>
    <w:rsid w:val="005E2C51"/>
    <w:rsid w:val="005E2EDA"/>
    <w:rsid w:val="005E6C9F"/>
    <w:rsid w:val="005F0ADA"/>
    <w:rsid w:val="00600FB8"/>
    <w:rsid w:val="006061A0"/>
    <w:rsid w:val="00606A04"/>
    <w:rsid w:val="006101C8"/>
    <w:rsid w:val="00614A94"/>
    <w:rsid w:val="00622B83"/>
    <w:rsid w:val="0063142A"/>
    <w:rsid w:val="0063455E"/>
    <w:rsid w:val="0063461C"/>
    <w:rsid w:val="006405A7"/>
    <w:rsid w:val="006405E5"/>
    <w:rsid w:val="00641A77"/>
    <w:rsid w:val="006501F9"/>
    <w:rsid w:val="00650BF7"/>
    <w:rsid w:val="00652894"/>
    <w:rsid w:val="00652AF5"/>
    <w:rsid w:val="0065429C"/>
    <w:rsid w:val="00661373"/>
    <w:rsid w:val="00663063"/>
    <w:rsid w:val="006645A3"/>
    <w:rsid w:val="00665CF3"/>
    <w:rsid w:val="00670F8B"/>
    <w:rsid w:val="00673953"/>
    <w:rsid w:val="006802EB"/>
    <w:rsid w:val="00683834"/>
    <w:rsid w:val="006856DB"/>
    <w:rsid w:val="00685C02"/>
    <w:rsid w:val="006933D3"/>
    <w:rsid w:val="006A7B8D"/>
    <w:rsid w:val="006B24CE"/>
    <w:rsid w:val="006B4FD7"/>
    <w:rsid w:val="006B71D6"/>
    <w:rsid w:val="006B7AC6"/>
    <w:rsid w:val="006B7B7A"/>
    <w:rsid w:val="006C7D72"/>
    <w:rsid w:val="006D2D06"/>
    <w:rsid w:val="006D2FF4"/>
    <w:rsid w:val="006D3AEA"/>
    <w:rsid w:val="006E114B"/>
    <w:rsid w:val="006E3F60"/>
    <w:rsid w:val="006E420C"/>
    <w:rsid w:val="006E5DAD"/>
    <w:rsid w:val="006E6155"/>
    <w:rsid w:val="006E7645"/>
    <w:rsid w:val="006F3D53"/>
    <w:rsid w:val="00700181"/>
    <w:rsid w:val="0070626E"/>
    <w:rsid w:val="00706949"/>
    <w:rsid w:val="00712C8B"/>
    <w:rsid w:val="00712F47"/>
    <w:rsid w:val="0071381F"/>
    <w:rsid w:val="00715519"/>
    <w:rsid w:val="00715F2D"/>
    <w:rsid w:val="00716F81"/>
    <w:rsid w:val="007214A2"/>
    <w:rsid w:val="00724532"/>
    <w:rsid w:val="0072534F"/>
    <w:rsid w:val="00725D44"/>
    <w:rsid w:val="00726A4D"/>
    <w:rsid w:val="00733275"/>
    <w:rsid w:val="00734D17"/>
    <w:rsid w:val="00735223"/>
    <w:rsid w:val="0073563D"/>
    <w:rsid w:val="007421D3"/>
    <w:rsid w:val="00742C01"/>
    <w:rsid w:val="00743E40"/>
    <w:rsid w:val="007445FD"/>
    <w:rsid w:val="00762C3D"/>
    <w:rsid w:val="007639D5"/>
    <w:rsid w:val="007660EE"/>
    <w:rsid w:val="007669BD"/>
    <w:rsid w:val="00772D20"/>
    <w:rsid w:val="007756DB"/>
    <w:rsid w:val="007803D8"/>
    <w:rsid w:val="00780DD4"/>
    <w:rsid w:val="00782718"/>
    <w:rsid w:val="0078522B"/>
    <w:rsid w:val="00785712"/>
    <w:rsid w:val="00786673"/>
    <w:rsid w:val="00791D3C"/>
    <w:rsid w:val="00791EDC"/>
    <w:rsid w:val="00794F26"/>
    <w:rsid w:val="007A25E9"/>
    <w:rsid w:val="007B2C52"/>
    <w:rsid w:val="007B4039"/>
    <w:rsid w:val="007B7A59"/>
    <w:rsid w:val="007C03F3"/>
    <w:rsid w:val="007C168D"/>
    <w:rsid w:val="007C4402"/>
    <w:rsid w:val="007C6DEA"/>
    <w:rsid w:val="007D088C"/>
    <w:rsid w:val="007D13A4"/>
    <w:rsid w:val="007E0F5E"/>
    <w:rsid w:val="007E2E0F"/>
    <w:rsid w:val="007E4F92"/>
    <w:rsid w:val="007F2D20"/>
    <w:rsid w:val="007F50DE"/>
    <w:rsid w:val="00804D58"/>
    <w:rsid w:val="00806175"/>
    <w:rsid w:val="008070D3"/>
    <w:rsid w:val="00810BA0"/>
    <w:rsid w:val="00825755"/>
    <w:rsid w:val="00827F87"/>
    <w:rsid w:val="00840A68"/>
    <w:rsid w:val="00843880"/>
    <w:rsid w:val="008509FE"/>
    <w:rsid w:val="008517D2"/>
    <w:rsid w:val="00855DC1"/>
    <w:rsid w:val="00856F4F"/>
    <w:rsid w:val="008572D8"/>
    <w:rsid w:val="00857C59"/>
    <w:rsid w:val="00864B2B"/>
    <w:rsid w:val="00865B89"/>
    <w:rsid w:val="00867A77"/>
    <w:rsid w:val="00867F85"/>
    <w:rsid w:val="00873AF8"/>
    <w:rsid w:val="0088269B"/>
    <w:rsid w:val="0088550E"/>
    <w:rsid w:val="0089446C"/>
    <w:rsid w:val="008947BB"/>
    <w:rsid w:val="00894CD4"/>
    <w:rsid w:val="008A5167"/>
    <w:rsid w:val="008A643B"/>
    <w:rsid w:val="008B11D5"/>
    <w:rsid w:val="008B2D41"/>
    <w:rsid w:val="008B5120"/>
    <w:rsid w:val="008C733E"/>
    <w:rsid w:val="008D3F28"/>
    <w:rsid w:val="008E00BC"/>
    <w:rsid w:val="008E137A"/>
    <w:rsid w:val="008E470E"/>
    <w:rsid w:val="008E4C9B"/>
    <w:rsid w:val="008E574B"/>
    <w:rsid w:val="008E71B7"/>
    <w:rsid w:val="008F0D5E"/>
    <w:rsid w:val="008F5331"/>
    <w:rsid w:val="00900151"/>
    <w:rsid w:val="009008B5"/>
    <w:rsid w:val="00900F96"/>
    <w:rsid w:val="00904B29"/>
    <w:rsid w:val="0090591C"/>
    <w:rsid w:val="009059F8"/>
    <w:rsid w:val="0090640D"/>
    <w:rsid w:val="00907FFD"/>
    <w:rsid w:val="009107C8"/>
    <w:rsid w:val="009109F3"/>
    <w:rsid w:val="00910A5F"/>
    <w:rsid w:val="00912D13"/>
    <w:rsid w:val="0091425D"/>
    <w:rsid w:val="00914F6E"/>
    <w:rsid w:val="00915026"/>
    <w:rsid w:val="00915682"/>
    <w:rsid w:val="00915713"/>
    <w:rsid w:val="00923849"/>
    <w:rsid w:val="009264A1"/>
    <w:rsid w:val="00931EFC"/>
    <w:rsid w:val="009342A2"/>
    <w:rsid w:val="009444C3"/>
    <w:rsid w:val="00944939"/>
    <w:rsid w:val="0094505E"/>
    <w:rsid w:val="009459EE"/>
    <w:rsid w:val="00945C80"/>
    <w:rsid w:val="00953AE0"/>
    <w:rsid w:val="00954A0F"/>
    <w:rsid w:val="00970B80"/>
    <w:rsid w:val="00976003"/>
    <w:rsid w:val="009771AE"/>
    <w:rsid w:val="00980F23"/>
    <w:rsid w:val="00981D20"/>
    <w:rsid w:val="009846CC"/>
    <w:rsid w:val="0098731C"/>
    <w:rsid w:val="009900D2"/>
    <w:rsid w:val="0099234F"/>
    <w:rsid w:val="0099236C"/>
    <w:rsid w:val="00994748"/>
    <w:rsid w:val="00995647"/>
    <w:rsid w:val="00995DF0"/>
    <w:rsid w:val="00997B99"/>
    <w:rsid w:val="009A371D"/>
    <w:rsid w:val="009A6C4D"/>
    <w:rsid w:val="009A6D5B"/>
    <w:rsid w:val="009B0405"/>
    <w:rsid w:val="009B44FA"/>
    <w:rsid w:val="009B712B"/>
    <w:rsid w:val="009C0350"/>
    <w:rsid w:val="009D6A3A"/>
    <w:rsid w:val="009E7693"/>
    <w:rsid w:val="009F1F1C"/>
    <w:rsid w:val="009F723E"/>
    <w:rsid w:val="00A03423"/>
    <w:rsid w:val="00A03BCF"/>
    <w:rsid w:val="00A050F3"/>
    <w:rsid w:val="00A062BB"/>
    <w:rsid w:val="00A0790B"/>
    <w:rsid w:val="00A07FC0"/>
    <w:rsid w:val="00A119FF"/>
    <w:rsid w:val="00A11DB1"/>
    <w:rsid w:val="00A201CD"/>
    <w:rsid w:val="00A248E1"/>
    <w:rsid w:val="00A26108"/>
    <w:rsid w:val="00A3309E"/>
    <w:rsid w:val="00A36204"/>
    <w:rsid w:val="00A37A62"/>
    <w:rsid w:val="00A41BB5"/>
    <w:rsid w:val="00A4315A"/>
    <w:rsid w:val="00A477D2"/>
    <w:rsid w:val="00A51B5E"/>
    <w:rsid w:val="00A57FF0"/>
    <w:rsid w:val="00A60007"/>
    <w:rsid w:val="00A64352"/>
    <w:rsid w:val="00A723C7"/>
    <w:rsid w:val="00A73B0D"/>
    <w:rsid w:val="00A748E5"/>
    <w:rsid w:val="00A74EDB"/>
    <w:rsid w:val="00A76E73"/>
    <w:rsid w:val="00A863D3"/>
    <w:rsid w:val="00A866D5"/>
    <w:rsid w:val="00A90087"/>
    <w:rsid w:val="00A909EB"/>
    <w:rsid w:val="00A92187"/>
    <w:rsid w:val="00A93BD8"/>
    <w:rsid w:val="00A95611"/>
    <w:rsid w:val="00A97FF8"/>
    <w:rsid w:val="00AA2D72"/>
    <w:rsid w:val="00AA31A4"/>
    <w:rsid w:val="00AA34A0"/>
    <w:rsid w:val="00AA39B5"/>
    <w:rsid w:val="00AA4A2E"/>
    <w:rsid w:val="00AB18A2"/>
    <w:rsid w:val="00AB1EFC"/>
    <w:rsid w:val="00AB201F"/>
    <w:rsid w:val="00AB781A"/>
    <w:rsid w:val="00AC4D64"/>
    <w:rsid w:val="00AC76DA"/>
    <w:rsid w:val="00AD0C30"/>
    <w:rsid w:val="00AE00BF"/>
    <w:rsid w:val="00AE033B"/>
    <w:rsid w:val="00AE0758"/>
    <w:rsid w:val="00AE592C"/>
    <w:rsid w:val="00AE5BDB"/>
    <w:rsid w:val="00AF01D1"/>
    <w:rsid w:val="00AF02EB"/>
    <w:rsid w:val="00AF1966"/>
    <w:rsid w:val="00AF37AA"/>
    <w:rsid w:val="00AF3FF6"/>
    <w:rsid w:val="00AF4A2B"/>
    <w:rsid w:val="00AF4DD0"/>
    <w:rsid w:val="00AF79B0"/>
    <w:rsid w:val="00B00366"/>
    <w:rsid w:val="00B11DE8"/>
    <w:rsid w:val="00B11F94"/>
    <w:rsid w:val="00B1593A"/>
    <w:rsid w:val="00B21948"/>
    <w:rsid w:val="00B225E6"/>
    <w:rsid w:val="00B31300"/>
    <w:rsid w:val="00B3393A"/>
    <w:rsid w:val="00B50E93"/>
    <w:rsid w:val="00B5358A"/>
    <w:rsid w:val="00B54BE8"/>
    <w:rsid w:val="00B57AEC"/>
    <w:rsid w:val="00B60AB3"/>
    <w:rsid w:val="00B622B2"/>
    <w:rsid w:val="00B64DC3"/>
    <w:rsid w:val="00B66225"/>
    <w:rsid w:val="00B7329C"/>
    <w:rsid w:val="00B73E61"/>
    <w:rsid w:val="00B809E0"/>
    <w:rsid w:val="00B82E03"/>
    <w:rsid w:val="00B90E79"/>
    <w:rsid w:val="00BA11D9"/>
    <w:rsid w:val="00BA1212"/>
    <w:rsid w:val="00BA1344"/>
    <w:rsid w:val="00BA57E9"/>
    <w:rsid w:val="00BB0B78"/>
    <w:rsid w:val="00BB0BD8"/>
    <w:rsid w:val="00BB1E9E"/>
    <w:rsid w:val="00BB49D9"/>
    <w:rsid w:val="00BB5B60"/>
    <w:rsid w:val="00BC630F"/>
    <w:rsid w:val="00BD483D"/>
    <w:rsid w:val="00BD4B86"/>
    <w:rsid w:val="00BD540D"/>
    <w:rsid w:val="00BD6301"/>
    <w:rsid w:val="00BE3072"/>
    <w:rsid w:val="00BE3606"/>
    <w:rsid w:val="00BE4828"/>
    <w:rsid w:val="00BE5E7F"/>
    <w:rsid w:val="00BE7167"/>
    <w:rsid w:val="00BE79F3"/>
    <w:rsid w:val="00BF0E2E"/>
    <w:rsid w:val="00BF3CB6"/>
    <w:rsid w:val="00C0724B"/>
    <w:rsid w:val="00C12149"/>
    <w:rsid w:val="00C20C94"/>
    <w:rsid w:val="00C2191F"/>
    <w:rsid w:val="00C24162"/>
    <w:rsid w:val="00C24ECB"/>
    <w:rsid w:val="00C2693F"/>
    <w:rsid w:val="00C27408"/>
    <w:rsid w:val="00C3706A"/>
    <w:rsid w:val="00C44518"/>
    <w:rsid w:val="00C476FE"/>
    <w:rsid w:val="00C53A78"/>
    <w:rsid w:val="00C65BEB"/>
    <w:rsid w:val="00C67A33"/>
    <w:rsid w:val="00C73EA3"/>
    <w:rsid w:val="00C75CBF"/>
    <w:rsid w:val="00C8162A"/>
    <w:rsid w:val="00C85D52"/>
    <w:rsid w:val="00C87A2E"/>
    <w:rsid w:val="00C91F9E"/>
    <w:rsid w:val="00C9560F"/>
    <w:rsid w:val="00C962EC"/>
    <w:rsid w:val="00CA2452"/>
    <w:rsid w:val="00CA3A69"/>
    <w:rsid w:val="00CA4B86"/>
    <w:rsid w:val="00CA678A"/>
    <w:rsid w:val="00CB0CDA"/>
    <w:rsid w:val="00CB5ABF"/>
    <w:rsid w:val="00CB73AF"/>
    <w:rsid w:val="00CC3ED1"/>
    <w:rsid w:val="00CC4834"/>
    <w:rsid w:val="00CC5F15"/>
    <w:rsid w:val="00CC793B"/>
    <w:rsid w:val="00CD22DA"/>
    <w:rsid w:val="00CF0680"/>
    <w:rsid w:val="00CF256D"/>
    <w:rsid w:val="00CF36AB"/>
    <w:rsid w:val="00CF3724"/>
    <w:rsid w:val="00D06CE5"/>
    <w:rsid w:val="00D103EA"/>
    <w:rsid w:val="00D10D34"/>
    <w:rsid w:val="00D15C58"/>
    <w:rsid w:val="00D16CC4"/>
    <w:rsid w:val="00D16DAC"/>
    <w:rsid w:val="00D27F2E"/>
    <w:rsid w:val="00D3155D"/>
    <w:rsid w:val="00D32C56"/>
    <w:rsid w:val="00D34FE1"/>
    <w:rsid w:val="00D3561B"/>
    <w:rsid w:val="00D3570D"/>
    <w:rsid w:val="00D36A5F"/>
    <w:rsid w:val="00D40ED0"/>
    <w:rsid w:val="00D47AC6"/>
    <w:rsid w:val="00D5479C"/>
    <w:rsid w:val="00D62021"/>
    <w:rsid w:val="00D645AC"/>
    <w:rsid w:val="00D645FC"/>
    <w:rsid w:val="00D64765"/>
    <w:rsid w:val="00D6725A"/>
    <w:rsid w:val="00D82FE2"/>
    <w:rsid w:val="00D85283"/>
    <w:rsid w:val="00D86778"/>
    <w:rsid w:val="00D876AB"/>
    <w:rsid w:val="00D9416A"/>
    <w:rsid w:val="00D96C8F"/>
    <w:rsid w:val="00DA4BFB"/>
    <w:rsid w:val="00DA6BB8"/>
    <w:rsid w:val="00DB1141"/>
    <w:rsid w:val="00DB12AD"/>
    <w:rsid w:val="00DB641E"/>
    <w:rsid w:val="00DB735C"/>
    <w:rsid w:val="00DC2F78"/>
    <w:rsid w:val="00DC49B8"/>
    <w:rsid w:val="00DC625B"/>
    <w:rsid w:val="00DC6BF3"/>
    <w:rsid w:val="00DD38A8"/>
    <w:rsid w:val="00DE5E9D"/>
    <w:rsid w:val="00DE62AC"/>
    <w:rsid w:val="00DF2D8D"/>
    <w:rsid w:val="00DF605D"/>
    <w:rsid w:val="00DF669F"/>
    <w:rsid w:val="00DF7BE2"/>
    <w:rsid w:val="00DF7C31"/>
    <w:rsid w:val="00E0005D"/>
    <w:rsid w:val="00E13A7E"/>
    <w:rsid w:val="00E23892"/>
    <w:rsid w:val="00E271E1"/>
    <w:rsid w:val="00E3001D"/>
    <w:rsid w:val="00E316BB"/>
    <w:rsid w:val="00E31A80"/>
    <w:rsid w:val="00E32C54"/>
    <w:rsid w:val="00E32F6C"/>
    <w:rsid w:val="00E37687"/>
    <w:rsid w:val="00E44CE2"/>
    <w:rsid w:val="00E56FFB"/>
    <w:rsid w:val="00E57668"/>
    <w:rsid w:val="00E579F4"/>
    <w:rsid w:val="00E619FB"/>
    <w:rsid w:val="00E6475A"/>
    <w:rsid w:val="00E725BA"/>
    <w:rsid w:val="00E74505"/>
    <w:rsid w:val="00E80501"/>
    <w:rsid w:val="00E80C49"/>
    <w:rsid w:val="00E82349"/>
    <w:rsid w:val="00E84533"/>
    <w:rsid w:val="00E92B35"/>
    <w:rsid w:val="00E9473C"/>
    <w:rsid w:val="00E953FF"/>
    <w:rsid w:val="00E96528"/>
    <w:rsid w:val="00E96D7D"/>
    <w:rsid w:val="00E9765A"/>
    <w:rsid w:val="00EA0E58"/>
    <w:rsid w:val="00EA20E3"/>
    <w:rsid w:val="00EA480E"/>
    <w:rsid w:val="00EB45D1"/>
    <w:rsid w:val="00EC2716"/>
    <w:rsid w:val="00EC51E6"/>
    <w:rsid w:val="00ED0C3C"/>
    <w:rsid w:val="00ED2A0A"/>
    <w:rsid w:val="00ED6E2A"/>
    <w:rsid w:val="00EE2A47"/>
    <w:rsid w:val="00EE4D0B"/>
    <w:rsid w:val="00EF44B8"/>
    <w:rsid w:val="00EF7422"/>
    <w:rsid w:val="00F03E58"/>
    <w:rsid w:val="00F13E81"/>
    <w:rsid w:val="00F15393"/>
    <w:rsid w:val="00F17AD5"/>
    <w:rsid w:val="00F23FEA"/>
    <w:rsid w:val="00F24567"/>
    <w:rsid w:val="00F32AD9"/>
    <w:rsid w:val="00F4291F"/>
    <w:rsid w:val="00F50670"/>
    <w:rsid w:val="00F5268C"/>
    <w:rsid w:val="00F5716E"/>
    <w:rsid w:val="00F61697"/>
    <w:rsid w:val="00F66C5E"/>
    <w:rsid w:val="00F67D54"/>
    <w:rsid w:val="00F70AC1"/>
    <w:rsid w:val="00F7546F"/>
    <w:rsid w:val="00F76991"/>
    <w:rsid w:val="00F8443D"/>
    <w:rsid w:val="00F8723D"/>
    <w:rsid w:val="00F93658"/>
    <w:rsid w:val="00F95AB6"/>
    <w:rsid w:val="00F972BD"/>
    <w:rsid w:val="00F977ED"/>
    <w:rsid w:val="00FA01CB"/>
    <w:rsid w:val="00FA0E1B"/>
    <w:rsid w:val="00FA138B"/>
    <w:rsid w:val="00FA15B9"/>
    <w:rsid w:val="00FB1132"/>
    <w:rsid w:val="00FD5CF7"/>
    <w:rsid w:val="00FD72E8"/>
    <w:rsid w:val="00FE2240"/>
    <w:rsid w:val="00FE532A"/>
    <w:rsid w:val="00FE6050"/>
    <w:rsid w:val="00FF348C"/>
    <w:rsid w:val="00FF34C4"/>
    <w:rsid w:val="00FF3956"/>
    <w:rsid w:val="00FF513E"/>
    <w:rsid w:val="00FF71C5"/>
    <w:rsid w:val="012F543C"/>
    <w:rsid w:val="013E2E28"/>
    <w:rsid w:val="014012CB"/>
    <w:rsid w:val="01881089"/>
    <w:rsid w:val="019F7985"/>
    <w:rsid w:val="01BD2DA6"/>
    <w:rsid w:val="028B1162"/>
    <w:rsid w:val="02A24AE9"/>
    <w:rsid w:val="02B264FA"/>
    <w:rsid w:val="02DF4D40"/>
    <w:rsid w:val="030A235F"/>
    <w:rsid w:val="03123062"/>
    <w:rsid w:val="041F2F17"/>
    <w:rsid w:val="044500C8"/>
    <w:rsid w:val="049548BF"/>
    <w:rsid w:val="04B73A57"/>
    <w:rsid w:val="04EE2DB8"/>
    <w:rsid w:val="051A79CF"/>
    <w:rsid w:val="05EB2A61"/>
    <w:rsid w:val="06042026"/>
    <w:rsid w:val="06471A8B"/>
    <w:rsid w:val="06584567"/>
    <w:rsid w:val="065F0B31"/>
    <w:rsid w:val="0717234A"/>
    <w:rsid w:val="07E779A1"/>
    <w:rsid w:val="07F211AB"/>
    <w:rsid w:val="08362A92"/>
    <w:rsid w:val="08763A6F"/>
    <w:rsid w:val="08C515DB"/>
    <w:rsid w:val="08CA0723"/>
    <w:rsid w:val="08FD6FEC"/>
    <w:rsid w:val="093D149C"/>
    <w:rsid w:val="09A57B2B"/>
    <w:rsid w:val="09EE71E0"/>
    <w:rsid w:val="09EF017C"/>
    <w:rsid w:val="0A4D61A9"/>
    <w:rsid w:val="0A5D52FB"/>
    <w:rsid w:val="0A6957E5"/>
    <w:rsid w:val="0AA5475C"/>
    <w:rsid w:val="0AF57378"/>
    <w:rsid w:val="0B0E49ED"/>
    <w:rsid w:val="0B2B7C92"/>
    <w:rsid w:val="0B4169DD"/>
    <w:rsid w:val="0B42780E"/>
    <w:rsid w:val="0BFE203E"/>
    <w:rsid w:val="0C184EFE"/>
    <w:rsid w:val="0C615808"/>
    <w:rsid w:val="0C766EAC"/>
    <w:rsid w:val="0CED0C4E"/>
    <w:rsid w:val="0D574662"/>
    <w:rsid w:val="0D951352"/>
    <w:rsid w:val="0DD31539"/>
    <w:rsid w:val="0E3027E0"/>
    <w:rsid w:val="0EA752F0"/>
    <w:rsid w:val="0EBD552C"/>
    <w:rsid w:val="0EE71F8B"/>
    <w:rsid w:val="0FB55CA2"/>
    <w:rsid w:val="10115C71"/>
    <w:rsid w:val="106A417B"/>
    <w:rsid w:val="107D7BEF"/>
    <w:rsid w:val="10812D49"/>
    <w:rsid w:val="10E174CC"/>
    <w:rsid w:val="10EB26BD"/>
    <w:rsid w:val="10EB5E8A"/>
    <w:rsid w:val="11247566"/>
    <w:rsid w:val="11451AFE"/>
    <w:rsid w:val="11BB592C"/>
    <w:rsid w:val="11C702A9"/>
    <w:rsid w:val="12344BFF"/>
    <w:rsid w:val="12591FFD"/>
    <w:rsid w:val="128F25AC"/>
    <w:rsid w:val="12E15356"/>
    <w:rsid w:val="134A4BC9"/>
    <w:rsid w:val="1376649F"/>
    <w:rsid w:val="139766A8"/>
    <w:rsid w:val="13AF34A4"/>
    <w:rsid w:val="13BE0407"/>
    <w:rsid w:val="13C05EC3"/>
    <w:rsid w:val="142003B5"/>
    <w:rsid w:val="14F112F9"/>
    <w:rsid w:val="15252130"/>
    <w:rsid w:val="152F6E89"/>
    <w:rsid w:val="1576573B"/>
    <w:rsid w:val="15B555FA"/>
    <w:rsid w:val="15DA1668"/>
    <w:rsid w:val="15DC1E10"/>
    <w:rsid w:val="15EA59F4"/>
    <w:rsid w:val="15FA0344"/>
    <w:rsid w:val="15FA6AC1"/>
    <w:rsid w:val="16906962"/>
    <w:rsid w:val="171060C6"/>
    <w:rsid w:val="17492ED5"/>
    <w:rsid w:val="18131C93"/>
    <w:rsid w:val="185648A1"/>
    <w:rsid w:val="18AE47B5"/>
    <w:rsid w:val="197946DF"/>
    <w:rsid w:val="19B35BE4"/>
    <w:rsid w:val="1A0F73DA"/>
    <w:rsid w:val="1A2A1AFF"/>
    <w:rsid w:val="1A383024"/>
    <w:rsid w:val="1A4A18DA"/>
    <w:rsid w:val="1B5428EA"/>
    <w:rsid w:val="1B565FF1"/>
    <w:rsid w:val="1B907BD8"/>
    <w:rsid w:val="1BB6256C"/>
    <w:rsid w:val="1BC5311E"/>
    <w:rsid w:val="1BF01C04"/>
    <w:rsid w:val="1C193BC7"/>
    <w:rsid w:val="1C194D24"/>
    <w:rsid w:val="1C946BE3"/>
    <w:rsid w:val="1CBD21BE"/>
    <w:rsid w:val="1CD91991"/>
    <w:rsid w:val="1D117B8C"/>
    <w:rsid w:val="1D5E3400"/>
    <w:rsid w:val="1DCA69B4"/>
    <w:rsid w:val="1E7F3143"/>
    <w:rsid w:val="1EE317A1"/>
    <w:rsid w:val="1EEF405C"/>
    <w:rsid w:val="1EF83ADA"/>
    <w:rsid w:val="1F2F5F4E"/>
    <w:rsid w:val="1F3D27E2"/>
    <w:rsid w:val="1F6B5BA2"/>
    <w:rsid w:val="1F79622C"/>
    <w:rsid w:val="1FA23299"/>
    <w:rsid w:val="1FDE5EEC"/>
    <w:rsid w:val="1FEA2695"/>
    <w:rsid w:val="1FF93FBF"/>
    <w:rsid w:val="202B71E7"/>
    <w:rsid w:val="20637613"/>
    <w:rsid w:val="20BE3DB4"/>
    <w:rsid w:val="20FB391A"/>
    <w:rsid w:val="211476A6"/>
    <w:rsid w:val="21191C93"/>
    <w:rsid w:val="21577C0D"/>
    <w:rsid w:val="21DB49F4"/>
    <w:rsid w:val="21F0058F"/>
    <w:rsid w:val="22F75EC7"/>
    <w:rsid w:val="233737F5"/>
    <w:rsid w:val="235768B7"/>
    <w:rsid w:val="23993173"/>
    <w:rsid w:val="23CA32F4"/>
    <w:rsid w:val="23E456B4"/>
    <w:rsid w:val="23ED405B"/>
    <w:rsid w:val="242F3776"/>
    <w:rsid w:val="24324AD6"/>
    <w:rsid w:val="24502CB8"/>
    <w:rsid w:val="24E8750D"/>
    <w:rsid w:val="24EA67FF"/>
    <w:rsid w:val="26161D43"/>
    <w:rsid w:val="26B25E03"/>
    <w:rsid w:val="26B85660"/>
    <w:rsid w:val="26B91AD7"/>
    <w:rsid w:val="272F5C05"/>
    <w:rsid w:val="27656145"/>
    <w:rsid w:val="27FD3E2D"/>
    <w:rsid w:val="2816679B"/>
    <w:rsid w:val="28455C80"/>
    <w:rsid w:val="2850749A"/>
    <w:rsid w:val="28A06F57"/>
    <w:rsid w:val="29295F0A"/>
    <w:rsid w:val="29367A62"/>
    <w:rsid w:val="29975063"/>
    <w:rsid w:val="29997168"/>
    <w:rsid w:val="299C52C9"/>
    <w:rsid w:val="29D97D37"/>
    <w:rsid w:val="29EE3559"/>
    <w:rsid w:val="2A2D108B"/>
    <w:rsid w:val="2A915011"/>
    <w:rsid w:val="2B1D7C77"/>
    <w:rsid w:val="2B3A68B7"/>
    <w:rsid w:val="2B5415F0"/>
    <w:rsid w:val="2B8812E0"/>
    <w:rsid w:val="2B897643"/>
    <w:rsid w:val="2C8C3C29"/>
    <w:rsid w:val="2CBE390A"/>
    <w:rsid w:val="2CCC4088"/>
    <w:rsid w:val="2CD37C9C"/>
    <w:rsid w:val="2CEE5DC7"/>
    <w:rsid w:val="2D0555CC"/>
    <w:rsid w:val="2DBD0FD6"/>
    <w:rsid w:val="2E021264"/>
    <w:rsid w:val="2E481D22"/>
    <w:rsid w:val="2E77785B"/>
    <w:rsid w:val="2EE3667B"/>
    <w:rsid w:val="30180A37"/>
    <w:rsid w:val="30800A57"/>
    <w:rsid w:val="30AC59C1"/>
    <w:rsid w:val="31477054"/>
    <w:rsid w:val="317E67D6"/>
    <w:rsid w:val="319E1784"/>
    <w:rsid w:val="31AC2D98"/>
    <w:rsid w:val="31C65967"/>
    <w:rsid w:val="32440312"/>
    <w:rsid w:val="32845A16"/>
    <w:rsid w:val="32E66559"/>
    <w:rsid w:val="34AE5582"/>
    <w:rsid w:val="34B31E5E"/>
    <w:rsid w:val="34EE7D34"/>
    <w:rsid w:val="34F26D17"/>
    <w:rsid w:val="354B3340"/>
    <w:rsid w:val="357C4F38"/>
    <w:rsid w:val="35FA1E72"/>
    <w:rsid w:val="360423BF"/>
    <w:rsid w:val="36236229"/>
    <w:rsid w:val="36351CD6"/>
    <w:rsid w:val="363A19FA"/>
    <w:rsid w:val="365210C1"/>
    <w:rsid w:val="36593F5D"/>
    <w:rsid w:val="365A4BBF"/>
    <w:rsid w:val="3719534B"/>
    <w:rsid w:val="37752E5D"/>
    <w:rsid w:val="37A27FCC"/>
    <w:rsid w:val="37C666E3"/>
    <w:rsid w:val="37CD0CBA"/>
    <w:rsid w:val="38040F62"/>
    <w:rsid w:val="38127AF0"/>
    <w:rsid w:val="382125BA"/>
    <w:rsid w:val="38865034"/>
    <w:rsid w:val="38A57C44"/>
    <w:rsid w:val="38BE2B5D"/>
    <w:rsid w:val="38C30DEE"/>
    <w:rsid w:val="38D30822"/>
    <w:rsid w:val="38F237B3"/>
    <w:rsid w:val="392E49E5"/>
    <w:rsid w:val="39426F89"/>
    <w:rsid w:val="39827A7C"/>
    <w:rsid w:val="3995262B"/>
    <w:rsid w:val="39E97EC5"/>
    <w:rsid w:val="3A262F8E"/>
    <w:rsid w:val="3A301527"/>
    <w:rsid w:val="3A8934AA"/>
    <w:rsid w:val="3AB33185"/>
    <w:rsid w:val="3AF446B6"/>
    <w:rsid w:val="3B046503"/>
    <w:rsid w:val="3BC6126A"/>
    <w:rsid w:val="3C13169F"/>
    <w:rsid w:val="3C133A2A"/>
    <w:rsid w:val="3C1F7594"/>
    <w:rsid w:val="3C4B0106"/>
    <w:rsid w:val="3C9D2759"/>
    <w:rsid w:val="3CA76056"/>
    <w:rsid w:val="3CC93DD4"/>
    <w:rsid w:val="3CE86FD2"/>
    <w:rsid w:val="3DAB3D05"/>
    <w:rsid w:val="3E435397"/>
    <w:rsid w:val="3E467129"/>
    <w:rsid w:val="3F556257"/>
    <w:rsid w:val="3FFA25D9"/>
    <w:rsid w:val="401D6389"/>
    <w:rsid w:val="4033078F"/>
    <w:rsid w:val="40992DBB"/>
    <w:rsid w:val="40AD6A68"/>
    <w:rsid w:val="40C10BD8"/>
    <w:rsid w:val="40C6719B"/>
    <w:rsid w:val="40D67C3C"/>
    <w:rsid w:val="40EA2679"/>
    <w:rsid w:val="41340D32"/>
    <w:rsid w:val="42155B40"/>
    <w:rsid w:val="422A3508"/>
    <w:rsid w:val="429527D9"/>
    <w:rsid w:val="42DB7859"/>
    <w:rsid w:val="42DC79D7"/>
    <w:rsid w:val="437E5706"/>
    <w:rsid w:val="43947C88"/>
    <w:rsid w:val="4399017A"/>
    <w:rsid w:val="43F56EC0"/>
    <w:rsid w:val="44355E9D"/>
    <w:rsid w:val="446911BC"/>
    <w:rsid w:val="44AF77B6"/>
    <w:rsid w:val="44B61542"/>
    <w:rsid w:val="451729EF"/>
    <w:rsid w:val="45527AC0"/>
    <w:rsid w:val="4554506C"/>
    <w:rsid w:val="458656EE"/>
    <w:rsid w:val="45C24356"/>
    <w:rsid w:val="4688575C"/>
    <w:rsid w:val="46B42123"/>
    <w:rsid w:val="46E72D53"/>
    <w:rsid w:val="47674DFF"/>
    <w:rsid w:val="47CA22B7"/>
    <w:rsid w:val="47E721EB"/>
    <w:rsid w:val="48263A7C"/>
    <w:rsid w:val="487A4D7A"/>
    <w:rsid w:val="49455D34"/>
    <w:rsid w:val="499C1071"/>
    <w:rsid w:val="499D092F"/>
    <w:rsid w:val="4A2441F4"/>
    <w:rsid w:val="4A2F3B11"/>
    <w:rsid w:val="4A512D5E"/>
    <w:rsid w:val="4AC90C66"/>
    <w:rsid w:val="4AE14AB8"/>
    <w:rsid w:val="4B4013EC"/>
    <w:rsid w:val="4B7A0E35"/>
    <w:rsid w:val="4BBA3883"/>
    <w:rsid w:val="4BF50127"/>
    <w:rsid w:val="4C7944C3"/>
    <w:rsid w:val="4CCB105D"/>
    <w:rsid w:val="4CE32AA6"/>
    <w:rsid w:val="4CEC38A0"/>
    <w:rsid w:val="4D301E45"/>
    <w:rsid w:val="4D642792"/>
    <w:rsid w:val="4D8F26F7"/>
    <w:rsid w:val="4D90130F"/>
    <w:rsid w:val="4E907A10"/>
    <w:rsid w:val="4EAB71F4"/>
    <w:rsid w:val="4EB00934"/>
    <w:rsid w:val="4ED85969"/>
    <w:rsid w:val="4EFA2DFC"/>
    <w:rsid w:val="4F663FDF"/>
    <w:rsid w:val="4F8F2575"/>
    <w:rsid w:val="4FD25ED3"/>
    <w:rsid w:val="4FF26052"/>
    <w:rsid w:val="50472352"/>
    <w:rsid w:val="508265B4"/>
    <w:rsid w:val="50BA7583"/>
    <w:rsid w:val="50D75D5D"/>
    <w:rsid w:val="50F40A4E"/>
    <w:rsid w:val="512D6D1D"/>
    <w:rsid w:val="516B1431"/>
    <w:rsid w:val="51730B43"/>
    <w:rsid w:val="52186C70"/>
    <w:rsid w:val="521F7428"/>
    <w:rsid w:val="5222522B"/>
    <w:rsid w:val="52B75555"/>
    <w:rsid w:val="52D86952"/>
    <w:rsid w:val="53351D3D"/>
    <w:rsid w:val="53562D1B"/>
    <w:rsid w:val="53645E4A"/>
    <w:rsid w:val="53D552F8"/>
    <w:rsid w:val="5402442E"/>
    <w:rsid w:val="54670B28"/>
    <w:rsid w:val="54866F6E"/>
    <w:rsid w:val="54C72BF3"/>
    <w:rsid w:val="54DA6201"/>
    <w:rsid w:val="55185501"/>
    <w:rsid w:val="553908E0"/>
    <w:rsid w:val="55AC5A53"/>
    <w:rsid w:val="56107903"/>
    <w:rsid w:val="570C693A"/>
    <w:rsid w:val="57CB2065"/>
    <w:rsid w:val="57E827DB"/>
    <w:rsid w:val="5804414E"/>
    <w:rsid w:val="58145579"/>
    <w:rsid w:val="58145D17"/>
    <w:rsid w:val="58490DD3"/>
    <w:rsid w:val="58854F20"/>
    <w:rsid w:val="58DD5ADC"/>
    <w:rsid w:val="59001138"/>
    <w:rsid w:val="59334B94"/>
    <w:rsid w:val="5A8C418F"/>
    <w:rsid w:val="5AF975A6"/>
    <w:rsid w:val="5B5060A0"/>
    <w:rsid w:val="5B924D1D"/>
    <w:rsid w:val="5BCB7D22"/>
    <w:rsid w:val="5C4B2466"/>
    <w:rsid w:val="5CBD26EC"/>
    <w:rsid w:val="5CDF1D91"/>
    <w:rsid w:val="5D635452"/>
    <w:rsid w:val="5DD53638"/>
    <w:rsid w:val="5DDB1107"/>
    <w:rsid w:val="5DE2216B"/>
    <w:rsid w:val="5E351887"/>
    <w:rsid w:val="5EDA6E11"/>
    <w:rsid w:val="5EF37CF7"/>
    <w:rsid w:val="5FBE04D9"/>
    <w:rsid w:val="60130193"/>
    <w:rsid w:val="601E4AA6"/>
    <w:rsid w:val="605B6B30"/>
    <w:rsid w:val="606E3A08"/>
    <w:rsid w:val="607A49FD"/>
    <w:rsid w:val="60933C95"/>
    <w:rsid w:val="61215F39"/>
    <w:rsid w:val="62D56E22"/>
    <w:rsid w:val="63606CCA"/>
    <w:rsid w:val="636546D9"/>
    <w:rsid w:val="637D2019"/>
    <w:rsid w:val="63866094"/>
    <w:rsid w:val="63977831"/>
    <w:rsid w:val="63C830ED"/>
    <w:rsid w:val="63D97751"/>
    <w:rsid w:val="63DD16EA"/>
    <w:rsid w:val="63E8126A"/>
    <w:rsid w:val="6459028D"/>
    <w:rsid w:val="647436D2"/>
    <w:rsid w:val="64EA450A"/>
    <w:rsid w:val="64FA3BA7"/>
    <w:rsid w:val="65181CC1"/>
    <w:rsid w:val="65E7398C"/>
    <w:rsid w:val="66370612"/>
    <w:rsid w:val="665E661A"/>
    <w:rsid w:val="66943517"/>
    <w:rsid w:val="669C0680"/>
    <w:rsid w:val="66B05F67"/>
    <w:rsid w:val="66FE37AA"/>
    <w:rsid w:val="670F176C"/>
    <w:rsid w:val="673D11B0"/>
    <w:rsid w:val="67592158"/>
    <w:rsid w:val="67ED1CA5"/>
    <w:rsid w:val="681B5CC5"/>
    <w:rsid w:val="684C4B86"/>
    <w:rsid w:val="685902EA"/>
    <w:rsid w:val="68B65C63"/>
    <w:rsid w:val="692262DC"/>
    <w:rsid w:val="692B0B44"/>
    <w:rsid w:val="69314B81"/>
    <w:rsid w:val="696E75D5"/>
    <w:rsid w:val="69AF5982"/>
    <w:rsid w:val="6A8D33A6"/>
    <w:rsid w:val="6B427FB1"/>
    <w:rsid w:val="6B8F70CD"/>
    <w:rsid w:val="6C237C63"/>
    <w:rsid w:val="6CC60D36"/>
    <w:rsid w:val="6CD16858"/>
    <w:rsid w:val="6D3C38F1"/>
    <w:rsid w:val="6D790C2A"/>
    <w:rsid w:val="6D8C6C3A"/>
    <w:rsid w:val="6DBA4640"/>
    <w:rsid w:val="6DC23779"/>
    <w:rsid w:val="6DC432F3"/>
    <w:rsid w:val="6DCD5DB7"/>
    <w:rsid w:val="6E563267"/>
    <w:rsid w:val="6E815F7A"/>
    <w:rsid w:val="6ED366BD"/>
    <w:rsid w:val="6EDA3158"/>
    <w:rsid w:val="6EEB12EE"/>
    <w:rsid w:val="6EF347A0"/>
    <w:rsid w:val="6F3204D0"/>
    <w:rsid w:val="6F704747"/>
    <w:rsid w:val="6F90095A"/>
    <w:rsid w:val="6FB37D32"/>
    <w:rsid w:val="6FC84EA9"/>
    <w:rsid w:val="7016525F"/>
    <w:rsid w:val="702A57DC"/>
    <w:rsid w:val="70B63E1D"/>
    <w:rsid w:val="7133625F"/>
    <w:rsid w:val="71DE607E"/>
    <w:rsid w:val="71E73AFD"/>
    <w:rsid w:val="724F4923"/>
    <w:rsid w:val="72734516"/>
    <w:rsid w:val="72837356"/>
    <w:rsid w:val="737E26BB"/>
    <w:rsid w:val="739A37D5"/>
    <w:rsid w:val="73AE0371"/>
    <w:rsid w:val="73D32C7A"/>
    <w:rsid w:val="740358E9"/>
    <w:rsid w:val="74496BFE"/>
    <w:rsid w:val="74696393"/>
    <w:rsid w:val="74BF2934"/>
    <w:rsid w:val="74DB7161"/>
    <w:rsid w:val="74E1313B"/>
    <w:rsid w:val="75293D0C"/>
    <w:rsid w:val="752F4117"/>
    <w:rsid w:val="756419C4"/>
    <w:rsid w:val="757E38F1"/>
    <w:rsid w:val="758E5416"/>
    <w:rsid w:val="75BC2A36"/>
    <w:rsid w:val="766D160A"/>
    <w:rsid w:val="767B5C3E"/>
    <w:rsid w:val="768B22FF"/>
    <w:rsid w:val="770277B3"/>
    <w:rsid w:val="772B1E48"/>
    <w:rsid w:val="773960BB"/>
    <w:rsid w:val="7764351C"/>
    <w:rsid w:val="77933B3F"/>
    <w:rsid w:val="77936ADD"/>
    <w:rsid w:val="77DF4183"/>
    <w:rsid w:val="77F51BBB"/>
    <w:rsid w:val="77F918D5"/>
    <w:rsid w:val="78365E43"/>
    <w:rsid w:val="78B33CBE"/>
    <w:rsid w:val="78CB1E59"/>
    <w:rsid w:val="793624BF"/>
    <w:rsid w:val="79AB74FF"/>
    <w:rsid w:val="79C6154C"/>
    <w:rsid w:val="79ED7F99"/>
    <w:rsid w:val="7A4134F7"/>
    <w:rsid w:val="7A9B66BE"/>
    <w:rsid w:val="7B0409CD"/>
    <w:rsid w:val="7B406E3A"/>
    <w:rsid w:val="7B8300E4"/>
    <w:rsid w:val="7B8D1500"/>
    <w:rsid w:val="7BEA693D"/>
    <w:rsid w:val="7C033C11"/>
    <w:rsid w:val="7C182E21"/>
    <w:rsid w:val="7C374F8B"/>
    <w:rsid w:val="7C3F3F3E"/>
    <w:rsid w:val="7C5622F4"/>
    <w:rsid w:val="7CF47FA8"/>
    <w:rsid w:val="7CF557CA"/>
    <w:rsid w:val="7D083345"/>
    <w:rsid w:val="7D487C02"/>
    <w:rsid w:val="7DBE4540"/>
    <w:rsid w:val="7DE2661E"/>
    <w:rsid w:val="7E043DA0"/>
    <w:rsid w:val="7EA65973"/>
    <w:rsid w:val="7EAB224C"/>
    <w:rsid w:val="7EAC2EE0"/>
    <w:rsid w:val="7EDE6551"/>
    <w:rsid w:val="7EE85BD7"/>
    <w:rsid w:val="7EF45944"/>
    <w:rsid w:val="7F330223"/>
    <w:rsid w:val="7F81158B"/>
    <w:rsid w:val="7FB60975"/>
    <w:rsid w:val="7FBE2206"/>
    <w:rsid w:val="7FCE0D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textAlignment w:val="baseline"/>
    </w:pPr>
    <w:rPr>
      <w:rFonts w:asciiTheme="minorHAnsi" w:hAnsiTheme="minorHAnsi" w:eastAsiaTheme="minorEastAsia" w:cstheme="minorBidi"/>
      <w:sz w:val="24"/>
      <w:szCs w:val="22"/>
      <w:lang w:val="en-US" w:eastAsia="zh-CN" w:bidi="ar-SA"/>
    </w:rPr>
  </w:style>
  <w:style w:type="paragraph" w:styleId="4">
    <w:name w:val="heading 1"/>
    <w:basedOn w:val="1"/>
    <w:next w:val="5"/>
    <w:link w:val="69"/>
    <w:qFormat/>
    <w:uiPriority w:val="0"/>
    <w:pPr>
      <w:pageBreakBefore/>
      <w:jc w:val="center"/>
      <w:outlineLvl w:val="0"/>
    </w:pPr>
    <w:rPr>
      <w:rFonts w:eastAsia="黑体"/>
      <w:snapToGrid w:val="0"/>
      <w:sz w:val="36"/>
    </w:rPr>
  </w:style>
  <w:style w:type="paragraph" w:styleId="6">
    <w:name w:val="heading 2"/>
    <w:basedOn w:val="1"/>
    <w:next w:val="5"/>
    <w:link w:val="52"/>
    <w:unhideWhenUsed/>
    <w:qFormat/>
    <w:uiPriority w:val="0"/>
    <w:pPr>
      <w:keepLines/>
      <w:widowControl/>
      <w:jc w:val="left"/>
      <w:outlineLvl w:val="1"/>
    </w:pPr>
    <w:rPr>
      <w:b/>
      <w:snapToGrid w:val="0"/>
      <w:sz w:val="30"/>
    </w:rPr>
  </w:style>
  <w:style w:type="paragraph" w:styleId="7">
    <w:name w:val="heading 3"/>
    <w:basedOn w:val="1"/>
    <w:next w:val="1"/>
    <w:unhideWhenUsed/>
    <w:qFormat/>
    <w:uiPriority w:val="0"/>
    <w:pPr>
      <w:keepLines/>
      <w:widowControl/>
      <w:jc w:val="left"/>
      <w:outlineLvl w:val="2"/>
    </w:pPr>
    <w:rPr>
      <w:rFonts w:eastAsia="黑体"/>
      <w:b/>
    </w:rPr>
  </w:style>
  <w:style w:type="paragraph" w:styleId="8">
    <w:name w:val="heading 4"/>
    <w:basedOn w:val="1"/>
    <w:next w:val="5"/>
    <w:unhideWhenUsed/>
    <w:qFormat/>
    <w:uiPriority w:val="0"/>
    <w:pPr>
      <w:keepLines/>
      <w:widowControl/>
      <w:jc w:val="left"/>
      <w:outlineLvl w:val="3"/>
    </w:pPr>
    <w:rPr>
      <w:rFonts w:eastAsia="楷体_GB2312"/>
      <w:b/>
      <w:snapToGrid w:val="0"/>
    </w:rPr>
  </w:style>
  <w:style w:type="paragraph" w:styleId="9">
    <w:name w:val="heading 5"/>
    <w:basedOn w:val="1"/>
    <w:next w:val="1"/>
    <w:link w:val="61"/>
    <w:unhideWhenUsed/>
    <w:qFormat/>
    <w:uiPriority w:val="0"/>
    <w:pPr>
      <w:keepNext/>
      <w:keepLines/>
      <w:numPr>
        <w:ilvl w:val="4"/>
        <w:numId w:val="1"/>
      </w:numPr>
      <w:autoSpaceDE/>
      <w:autoSpaceDN/>
      <w:snapToGrid w:val="0"/>
      <w:spacing w:before="100" w:beforeAutospacing="1" w:after="100" w:afterAutospacing="1" w:line="60" w:lineRule="auto"/>
      <w:textAlignment w:val="auto"/>
      <w:outlineLvl w:val="4"/>
    </w:pPr>
    <w:rPr>
      <w:rFonts w:ascii="Times New Roman" w:hAnsi="Times New Roman" w:eastAsia="楷体_GB2312" w:cs="Times New Roman"/>
      <w:kern w:val="10"/>
      <w:sz w:val="21"/>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2"/>
    <w:qFormat/>
    <w:uiPriority w:val="0"/>
    <w:pPr>
      <w:autoSpaceDE/>
      <w:autoSpaceDN/>
      <w:adjustRightInd/>
      <w:spacing w:line="460" w:lineRule="atLeast"/>
      <w:ind w:right="322"/>
      <w:textAlignment w:val="auto"/>
    </w:pPr>
    <w:rPr>
      <w:rFonts w:ascii="宋体" w:eastAsia="宋体"/>
      <w:kern w:val="2"/>
      <w:sz w:val="28"/>
    </w:rPr>
  </w:style>
  <w:style w:type="paragraph" w:styleId="5">
    <w:name w:val="Normal Indent"/>
    <w:basedOn w:val="1"/>
    <w:link w:val="65"/>
    <w:qFormat/>
    <w:uiPriority w:val="0"/>
    <w:pPr>
      <w:ind w:firstLine="488"/>
    </w:pPr>
    <w:rPr>
      <w:rFonts w:eastAsia="宋体"/>
    </w:rPr>
  </w:style>
  <w:style w:type="paragraph" w:styleId="10">
    <w:name w:val="toa heading"/>
    <w:basedOn w:val="1"/>
    <w:next w:val="1"/>
    <w:qFormat/>
    <w:uiPriority w:val="0"/>
    <w:pPr>
      <w:spacing w:before="240" w:after="120"/>
      <w:jc w:val="center"/>
    </w:pPr>
    <w:rPr>
      <w:smallCaps/>
      <w:sz w:val="22"/>
      <w:u w:val="single"/>
    </w:rPr>
  </w:style>
  <w:style w:type="paragraph" w:styleId="11">
    <w:name w:val="annotation text"/>
    <w:basedOn w:val="1"/>
    <w:link w:val="62"/>
    <w:qFormat/>
    <w:uiPriority w:val="0"/>
    <w:pPr>
      <w:jc w:val="left"/>
    </w:pPr>
    <w:rPr>
      <w:rFonts w:eastAsia="宋体"/>
    </w:rPr>
  </w:style>
  <w:style w:type="paragraph" w:styleId="12">
    <w:name w:val="Body Text 3"/>
    <w:basedOn w:val="1"/>
    <w:link w:val="64"/>
    <w:semiHidden/>
    <w:unhideWhenUsed/>
    <w:qFormat/>
    <w:uiPriority w:val="0"/>
    <w:pPr>
      <w:spacing w:after="120"/>
    </w:pPr>
    <w:rPr>
      <w:sz w:val="16"/>
      <w:szCs w:val="16"/>
    </w:rPr>
  </w:style>
  <w:style w:type="paragraph" w:styleId="13">
    <w:name w:val="Body Text Indent"/>
    <w:basedOn w:val="1"/>
    <w:qFormat/>
    <w:uiPriority w:val="0"/>
    <w:pPr>
      <w:tabs>
        <w:tab w:val="left" w:pos="3025"/>
      </w:tabs>
      <w:spacing w:line="420" w:lineRule="exact"/>
      <w:ind w:firstLine="480"/>
    </w:pPr>
  </w:style>
  <w:style w:type="paragraph" w:styleId="14">
    <w:name w:val="toc 3"/>
    <w:basedOn w:val="1"/>
    <w:next w:val="1"/>
    <w:qFormat/>
    <w:uiPriority w:val="0"/>
    <w:pPr>
      <w:autoSpaceDE/>
      <w:autoSpaceDN/>
      <w:adjustRightInd/>
      <w:ind w:left="840" w:leftChars="400"/>
      <w:textAlignment w:val="auto"/>
    </w:pPr>
    <w:rPr>
      <w:rFonts w:ascii="Calibri" w:hAnsi="Calibri"/>
      <w:kern w:val="2"/>
      <w:sz w:val="21"/>
    </w:rPr>
  </w:style>
  <w:style w:type="paragraph" w:styleId="15">
    <w:name w:val="Plain Text"/>
    <w:basedOn w:val="1"/>
    <w:link w:val="66"/>
    <w:qFormat/>
    <w:uiPriority w:val="0"/>
    <w:pPr>
      <w:autoSpaceDE/>
      <w:autoSpaceDN/>
      <w:adjustRightInd/>
      <w:textAlignment w:val="auto"/>
    </w:pPr>
    <w:rPr>
      <w:rFonts w:ascii="宋体" w:hAnsi="Courier New" w:eastAsia="宋体"/>
      <w:kern w:val="2"/>
      <w:sz w:val="21"/>
    </w:rPr>
  </w:style>
  <w:style w:type="paragraph" w:styleId="16">
    <w:name w:val="Date"/>
    <w:basedOn w:val="1"/>
    <w:next w:val="1"/>
    <w:link w:val="55"/>
    <w:qFormat/>
    <w:uiPriority w:val="0"/>
    <w:rPr>
      <w:rFonts w:ascii="Times New Roman" w:hAnsi="Times New Roman" w:eastAsia="宋体" w:cs="Times New Roman"/>
      <w:sz w:val="28"/>
      <w:szCs w:val="20"/>
    </w:rPr>
  </w:style>
  <w:style w:type="paragraph" w:styleId="17">
    <w:name w:val="Body Text Indent 2"/>
    <w:basedOn w:val="1"/>
    <w:link w:val="53"/>
    <w:qFormat/>
    <w:uiPriority w:val="0"/>
    <w:pPr>
      <w:snapToGrid w:val="0"/>
      <w:ind w:firstLine="540"/>
      <w:textAlignment w:val="auto"/>
    </w:pPr>
    <w:rPr>
      <w:rFonts w:eastAsia="宋体"/>
      <w:sz w:val="28"/>
    </w:rPr>
  </w:style>
  <w:style w:type="paragraph" w:styleId="18">
    <w:name w:val="Balloon Text"/>
    <w:basedOn w:val="1"/>
    <w:link w:val="57"/>
    <w:qFormat/>
    <w:uiPriority w:val="0"/>
    <w:rPr>
      <w:sz w:val="18"/>
      <w:szCs w:val="18"/>
    </w:rPr>
  </w:style>
  <w:style w:type="paragraph" w:styleId="19">
    <w:name w:val="footer"/>
    <w:basedOn w:val="1"/>
    <w:link w:val="56"/>
    <w:qFormat/>
    <w:uiPriority w:val="99"/>
    <w:pPr>
      <w:pBdr>
        <w:top w:val="single" w:color="auto" w:sz="6" w:space="1"/>
      </w:pBdr>
      <w:tabs>
        <w:tab w:val="center" w:pos="4153"/>
        <w:tab w:val="right" w:pos="8306"/>
      </w:tabs>
      <w:jc w:val="left"/>
    </w:pPr>
    <w:rPr>
      <w:rFonts w:eastAsia="宋体"/>
      <w:sz w:val="18"/>
    </w:rPr>
  </w:style>
  <w:style w:type="paragraph" w:styleId="20">
    <w:name w:val="header"/>
    <w:basedOn w:val="1"/>
    <w:qFormat/>
    <w:uiPriority w:val="0"/>
    <w:pPr>
      <w:pBdr>
        <w:bottom w:val="single" w:color="auto" w:sz="6" w:space="1"/>
      </w:pBdr>
      <w:tabs>
        <w:tab w:val="center" w:pos="4153"/>
        <w:tab w:val="right" w:pos="8306"/>
      </w:tabs>
      <w:jc w:val="left"/>
    </w:pPr>
    <w:rPr>
      <w:rFonts w:eastAsia="宋体"/>
      <w:sz w:val="18"/>
    </w:rPr>
  </w:style>
  <w:style w:type="paragraph" w:styleId="21">
    <w:name w:val="toc 1"/>
    <w:basedOn w:val="1"/>
    <w:next w:val="1"/>
    <w:qFormat/>
    <w:uiPriority w:val="0"/>
    <w:pPr>
      <w:autoSpaceDE/>
      <w:autoSpaceDN/>
      <w:adjustRightInd/>
      <w:textAlignment w:val="auto"/>
    </w:pPr>
    <w:rPr>
      <w:rFonts w:ascii="Calibri" w:hAnsi="Calibri"/>
      <w:kern w:val="2"/>
      <w:sz w:val="21"/>
    </w:rPr>
  </w:style>
  <w:style w:type="paragraph" w:styleId="22">
    <w:name w:val="toc 2"/>
    <w:basedOn w:val="1"/>
    <w:next w:val="1"/>
    <w:qFormat/>
    <w:uiPriority w:val="0"/>
    <w:pPr>
      <w:autoSpaceDE/>
      <w:autoSpaceDN/>
      <w:adjustRightInd/>
      <w:ind w:left="420" w:leftChars="200"/>
      <w:textAlignment w:val="auto"/>
    </w:pPr>
    <w:rPr>
      <w:rFonts w:ascii="Calibri" w:hAnsi="Calibri"/>
      <w:kern w:val="2"/>
      <w:sz w:val="21"/>
    </w:rPr>
  </w:style>
  <w:style w:type="paragraph" w:styleId="23">
    <w:name w:val="Normal (Web)"/>
    <w:basedOn w:val="1"/>
    <w:qFormat/>
    <w:uiPriority w:val="0"/>
    <w:pPr>
      <w:widowControl/>
      <w:autoSpaceDE/>
      <w:autoSpaceDN/>
      <w:adjustRightInd/>
      <w:spacing w:beforeAutospacing="1" w:afterAutospacing="1"/>
      <w:jc w:val="left"/>
      <w:textAlignment w:val="auto"/>
    </w:pPr>
    <w:rPr>
      <w:szCs w:val="24"/>
    </w:rPr>
  </w:style>
  <w:style w:type="paragraph" w:styleId="24">
    <w:name w:val="annotation subject"/>
    <w:basedOn w:val="11"/>
    <w:next w:val="11"/>
    <w:link w:val="63"/>
    <w:semiHidden/>
    <w:unhideWhenUsed/>
    <w:qFormat/>
    <w:uiPriority w:val="0"/>
    <w:rPr>
      <w:rFonts w:eastAsiaTheme="minorEastAsia"/>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style>
  <w:style w:type="character" w:styleId="29">
    <w:name w:val="page number"/>
    <w:qFormat/>
    <w:uiPriority w:val="0"/>
  </w:style>
  <w:style w:type="character" w:styleId="30">
    <w:name w:val="FollowedHyperlink"/>
    <w:basedOn w:val="27"/>
    <w:semiHidden/>
    <w:unhideWhenUsed/>
    <w:qFormat/>
    <w:uiPriority w:val="0"/>
    <w:rPr>
      <w:color w:val="333333"/>
      <w:u w:val="none"/>
    </w:rPr>
  </w:style>
  <w:style w:type="character" w:styleId="31">
    <w:name w:val="Emphasis"/>
    <w:basedOn w:val="27"/>
    <w:qFormat/>
    <w:uiPriority w:val="0"/>
  </w:style>
  <w:style w:type="character" w:styleId="32">
    <w:name w:val="HTML Definition"/>
    <w:basedOn w:val="27"/>
    <w:semiHidden/>
    <w:unhideWhenUsed/>
    <w:qFormat/>
    <w:uiPriority w:val="0"/>
  </w:style>
  <w:style w:type="character" w:styleId="33">
    <w:name w:val="HTML Typewriter"/>
    <w:basedOn w:val="27"/>
    <w:semiHidden/>
    <w:unhideWhenUsed/>
    <w:qFormat/>
    <w:uiPriority w:val="0"/>
    <w:rPr>
      <w:rFonts w:ascii="monospace" w:hAnsi="monospace" w:eastAsia="monospace" w:cs="monospace"/>
      <w:sz w:val="20"/>
    </w:rPr>
  </w:style>
  <w:style w:type="character" w:styleId="34">
    <w:name w:val="HTML Acronym"/>
    <w:basedOn w:val="27"/>
    <w:semiHidden/>
    <w:unhideWhenUsed/>
    <w:qFormat/>
    <w:uiPriority w:val="0"/>
  </w:style>
  <w:style w:type="character" w:styleId="35">
    <w:name w:val="HTML Variable"/>
    <w:basedOn w:val="27"/>
    <w:semiHidden/>
    <w:unhideWhenUsed/>
    <w:qFormat/>
    <w:uiPriority w:val="0"/>
  </w:style>
  <w:style w:type="character" w:styleId="36">
    <w:name w:val="Hyperlink"/>
    <w:basedOn w:val="27"/>
    <w:qFormat/>
    <w:uiPriority w:val="0"/>
    <w:rPr>
      <w:color w:val="333333"/>
      <w:u w:val="none"/>
    </w:rPr>
  </w:style>
  <w:style w:type="character" w:styleId="37">
    <w:name w:val="HTML Code"/>
    <w:basedOn w:val="27"/>
    <w:semiHidden/>
    <w:unhideWhenUsed/>
    <w:qFormat/>
    <w:uiPriority w:val="0"/>
    <w:rPr>
      <w:rFonts w:hint="default" w:ascii="monospace" w:hAnsi="monospace" w:eastAsia="monospace" w:cs="monospace"/>
      <w:sz w:val="20"/>
    </w:rPr>
  </w:style>
  <w:style w:type="character" w:styleId="38">
    <w:name w:val="annotation reference"/>
    <w:basedOn w:val="27"/>
    <w:qFormat/>
    <w:uiPriority w:val="0"/>
    <w:rPr>
      <w:sz w:val="21"/>
      <w:szCs w:val="21"/>
    </w:rPr>
  </w:style>
  <w:style w:type="character" w:styleId="39">
    <w:name w:val="HTML Cite"/>
    <w:basedOn w:val="27"/>
    <w:semiHidden/>
    <w:unhideWhenUsed/>
    <w:qFormat/>
    <w:uiPriority w:val="0"/>
  </w:style>
  <w:style w:type="character" w:styleId="40">
    <w:name w:val="HTML Keyboard"/>
    <w:basedOn w:val="27"/>
    <w:semiHidden/>
    <w:unhideWhenUsed/>
    <w:qFormat/>
    <w:uiPriority w:val="0"/>
    <w:rPr>
      <w:rFonts w:hint="default" w:ascii="monospace" w:hAnsi="monospace" w:eastAsia="monospace" w:cs="monospace"/>
      <w:sz w:val="20"/>
    </w:rPr>
  </w:style>
  <w:style w:type="character" w:styleId="41">
    <w:name w:val="HTML Sample"/>
    <w:basedOn w:val="27"/>
    <w:semiHidden/>
    <w:unhideWhenUsed/>
    <w:qFormat/>
    <w:uiPriority w:val="0"/>
    <w:rPr>
      <w:rFonts w:hint="default" w:ascii="monospace" w:hAnsi="monospace" w:eastAsia="monospace" w:cs="monospace"/>
    </w:rPr>
  </w:style>
  <w:style w:type="paragraph" w:customStyle="1" w:styleId="42">
    <w:name w:val="_Style 1"/>
    <w:next w:val="1"/>
    <w:qFormat/>
    <w:uiPriority w:val="0"/>
    <w:rPr>
      <w:rFonts w:ascii="Calibri" w:hAnsi="Calibri" w:eastAsia="宋体" w:cs="Times New Roman"/>
      <w:kern w:val="2"/>
      <w:sz w:val="28"/>
      <w:szCs w:val="22"/>
      <w:lang w:val="en-US" w:eastAsia="zh-CN" w:bidi="ar-SA"/>
    </w:rPr>
  </w:style>
  <w:style w:type="character" w:customStyle="1" w:styleId="43">
    <w:name w:val="bulletintext1"/>
    <w:qFormat/>
    <w:uiPriority w:val="0"/>
    <w:rPr>
      <w:color w:val="000000"/>
      <w:sz w:val="18"/>
      <w:szCs w:val="18"/>
    </w:rPr>
  </w:style>
  <w:style w:type="character" w:customStyle="1" w:styleId="44">
    <w:name w:val="条标题1.1.1 Char1"/>
    <w:qFormat/>
    <w:uiPriority w:val="0"/>
    <w:rPr>
      <w:rFonts w:eastAsia="黑体"/>
      <w:b/>
      <w:sz w:val="24"/>
      <w:lang w:val="en-US" w:eastAsia="zh-CN" w:bidi="ar-SA"/>
    </w:rPr>
  </w:style>
  <w:style w:type="character" w:customStyle="1" w:styleId="45">
    <w:name w:val="标题 4 Char Char Char Char"/>
    <w:qFormat/>
    <w:uiPriority w:val="0"/>
    <w:rPr>
      <w:rFonts w:eastAsia="楷体_GB2312"/>
      <w:b/>
      <w:snapToGrid w:val="0"/>
      <w:sz w:val="24"/>
      <w:lang w:val="en-US" w:eastAsia="zh-CN" w:bidi="ar-SA"/>
    </w:rPr>
  </w:style>
  <w:style w:type="character" w:customStyle="1" w:styleId="46">
    <w:name w:val="zbggmain style9"/>
    <w:basedOn w:val="27"/>
    <w:qFormat/>
    <w:uiPriority w:val="0"/>
  </w:style>
  <w:style w:type="character" w:customStyle="1" w:styleId="47">
    <w:name w:val="style2"/>
    <w:basedOn w:val="27"/>
    <w:qFormat/>
    <w:uiPriority w:val="0"/>
  </w:style>
  <w:style w:type="paragraph" w:customStyle="1" w:styleId="48">
    <w:name w:val="_Style 19"/>
    <w:basedOn w:val="1"/>
    <w:qFormat/>
    <w:uiPriority w:val="0"/>
    <w:pPr>
      <w:autoSpaceDE/>
      <w:autoSpaceDN/>
      <w:adjustRightInd/>
      <w:ind w:firstLine="420" w:firstLineChars="200"/>
      <w:textAlignment w:val="auto"/>
    </w:pPr>
    <w:rPr>
      <w:rFonts w:ascii="Calibri" w:hAnsi="Calibri"/>
      <w:kern w:val="2"/>
      <w:sz w:val="21"/>
    </w:rPr>
  </w:style>
  <w:style w:type="paragraph" w:customStyle="1" w:styleId="49">
    <w:name w:val="正文缩进2"/>
    <w:basedOn w:val="1"/>
    <w:next w:val="1"/>
    <w:qFormat/>
    <w:uiPriority w:val="0"/>
    <w:pPr>
      <w:autoSpaceDE/>
      <w:autoSpaceDN/>
      <w:adjustRightInd/>
      <w:spacing w:line="500" w:lineRule="exact"/>
      <w:ind w:firstLine="567"/>
      <w:textAlignment w:val="auto"/>
    </w:pPr>
    <w:rPr>
      <w:kern w:val="2"/>
    </w:rPr>
  </w:style>
  <w:style w:type="character" w:customStyle="1" w:styleId="50">
    <w:name w:val="3级 Char"/>
    <w:link w:val="51"/>
    <w:qFormat/>
    <w:uiPriority w:val="0"/>
    <w:rPr>
      <w:rFonts w:ascii="楷体_GB2312" w:eastAsia="楷体_GB2312"/>
      <w:bCs/>
      <w:snapToGrid w:val="0"/>
      <w:color w:val="000000"/>
      <w:sz w:val="24"/>
      <w:lang w:bidi="ar-SA"/>
    </w:rPr>
  </w:style>
  <w:style w:type="paragraph" w:customStyle="1" w:styleId="51">
    <w:name w:val="3级"/>
    <w:basedOn w:val="8"/>
    <w:link w:val="50"/>
    <w:qFormat/>
    <w:uiPriority w:val="0"/>
    <w:pPr>
      <w:snapToGrid w:val="0"/>
      <w:textAlignment w:val="auto"/>
    </w:pPr>
    <w:rPr>
      <w:rFonts w:ascii="楷体_GB2312"/>
      <w:bCs/>
      <w:color w:val="000000"/>
    </w:rPr>
  </w:style>
  <w:style w:type="character" w:customStyle="1" w:styleId="52">
    <w:name w:val="标题 2 Char"/>
    <w:link w:val="6"/>
    <w:qFormat/>
    <w:uiPriority w:val="0"/>
    <w:rPr>
      <w:b/>
      <w:snapToGrid w:val="0"/>
      <w:sz w:val="30"/>
    </w:rPr>
  </w:style>
  <w:style w:type="character" w:customStyle="1" w:styleId="53">
    <w:name w:val="正文文本缩进 2 Char"/>
    <w:link w:val="17"/>
    <w:qFormat/>
    <w:uiPriority w:val="0"/>
    <w:rPr>
      <w:rFonts w:eastAsia="宋体"/>
      <w:sz w:val="28"/>
      <w:lang w:val="en-US" w:eastAsia="zh-CN" w:bidi="ar-SA"/>
    </w:rPr>
  </w:style>
  <w:style w:type="character" w:customStyle="1" w:styleId="54">
    <w:name w:val="日期 Char"/>
    <w:qFormat/>
    <w:uiPriority w:val="0"/>
    <w:rPr>
      <w:sz w:val="28"/>
    </w:rPr>
  </w:style>
  <w:style w:type="character" w:customStyle="1" w:styleId="55">
    <w:name w:val="日期 Char1"/>
    <w:basedOn w:val="27"/>
    <w:link w:val="16"/>
    <w:qFormat/>
    <w:uiPriority w:val="0"/>
    <w:rPr>
      <w:rFonts w:asciiTheme="minorHAnsi" w:hAnsiTheme="minorHAnsi" w:eastAsiaTheme="minorEastAsia" w:cstheme="minorBidi"/>
      <w:sz w:val="24"/>
      <w:szCs w:val="22"/>
    </w:rPr>
  </w:style>
  <w:style w:type="character" w:customStyle="1" w:styleId="56">
    <w:name w:val="页脚 Char"/>
    <w:basedOn w:val="27"/>
    <w:link w:val="19"/>
    <w:qFormat/>
    <w:uiPriority w:val="99"/>
    <w:rPr>
      <w:rFonts w:asciiTheme="minorHAnsi" w:hAnsiTheme="minorHAnsi" w:cstheme="minorBidi"/>
      <w:sz w:val="18"/>
      <w:szCs w:val="22"/>
    </w:rPr>
  </w:style>
  <w:style w:type="character" w:customStyle="1" w:styleId="57">
    <w:name w:val="批注框文本 Char"/>
    <w:basedOn w:val="27"/>
    <w:link w:val="18"/>
    <w:qFormat/>
    <w:uiPriority w:val="0"/>
    <w:rPr>
      <w:rFonts w:asciiTheme="minorHAnsi" w:hAnsiTheme="minorHAnsi" w:eastAsiaTheme="minorEastAsia" w:cstheme="minorBidi"/>
      <w:sz w:val="18"/>
      <w:szCs w:val="18"/>
    </w:rPr>
  </w:style>
  <w:style w:type="paragraph" w:styleId="58">
    <w:name w:val="List Paragraph"/>
    <w:basedOn w:val="1"/>
    <w:unhideWhenUsed/>
    <w:qFormat/>
    <w:uiPriority w:val="99"/>
    <w:pPr>
      <w:ind w:firstLine="420" w:firstLineChars="200"/>
    </w:pPr>
  </w:style>
  <w:style w:type="paragraph" w:customStyle="1" w:styleId="5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0">
    <w:name w:val="样式 标题 3 + (中文) 黑体 小四 非加粗 段前: 7.8 磅 段后: 0 磅 行距: 固定值 20 磅"/>
    <w:basedOn w:val="7"/>
    <w:qFormat/>
    <w:uiPriority w:val="0"/>
    <w:pPr>
      <w:numPr>
        <w:ilvl w:val="1"/>
        <w:numId w:val="2"/>
      </w:numPr>
      <w:tabs>
        <w:tab w:val="left" w:pos="718"/>
      </w:tabs>
      <w:autoSpaceDE/>
      <w:autoSpaceDN/>
      <w:adjustRightInd/>
      <w:spacing w:line="400" w:lineRule="exact"/>
      <w:textAlignment w:val="auto"/>
    </w:pPr>
    <w:rPr>
      <w:rFonts w:cs="宋体"/>
      <w:b w:val="0"/>
      <w:kern w:val="2"/>
      <w:szCs w:val="20"/>
    </w:rPr>
  </w:style>
  <w:style w:type="character" w:customStyle="1" w:styleId="61">
    <w:name w:val="标题 5 Char"/>
    <w:basedOn w:val="27"/>
    <w:link w:val="9"/>
    <w:qFormat/>
    <w:uiPriority w:val="0"/>
    <w:rPr>
      <w:rFonts w:hint="eastAsia" w:ascii="楷体_GB2312" w:eastAsia="楷体_GB2312" w:cs="楷体_GB2312"/>
      <w:kern w:val="10"/>
      <w:sz w:val="21"/>
    </w:rPr>
  </w:style>
  <w:style w:type="character" w:customStyle="1" w:styleId="62">
    <w:name w:val="批注文字 Char"/>
    <w:basedOn w:val="27"/>
    <w:link w:val="11"/>
    <w:qFormat/>
    <w:uiPriority w:val="0"/>
    <w:rPr>
      <w:rFonts w:asciiTheme="minorHAnsi" w:hAnsiTheme="minorHAnsi" w:cstheme="minorBidi"/>
      <w:sz w:val="24"/>
      <w:szCs w:val="22"/>
    </w:rPr>
  </w:style>
  <w:style w:type="character" w:customStyle="1" w:styleId="63">
    <w:name w:val="批注主题 Char"/>
    <w:basedOn w:val="62"/>
    <w:link w:val="24"/>
    <w:qFormat/>
    <w:uiPriority w:val="0"/>
    <w:rPr>
      <w:rFonts w:asciiTheme="minorHAnsi" w:hAnsiTheme="minorHAnsi" w:cstheme="minorBidi"/>
      <w:sz w:val="24"/>
      <w:szCs w:val="22"/>
    </w:rPr>
  </w:style>
  <w:style w:type="character" w:customStyle="1" w:styleId="64">
    <w:name w:val="正文文本 3 Char"/>
    <w:basedOn w:val="27"/>
    <w:link w:val="12"/>
    <w:semiHidden/>
    <w:qFormat/>
    <w:uiPriority w:val="0"/>
    <w:rPr>
      <w:rFonts w:asciiTheme="minorHAnsi" w:hAnsiTheme="minorHAnsi" w:eastAsiaTheme="minorEastAsia" w:cstheme="minorBidi"/>
      <w:sz w:val="16"/>
      <w:szCs w:val="16"/>
    </w:rPr>
  </w:style>
  <w:style w:type="character" w:customStyle="1" w:styleId="65">
    <w:name w:val="正文缩进 Char"/>
    <w:link w:val="5"/>
    <w:qFormat/>
    <w:uiPriority w:val="0"/>
    <w:rPr>
      <w:rFonts w:asciiTheme="minorHAnsi" w:hAnsiTheme="minorHAnsi" w:cstheme="minorBidi"/>
      <w:sz w:val="24"/>
      <w:szCs w:val="22"/>
    </w:rPr>
  </w:style>
  <w:style w:type="character" w:customStyle="1" w:styleId="66">
    <w:name w:val="纯文本 Char"/>
    <w:link w:val="15"/>
    <w:qFormat/>
    <w:uiPriority w:val="0"/>
    <w:rPr>
      <w:rFonts w:ascii="宋体" w:hAnsi="Courier New" w:cstheme="minorBidi"/>
      <w:kern w:val="2"/>
      <w:sz w:val="21"/>
      <w:szCs w:val="22"/>
    </w:rPr>
  </w:style>
  <w:style w:type="paragraph" w:customStyle="1" w:styleId="67">
    <w:name w:val="列表段落1"/>
    <w:basedOn w:val="1"/>
    <w:qFormat/>
    <w:uiPriority w:val="0"/>
    <w:pPr>
      <w:autoSpaceDE/>
      <w:autoSpaceDN/>
      <w:adjustRightInd/>
      <w:ind w:firstLine="420" w:firstLineChars="200"/>
      <w:textAlignment w:val="auto"/>
    </w:pPr>
    <w:rPr>
      <w:rFonts w:ascii="Calibri" w:hAnsi="Calibri" w:eastAsia="宋体" w:cs="Times New Roman"/>
      <w:kern w:val="2"/>
      <w:sz w:val="21"/>
    </w:rPr>
  </w:style>
  <w:style w:type="paragraph" w:customStyle="1" w:styleId="68">
    <w:name w:val="样式 样式 左侧:  2 字符 + 左侧:  0.85 厘米 首行缩进:  2 字符1"/>
    <w:basedOn w:val="1"/>
    <w:qFormat/>
    <w:uiPriority w:val="0"/>
    <w:pPr>
      <w:ind w:left="482" w:firstLine="200"/>
    </w:pPr>
    <w:rPr>
      <w:rFonts w:cs="宋体"/>
      <w:szCs w:val="20"/>
    </w:rPr>
  </w:style>
  <w:style w:type="character" w:customStyle="1" w:styleId="69">
    <w:name w:val="标题 1 Char"/>
    <w:link w:val="4"/>
    <w:qFormat/>
    <w:uiPriority w:val="0"/>
    <w:rPr>
      <w:rFonts w:eastAsia="黑体"/>
      <w:snapToGrid w:val="0"/>
      <w:sz w:val="36"/>
    </w:rPr>
  </w:style>
  <w:style w:type="paragraph" w:customStyle="1" w:styleId="70">
    <w:name w:val="Table Paragraph"/>
    <w:basedOn w:val="1"/>
    <w:qFormat/>
    <w:uiPriority w:val="1"/>
    <w:pPr>
      <w:jc w:val="left"/>
    </w:pPr>
    <w:rPr>
      <w:rFonts w:ascii="Calibri" w:hAnsi="Calibri"/>
      <w:sz w:val="22"/>
      <w:lang w:eastAsia="en-US"/>
    </w:rPr>
  </w:style>
  <w:style w:type="table" w:customStyle="1" w:styleId="71">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97B63B-81D3-4FE2-99AF-2558D269D22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136</Pages>
  <Words>15185</Words>
  <Characters>86556</Characters>
  <Lines>721</Lines>
  <Paragraphs>203</Paragraphs>
  <TotalTime>1</TotalTime>
  <ScaleCrop>false</ScaleCrop>
  <LinksUpToDate>false</LinksUpToDate>
  <CharactersWithSpaces>101538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2019-08-16T01:25:00Z</dcterms:created>
  <dc:creator>Administrator</dc:creator>
  <cp:lastModifiedBy>       再见时盼如故</cp:lastModifiedBy>
  <cp:lastPrinted>2021-04-30T07:19:00Z</cp:lastPrinted>
  <dcterms:modified xsi:type="dcterms:W3CDTF">2022-01-24T02:39:17Z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A1032033C4104130A713D6EB0F5A1E1F</vt:lpwstr>
  </property>
</Properties>
</file>