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adjustRightInd/>
        <w:rPr>
          <w:rFonts w:hint="eastAsia"/>
          <w:color w:val="auto"/>
          <w:highlight w:val="none"/>
        </w:rPr>
      </w:pPr>
      <w:r>
        <w:rPr>
          <w:rFonts w:hint="eastAsia"/>
          <w:color w:val="auto"/>
          <w:highlight w:val="none"/>
        </w:rPr>
        <w:drawing>
          <wp:inline distT="0" distB="0" distL="114300" distR="114300">
            <wp:extent cx="5753100" cy="8537575"/>
            <wp:effectExtent l="0" t="0" r="0" b="15875"/>
            <wp:docPr id="1" name="图片 1" descr="招标文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文件封面"/>
                    <pic:cNvPicPr>
                      <a:picLocks noChangeAspect="1"/>
                    </pic:cNvPicPr>
                  </pic:nvPicPr>
                  <pic:blipFill>
                    <a:blip r:embed="rId6"/>
                    <a:stretch>
                      <a:fillRect/>
                    </a:stretch>
                  </pic:blipFill>
                  <pic:spPr>
                    <a:xfrm>
                      <a:off x="0" y="0"/>
                      <a:ext cx="5753100" cy="8537575"/>
                    </a:xfrm>
                    <a:prstGeom prst="rect">
                      <a:avLst/>
                    </a:prstGeom>
                    <a:noFill/>
                    <a:ln>
                      <a:noFill/>
                    </a:ln>
                  </pic:spPr>
                </pic:pic>
              </a:graphicData>
            </a:graphic>
          </wp:inline>
        </w:drawing>
      </w:r>
      <w:r>
        <w:rPr>
          <w:rFonts w:hint="eastAsia"/>
          <w:color w:val="auto"/>
          <w:highlight w:val="none"/>
        </w:rPr>
        <w:br w:type="page"/>
      </w:r>
    </w:p>
    <w:p>
      <w:pPr>
        <w:pStyle w:val="17"/>
        <w:rPr>
          <w:rFonts w:hint="eastAsia"/>
          <w:color w:val="auto"/>
          <w:highlight w:val="none"/>
        </w:rPr>
      </w:pPr>
    </w:p>
    <w:p>
      <w:pPr>
        <w:rPr>
          <w:rFonts w:hint="eastAsia"/>
          <w:color w:val="auto"/>
          <w:highlight w:val="none"/>
        </w:rPr>
      </w:pPr>
    </w:p>
    <w:p>
      <w:pPr>
        <w:pStyle w:val="17"/>
        <w:rPr>
          <w:rFonts w:hint="eastAsia"/>
          <w:color w:val="auto"/>
          <w:highlight w:val="none"/>
        </w:rPr>
      </w:pPr>
    </w:p>
    <w:p>
      <w:pPr>
        <w:rPr>
          <w:color w:val="auto"/>
          <w:highlight w:val="none"/>
        </w:rPr>
      </w:pPr>
    </w:p>
    <w:p>
      <w:pPr>
        <w:pStyle w:val="17"/>
        <w:rPr>
          <w:color w:val="auto"/>
          <w:highlight w:val="none"/>
        </w:rPr>
      </w:pPr>
    </w:p>
    <w:p>
      <w:pPr>
        <w:pStyle w:val="3"/>
        <w:adjustRightInd/>
        <w:jc w:val="center"/>
        <w:rPr>
          <w:color w:val="auto"/>
          <w:sz w:val="32"/>
          <w:szCs w:val="32"/>
          <w:highlight w:val="none"/>
        </w:rPr>
      </w:pPr>
      <w:r>
        <w:rPr>
          <w:rFonts w:hint="eastAsia"/>
          <w:b/>
          <w:color w:val="auto"/>
          <w:sz w:val="40"/>
          <w:szCs w:val="40"/>
          <w:highlight w:val="none"/>
        </w:rPr>
        <w:t>湖州市南太湖新区太湖湾单元（TH-08-02）13E、14C、15B、16A-1、16A-2、16B、17A、17B-1、17B-2、17C、18B-1、18B-2、20B-1、20B-2、27E、28B-1、28B-2、29B、13E-1、20B-3号地块（长东未来社区）开发建设项目工程总承包项目</w:t>
      </w:r>
    </w:p>
    <w:p>
      <w:pPr>
        <w:pStyle w:val="3"/>
        <w:tabs>
          <w:tab w:val="left" w:pos="5834"/>
        </w:tabs>
        <w:adjustRightInd/>
        <w:jc w:val="center"/>
        <w:outlineLvl w:val="0"/>
        <w:rPr>
          <w:color w:val="auto"/>
          <w:sz w:val="28"/>
          <w:szCs w:val="28"/>
          <w:highlight w:val="none"/>
        </w:rPr>
      </w:pPr>
      <w:bookmarkStart w:id="0" w:name="_Toc30268"/>
      <w:r>
        <w:rPr>
          <w:rFonts w:hint="eastAsia"/>
          <w:color w:val="auto"/>
          <w:spacing w:val="-1"/>
          <w:sz w:val="28"/>
          <w:szCs w:val="28"/>
          <w:highlight w:val="none"/>
        </w:rPr>
        <w:t>（招标编号：</w:t>
      </w:r>
      <w:r>
        <w:rPr>
          <w:rFonts w:hint="eastAsia"/>
          <w:color w:val="auto"/>
          <w:spacing w:val="-1"/>
          <w:sz w:val="28"/>
          <w:szCs w:val="28"/>
          <w:highlight w:val="none"/>
          <w:u w:val="single"/>
          <w:lang w:val="en-US" w:eastAsia="zh-CN"/>
        </w:rPr>
        <w:t xml:space="preserve"> JS-027X-HS </w:t>
      </w:r>
      <w:r>
        <w:rPr>
          <w:rFonts w:hint="eastAsia"/>
          <w:color w:val="auto"/>
          <w:sz w:val="28"/>
          <w:szCs w:val="28"/>
          <w:highlight w:val="none"/>
        </w:rPr>
        <w:t>）</w:t>
      </w:r>
      <w:bookmarkEnd w:id="0"/>
    </w:p>
    <w:p>
      <w:pPr>
        <w:pStyle w:val="3"/>
        <w:adjustRightInd/>
        <w:jc w:val="center"/>
        <w:rPr>
          <w:color w:val="auto"/>
          <w:sz w:val="20"/>
          <w:szCs w:val="20"/>
          <w:highlight w:val="none"/>
        </w:rPr>
      </w:pPr>
    </w:p>
    <w:p>
      <w:pPr>
        <w:pStyle w:val="3"/>
        <w:adjustRightInd/>
        <w:jc w:val="both"/>
        <w:rPr>
          <w:color w:val="auto"/>
          <w:sz w:val="20"/>
          <w:szCs w:val="20"/>
          <w:highlight w:val="none"/>
        </w:rPr>
      </w:pPr>
    </w:p>
    <w:p>
      <w:pPr>
        <w:pStyle w:val="3"/>
        <w:adjustRightInd/>
        <w:jc w:val="center"/>
        <w:rPr>
          <w:color w:val="auto"/>
          <w:sz w:val="20"/>
          <w:szCs w:val="20"/>
          <w:highlight w:val="none"/>
        </w:rPr>
      </w:pPr>
    </w:p>
    <w:p>
      <w:pPr>
        <w:pStyle w:val="3"/>
        <w:adjustRightInd/>
        <w:jc w:val="center"/>
        <w:rPr>
          <w:color w:val="auto"/>
          <w:sz w:val="44"/>
          <w:szCs w:val="44"/>
          <w:highlight w:val="none"/>
        </w:rPr>
      </w:pPr>
      <w:r>
        <w:rPr>
          <w:rFonts w:hint="eastAsia"/>
          <w:color w:val="auto"/>
          <w:sz w:val="44"/>
          <w:szCs w:val="44"/>
          <w:highlight w:val="none"/>
        </w:rPr>
        <w:t>招标文件</w:t>
      </w:r>
    </w:p>
    <w:p>
      <w:pPr>
        <w:pStyle w:val="3"/>
        <w:adjustRightInd/>
        <w:jc w:val="center"/>
        <w:rPr>
          <w:color w:val="auto"/>
          <w:sz w:val="44"/>
          <w:szCs w:val="44"/>
          <w:highlight w:val="none"/>
        </w:rPr>
      </w:pPr>
      <w:r>
        <w:rPr>
          <w:rFonts w:hint="eastAsia"/>
          <w:color w:val="auto"/>
          <w:sz w:val="44"/>
          <w:szCs w:val="44"/>
          <w:highlight w:val="none"/>
        </w:rPr>
        <w:t>（</w:t>
      </w:r>
      <w:r>
        <w:rPr>
          <w:rFonts w:hint="eastAsia" w:hAnsi="宋体"/>
          <w:color w:val="auto"/>
          <w:sz w:val="44"/>
          <w:szCs w:val="44"/>
          <w:highlight w:val="none"/>
        </w:rPr>
        <w:sym w:font="Wingdings 2" w:char="0052"/>
      </w:r>
      <w:r>
        <w:rPr>
          <w:rFonts w:hint="eastAsia"/>
          <w:color w:val="auto"/>
          <w:sz w:val="44"/>
          <w:szCs w:val="44"/>
          <w:highlight w:val="none"/>
        </w:rPr>
        <w:t>公开招标</w:t>
      </w:r>
      <w:r>
        <w:rPr>
          <w:rFonts w:hint="eastAsia" w:hAnsi="宋体"/>
          <w:color w:val="auto"/>
          <w:sz w:val="44"/>
          <w:szCs w:val="44"/>
          <w:highlight w:val="none"/>
        </w:rPr>
        <w:sym w:font="Wingdings 2" w:char="00A3"/>
      </w:r>
      <w:r>
        <w:rPr>
          <w:rFonts w:hint="eastAsia"/>
          <w:color w:val="auto"/>
          <w:sz w:val="44"/>
          <w:szCs w:val="44"/>
          <w:highlight w:val="none"/>
        </w:rPr>
        <w:t>邀请招标）</w:t>
      </w:r>
    </w:p>
    <w:p>
      <w:pPr>
        <w:pStyle w:val="3"/>
        <w:adjustRightInd/>
        <w:jc w:val="center"/>
        <w:rPr>
          <w:color w:val="auto"/>
          <w:sz w:val="44"/>
          <w:szCs w:val="44"/>
          <w:highlight w:val="none"/>
        </w:rPr>
      </w:pPr>
    </w:p>
    <w:p>
      <w:pPr>
        <w:pStyle w:val="3"/>
        <w:adjustRightInd/>
        <w:jc w:val="center"/>
        <w:rPr>
          <w:color w:val="auto"/>
          <w:sz w:val="44"/>
          <w:szCs w:val="44"/>
          <w:highlight w:val="none"/>
        </w:rPr>
      </w:pPr>
    </w:p>
    <w:p>
      <w:pPr>
        <w:pStyle w:val="3"/>
        <w:adjustRightInd/>
        <w:jc w:val="center"/>
        <w:rPr>
          <w:color w:val="auto"/>
          <w:sz w:val="44"/>
          <w:szCs w:val="44"/>
          <w:highlight w:val="none"/>
        </w:rPr>
      </w:pPr>
    </w:p>
    <w:p>
      <w:pPr>
        <w:pStyle w:val="3"/>
        <w:adjustRightInd/>
        <w:jc w:val="center"/>
        <w:rPr>
          <w:color w:val="auto"/>
          <w:sz w:val="33"/>
          <w:szCs w:val="33"/>
          <w:highlight w:val="none"/>
        </w:rPr>
      </w:pPr>
    </w:p>
    <w:p>
      <w:pPr>
        <w:pStyle w:val="3"/>
        <w:tabs>
          <w:tab w:val="left" w:pos="2593"/>
        </w:tabs>
        <w:adjustRightInd/>
        <w:jc w:val="center"/>
        <w:rPr>
          <w:color w:val="auto"/>
          <w:sz w:val="28"/>
          <w:szCs w:val="28"/>
          <w:highlight w:val="none"/>
        </w:rPr>
      </w:pPr>
      <w:r>
        <w:rPr>
          <w:rFonts w:hint="eastAsia"/>
          <w:color w:val="auto"/>
          <w:sz w:val="28"/>
          <w:szCs w:val="28"/>
          <w:highlight w:val="none"/>
        </w:rPr>
        <w:t xml:space="preserve"> 招标人：</w:t>
      </w:r>
      <w:r>
        <w:rPr>
          <w:rFonts w:hint="eastAsia"/>
          <w:color w:val="auto"/>
          <w:sz w:val="28"/>
          <w:szCs w:val="28"/>
          <w:highlight w:val="none"/>
          <w:u w:val="single"/>
        </w:rPr>
        <w:t>湖州市南太湖未来社区建设发展有限公司</w:t>
      </w:r>
      <w:r>
        <w:rPr>
          <w:rFonts w:hint="eastAsia"/>
          <w:color w:val="auto"/>
          <w:sz w:val="28"/>
          <w:szCs w:val="28"/>
          <w:highlight w:val="none"/>
        </w:rPr>
        <w:t>（单位盖章）</w:t>
      </w:r>
    </w:p>
    <w:p>
      <w:pPr>
        <w:pStyle w:val="2"/>
        <w:tabs>
          <w:tab w:val="left" w:pos="9360"/>
        </w:tabs>
        <w:kinsoku w:val="0"/>
        <w:spacing w:line="360" w:lineRule="auto"/>
        <w:ind w:left="3" w:firstLine="210"/>
        <w:jc w:val="center"/>
        <w:rPr>
          <w:color w:val="auto"/>
          <w:szCs w:val="24"/>
          <w:highlight w:val="none"/>
        </w:rPr>
      </w:pPr>
    </w:p>
    <w:p>
      <w:pPr>
        <w:pStyle w:val="4"/>
        <w:ind w:left="2400"/>
        <w:rPr>
          <w:color w:val="auto"/>
          <w:highlight w:val="none"/>
        </w:rPr>
      </w:pPr>
    </w:p>
    <w:p>
      <w:pPr>
        <w:rPr>
          <w:color w:val="auto"/>
          <w:highlight w:val="none"/>
        </w:rPr>
      </w:pPr>
    </w:p>
    <w:p>
      <w:pPr>
        <w:pStyle w:val="3"/>
        <w:tabs>
          <w:tab w:val="left" w:pos="2593"/>
        </w:tabs>
        <w:adjustRightInd/>
        <w:jc w:val="center"/>
        <w:rPr>
          <w:color w:val="auto"/>
          <w:sz w:val="28"/>
          <w:szCs w:val="28"/>
          <w:highlight w:val="none"/>
        </w:rPr>
      </w:pPr>
      <w:r>
        <w:rPr>
          <w:rFonts w:hint="eastAsia"/>
          <w:color w:val="auto"/>
          <w:sz w:val="28"/>
          <w:szCs w:val="28"/>
          <w:highlight w:val="none"/>
        </w:rPr>
        <w:t>招标代理机构：</w:t>
      </w:r>
      <w:r>
        <w:rPr>
          <w:rFonts w:hint="eastAsia"/>
          <w:color w:val="auto"/>
          <w:sz w:val="28"/>
          <w:szCs w:val="28"/>
          <w:highlight w:val="none"/>
          <w:u w:val="single"/>
        </w:rPr>
        <w:t>浙江天钫工程管理咨询有限公司</w:t>
      </w:r>
      <w:r>
        <w:rPr>
          <w:rFonts w:hint="eastAsia"/>
          <w:color w:val="auto"/>
          <w:sz w:val="28"/>
          <w:szCs w:val="28"/>
          <w:highlight w:val="none"/>
          <w:u w:val="single"/>
        </w:rPr>
        <w:tab/>
      </w:r>
      <w:r>
        <w:rPr>
          <w:rFonts w:hint="eastAsia"/>
          <w:color w:val="auto"/>
          <w:sz w:val="28"/>
          <w:szCs w:val="28"/>
          <w:highlight w:val="none"/>
        </w:rPr>
        <w:t>（单位盖章）</w:t>
      </w:r>
    </w:p>
    <w:p>
      <w:pPr>
        <w:pStyle w:val="3"/>
        <w:adjustRightInd/>
        <w:jc w:val="center"/>
        <w:rPr>
          <w:color w:val="auto"/>
          <w:sz w:val="23"/>
          <w:szCs w:val="23"/>
          <w:highlight w:val="none"/>
        </w:rPr>
      </w:pPr>
    </w:p>
    <w:p>
      <w:pPr>
        <w:pStyle w:val="3"/>
        <w:adjustRightInd/>
        <w:jc w:val="center"/>
        <w:rPr>
          <w:rFonts w:hint="eastAsia"/>
          <w:color w:val="auto"/>
          <w:sz w:val="28"/>
          <w:szCs w:val="28"/>
          <w:highlight w:val="none"/>
        </w:rPr>
      </w:pPr>
      <w:r>
        <w:rPr>
          <w:rFonts w:hint="eastAsia"/>
          <w:color w:val="auto"/>
          <w:sz w:val="28"/>
          <w:szCs w:val="28"/>
          <w:highlight w:val="none"/>
        </w:rPr>
        <w:t xml:space="preserve"> </w:t>
      </w:r>
    </w:p>
    <w:p>
      <w:pPr>
        <w:pStyle w:val="3"/>
        <w:adjustRightInd/>
        <w:jc w:val="center"/>
        <w:rPr>
          <w:color w:val="auto"/>
          <w:sz w:val="28"/>
          <w:szCs w:val="28"/>
          <w:highlight w:val="none"/>
        </w:rPr>
      </w:pPr>
      <w:r>
        <w:rPr>
          <w:rFonts w:hint="eastAsia"/>
          <w:color w:val="auto"/>
          <w:sz w:val="28"/>
          <w:szCs w:val="28"/>
          <w:highlight w:val="none"/>
        </w:rPr>
        <w:t xml:space="preserve">   2022   年   7  月</w:t>
      </w:r>
    </w:p>
    <w:p>
      <w:pPr>
        <w:pStyle w:val="2"/>
        <w:tabs>
          <w:tab w:val="left" w:pos="9360"/>
        </w:tabs>
        <w:kinsoku w:val="0"/>
        <w:adjustRightInd w:val="0"/>
        <w:snapToGrid w:val="0"/>
        <w:spacing w:before="14" w:line="360" w:lineRule="auto"/>
        <w:ind w:right="175" w:firstLine="0" w:firstLineChars="0"/>
        <w:jc w:val="center"/>
        <w:rPr>
          <w:rFonts w:ascii="小标宋" w:eastAsia="小标宋"/>
          <w:color w:val="auto"/>
          <w:sz w:val="44"/>
          <w:szCs w:val="44"/>
          <w:highlight w:val="none"/>
        </w:rPr>
      </w:pPr>
      <w:r>
        <w:rPr>
          <w:color w:val="auto"/>
          <w:sz w:val="28"/>
          <w:szCs w:val="28"/>
          <w:highlight w:val="none"/>
        </w:rPr>
        <w:br w:type="page"/>
      </w:r>
    </w:p>
    <w:p>
      <w:pPr>
        <w:pStyle w:val="3"/>
        <w:snapToGrid w:val="0"/>
        <w:jc w:val="center"/>
        <w:rPr>
          <w:rFonts w:ascii="小标宋" w:hAnsi="黑体" w:eastAsia="小标宋"/>
          <w:color w:val="auto"/>
          <w:sz w:val="44"/>
          <w:szCs w:val="44"/>
          <w:highlight w:val="none"/>
          <w:lang w:val="zh-CN"/>
        </w:rPr>
      </w:pPr>
      <w:bookmarkStart w:id="1" w:name="bookmark1"/>
      <w:bookmarkEnd w:id="1"/>
      <w:r>
        <w:rPr>
          <w:rFonts w:hint="eastAsia" w:ascii="小标宋" w:hAnsi="黑体" w:eastAsia="小标宋"/>
          <w:color w:val="auto"/>
          <w:sz w:val="44"/>
          <w:szCs w:val="44"/>
          <w:highlight w:val="none"/>
          <w:lang w:val="zh-CN"/>
        </w:rPr>
        <w:t>目  录</w:t>
      </w:r>
    </w:p>
    <w:p>
      <w:pPr>
        <w:pStyle w:val="60"/>
        <w:tabs>
          <w:tab w:val="right" w:leader="dot" w:pos="9071"/>
        </w:tabs>
        <w:rPr>
          <w:color w:val="auto"/>
          <w:highlight w:val="none"/>
        </w:rPr>
      </w:pPr>
      <w:r>
        <w:rPr>
          <w:rFonts w:ascii="小标宋" w:eastAsia="小标宋"/>
          <w:color w:val="auto"/>
          <w:sz w:val="44"/>
          <w:szCs w:val="44"/>
          <w:highlight w:val="none"/>
          <w:lang w:val="zh-CN"/>
        </w:rPr>
        <w:fldChar w:fldCharType="begin"/>
      </w:r>
      <w:r>
        <w:rPr>
          <w:rFonts w:ascii="小标宋" w:eastAsia="小标宋"/>
          <w:color w:val="auto"/>
          <w:sz w:val="44"/>
          <w:szCs w:val="44"/>
          <w:highlight w:val="none"/>
          <w:lang w:val="zh-CN"/>
        </w:rPr>
        <w:instrText xml:space="preserve">TOC \o "1-3" \h \u </w:instrText>
      </w:r>
      <w:r>
        <w:rPr>
          <w:rFonts w:ascii="小标宋" w:eastAsia="小标宋"/>
          <w:color w:val="auto"/>
          <w:sz w:val="44"/>
          <w:szCs w:val="44"/>
          <w:highlight w:val="none"/>
          <w:lang w:val="zh-CN"/>
        </w:rPr>
        <w:fldChar w:fldCharType="separate"/>
      </w: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_Toc20334 </w:instrText>
      </w:r>
      <w:r>
        <w:rPr>
          <w:rFonts w:ascii="小标宋" w:eastAsia="小标宋"/>
          <w:color w:val="auto"/>
          <w:szCs w:val="44"/>
          <w:highlight w:val="none"/>
          <w:lang w:val="zh-CN"/>
        </w:rPr>
        <w:fldChar w:fldCharType="separate"/>
      </w:r>
      <w:r>
        <w:rPr>
          <w:rFonts w:hint="eastAsia" w:ascii="Times New Roman" w:hAnsi="Times New Roman" w:eastAsia="黑体"/>
          <w:bCs/>
          <w:color w:val="auto"/>
          <w:kern w:val="44"/>
          <w:szCs w:val="44"/>
          <w:highlight w:val="none"/>
        </w:rPr>
        <w:t>第一章</w:t>
      </w:r>
      <w:r>
        <w:rPr>
          <w:rFonts w:ascii="Times New Roman" w:hAnsi="Times New Roman" w:eastAsia="黑体"/>
          <w:bCs/>
          <w:color w:val="auto"/>
          <w:kern w:val="44"/>
          <w:szCs w:val="44"/>
          <w:highlight w:val="none"/>
        </w:rPr>
        <w:t xml:space="preserve"> </w:t>
      </w:r>
      <w:r>
        <w:rPr>
          <w:rFonts w:hint="eastAsia" w:ascii="Times New Roman" w:hAnsi="Times New Roman" w:eastAsia="黑体"/>
          <w:bCs/>
          <w:color w:val="auto"/>
          <w:kern w:val="44"/>
          <w:szCs w:val="44"/>
          <w:highlight w:val="none"/>
        </w:rPr>
        <w:t>招标公告</w:t>
      </w:r>
      <w:r>
        <w:rPr>
          <w:color w:val="auto"/>
          <w:highlight w:val="none"/>
        </w:rPr>
        <w:tab/>
      </w:r>
      <w:r>
        <w:rPr>
          <w:color w:val="auto"/>
          <w:highlight w:val="none"/>
        </w:rPr>
        <w:fldChar w:fldCharType="begin"/>
      </w:r>
      <w:r>
        <w:rPr>
          <w:color w:val="auto"/>
          <w:highlight w:val="none"/>
        </w:rPr>
        <w:instrText xml:space="preserve"> PAGEREF _Toc20334 \h </w:instrText>
      </w:r>
      <w:r>
        <w:rPr>
          <w:color w:val="auto"/>
          <w:highlight w:val="none"/>
        </w:rPr>
        <w:fldChar w:fldCharType="separate"/>
      </w:r>
      <w:r>
        <w:rPr>
          <w:color w:val="auto"/>
          <w:highlight w:val="none"/>
        </w:rPr>
        <w:t>5</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_Toc22072 </w:instrText>
      </w:r>
      <w:r>
        <w:rPr>
          <w:rFonts w:ascii="小标宋" w:eastAsia="小标宋"/>
          <w:color w:val="auto"/>
          <w:szCs w:val="44"/>
          <w:highlight w:val="none"/>
          <w:lang w:val="zh-CN"/>
        </w:rPr>
        <w:fldChar w:fldCharType="separate"/>
      </w:r>
      <w:r>
        <w:rPr>
          <w:rFonts w:ascii="宋体" w:hAnsi="宋体"/>
          <w:color w:val="auto"/>
          <w:szCs w:val="32"/>
          <w:highlight w:val="none"/>
        </w:rPr>
        <w:t>1.招标条件</w:t>
      </w:r>
      <w:r>
        <w:rPr>
          <w:color w:val="auto"/>
          <w:highlight w:val="none"/>
        </w:rPr>
        <w:tab/>
      </w:r>
      <w:r>
        <w:rPr>
          <w:color w:val="auto"/>
          <w:highlight w:val="none"/>
        </w:rPr>
        <w:fldChar w:fldCharType="begin"/>
      </w:r>
      <w:r>
        <w:rPr>
          <w:color w:val="auto"/>
          <w:highlight w:val="none"/>
        </w:rPr>
        <w:instrText xml:space="preserve"> PAGEREF _Toc22072 \h </w:instrText>
      </w:r>
      <w:r>
        <w:rPr>
          <w:color w:val="auto"/>
          <w:highlight w:val="none"/>
        </w:rPr>
        <w:fldChar w:fldCharType="separate"/>
      </w:r>
      <w:r>
        <w:rPr>
          <w:color w:val="auto"/>
          <w:highlight w:val="none"/>
        </w:rPr>
        <w:t>5</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_Toc1387 </w:instrText>
      </w:r>
      <w:r>
        <w:rPr>
          <w:rFonts w:ascii="小标宋" w:eastAsia="小标宋"/>
          <w:color w:val="auto"/>
          <w:szCs w:val="44"/>
          <w:highlight w:val="none"/>
          <w:lang w:val="zh-CN"/>
        </w:rPr>
        <w:fldChar w:fldCharType="separate"/>
      </w:r>
      <w:r>
        <w:rPr>
          <w:rFonts w:ascii="宋体" w:hAnsi="宋体"/>
          <w:color w:val="auto"/>
          <w:szCs w:val="32"/>
          <w:highlight w:val="none"/>
        </w:rPr>
        <w:t>2.项目概况与招标范围</w:t>
      </w:r>
      <w:r>
        <w:rPr>
          <w:color w:val="auto"/>
          <w:highlight w:val="none"/>
        </w:rPr>
        <w:tab/>
      </w:r>
      <w:r>
        <w:rPr>
          <w:color w:val="auto"/>
          <w:highlight w:val="none"/>
        </w:rPr>
        <w:fldChar w:fldCharType="begin"/>
      </w:r>
      <w:r>
        <w:rPr>
          <w:color w:val="auto"/>
          <w:highlight w:val="none"/>
        </w:rPr>
        <w:instrText xml:space="preserve"> PAGEREF _Toc1387 \h </w:instrText>
      </w:r>
      <w:r>
        <w:rPr>
          <w:color w:val="auto"/>
          <w:highlight w:val="none"/>
        </w:rPr>
        <w:fldChar w:fldCharType="separate"/>
      </w:r>
      <w:r>
        <w:rPr>
          <w:color w:val="auto"/>
          <w:highlight w:val="none"/>
        </w:rPr>
        <w:t>5</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_Toc32010 </w:instrText>
      </w:r>
      <w:r>
        <w:rPr>
          <w:rFonts w:ascii="小标宋" w:eastAsia="小标宋"/>
          <w:color w:val="auto"/>
          <w:szCs w:val="44"/>
          <w:highlight w:val="none"/>
          <w:lang w:val="zh-CN"/>
        </w:rPr>
        <w:fldChar w:fldCharType="separate"/>
      </w:r>
      <w:r>
        <w:rPr>
          <w:rFonts w:ascii="宋体" w:hAnsi="宋体"/>
          <w:color w:val="auto"/>
          <w:highlight w:val="none"/>
        </w:rPr>
        <w:t>2.3</w:t>
      </w:r>
      <w:r>
        <w:rPr>
          <w:rFonts w:hint="eastAsia" w:ascii="宋体" w:hAnsi="宋体"/>
          <w:color w:val="auto"/>
          <w:highlight w:val="none"/>
        </w:rPr>
        <w:t>计划工期：</w:t>
      </w:r>
      <w:r>
        <w:rPr>
          <w:rFonts w:ascii="宋体" w:hAnsi="宋体"/>
          <w:color w:val="auto"/>
          <w:highlight w:val="none"/>
        </w:rPr>
        <w:t xml:space="preserve"> </w:t>
      </w:r>
      <w:r>
        <w:rPr>
          <w:rFonts w:hint="eastAsia" w:ascii="宋体" w:hAnsi="宋体"/>
          <w:color w:val="auto"/>
          <w:highlight w:val="none"/>
          <w:lang w:val="en-US" w:eastAsia="zh-CN"/>
        </w:rPr>
        <w:t>900</w:t>
      </w:r>
      <w:r>
        <w:rPr>
          <w:rFonts w:hint="eastAsia" w:ascii="宋体" w:hAnsi="宋体"/>
          <w:color w:val="auto"/>
          <w:highlight w:val="none"/>
        </w:rPr>
        <w:t>日历天</w:t>
      </w:r>
      <w:r>
        <w:rPr>
          <w:rFonts w:ascii="宋体" w:hAnsi="宋体"/>
          <w:color w:val="auto"/>
          <w:highlight w:val="none"/>
        </w:rPr>
        <w:t xml:space="preserve">  </w:t>
      </w:r>
      <w:r>
        <w:rPr>
          <w:rFonts w:hint="eastAsia" w:ascii="宋体" w:hAnsi="宋体"/>
          <w:color w:val="auto"/>
          <w:highlight w:val="none"/>
        </w:rPr>
        <w:t>。</w:t>
      </w:r>
      <w:r>
        <w:rPr>
          <w:color w:val="auto"/>
          <w:highlight w:val="none"/>
        </w:rPr>
        <w:tab/>
      </w:r>
      <w:r>
        <w:rPr>
          <w:color w:val="auto"/>
          <w:highlight w:val="none"/>
        </w:rPr>
        <w:fldChar w:fldCharType="begin"/>
      </w:r>
      <w:r>
        <w:rPr>
          <w:color w:val="auto"/>
          <w:highlight w:val="none"/>
        </w:rPr>
        <w:instrText xml:space="preserve"> PAGEREF _Toc32010 \h </w:instrText>
      </w:r>
      <w:r>
        <w:rPr>
          <w:color w:val="auto"/>
          <w:highlight w:val="none"/>
        </w:rPr>
        <w:fldChar w:fldCharType="separate"/>
      </w:r>
      <w:r>
        <w:rPr>
          <w:color w:val="auto"/>
          <w:highlight w:val="none"/>
        </w:rPr>
        <w:t>6</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_Toc22202 </w:instrText>
      </w:r>
      <w:r>
        <w:rPr>
          <w:rFonts w:ascii="小标宋" w:eastAsia="小标宋"/>
          <w:color w:val="auto"/>
          <w:szCs w:val="44"/>
          <w:highlight w:val="none"/>
          <w:lang w:val="zh-CN"/>
        </w:rPr>
        <w:fldChar w:fldCharType="separate"/>
      </w:r>
      <w:r>
        <w:rPr>
          <w:rFonts w:ascii="宋体" w:hAnsi="宋体"/>
          <w:color w:val="auto"/>
          <w:szCs w:val="32"/>
          <w:highlight w:val="none"/>
        </w:rPr>
        <w:t>3.投标人资格要求</w:t>
      </w:r>
      <w:r>
        <w:rPr>
          <w:color w:val="auto"/>
          <w:highlight w:val="none"/>
        </w:rPr>
        <w:tab/>
      </w:r>
      <w:r>
        <w:rPr>
          <w:color w:val="auto"/>
          <w:highlight w:val="none"/>
        </w:rPr>
        <w:fldChar w:fldCharType="begin"/>
      </w:r>
      <w:r>
        <w:rPr>
          <w:color w:val="auto"/>
          <w:highlight w:val="none"/>
        </w:rPr>
        <w:instrText xml:space="preserve"> PAGEREF _Toc22202 \h </w:instrText>
      </w:r>
      <w:r>
        <w:rPr>
          <w:color w:val="auto"/>
          <w:highlight w:val="none"/>
        </w:rPr>
        <w:fldChar w:fldCharType="separate"/>
      </w:r>
      <w:r>
        <w:rPr>
          <w:color w:val="auto"/>
          <w:highlight w:val="none"/>
        </w:rPr>
        <w:t>6</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_Toc22387 </w:instrText>
      </w:r>
      <w:r>
        <w:rPr>
          <w:rFonts w:ascii="小标宋" w:eastAsia="小标宋"/>
          <w:color w:val="auto"/>
          <w:szCs w:val="44"/>
          <w:highlight w:val="none"/>
          <w:lang w:val="zh-CN"/>
        </w:rPr>
        <w:fldChar w:fldCharType="separate"/>
      </w:r>
      <w:r>
        <w:rPr>
          <w:rFonts w:hint="eastAsia" w:ascii="宋体" w:hAnsi="宋体"/>
          <w:color w:val="auto"/>
          <w:highlight w:val="none"/>
          <w:shd w:val="clear" w:color="auto" w:fill="FFFFFF"/>
        </w:rPr>
        <w:t>（一）投标人</w:t>
      </w:r>
      <w:r>
        <w:rPr>
          <w:rFonts w:hint="eastAsia" w:ascii="宋体" w:hAnsi="宋体"/>
          <w:color w:val="auto"/>
          <w:highlight w:val="none"/>
        </w:rPr>
        <w:t>：</w:t>
      </w:r>
      <w:r>
        <w:rPr>
          <w:color w:val="auto"/>
          <w:highlight w:val="none"/>
        </w:rPr>
        <w:tab/>
      </w:r>
      <w:r>
        <w:rPr>
          <w:color w:val="auto"/>
          <w:highlight w:val="none"/>
        </w:rPr>
        <w:fldChar w:fldCharType="begin"/>
      </w:r>
      <w:r>
        <w:rPr>
          <w:color w:val="auto"/>
          <w:highlight w:val="none"/>
        </w:rPr>
        <w:instrText xml:space="preserve"> PAGEREF _Toc22387 \h </w:instrText>
      </w:r>
      <w:r>
        <w:rPr>
          <w:color w:val="auto"/>
          <w:highlight w:val="none"/>
        </w:rPr>
        <w:fldChar w:fldCharType="separate"/>
      </w:r>
      <w:r>
        <w:rPr>
          <w:color w:val="auto"/>
          <w:highlight w:val="none"/>
        </w:rPr>
        <w:t>6</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_Toc32156 </w:instrText>
      </w:r>
      <w:r>
        <w:rPr>
          <w:rFonts w:ascii="小标宋" w:eastAsia="小标宋"/>
          <w:color w:val="auto"/>
          <w:szCs w:val="44"/>
          <w:highlight w:val="none"/>
          <w:lang w:val="zh-CN"/>
        </w:rPr>
        <w:fldChar w:fldCharType="separate"/>
      </w:r>
      <w:r>
        <w:rPr>
          <w:rFonts w:ascii="宋体" w:hAnsi="宋体"/>
          <w:color w:val="auto"/>
          <w:highlight w:val="none"/>
        </w:rPr>
        <w:t>1</w:t>
      </w:r>
      <w:r>
        <w:rPr>
          <w:rFonts w:hint="eastAsia" w:ascii="宋体" w:hAnsi="宋体"/>
          <w:color w:val="auto"/>
          <w:highlight w:val="none"/>
        </w:rPr>
        <w:t>.项目负责人由牵头单位人员担任</w:t>
      </w:r>
      <w:r>
        <w:rPr>
          <w:rFonts w:ascii="宋体" w:hAnsi="宋体"/>
          <w:color w:val="auto"/>
          <w:highlight w:val="none"/>
        </w:rPr>
        <w:t>；</w:t>
      </w:r>
      <w:r>
        <w:rPr>
          <w:color w:val="auto"/>
          <w:highlight w:val="none"/>
        </w:rPr>
        <w:tab/>
      </w:r>
      <w:r>
        <w:rPr>
          <w:color w:val="auto"/>
          <w:highlight w:val="none"/>
        </w:rPr>
        <w:fldChar w:fldCharType="begin"/>
      </w:r>
      <w:r>
        <w:rPr>
          <w:color w:val="auto"/>
          <w:highlight w:val="none"/>
        </w:rPr>
        <w:instrText xml:space="preserve"> PAGEREF _Toc32156 \h </w:instrText>
      </w:r>
      <w:r>
        <w:rPr>
          <w:color w:val="auto"/>
          <w:highlight w:val="none"/>
        </w:rPr>
        <w:fldChar w:fldCharType="separate"/>
      </w:r>
      <w:r>
        <w:rPr>
          <w:color w:val="auto"/>
          <w:highlight w:val="none"/>
        </w:rPr>
        <w:t>6</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_Toc23824 </w:instrText>
      </w:r>
      <w:r>
        <w:rPr>
          <w:rFonts w:ascii="小标宋" w:eastAsia="小标宋"/>
          <w:color w:val="auto"/>
          <w:szCs w:val="44"/>
          <w:highlight w:val="none"/>
          <w:lang w:val="zh-CN"/>
        </w:rPr>
        <w:fldChar w:fldCharType="separate"/>
      </w:r>
      <w:r>
        <w:rPr>
          <w:rFonts w:hint="eastAsia" w:ascii="宋体" w:hAnsi="宋体"/>
          <w:color w:val="auto"/>
          <w:highlight w:val="none"/>
        </w:rPr>
        <w:t>（二）拟派项目负责人、设计负责人、施工负责人：</w:t>
      </w:r>
      <w:r>
        <w:rPr>
          <w:color w:val="auto"/>
          <w:highlight w:val="none"/>
        </w:rPr>
        <w:tab/>
      </w:r>
      <w:r>
        <w:rPr>
          <w:color w:val="auto"/>
          <w:highlight w:val="none"/>
        </w:rPr>
        <w:fldChar w:fldCharType="begin"/>
      </w:r>
      <w:r>
        <w:rPr>
          <w:color w:val="auto"/>
          <w:highlight w:val="none"/>
        </w:rPr>
        <w:instrText xml:space="preserve"> PAGEREF _Toc23824 \h </w:instrText>
      </w:r>
      <w:r>
        <w:rPr>
          <w:color w:val="auto"/>
          <w:highlight w:val="none"/>
        </w:rPr>
        <w:fldChar w:fldCharType="separate"/>
      </w:r>
      <w:r>
        <w:rPr>
          <w:color w:val="auto"/>
          <w:highlight w:val="none"/>
        </w:rPr>
        <w:t>6</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_Toc10266 </w:instrText>
      </w:r>
      <w:r>
        <w:rPr>
          <w:rFonts w:ascii="小标宋" w:eastAsia="小标宋"/>
          <w:color w:val="auto"/>
          <w:szCs w:val="44"/>
          <w:highlight w:val="none"/>
          <w:lang w:val="zh-CN"/>
        </w:rPr>
        <w:fldChar w:fldCharType="separate"/>
      </w:r>
      <w:r>
        <w:rPr>
          <w:rFonts w:ascii="宋体" w:hAnsi="宋体"/>
          <w:color w:val="auto"/>
          <w:highlight w:val="none"/>
        </w:rPr>
        <w:t>（</w:t>
      </w:r>
      <w:r>
        <w:rPr>
          <w:rFonts w:hint="eastAsia" w:ascii="宋体" w:hAnsi="宋体"/>
          <w:color w:val="auto"/>
          <w:highlight w:val="none"/>
        </w:rPr>
        <w:t>三</w:t>
      </w:r>
      <w:r>
        <w:rPr>
          <w:rFonts w:ascii="宋体" w:hAnsi="宋体"/>
          <w:color w:val="auto"/>
          <w:highlight w:val="none"/>
        </w:rPr>
        <w:t>）其他：</w:t>
      </w:r>
      <w:r>
        <w:rPr>
          <w:color w:val="auto"/>
          <w:highlight w:val="none"/>
        </w:rPr>
        <w:tab/>
      </w:r>
      <w:r>
        <w:rPr>
          <w:color w:val="auto"/>
          <w:highlight w:val="none"/>
        </w:rPr>
        <w:fldChar w:fldCharType="begin"/>
      </w:r>
      <w:r>
        <w:rPr>
          <w:color w:val="auto"/>
          <w:highlight w:val="none"/>
        </w:rPr>
        <w:instrText xml:space="preserve"> PAGEREF _Toc10266 \h </w:instrText>
      </w:r>
      <w:r>
        <w:rPr>
          <w:color w:val="auto"/>
          <w:highlight w:val="none"/>
        </w:rPr>
        <w:fldChar w:fldCharType="separate"/>
      </w:r>
      <w:r>
        <w:rPr>
          <w:color w:val="auto"/>
          <w:highlight w:val="none"/>
        </w:rPr>
        <w:t>7</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_Toc11579 </w:instrText>
      </w:r>
      <w:r>
        <w:rPr>
          <w:rFonts w:ascii="小标宋" w:eastAsia="小标宋"/>
          <w:color w:val="auto"/>
          <w:szCs w:val="44"/>
          <w:highlight w:val="none"/>
          <w:lang w:val="zh-CN"/>
        </w:rPr>
        <w:fldChar w:fldCharType="separate"/>
      </w:r>
      <w:r>
        <w:rPr>
          <w:rFonts w:ascii="宋体" w:hAnsi="宋体"/>
          <w:color w:val="auto"/>
          <w:szCs w:val="32"/>
          <w:highlight w:val="none"/>
        </w:rPr>
        <w:t>4.招标方式</w:t>
      </w:r>
      <w:r>
        <w:rPr>
          <w:color w:val="auto"/>
          <w:highlight w:val="none"/>
        </w:rPr>
        <w:tab/>
      </w:r>
      <w:r>
        <w:rPr>
          <w:color w:val="auto"/>
          <w:highlight w:val="none"/>
        </w:rPr>
        <w:fldChar w:fldCharType="begin"/>
      </w:r>
      <w:r>
        <w:rPr>
          <w:color w:val="auto"/>
          <w:highlight w:val="none"/>
        </w:rPr>
        <w:instrText xml:space="preserve"> PAGEREF _Toc11579 \h </w:instrText>
      </w:r>
      <w:r>
        <w:rPr>
          <w:color w:val="auto"/>
          <w:highlight w:val="none"/>
        </w:rPr>
        <w:fldChar w:fldCharType="separate"/>
      </w:r>
      <w:r>
        <w:rPr>
          <w:color w:val="auto"/>
          <w:highlight w:val="none"/>
        </w:rPr>
        <w:t>8</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_Toc17356 </w:instrText>
      </w:r>
      <w:r>
        <w:rPr>
          <w:rFonts w:ascii="小标宋" w:eastAsia="小标宋"/>
          <w:color w:val="auto"/>
          <w:szCs w:val="44"/>
          <w:highlight w:val="none"/>
          <w:lang w:val="zh-CN"/>
        </w:rPr>
        <w:fldChar w:fldCharType="separate"/>
      </w:r>
      <w:r>
        <w:rPr>
          <w:rFonts w:ascii="宋体" w:hAnsi="宋体"/>
          <w:color w:val="auto"/>
          <w:highlight w:val="none"/>
        </w:rPr>
        <w:t>4.1公开招标</w:t>
      </w:r>
      <w:r>
        <w:rPr>
          <w:rFonts w:hint="eastAsia" w:ascii="宋体" w:hAnsi="宋体"/>
          <w:color w:val="auto"/>
          <w:highlight w:val="none"/>
        </w:rPr>
        <w:t>。</w:t>
      </w:r>
      <w:r>
        <w:rPr>
          <w:color w:val="auto"/>
          <w:highlight w:val="none"/>
        </w:rPr>
        <w:tab/>
      </w:r>
      <w:r>
        <w:rPr>
          <w:color w:val="auto"/>
          <w:highlight w:val="none"/>
        </w:rPr>
        <w:fldChar w:fldCharType="begin"/>
      </w:r>
      <w:r>
        <w:rPr>
          <w:color w:val="auto"/>
          <w:highlight w:val="none"/>
        </w:rPr>
        <w:instrText xml:space="preserve"> PAGEREF _Toc17356 \h </w:instrText>
      </w:r>
      <w:r>
        <w:rPr>
          <w:color w:val="auto"/>
          <w:highlight w:val="none"/>
        </w:rPr>
        <w:fldChar w:fldCharType="separate"/>
      </w:r>
      <w:r>
        <w:rPr>
          <w:color w:val="auto"/>
          <w:highlight w:val="none"/>
        </w:rPr>
        <w:t>8</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_Toc17450 </w:instrText>
      </w:r>
      <w:r>
        <w:rPr>
          <w:rFonts w:ascii="小标宋" w:eastAsia="小标宋"/>
          <w:color w:val="auto"/>
          <w:szCs w:val="44"/>
          <w:highlight w:val="none"/>
          <w:lang w:val="zh-CN"/>
        </w:rPr>
        <w:fldChar w:fldCharType="separate"/>
      </w:r>
      <w:r>
        <w:rPr>
          <w:rFonts w:ascii="宋体" w:hAnsi="宋体"/>
          <w:color w:val="auto"/>
          <w:szCs w:val="32"/>
          <w:highlight w:val="none"/>
        </w:rPr>
        <w:t>5.招标文件的获取</w:t>
      </w:r>
      <w:r>
        <w:rPr>
          <w:color w:val="auto"/>
          <w:highlight w:val="none"/>
        </w:rPr>
        <w:tab/>
      </w:r>
      <w:r>
        <w:rPr>
          <w:color w:val="auto"/>
          <w:highlight w:val="none"/>
        </w:rPr>
        <w:fldChar w:fldCharType="begin"/>
      </w:r>
      <w:r>
        <w:rPr>
          <w:color w:val="auto"/>
          <w:highlight w:val="none"/>
        </w:rPr>
        <w:instrText xml:space="preserve"> PAGEREF _Toc17450 \h </w:instrText>
      </w:r>
      <w:r>
        <w:rPr>
          <w:color w:val="auto"/>
          <w:highlight w:val="none"/>
        </w:rPr>
        <w:fldChar w:fldCharType="separate"/>
      </w:r>
      <w:r>
        <w:rPr>
          <w:color w:val="auto"/>
          <w:highlight w:val="none"/>
        </w:rPr>
        <w:t>8</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_Toc5388 </w:instrText>
      </w:r>
      <w:r>
        <w:rPr>
          <w:rFonts w:ascii="小标宋" w:eastAsia="小标宋"/>
          <w:color w:val="auto"/>
          <w:szCs w:val="44"/>
          <w:highlight w:val="none"/>
          <w:lang w:val="zh-CN"/>
        </w:rPr>
        <w:fldChar w:fldCharType="separate"/>
      </w:r>
      <w:r>
        <w:rPr>
          <w:rFonts w:ascii="宋体" w:hAnsi="宋体"/>
          <w:color w:val="auto"/>
          <w:szCs w:val="32"/>
          <w:highlight w:val="none"/>
        </w:rPr>
        <w:t>6.投标文件的递交</w:t>
      </w:r>
      <w:r>
        <w:rPr>
          <w:color w:val="auto"/>
          <w:highlight w:val="none"/>
        </w:rPr>
        <w:tab/>
      </w:r>
      <w:r>
        <w:rPr>
          <w:color w:val="auto"/>
          <w:highlight w:val="none"/>
        </w:rPr>
        <w:fldChar w:fldCharType="begin"/>
      </w:r>
      <w:r>
        <w:rPr>
          <w:color w:val="auto"/>
          <w:highlight w:val="none"/>
        </w:rPr>
        <w:instrText xml:space="preserve"> PAGEREF _Toc5388 \h </w:instrText>
      </w:r>
      <w:r>
        <w:rPr>
          <w:color w:val="auto"/>
          <w:highlight w:val="none"/>
        </w:rPr>
        <w:fldChar w:fldCharType="separate"/>
      </w:r>
      <w:r>
        <w:rPr>
          <w:color w:val="auto"/>
          <w:highlight w:val="none"/>
        </w:rPr>
        <w:t>8</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_Toc4583 </w:instrText>
      </w:r>
      <w:r>
        <w:rPr>
          <w:rFonts w:ascii="小标宋" w:eastAsia="小标宋"/>
          <w:color w:val="auto"/>
          <w:szCs w:val="44"/>
          <w:highlight w:val="none"/>
          <w:lang w:val="zh-CN"/>
        </w:rPr>
        <w:fldChar w:fldCharType="separate"/>
      </w:r>
      <w:r>
        <w:rPr>
          <w:rFonts w:hint="eastAsia" w:ascii="宋体" w:hAnsi="宋体"/>
          <w:color w:val="auto"/>
          <w:szCs w:val="32"/>
          <w:highlight w:val="none"/>
        </w:rPr>
        <w:t>7.联系方式</w:t>
      </w:r>
      <w:r>
        <w:rPr>
          <w:color w:val="auto"/>
          <w:highlight w:val="none"/>
        </w:rPr>
        <w:tab/>
      </w:r>
      <w:r>
        <w:rPr>
          <w:color w:val="auto"/>
          <w:highlight w:val="none"/>
        </w:rPr>
        <w:fldChar w:fldCharType="begin"/>
      </w:r>
      <w:r>
        <w:rPr>
          <w:color w:val="auto"/>
          <w:highlight w:val="none"/>
        </w:rPr>
        <w:instrText xml:space="preserve"> PAGEREF _Toc4583 \h </w:instrText>
      </w:r>
      <w:r>
        <w:rPr>
          <w:color w:val="auto"/>
          <w:highlight w:val="none"/>
        </w:rPr>
        <w:fldChar w:fldCharType="separate"/>
      </w:r>
      <w:r>
        <w:rPr>
          <w:color w:val="auto"/>
          <w:highlight w:val="none"/>
        </w:rPr>
        <w:t>8</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_Toc23685 </w:instrText>
      </w:r>
      <w:r>
        <w:rPr>
          <w:rFonts w:ascii="小标宋" w:eastAsia="小标宋"/>
          <w:color w:val="auto"/>
          <w:szCs w:val="44"/>
          <w:highlight w:val="none"/>
          <w:lang w:val="zh-CN"/>
        </w:rPr>
        <w:fldChar w:fldCharType="separate"/>
      </w:r>
      <w:r>
        <w:rPr>
          <w:rFonts w:hint="eastAsia" w:ascii="宋体" w:hAnsi="宋体"/>
          <w:color w:val="auto"/>
          <w:szCs w:val="32"/>
          <w:highlight w:val="none"/>
        </w:rPr>
        <w:t>8. 软件技术支持</w:t>
      </w:r>
      <w:r>
        <w:rPr>
          <w:color w:val="auto"/>
          <w:highlight w:val="none"/>
        </w:rPr>
        <w:tab/>
      </w:r>
      <w:r>
        <w:rPr>
          <w:color w:val="auto"/>
          <w:highlight w:val="none"/>
        </w:rPr>
        <w:fldChar w:fldCharType="begin"/>
      </w:r>
      <w:r>
        <w:rPr>
          <w:color w:val="auto"/>
          <w:highlight w:val="none"/>
        </w:rPr>
        <w:instrText xml:space="preserve"> PAGEREF _Toc23685 \h </w:instrText>
      </w:r>
      <w:r>
        <w:rPr>
          <w:color w:val="auto"/>
          <w:highlight w:val="none"/>
        </w:rPr>
        <w:fldChar w:fldCharType="separate"/>
      </w:r>
      <w:r>
        <w:rPr>
          <w:color w:val="auto"/>
          <w:highlight w:val="none"/>
        </w:rPr>
        <w:t>8</w:t>
      </w:r>
      <w:r>
        <w:rPr>
          <w:color w:val="auto"/>
          <w:highlight w:val="none"/>
        </w:rPr>
        <w:fldChar w:fldCharType="end"/>
      </w:r>
      <w:r>
        <w:rPr>
          <w:rFonts w:ascii="小标宋" w:eastAsia="小标宋"/>
          <w:color w:val="auto"/>
          <w:szCs w:val="44"/>
          <w:highlight w:val="none"/>
          <w:lang w:val="zh-CN"/>
        </w:rPr>
        <w:fldChar w:fldCharType="end"/>
      </w:r>
    </w:p>
    <w:p>
      <w:pPr>
        <w:pStyle w:val="60"/>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_Toc18957 </w:instrText>
      </w:r>
      <w:r>
        <w:rPr>
          <w:rFonts w:ascii="小标宋" w:eastAsia="小标宋"/>
          <w:color w:val="auto"/>
          <w:szCs w:val="44"/>
          <w:highlight w:val="none"/>
          <w:lang w:val="zh-CN"/>
        </w:rPr>
        <w:fldChar w:fldCharType="separate"/>
      </w:r>
      <w:r>
        <w:rPr>
          <w:rFonts w:hint="eastAsia" w:ascii="黑体" w:hAnsi="黑体" w:eastAsia="黑体" w:cs="黑体"/>
          <w:color w:val="auto"/>
          <w:szCs w:val="44"/>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_Toc18957 \h </w:instrText>
      </w:r>
      <w:r>
        <w:rPr>
          <w:color w:val="auto"/>
          <w:highlight w:val="none"/>
        </w:rPr>
        <w:fldChar w:fldCharType="separate"/>
      </w:r>
      <w:r>
        <w:rPr>
          <w:color w:val="auto"/>
          <w:highlight w:val="none"/>
        </w:rPr>
        <w:t>10</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_Toc9857 </w:instrText>
      </w:r>
      <w:r>
        <w:rPr>
          <w:rFonts w:ascii="小标宋" w:eastAsia="小标宋"/>
          <w:color w:val="auto"/>
          <w:szCs w:val="44"/>
          <w:highlight w:val="none"/>
          <w:lang w:val="zh-CN"/>
        </w:rPr>
        <w:fldChar w:fldCharType="separate"/>
      </w:r>
      <w:r>
        <w:rPr>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_Toc9857 \h </w:instrText>
      </w:r>
      <w:r>
        <w:rPr>
          <w:color w:val="auto"/>
          <w:highlight w:val="none"/>
        </w:rPr>
        <w:fldChar w:fldCharType="separate"/>
      </w:r>
      <w:r>
        <w:rPr>
          <w:color w:val="auto"/>
          <w:highlight w:val="none"/>
        </w:rPr>
        <w:t>10</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_Toc14962 </w:instrText>
      </w:r>
      <w:r>
        <w:rPr>
          <w:rFonts w:ascii="小标宋" w:eastAsia="小标宋"/>
          <w:color w:val="auto"/>
          <w:szCs w:val="44"/>
          <w:highlight w:val="none"/>
          <w:lang w:val="zh-CN"/>
        </w:rPr>
        <w:fldChar w:fldCharType="separate"/>
      </w:r>
      <w:r>
        <w:rPr>
          <w:rFonts w:hint="eastAsia" w:ascii="宋体" w:hAnsi="宋体" w:cs="宋体"/>
          <w:color w:val="auto"/>
          <w:highlight w:val="none"/>
        </w:rPr>
        <w:t>第二节 投标人须知</w:t>
      </w:r>
      <w:r>
        <w:rPr>
          <w:color w:val="auto"/>
          <w:highlight w:val="none"/>
        </w:rPr>
        <w:tab/>
      </w:r>
      <w:r>
        <w:rPr>
          <w:color w:val="auto"/>
          <w:highlight w:val="none"/>
        </w:rPr>
        <w:fldChar w:fldCharType="begin"/>
      </w:r>
      <w:r>
        <w:rPr>
          <w:color w:val="auto"/>
          <w:highlight w:val="none"/>
        </w:rPr>
        <w:instrText xml:space="preserve"> PAGEREF _Toc14962 \h </w:instrText>
      </w:r>
      <w:r>
        <w:rPr>
          <w:color w:val="auto"/>
          <w:highlight w:val="none"/>
        </w:rPr>
        <w:fldChar w:fldCharType="separate"/>
      </w:r>
      <w:r>
        <w:rPr>
          <w:color w:val="auto"/>
          <w:highlight w:val="none"/>
        </w:rPr>
        <w:t>30</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_Toc31077 </w:instrText>
      </w:r>
      <w:r>
        <w:rPr>
          <w:rFonts w:ascii="小标宋" w:eastAsia="小标宋"/>
          <w:color w:val="auto"/>
          <w:szCs w:val="44"/>
          <w:highlight w:val="none"/>
          <w:lang w:val="zh-CN"/>
        </w:rPr>
        <w:fldChar w:fldCharType="separate"/>
      </w:r>
      <w:r>
        <w:rPr>
          <w:rFonts w:hint="default" w:ascii="宋体" w:hAnsi="宋体" w:eastAsia="宋体" w:cs="宋体"/>
          <w:bCs/>
          <w:color w:val="auto"/>
          <w:spacing w:val="0"/>
          <w:w w:val="99"/>
          <w:szCs w:val="24"/>
          <w:highlight w:val="none"/>
          <w:lang w:val="zh-CN" w:eastAsia="zh-CN" w:bidi="zh-CN"/>
        </w:rPr>
        <w:t xml:space="preserve">1. </w:t>
      </w:r>
      <w:r>
        <w:rPr>
          <w:rFonts w:hint="eastAsia" w:ascii="宋体" w:hAnsi="宋体" w:eastAsia="宋体" w:cs="宋体"/>
          <w:color w:val="auto"/>
          <w:szCs w:val="24"/>
          <w:highlight w:val="none"/>
        </w:rPr>
        <w:t>总则</w:t>
      </w:r>
      <w:r>
        <w:rPr>
          <w:color w:val="auto"/>
          <w:highlight w:val="none"/>
        </w:rPr>
        <w:tab/>
      </w:r>
      <w:r>
        <w:rPr>
          <w:color w:val="auto"/>
          <w:highlight w:val="none"/>
        </w:rPr>
        <w:fldChar w:fldCharType="begin"/>
      </w:r>
      <w:r>
        <w:rPr>
          <w:color w:val="auto"/>
          <w:highlight w:val="none"/>
        </w:rPr>
        <w:instrText xml:space="preserve"> PAGEREF _Toc31077 \h </w:instrText>
      </w:r>
      <w:r>
        <w:rPr>
          <w:color w:val="auto"/>
          <w:highlight w:val="none"/>
        </w:rPr>
        <w:fldChar w:fldCharType="separate"/>
      </w:r>
      <w:r>
        <w:rPr>
          <w:color w:val="auto"/>
          <w:highlight w:val="none"/>
        </w:rPr>
        <w:t>30</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_Toc10282 </w:instrText>
      </w:r>
      <w:r>
        <w:rPr>
          <w:rFonts w:ascii="小标宋" w:eastAsia="小标宋"/>
          <w:color w:val="auto"/>
          <w:szCs w:val="44"/>
          <w:highlight w:val="none"/>
          <w:lang w:val="zh-CN"/>
        </w:rPr>
        <w:fldChar w:fldCharType="separate"/>
      </w:r>
      <w:r>
        <w:rPr>
          <w:rFonts w:hint="default" w:ascii="宋体" w:hAnsi="宋体" w:eastAsia="宋体" w:cs="宋体"/>
          <w:bCs/>
          <w:color w:val="auto"/>
          <w:spacing w:val="0"/>
          <w:w w:val="99"/>
          <w:szCs w:val="24"/>
          <w:highlight w:val="none"/>
          <w:lang w:val="zh-CN" w:eastAsia="zh-CN" w:bidi="zh-CN"/>
        </w:rPr>
        <w:t xml:space="preserve">2. </w:t>
      </w:r>
      <w:r>
        <w:rPr>
          <w:rFonts w:hint="eastAsia" w:ascii="宋体" w:hAnsi="宋体" w:eastAsia="宋体" w:cs="宋体"/>
          <w:color w:val="auto"/>
          <w:szCs w:val="24"/>
          <w:highlight w:val="none"/>
        </w:rPr>
        <w:t>招标文件</w:t>
      </w:r>
      <w:r>
        <w:rPr>
          <w:color w:val="auto"/>
          <w:highlight w:val="none"/>
        </w:rPr>
        <w:tab/>
      </w:r>
      <w:r>
        <w:rPr>
          <w:color w:val="auto"/>
          <w:highlight w:val="none"/>
        </w:rPr>
        <w:fldChar w:fldCharType="begin"/>
      </w:r>
      <w:r>
        <w:rPr>
          <w:color w:val="auto"/>
          <w:highlight w:val="none"/>
        </w:rPr>
        <w:instrText xml:space="preserve"> PAGEREF _Toc10282 \h </w:instrText>
      </w:r>
      <w:r>
        <w:rPr>
          <w:color w:val="auto"/>
          <w:highlight w:val="none"/>
        </w:rPr>
        <w:fldChar w:fldCharType="separate"/>
      </w:r>
      <w:r>
        <w:rPr>
          <w:color w:val="auto"/>
          <w:highlight w:val="none"/>
        </w:rPr>
        <w:t>32</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_Toc1331 </w:instrText>
      </w:r>
      <w:r>
        <w:rPr>
          <w:rFonts w:ascii="小标宋" w:eastAsia="小标宋"/>
          <w:color w:val="auto"/>
          <w:szCs w:val="44"/>
          <w:highlight w:val="none"/>
          <w:lang w:val="zh-CN"/>
        </w:rPr>
        <w:fldChar w:fldCharType="separate"/>
      </w:r>
      <w:r>
        <w:rPr>
          <w:rFonts w:hint="default" w:ascii="宋体" w:hAnsi="宋体" w:eastAsia="宋体" w:cs="宋体"/>
          <w:bCs/>
          <w:color w:val="auto"/>
          <w:spacing w:val="0"/>
          <w:w w:val="99"/>
          <w:szCs w:val="24"/>
          <w:highlight w:val="none"/>
          <w:lang w:val="zh-CN" w:eastAsia="zh-CN" w:bidi="zh-CN"/>
        </w:rPr>
        <w:t xml:space="preserve">3. </w:t>
      </w:r>
      <w:r>
        <w:rPr>
          <w:rFonts w:hint="eastAsia" w:ascii="宋体" w:hAnsi="宋体" w:eastAsia="宋体" w:cs="宋体"/>
          <w:color w:val="auto"/>
          <w:szCs w:val="24"/>
          <w:highlight w:val="none"/>
        </w:rPr>
        <w:t>投标文件</w:t>
      </w:r>
      <w:r>
        <w:rPr>
          <w:color w:val="auto"/>
          <w:highlight w:val="none"/>
        </w:rPr>
        <w:tab/>
      </w:r>
      <w:r>
        <w:rPr>
          <w:color w:val="auto"/>
          <w:highlight w:val="none"/>
        </w:rPr>
        <w:fldChar w:fldCharType="begin"/>
      </w:r>
      <w:r>
        <w:rPr>
          <w:color w:val="auto"/>
          <w:highlight w:val="none"/>
        </w:rPr>
        <w:instrText xml:space="preserve"> PAGEREF _Toc1331 \h </w:instrText>
      </w:r>
      <w:r>
        <w:rPr>
          <w:color w:val="auto"/>
          <w:highlight w:val="none"/>
        </w:rPr>
        <w:fldChar w:fldCharType="separate"/>
      </w:r>
      <w:r>
        <w:rPr>
          <w:color w:val="auto"/>
          <w:highlight w:val="none"/>
        </w:rPr>
        <w:t>33</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_Toc28030 </w:instrText>
      </w:r>
      <w:r>
        <w:rPr>
          <w:rFonts w:ascii="小标宋" w:eastAsia="小标宋"/>
          <w:color w:val="auto"/>
          <w:szCs w:val="44"/>
          <w:highlight w:val="none"/>
          <w:lang w:val="zh-CN"/>
        </w:rPr>
        <w:fldChar w:fldCharType="separate"/>
      </w:r>
      <w:r>
        <w:rPr>
          <w:rFonts w:hint="default" w:ascii="宋体" w:hAnsi="宋体" w:eastAsia="宋体" w:cs="宋体"/>
          <w:bCs/>
          <w:color w:val="auto"/>
          <w:spacing w:val="0"/>
          <w:w w:val="99"/>
          <w:szCs w:val="24"/>
          <w:highlight w:val="none"/>
          <w:lang w:val="zh-CN" w:eastAsia="zh-CN" w:bidi="zh-CN"/>
        </w:rPr>
        <w:t xml:space="preserve">4. </w:t>
      </w:r>
      <w:r>
        <w:rPr>
          <w:rFonts w:hint="eastAsia" w:ascii="宋体" w:hAnsi="宋体" w:eastAsia="宋体" w:cs="宋体"/>
          <w:color w:val="auto"/>
          <w:szCs w:val="24"/>
          <w:highlight w:val="none"/>
        </w:rPr>
        <w:t>投标</w:t>
      </w:r>
      <w:r>
        <w:rPr>
          <w:color w:val="auto"/>
          <w:highlight w:val="none"/>
        </w:rPr>
        <w:tab/>
      </w:r>
      <w:r>
        <w:rPr>
          <w:color w:val="auto"/>
          <w:highlight w:val="none"/>
        </w:rPr>
        <w:fldChar w:fldCharType="begin"/>
      </w:r>
      <w:r>
        <w:rPr>
          <w:color w:val="auto"/>
          <w:highlight w:val="none"/>
        </w:rPr>
        <w:instrText xml:space="preserve"> PAGEREF _Toc28030 \h </w:instrText>
      </w:r>
      <w:r>
        <w:rPr>
          <w:color w:val="auto"/>
          <w:highlight w:val="none"/>
        </w:rPr>
        <w:fldChar w:fldCharType="separate"/>
      </w:r>
      <w:r>
        <w:rPr>
          <w:color w:val="auto"/>
          <w:highlight w:val="none"/>
        </w:rPr>
        <w:t>38</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_Toc17430 </w:instrText>
      </w:r>
      <w:r>
        <w:rPr>
          <w:rFonts w:ascii="小标宋" w:eastAsia="小标宋"/>
          <w:color w:val="auto"/>
          <w:szCs w:val="44"/>
          <w:highlight w:val="none"/>
          <w:lang w:val="zh-CN"/>
        </w:rPr>
        <w:fldChar w:fldCharType="separate"/>
      </w:r>
      <w:r>
        <w:rPr>
          <w:rFonts w:hint="default" w:ascii="宋体" w:hAnsi="宋体" w:eastAsia="宋体" w:cs="宋体"/>
          <w:bCs/>
          <w:color w:val="auto"/>
          <w:spacing w:val="0"/>
          <w:w w:val="99"/>
          <w:szCs w:val="24"/>
          <w:highlight w:val="none"/>
          <w:lang w:val="zh-CN" w:eastAsia="zh-CN" w:bidi="zh-CN"/>
        </w:rPr>
        <w:t xml:space="preserve">5. </w:t>
      </w:r>
      <w:r>
        <w:rPr>
          <w:rFonts w:hint="eastAsia" w:ascii="宋体" w:hAnsi="宋体" w:eastAsia="宋体" w:cs="宋体"/>
          <w:color w:val="auto"/>
          <w:szCs w:val="24"/>
          <w:highlight w:val="none"/>
        </w:rPr>
        <w:t>开标</w:t>
      </w:r>
      <w:r>
        <w:rPr>
          <w:color w:val="auto"/>
          <w:highlight w:val="none"/>
        </w:rPr>
        <w:tab/>
      </w:r>
      <w:r>
        <w:rPr>
          <w:color w:val="auto"/>
          <w:highlight w:val="none"/>
        </w:rPr>
        <w:fldChar w:fldCharType="begin"/>
      </w:r>
      <w:r>
        <w:rPr>
          <w:color w:val="auto"/>
          <w:highlight w:val="none"/>
        </w:rPr>
        <w:instrText xml:space="preserve"> PAGEREF _Toc17430 \h </w:instrText>
      </w:r>
      <w:r>
        <w:rPr>
          <w:color w:val="auto"/>
          <w:highlight w:val="none"/>
        </w:rPr>
        <w:fldChar w:fldCharType="separate"/>
      </w:r>
      <w:r>
        <w:rPr>
          <w:color w:val="auto"/>
          <w:highlight w:val="none"/>
        </w:rPr>
        <w:t>39</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_Toc10453 </w:instrText>
      </w:r>
      <w:r>
        <w:rPr>
          <w:rFonts w:ascii="小标宋" w:eastAsia="小标宋"/>
          <w:color w:val="auto"/>
          <w:szCs w:val="44"/>
          <w:highlight w:val="none"/>
          <w:lang w:val="zh-CN"/>
        </w:rPr>
        <w:fldChar w:fldCharType="separate"/>
      </w:r>
      <w:r>
        <w:rPr>
          <w:rFonts w:hint="default" w:ascii="宋体" w:hAnsi="宋体" w:eastAsia="宋体" w:cs="宋体"/>
          <w:bCs/>
          <w:color w:val="auto"/>
          <w:spacing w:val="0"/>
          <w:w w:val="99"/>
          <w:szCs w:val="24"/>
          <w:highlight w:val="none"/>
          <w:lang w:val="zh-CN" w:eastAsia="zh-CN" w:bidi="zh-CN"/>
        </w:rPr>
        <w:t xml:space="preserve">6. </w:t>
      </w:r>
      <w:r>
        <w:rPr>
          <w:rFonts w:hint="eastAsia" w:ascii="宋体" w:hAnsi="宋体" w:eastAsia="宋体" w:cs="宋体"/>
          <w:color w:val="auto"/>
          <w:szCs w:val="24"/>
          <w:highlight w:val="none"/>
        </w:rPr>
        <w:t>评标</w:t>
      </w:r>
      <w:r>
        <w:rPr>
          <w:color w:val="auto"/>
          <w:highlight w:val="none"/>
        </w:rPr>
        <w:tab/>
      </w:r>
      <w:r>
        <w:rPr>
          <w:color w:val="auto"/>
          <w:highlight w:val="none"/>
        </w:rPr>
        <w:fldChar w:fldCharType="begin"/>
      </w:r>
      <w:r>
        <w:rPr>
          <w:color w:val="auto"/>
          <w:highlight w:val="none"/>
        </w:rPr>
        <w:instrText xml:space="preserve"> PAGEREF _Toc10453 \h </w:instrText>
      </w:r>
      <w:r>
        <w:rPr>
          <w:color w:val="auto"/>
          <w:highlight w:val="none"/>
        </w:rPr>
        <w:fldChar w:fldCharType="separate"/>
      </w:r>
      <w:r>
        <w:rPr>
          <w:color w:val="auto"/>
          <w:highlight w:val="none"/>
        </w:rPr>
        <w:t>39</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_Toc15417 </w:instrText>
      </w:r>
      <w:r>
        <w:rPr>
          <w:rFonts w:ascii="小标宋" w:eastAsia="小标宋"/>
          <w:color w:val="auto"/>
          <w:szCs w:val="44"/>
          <w:highlight w:val="none"/>
          <w:lang w:val="zh-CN"/>
        </w:rPr>
        <w:fldChar w:fldCharType="separate"/>
      </w:r>
      <w:r>
        <w:rPr>
          <w:rFonts w:hint="default" w:ascii="宋体" w:hAnsi="宋体" w:eastAsia="宋体" w:cs="宋体"/>
          <w:bCs/>
          <w:color w:val="auto"/>
          <w:spacing w:val="0"/>
          <w:w w:val="99"/>
          <w:szCs w:val="24"/>
          <w:highlight w:val="none"/>
          <w:lang w:val="zh-CN" w:eastAsia="zh-CN" w:bidi="zh-CN"/>
        </w:rPr>
        <w:t xml:space="preserve">7. </w:t>
      </w:r>
      <w:r>
        <w:rPr>
          <w:rFonts w:hint="eastAsia" w:ascii="宋体" w:hAnsi="宋体" w:eastAsia="宋体" w:cs="宋体"/>
          <w:color w:val="auto"/>
          <w:szCs w:val="24"/>
          <w:highlight w:val="none"/>
        </w:rPr>
        <w:t>合同授予</w:t>
      </w:r>
      <w:r>
        <w:rPr>
          <w:color w:val="auto"/>
          <w:highlight w:val="none"/>
        </w:rPr>
        <w:tab/>
      </w:r>
      <w:r>
        <w:rPr>
          <w:color w:val="auto"/>
          <w:highlight w:val="none"/>
        </w:rPr>
        <w:fldChar w:fldCharType="begin"/>
      </w:r>
      <w:r>
        <w:rPr>
          <w:color w:val="auto"/>
          <w:highlight w:val="none"/>
        </w:rPr>
        <w:instrText xml:space="preserve"> PAGEREF _Toc15417 \h </w:instrText>
      </w:r>
      <w:r>
        <w:rPr>
          <w:color w:val="auto"/>
          <w:highlight w:val="none"/>
        </w:rPr>
        <w:fldChar w:fldCharType="separate"/>
      </w:r>
      <w:r>
        <w:rPr>
          <w:color w:val="auto"/>
          <w:highlight w:val="none"/>
        </w:rPr>
        <w:t>40</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_Toc2969 </w:instrText>
      </w:r>
      <w:r>
        <w:rPr>
          <w:rFonts w:ascii="小标宋" w:eastAsia="小标宋"/>
          <w:color w:val="auto"/>
          <w:szCs w:val="44"/>
          <w:highlight w:val="none"/>
          <w:lang w:val="zh-CN"/>
        </w:rPr>
        <w:fldChar w:fldCharType="separate"/>
      </w:r>
      <w:r>
        <w:rPr>
          <w:rFonts w:hint="eastAsia" w:ascii="宋体" w:hAnsi="宋体" w:cs="宋体"/>
          <w:color w:val="auto"/>
          <w:highlight w:val="none"/>
        </w:rPr>
        <w:t>8．重新招标和不再招标</w:t>
      </w:r>
      <w:r>
        <w:rPr>
          <w:color w:val="auto"/>
          <w:highlight w:val="none"/>
        </w:rPr>
        <w:tab/>
      </w:r>
      <w:r>
        <w:rPr>
          <w:color w:val="auto"/>
          <w:highlight w:val="none"/>
        </w:rPr>
        <w:fldChar w:fldCharType="begin"/>
      </w:r>
      <w:r>
        <w:rPr>
          <w:color w:val="auto"/>
          <w:highlight w:val="none"/>
        </w:rPr>
        <w:instrText xml:space="preserve"> PAGEREF _Toc2969 \h </w:instrText>
      </w:r>
      <w:r>
        <w:rPr>
          <w:color w:val="auto"/>
          <w:highlight w:val="none"/>
        </w:rPr>
        <w:fldChar w:fldCharType="separate"/>
      </w:r>
      <w:r>
        <w:rPr>
          <w:color w:val="auto"/>
          <w:highlight w:val="none"/>
        </w:rPr>
        <w:t>40</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_Toc21888 </w:instrText>
      </w:r>
      <w:r>
        <w:rPr>
          <w:rFonts w:ascii="小标宋" w:eastAsia="小标宋"/>
          <w:color w:val="auto"/>
          <w:szCs w:val="44"/>
          <w:highlight w:val="none"/>
          <w:lang w:val="zh-CN"/>
        </w:rPr>
        <w:fldChar w:fldCharType="separate"/>
      </w:r>
      <w:r>
        <w:rPr>
          <w:rFonts w:hint="default" w:ascii="宋体" w:hAnsi="宋体" w:eastAsia="宋体" w:cs="宋体"/>
          <w:bCs/>
          <w:color w:val="auto"/>
          <w:w w:val="99"/>
          <w:szCs w:val="24"/>
          <w:highlight w:val="none"/>
          <w:lang w:val="zh-CN" w:eastAsia="zh-CN" w:bidi="zh-CN"/>
        </w:rPr>
        <w:t xml:space="preserve">9. </w:t>
      </w:r>
      <w:r>
        <w:rPr>
          <w:rFonts w:hint="eastAsia" w:ascii="宋体" w:hAnsi="宋体" w:eastAsia="宋体" w:cs="宋体"/>
          <w:color w:val="auto"/>
          <w:szCs w:val="24"/>
          <w:highlight w:val="none"/>
        </w:rPr>
        <w:t>纪律和监督</w:t>
      </w:r>
      <w:r>
        <w:rPr>
          <w:color w:val="auto"/>
          <w:highlight w:val="none"/>
        </w:rPr>
        <w:tab/>
      </w:r>
      <w:r>
        <w:rPr>
          <w:color w:val="auto"/>
          <w:highlight w:val="none"/>
        </w:rPr>
        <w:fldChar w:fldCharType="begin"/>
      </w:r>
      <w:r>
        <w:rPr>
          <w:color w:val="auto"/>
          <w:highlight w:val="none"/>
        </w:rPr>
        <w:instrText xml:space="preserve"> PAGEREF _Toc21888 \h </w:instrText>
      </w:r>
      <w:r>
        <w:rPr>
          <w:color w:val="auto"/>
          <w:highlight w:val="none"/>
        </w:rPr>
        <w:fldChar w:fldCharType="separate"/>
      </w:r>
      <w:r>
        <w:rPr>
          <w:color w:val="auto"/>
          <w:highlight w:val="none"/>
        </w:rPr>
        <w:t>41</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_Toc4518 </w:instrText>
      </w:r>
      <w:r>
        <w:rPr>
          <w:rFonts w:ascii="小标宋" w:eastAsia="小标宋"/>
          <w:color w:val="auto"/>
          <w:szCs w:val="44"/>
          <w:highlight w:val="none"/>
          <w:lang w:val="zh-CN"/>
        </w:rPr>
        <w:fldChar w:fldCharType="separate"/>
      </w:r>
      <w:r>
        <w:rPr>
          <w:rFonts w:hint="default" w:ascii="宋体" w:hAnsi="宋体" w:eastAsia="宋体" w:cs="宋体"/>
          <w:bCs/>
          <w:color w:val="auto"/>
          <w:w w:val="99"/>
          <w:szCs w:val="24"/>
          <w:highlight w:val="none"/>
          <w:lang w:val="zh-CN" w:eastAsia="zh-CN" w:bidi="zh-CN"/>
        </w:rPr>
        <w:t xml:space="preserve">10. </w:t>
      </w:r>
      <w:r>
        <w:rPr>
          <w:rFonts w:hint="eastAsia" w:ascii="宋体" w:hAnsi="宋体" w:eastAsia="宋体" w:cs="宋体"/>
          <w:color w:val="auto"/>
          <w:szCs w:val="24"/>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_Toc4518 \h </w:instrText>
      </w:r>
      <w:r>
        <w:rPr>
          <w:color w:val="auto"/>
          <w:highlight w:val="none"/>
        </w:rPr>
        <w:fldChar w:fldCharType="separate"/>
      </w:r>
      <w:r>
        <w:rPr>
          <w:color w:val="auto"/>
          <w:highlight w:val="none"/>
        </w:rPr>
        <w:t>41</w:t>
      </w:r>
      <w:r>
        <w:rPr>
          <w:color w:val="auto"/>
          <w:highlight w:val="none"/>
        </w:rPr>
        <w:fldChar w:fldCharType="end"/>
      </w:r>
      <w:r>
        <w:rPr>
          <w:rFonts w:ascii="小标宋" w:eastAsia="小标宋"/>
          <w:color w:val="auto"/>
          <w:szCs w:val="44"/>
          <w:highlight w:val="none"/>
          <w:lang w:val="zh-CN"/>
        </w:rPr>
        <w:fldChar w:fldCharType="end"/>
      </w:r>
    </w:p>
    <w:p>
      <w:pPr>
        <w:pStyle w:val="60"/>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_Toc2520 </w:instrText>
      </w:r>
      <w:r>
        <w:rPr>
          <w:rFonts w:ascii="小标宋" w:eastAsia="小标宋"/>
          <w:color w:val="auto"/>
          <w:szCs w:val="44"/>
          <w:highlight w:val="none"/>
          <w:lang w:val="zh-CN"/>
        </w:rPr>
        <w:fldChar w:fldCharType="separate"/>
      </w:r>
      <w:r>
        <w:rPr>
          <w:rFonts w:hint="eastAsia" w:ascii="宋体" w:hAnsi="宋体" w:cs="宋体"/>
          <w:bCs/>
          <w:color w:val="auto"/>
          <w:kern w:val="44"/>
          <w:szCs w:val="44"/>
          <w:highlight w:val="none"/>
        </w:rPr>
        <w:t>第三章 评标办法</w:t>
      </w:r>
      <w:r>
        <w:rPr>
          <w:color w:val="auto"/>
          <w:highlight w:val="none"/>
        </w:rPr>
        <w:tab/>
      </w:r>
      <w:r>
        <w:rPr>
          <w:color w:val="auto"/>
          <w:highlight w:val="none"/>
        </w:rPr>
        <w:fldChar w:fldCharType="begin"/>
      </w:r>
      <w:r>
        <w:rPr>
          <w:color w:val="auto"/>
          <w:highlight w:val="none"/>
        </w:rPr>
        <w:instrText xml:space="preserve"> PAGEREF _Toc2520 \h </w:instrText>
      </w:r>
      <w:r>
        <w:rPr>
          <w:color w:val="auto"/>
          <w:highlight w:val="none"/>
        </w:rPr>
        <w:fldChar w:fldCharType="separate"/>
      </w:r>
      <w:r>
        <w:rPr>
          <w:color w:val="auto"/>
          <w:highlight w:val="none"/>
        </w:rPr>
        <w:t>51</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_Toc27840 </w:instrText>
      </w:r>
      <w:r>
        <w:rPr>
          <w:rFonts w:ascii="小标宋" w:eastAsia="小标宋"/>
          <w:color w:val="auto"/>
          <w:szCs w:val="44"/>
          <w:highlight w:val="none"/>
          <w:lang w:val="zh-CN"/>
        </w:rPr>
        <w:fldChar w:fldCharType="separate"/>
      </w:r>
      <w:r>
        <w:rPr>
          <w:rFonts w:hint="eastAsia" w:ascii="宋体" w:hAnsi="宋体" w:cs="宋体"/>
          <w:color w:val="auto"/>
          <w:highlight w:val="none"/>
        </w:rPr>
        <w:t>一、 评标程序</w:t>
      </w:r>
      <w:r>
        <w:rPr>
          <w:color w:val="auto"/>
          <w:highlight w:val="none"/>
        </w:rPr>
        <w:tab/>
      </w:r>
      <w:r>
        <w:rPr>
          <w:color w:val="auto"/>
          <w:highlight w:val="none"/>
        </w:rPr>
        <w:fldChar w:fldCharType="begin"/>
      </w:r>
      <w:r>
        <w:rPr>
          <w:color w:val="auto"/>
          <w:highlight w:val="none"/>
        </w:rPr>
        <w:instrText xml:space="preserve"> PAGEREF _Toc27840 \h </w:instrText>
      </w:r>
      <w:r>
        <w:rPr>
          <w:color w:val="auto"/>
          <w:highlight w:val="none"/>
        </w:rPr>
        <w:fldChar w:fldCharType="separate"/>
      </w:r>
      <w:r>
        <w:rPr>
          <w:color w:val="auto"/>
          <w:highlight w:val="none"/>
        </w:rPr>
        <w:t>51</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_Toc11580 </w:instrText>
      </w:r>
      <w:r>
        <w:rPr>
          <w:rFonts w:ascii="小标宋" w:eastAsia="小标宋"/>
          <w:color w:val="auto"/>
          <w:szCs w:val="44"/>
          <w:highlight w:val="none"/>
          <w:lang w:val="zh-CN"/>
        </w:rPr>
        <w:fldChar w:fldCharType="separate"/>
      </w:r>
      <w:r>
        <w:rPr>
          <w:rFonts w:hint="eastAsia" w:ascii="宋体" w:hAnsi="宋体" w:cs="宋体"/>
          <w:color w:val="auto"/>
          <w:highlight w:val="none"/>
        </w:rPr>
        <w:t>二、 评审细则</w:t>
      </w:r>
      <w:r>
        <w:rPr>
          <w:color w:val="auto"/>
          <w:highlight w:val="none"/>
        </w:rPr>
        <w:tab/>
      </w:r>
      <w:r>
        <w:rPr>
          <w:color w:val="auto"/>
          <w:highlight w:val="none"/>
        </w:rPr>
        <w:fldChar w:fldCharType="begin"/>
      </w:r>
      <w:r>
        <w:rPr>
          <w:color w:val="auto"/>
          <w:highlight w:val="none"/>
        </w:rPr>
        <w:instrText xml:space="preserve"> PAGEREF _Toc11580 \h </w:instrText>
      </w:r>
      <w:r>
        <w:rPr>
          <w:color w:val="auto"/>
          <w:highlight w:val="none"/>
        </w:rPr>
        <w:fldChar w:fldCharType="separate"/>
      </w:r>
      <w:r>
        <w:rPr>
          <w:color w:val="auto"/>
          <w:highlight w:val="none"/>
        </w:rPr>
        <w:t>51</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_Toc3359 </w:instrText>
      </w:r>
      <w:r>
        <w:rPr>
          <w:rFonts w:ascii="小标宋" w:eastAsia="小标宋"/>
          <w:color w:val="auto"/>
          <w:szCs w:val="44"/>
          <w:highlight w:val="none"/>
          <w:lang w:val="zh-CN"/>
        </w:rPr>
        <w:fldChar w:fldCharType="separate"/>
      </w:r>
      <w:r>
        <w:rPr>
          <w:rFonts w:hint="eastAsia" w:ascii="宋体" w:hAnsi="宋体" w:cs="宋体"/>
          <w:color w:val="auto"/>
          <w:highlight w:val="none"/>
        </w:rPr>
        <w:t>（一）投标文件的符合性评审</w:t>
      </w:r>
      <w:r>
        <w:rPr>
          <w:color w:val="auto"/>
          <w:highlight w:val="none"/>
        </w:rPr>
        <w:tab/>
      </w:r>
      <w:r>
        <w:rPr>
          <w:color w:val="auto"/>
          <w:highlight w:val="none"/>
        </w:rPr>
        <w:fldChar w:fldCharType="begin"/>
      </w:r>
      <w:r>
        <w:rPr>
          <w:color w:val="auto"/>
          <w:highlight w:val="none"/>
        </w:rPr>
        <w:instrText xml:space="preserve"> PAGEREF _Toc3359 \h </w:instrText>
      </w:r>
      <w:r>
        <w:rPr>
          <w:color w:val="auto"/>
          <w:highlight w:val="none"/>
        </w:rPr>
        <w:fldChar w:fldCharType="separate"/>
      </w:r>
      <w:r>
        <w:rPr>
          <w:color w:val="auto"/>
          <w:highlight w:val="none"/>
        </w:rPr>
        <w:t>51</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_Toc12957 </w:instrText>
      </w:r>
      <w:r>
        <w:rPr>
          <w:rFonts w:ascii="小标宋" w:eastAsia="小标宋"/>
          <w:color w:val="auto"/>
          <w:szCs w:val="44"/>
          <w:highlight w:val="none"/>
          <w:lang w:val="zh-CN"/>
        </w:rPr>
        <w:fldChar w:fldCharType="separate"/>
      </w:r>
      <w:r>
        <w:rPr>
          <w:rFonts w:hint="eastAsia" w:ascii="宋体" w:hAnsi="宋体" w:cs="宋体"/>
          <w:color w:val="auto"/>
          <w:highlight w:val="none"/>
        </w:rPr>
        <w:t>（二）投标文件的技术标评审</w:t>
      </w:r>
      <w:r>
        <w:rPr>
          <w:color w:val="auto"/>
          <w:highlight w:val="none"/>
        </w:rPr>
        <w:tab/>
      </w:r>
      <w:r>
        <w:rPr>
          <w:color w:val="auto"/>
          <w:highlight w:val="none"/>
        </w:rPr>
        <w:fldChar w:fldCharType="begin"/>
      </w:r>
      <w:r>
        <w:rPr>
          <w:color w:val="auto"/>
          <w:highlight w:val="none"/>
        </w:rPr>
        <w:instrText xml:space="preserve"> PAGEREF _Toc12957 \h </w:instrText>
      </w:r>
      <w:r>
        <w:rPr>
          <w:color w:val="auto"/>
          <w:highlight w:val="none"/>
        </w:rPr>
        <w:fldChar w:fldCharType="separate"/>
      </w:r>
      <w:r>
        <w:rPr>
          <w:color w:val="auto"/>
          <w:highlight w:val="none"/>
        </w:rPr>
        <w:t>52</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_Toc14113 </w:instrText>
      </w:r>
      <w:r>
        <w:rPr>
          <w:rFonts w:ascii="小标宋" w:eastAsia="小标宋"/>
          <w:color w:val="auto"/>
          <w:szCs w:val="44"/>
          <w:highlight w:val="none"/>
          <w:lang w:val="zh-CN"/>
        </w:rPr>
        <w:fldChar w:fldCharType="separate"/>
      </w:r>
      <w:r>
        <w:rPr>
          <w:rFonts w:hint="eastAsia" w:ascii="宋体" w:hAnsi="宋体" w:cs="宋体"/>
          <w:color w:val="auto"/>
          <w:highlight w:val="none"/>
        </w:rPr>
        <w:t>（三）资信标评审（10分）</w:t>
      </w:r>
      <w:r>
        <w:rPr>
          <w:color w:val="auto"/>
          <w:highlight w:val="none"/>
        </w:rPr>
        <w:tab/>
      </w:r>
      <w:r>
        <w:rPr>
          <w:color w:val="auto"/>
          <w:highlight w:val="none"/>
        </w:rPr>
        <w:fldChar w:fldCharType="begin"/>
      </w:r>
      <w:r>
        <w:rPr>
          <w:color w:val="auto"/>
          <w:highlight w:val="none"/>
        </w:rPr>
        <w:instrText xml:space="preserve"> PAGEREF _Toc14113 \h </w:instrText>
      </w:r>
      <w:r>
        <w:rPr>
          <w:color w:val="auto"/>
          <w:highlight w:val="none"/>
        </w:rPr>
        <w:fldChar w:fldCharType="separate"/>
      </w:r>
      <w:r>
        <w:rPr>
          <w:color w:val="auto"/>
          <w:highlight w:val="none"/>
        </w:rPr>
        <w:t>53</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_Toc15692 </w:instrText>
      </w:r>
      <w:r>
        <w:rPr>
          <w:rFonts w:ascii="小标宋" w:eastAsia="小标宋"/>
          <w:color w:val="auto"/>
          <w:szCs w:val="44"/>
          <w:highlight w:val="none"/>
          <w:lang w:val="zh-CN"/>
        </w:rPr>
        <w:fldChar w:fldCharType="separate"/>
      </w:r>
      <w:r>
        <w:rPr>
          <w:rFonts w:hint="eastAsia" w:ascii="宋体" w:hAnsi="宋体" w:cs="宋体"/>
          <w:color w:val="auto"/>
          <w:highlight w:val="none"/>
        </w:rPr>
        <w:t>（四）商务标评审</w:t>
      </w:r>
      <w:r>
        <w:rPr>
          <w:color w:val="auto"/>
          <w:highlight w:val="none"/>
        </w:rPr>
        <w:tab/>
      </w:r>
      <w:r>
        <w:rPr>
          <w:color w:val="auto"/>
          <w:highlight w:val="none"/>
        </w:rPr>
        <w:fldChar w:fldCharType="begin"/>
      </w:r>
      <w:r>
        <w:rPr>
          <w:color w:val="auto"/>
          <w:highlight w:val="none"/>
        </w:rPr>
        <w:instrText xml:space="preserve"> PAGEREF _Toc15692 \h </w:instrText>
      </w:r>
      <w:r>
        <w:rPr>
          <w:color w:val="auto"/>
          <w:highlight w:val="none"/>
        </w:rPr>
        <w:fldChar w:fldCharType="separate"/>
      </w:r>
      <w:r>
        <w:rPr>
          <w:color w:val="auto"/>
          <w:highlight w:val="none"/>
        </w:rPr>
        <w:t>56</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_Toc22416 </w:instrText>
      </w:r>
      <w:r>
        <w:rPr>
          <w:rFonts w:ascii="小标宋" w:eastAsia="小标宋"/>
          <w:color w:val="auto"/>
          <w:szCs w:val="44"/>
          <w:highlight w:val="none"/>
          <w:lang w:val="zh-CN"/>
        </w:rPr>
        <w:fldChar w:fldCharType="separate"/>
      </w:r>
      <w:r>
        <w:rPr>
          <w:rFonts w:hint="eastAsia" w:ascii="宋体" w:hAnsi="宋体" w:cs="宋体"/>
          <w:color w:val="auto"/>
          <w:highlight w:val="none"/>
        </w:rPr>
        <w:t>（五）推荐中标候选人</w:t>
      </w:r>
      <w:r>
        <w:rPr>
          <w:color w:val="auto"/>
          <w:highlight w:val="none"/>
        </w:rPr>
        <w:tab/>
      </w:r>
      <w:r>
        <w:rPr>
          <w:color w:val="auto"/>
          <w:highlight w:val="none"/>
        </w:rPr>
        <w:fldChar w:fldCharType="begin"/>
      </w:r>
      <w:r>
        <w:rPr>
          <w:color w:val="auto"/>
          <w:highlight w:val="none"/>
        </w:rPr>
        <w:instrText xml:space="preserve"> PAGEREF _Toc22416 \h </w:instrText>
      </w:r>
      <w:r>
        <w:rPr>
          <w:color w:val="auto"/>
          <w:highlight w:val="none"/>
        </w:rPr>
        <w:fldChar w:fldCharType="separate"/>
      </w:r>
      <w:r>
        <w:rPr>
          <w:color w:val="auto"/>
          <w:highlight w:val="none"/>
        </w:rPr>
        <w:t>57</w:t>
      </w:r>
      <w:r>
        <w:rPr>
          <w:color w:val="auto"/>
          <w:highlight w:val="none"/>
        </w:rPr>
        <w:fldChar w:fldCharType="end"/>
      </w:r>
      <w:r>
        <w:rPr>
          <w:rFonts w:ascii="小标宋" w:eastAsia="小标宋"/>
          <w:color w:val="auto"/>
          <w:szCs w:val="44"/>
          <w:highlight w:val="none"/>
          <w:lang w:val="zh-CN"/>
        </w:rPr>
        <w:fldChar w:fldCharType="end"/>
      </w:r>
    </w:p>
    <w:p>
      <w:pPr>
        <w:pStyle w:val="60"/>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_Toc2728 </w:instrText>
      </w:r>
      <w:r>
        <w:rPr>
          <w:rFonts w:ascii="小标宋" w:eastAsia="小标宋"/>
          <w:color w:val="auto"/>
          <w:szCs w:val="44"/>
          <w:highlight w:val="none"/>
          <w:lang w:val="zh-CN"/>
        </w:rPr>
        <w:fldChar w:fldCharType="separate"/>
      </w:r>
      <w:r>
        <w:rPr>
          <w:rFonts w:hint="eastAsia" w:ascii="宋体" w:hAnsi="宋体" w:cs="宋体"/>
          <w:bCs/>
          <w:color w:val="auto"/>
          <w:kern w:val="44"/>
          <w:szCs w:val="44"/>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_Toc2728 \h </w:instrText>
      </w:r>
      <w:r>
        <w:rPr>
          <w:color w:val="auto"/>
          <w:highlight w:val="none"/>
        </w:rPr>
        <w:fldChar w:fldCharType="separate"/>
      </w:r>
      <w:r>
        <w:rPr>
          <w:color w:val="auto"/>
          <w:highlight w:val="none"/>
        </w:rPr>
        <w:t>58</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_Toc4901 </w:instrText>
      </w:r>
      <w:r>
        <w:rPr>
          <w:rFonts w:ascii="小标宋" w:eastAsia="小标宋"/>
          <w:color w:val="auto"/>
          <w:szCs w:val="44"/>
          <w:highlight w:val="none"/>
          <w:lang w:val="zh-CN"/>
        </w:rPr>
        <w:fldChar w:fldCharType="separate"/>
      </w:r>
      <w:r>
        <w:rPr>
          <w:rFonts w:hint="eastAsia" w:ascii="宋体" w:hAnsi="宋体" w:cs="宋体"/>
          <w:bCs/>
          <w:color w:val="auto"/>
          <w:kern w:val="44"/>
          <w:szCs w:val="36"/>
          <w:highlight w:val="none"/>
        </w:rPr>
        <w:t>第一部分 合同协议书</w:t>
      </w:r>
      <w:r>
        <w:rPr>
          <w:color w:val="auto"/>
          <w:highlight w:val="none"/>
        </w:rPr>
        <w:tab/>
      </w:r>
      <w:r>
        <w:rPr>
          <w:color w:val="auto"/>
          <w:highlight w:val="none"/>
        </w:rPr>
        <w:fldChar w:fldCharType="begin"/>
      </w:r>
      <w:r>
        <w:rPr>
          <w:color w:val="auto"/>
          <w:highlight w:val="none"/>
        </w:rPr>
        <w:instrText xml:space="preserve"> PAGEREF _Toc4901 \h </w:instrText>
      </w:r>
      <w:r>
        <w:rPr>
          <w:color w:val="auto"/>
          <w:highlight w:val="none"/>
        </w:rPr>
        <w:fldChar w:fldCharType="separate"/>
      </w:r>
      <w:r>
        <w:rPr>
          <w:color w:val="auto"/>
          <w:highlight w:val="none"/>
        </w:rPr>
        <w:t>59</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_Toc24074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一、工程概况</w:t>
      </w:r>
      <w:r>
        <w:rPr>
          <w:color w:val="auto"/>
          <w:highlight w:val="none"/>
        </w:rPr>
        <w:tab/>
      </w:r>
      <w:r>
        <w:rPr>
          <w:color w:val="auto"/>
          <w:highlight w:val="none"/>
        </w:rPr>
        <w:fldChar w:fldCharType="begin"/>
      </w:r>
      <w:r>
        <w:rPr>
          <w:color w:val="auto"/>
          <w:highlight w:val="none"/>
        </w:rPr>
        <w:instrText xml:space="preserve"> PAGEREF _Toc24074 \h </w:instrText>
      </w:r>
      <w:r>
        <w:rPr>
          <w:color w:val="auto"/>
          <w:highlight w:val="none"/>
        </w:rPr>
        <w:fldChar w:fldCharType="separate"/>
      </w:r>
      <w:r>
        <w:rPr>
          <w:color w:val="auto"/>
          <w:highlight w:val="none"/>
        </w:rPr>
        <w:t>59</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_Toc13112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二、合同工期</w:t>
      </w:r>
      <w:r>
        <w:rPr>
          <w:color w:val="auto"/>
          <w:highlight w:val="none"/>
        </w:rPr>
        <w:tab/>
      </w:r>
      <w:r>
        <w:rPr>
          <w:color w:val="auto"/>
          <w:highlight w:val="none"/>
        </w:rPr>
        <w:fldChar w:fldCharType="begin"/>
      </w:r>
      <w:r>
        <w:rPr>
          <w:color w:val="auto"/>
          <w:highlight w:val="none"/>
        </w:rPr>
        <w:instrText xml:space="preserve"> PAGEREF _Toc13112 \h </w:instrText>
      </w:r>
      <w:r>
        <w:rPr>
          <w:color w:val="auto"/>
          <w:highlight w:val="none"/>
        </w:rPr>
        <w:fldChar w:fldCharType="separate"/>
      </w:r>
      <w:r>
        <w:rPr>
          <w:color w:val="auto"/>
          <w:highlight w:val="none"/>
        </w:rPr>
        <w:t>60</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_Toc10571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三、质量标准</w:t>
      </w:r>
      <w:r>
        <w:rPr>
          <w:color w:val="auto"/>
          <w:highlight w:val="none"/>
        </w:rPr>
        <w:tab/>
      </w:r>
      <w:r>
        <w:rPr>
          <w:color w:val="auto"/>
          <w:highlight w:val="none"/>
        </w:rPr>
        <w:fldChar w:fldCharType="begin"/>
      </w:r>
      <w:r>
        <w:rPr>
          <w:color w:val="auto"/>
          <w:highlight w:val="none"/>
        </w:rPr>
        <w:instrText xml:space="preserve"> PAGEREF _Toc10571 \h </w:instrText>
      </w:r>
      <w:r>
        <w:rPr>
          <w:color w:val="auto"/>
          <w:highlight w:val="none"/>
        </w:rPr>
        <w:fldChar w:fldCharType="separate"/>
      </w:r>
      <w:r>
        <w:rPr>
          <w:color w:val="auto"/>
          <w:highlight w:val="none"/>
        </w:rPr>
        <w:t>61</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_Toc24750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四、签约合同价与合同价格形式</w:t>
      </w:r>
      <w:r>
        <w:rPr>
          <w:color w:val="auto"/>
          <w:highlight w:val="none"/>
        </w:rPr>
        <w:tab/>
      </w:r>
      <w:r>
        <w:rPr>
          <w:color w:val="auto"/>
          <w:highlight w:val="none"/>
        </w:rPr>
        <w:fldChar w:fldCharType="begin"/>
      </w:r>
      <w:r>
        <w:rPr>
          <w:color w:val="auto"/>
          <w:highlight w:val="none"/>
        </w:rPr>
        <w:instrText xml:space="preserve"> PAGEREF _Toc24750 \h </w:instrText>
      </w:r>
      <w:r>
        <w:rPr>
          <w:color w:val="auto"/>
          <w:highlight w:val="none"/>
        </w:rPr>
        <w:fldChar w:fldCharType="separate"/>
      </w:r>
      <w:r>
        <w:rPr>
          <w:color w:val="auto"/>
          <w:highlight w:val="none"/>
        </w:rPr>
        <w:t>61</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_Toc15967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五、工程总承包项目经理</w:t>
      </w:r>
      <w:r>
        <w:rPr>
          <w:color w:val="auto"/>
          <w:highlight w:val="none"/>
        </w:rPr>
        <w:tab/>
      </w:r>
      <w:r>
        <w:rPr>
          <w:color w:val="auto"/>
          <w:highlight w:val="none"/>
        </w:rPr>
        <w:fldChar w:fldCharType="begin"/>
      </w:r>
      <w:r>
        <w:rPr>
          <w:color w:val="auto"/>
          <w:highlight w:val="none"/>
        </w:rPr>
        <w:instrText xml:space="preserve"> PAGEREF _Toc15967 \h </w:instrText>
      </w:r>
      <w:r>
        <w:rPr>
          <w:color w:val="auto"/>
          <w:highlight w:val="none"/>
        </w:rPr>
        <w:fldChar w:fldCharType="separate"/>
      </w:r>
      <w:r>
        <w:rPr>
          <w:color w:val="auto"/>
          <w:highlight w:val="none"/>
        </w:rPr>
        <w:t>62</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_Toc26541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六、合同文件构成</w:t>
      </w:r>
      <w:r>
        <w:rPr>
          <w:color w:val="auto"/>
          <w:highlight w:val="none"/>
        </w:rPr>
        <w:tab/>
      </w:r>
      <w:r>
        <w:rPr>
          <w:color w:val="auto"/>
          <w:highlight w:val="none"/>
        </w:rPr>
        <w:fldChar w:fldCharType="begin"/>
      </w:r>
      <w:r>
        <w:rPr>
          <w:color w:val="auto"/>
          <w:highlight w:val="none"/>
        </w:rPr>
        <w:instrText xml:space="preserve"> PAGEREF _Toc26541 \h </w:instrText>
      </w:r>
      <w:r>
        <w:rPr>
          <w:color w:val="auto"/>
          <w:highlight w:val="none"/>
        </w:rPr>
        <w:fldChar w:fldCharType="separate"/>
      </w:r>
      <w:r>
        <w:rPr>
          <w:color w:val="auto"/>
          <w:highlight w:val="none"/>
        </w:rPr>
        <w:t>62</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_Toc31444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七、承诺</w:t>
      </w:r>
      <w:r>
        <w:rPr>
          <w:color w:val="auto"/>
          <w:highlight w:val="none"/>
        </w:rPr>
        <w:tab/>
      </w:r>
      <w:r>
        <w:rPr>
          <w:color w:val="auto"/>
          <w:highlight w:val="none"/>
        </w:rPr>
        <w:fldChar w:fldCharType="begin"/>
      </w:r>
      <w:r>
        <w:rPr>
          <w:color w:val="auto"/>
          <w:highlight w:val="none"/>
        </w:rPr>
        <w:instrText xml:space="preserve"> PAGEREF _Toc31444 \h </w:instrText>
      </w:r>
      <w:r>
        <w:rPr>
          <w:color w:val="auto"/>
          <w:highlight w:val="none"/>
        </w:rPr>
        <w:fldChar w:fldCharType="separate"/>
      </w:r>
      <w:r>
        <w:rPr>
          <w:color w:val="auto"/>
          <w:highlight w:val="none"/>
        </w:rPr>
        <w:t>63</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_Toc20894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八、订立时间</w:t>
      </w:r>
      <w:r>
        <w:rPr>
          <w:color w:val="auto"/>
          <w:highlight w:val="none"/>
        </w:rPr>
        <w:tab/>
      </w:r>
      <w:r>
        <w:rPr>
          <w:color w:val="auto"/>
          <w:highlight w:val="none"/>
        </w:rPr>
        <w:fldChar w:fldCharType="begin"/>
      </w:r>
      <w:r>
        <w:rPr>
          <w:color w:val="auto"/>
          <w:highlight w:val="none"/>
        </w:rPr>
        <w:instrText xml:space="preserve"> PAGEREF _Toc20894 \h </w:instrText>
      </w:r>
      <w:r>
        <w:rPr>
          <w:color w:val="auto"/>
          <w:highlight w:val="none"/>
        </w:rPr>
        <w:fldChar w:fldCharType="separate"/>
      </w:r>
      <w:r>
        <w:rPr>
          <w:color w:val="auto"/>
          <w:highlight w:val="none"/>
        </w:rPr>
        <w:t>63</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_Toc9269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九、订立地点</w:t>
      </w:r>
      <w:r>
        <w:rPr>
          <w:color w:val="auto"/>
          <w:highlight w:val="none"/>
        </w:rPr>
        <w:tab/>
      </w:r>
      <w:r>
        <w:rPr>
          <w:color w:val="auto"/>
          <w:highlight w:val="none"/>
        </w:rPr>
        <w:fldChar w:fldCharType="begin"/>
      </w:r>
      <w:r>
        <w:rPr>
          <w:color w:val="auto"/>
          <w:highlight w:val="none"/>
        </w:rPr>
        <w:instrText xml:space="preserve"> PAGEREF _Toc9269 \h </w:instrText>
      </w:r>
      <w:r>
        <w:rPr>
          <w:color w:val="auto"/>
          <w:highlight w:val="none"/>
        </w:rPr>
        <w:fldChar w:fldCharType="separate"/>
      </w:r>
      <w:r>
        <w:rPr>
          <w:color w:val="auto"/>
          <w:highlight w:val="none"/>
        </w:rPr>
        <w:t>63</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_Toc20606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十、合同生效</w:t>
      </w:r>
      <w:r>
        <w:rPr>
          <w:color w:val="auto"/>
          <w:highlight w:val="none"/>
        </w:rPr>
        <w:tab/>
      </w:r>
      <w:r>
        <w:rPr>
          <w:color w:val="auto"/>
          <w:highlight w:val="none"/>
        </w:rPr>
        <w:fldChar w:fldCharType="begin"/>
      </w:r>
      <w:r>
        <w:rPr>
          <w:color w:val="auto"/>
          <w:highlight w:val="none"/>
        </w:rPr>
        <w:instrText xml:space="preserve"> PAGEREF _Toc20606 \h </w:instrText>
      </w:r>
      <w:r>
        <w:rPr>
          <w:color w:val="auto"/>
          <w:highlight w:val="none"/>
        </w:rPr>
        <w:fldChar w:fldCharType="separate"/>
      </w:r>
      <w:r>
        <w:rPr>
          <w:color w:val="auto"/>
          <w:highlight w:val="none"/>
        </w:rPr>
        <w:t>63</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_Toc9382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十一、合同份数</w:t>
      </w:r>
      <w:r>
        <w:rPr>
          <w:color w:val="auto"/>
          <w:highlight w:val="none"/>
        </w:rPr>
        <w:tab/>
      </w:r>
      <w:r>
        <w:rPr>
          <w:color w:val="auto"/>
          <w:highlight w:val="none"/>
        </w:rPr>
        <w:fldChar w:fldCharType="begin"/>
      </w:r>
      <w:r>
        <w:rPr>
          <w:color w:val="auto"/>
          <w:highlight w:val="none"/>
        </w:rPr>
        <w:instrText xml:space="preserve"> PAGEREF _Toc9382 \h </w:instrText>
      </w:r>
      <w:r>
        <w:rPr>
          <w:color w:val="auto"/>
          <w:highlight w:val="none"/>
        </w:rPr>
        <w:fldChar w:fldCharType="separate"/>
      </w:r>
      <w:r>
        <w:rPr>
          <w:color w:val="auto"/>
          <w:highlight w:val="none"/>
        </w:rPr>
        <w:t>63</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_Toc3480 </w:instrText>
      </w:r>
      <w:r>
        <w:rPr>
          <w:rFonts w:ascii="小标宋" w:eastAsia="小标宋"/>
          <w:color w:val="auto"/>
          <w:szCs w:val="44"/>
          <w:highlight w:val="none"/>
          <w:lang w:val="zh-CN"/>
        </w:rPr>
        <w:fldChar w:fldCharType="separate"/>
      </w:r>
      <w:r>
        <w:rPr>
          <w:rFonts w:hint="eastAsia" w:ascii="宋体" w:hAnsi="宋体" w:cs="宋体"/>
          <w:bCs/>
          <w:color w:val="auto"/>
          <w:kern w:val="44"/>
          <w:szCs w:val="36"/>
          <w:highlight w:val="none"/>
        </w:rPr>
        <w:t>第二部分 通用合同条件</w:t>
      </w:r>
      <w:r>
        <w:rPr>
          <w:color w:val="auto"/>
          <w:highlight w:val="none"/>
        </w:rPr>
        <w:tab/>
      </w:r>
      <w:r>
        <w:rPr>
          <w:color w:val="auto"/>
          <w:highlight w:val="none"/>
        </w:rPr>
        <w:fldChar w:fldCharType="begin"/>
      </w:r>
      <w:r>
        <w:rPr>
          <w:color w:val="auto"/>
          <w:highlight w:val="none"/>
        </w:rPr>
        <w:instrText xml:space="preserve"> PAGEREF _Toc3480 \h </w:instrText>
      </w:r>
      <w:r>
        <w:rPr>
          <w:color w:val="auto"/>
          <w:highlight w:val="none"/>
        </w:rPr>
        <w:fldChar w:fldCharType="separate"/>
      </w:r>
      <w:r>
        <w:rPr>
          <w:color w:val="auto"/>
          <w:highlight w:val="none"/>
        </w:rPr>
        <w:t>64</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_Toc4399 </w:instrText>
      </w:r>
      <w:r>
        <w:rPr>
          <w:rFonts w:ascii="小标宋" w:eastAsia="小标宋"/>
          <w:color w:val="auto"/>
          <w:szCs w:val="44"/>
          <w:highlight w:val="none"/>
          <w:lang w:val="zh-CN"/>
        </w:rPr>
        <w:fldChar w:fldCharType="separate"/>
      </w:r>
      <w:r>
        <w:rPr>
          <w:rFonts w:hint="eastAsia"/>
          <w:bCs/>
          <w:color w:val="auto"/>
          <w:szCs w:val="32"/>
          <w:highlight w:val="none"/>
        </w:rPr>
        <w:t>（略）</w:t>
      </w:r>
      <w:r>
        <w:rPr>
          <w:color w:val="auto"/>
          <w:highlight w:val="none"/>
        </w:rPr>
        <w:tab/>
      </w:r>
      <w:r>
        <w:rPr>
          <w:color w:val="auto"/>
          <w:highlight w:val="none"/>
        </w:rPr>
        <w:fldChar w:fldCharType="begin"/>
      </w:r>
      <w:r>
        <w:rPr>
          <w:color w:val="auto"/>
          <w:highlight w:val="none"/>
        </w:rPr>
        <w:instrText xml:space="preserve"> PAGEREF _Toc4399 \h </w:instrText>
      </w:r>
      <w:r>
        <w:rPr>
          <w:color w:val="auto"/>
          <w:highlight w:val="none"/>
        </w:rPr>
        <w:fldChar w:fldCharType="separate"/>
      </w:r>
      <w:r>
        <w:rPr>
          <w:color w:val="auto"/>
          <w:highlight w:val="none"/>
        </w:rPr>
        <w:t>64</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_Toc16150 </w:instrText>
      </w:r>
      <w:r>
        <w:rPr>
          <w:rFonts w:ascii="小标宋" w:eastAsia="小标宋"/>
          <w:color w:val="auto"/>
          <w:szCs w:val="44"/>
          <w:highlight w:val="none"/>
          <w:lang w:val="zh-CN"/>
        </w:rPr>
        <w:fldChar w:fldCharType="separate"/>
      </w:r>
      <w:r>
        <w:rPr>
          <w:rFonts w:hint="eastAsia"/>
          <w:bCs/>
          <w:color w:val="auto"/>
          <w:szCs w:val="32"/>
          <w:highlight w:val="none"/>
        </w:rPr>
        <w:t>详见《建设项目工程总承包合同示范文本》（GF-2020-0216）</w:t>
      </w:r>
      <w:r>
        <w:rPr>
          <w:color w:val="auto"/>
          <w:highlight w:val="none"/>
        </w:rPr>
        <w:tab/>
      </w:r>
      <w:r>
        <w:rPr>
          <w:color w:val="auto"/>
          <w:highlight w:val="none"/>
        </w:rPr>
        <w:fldChar w:fldCharType="begin"/>
      </w:r>
      <w:r>
        <w:rPr>
          <w:color w:val="auto"/>
          <w:highlight w:val="none"/>
        </w:rPr>
        <w:instrText xml:space="preserve"> PAGEREF _Toc16150 \h </w:instrText>
      </w:r>
      <w:r>
        <w:rPr>
          <w:color w:val="auto"/>
          <w:highlight w:val="none"/>
        </w:rPr>
        <w:fldChar w:fldCharType="separate"/>
      </w:r>
      <w:r>
        <w:rPr>
          <w:color w:val="auto"/>
          <w:highlight w:val="none"/>
        </w:rPr>
        <w:t>64</w:t>
      </w:r>
      <w:r>
        <w:rPr>
          <w:color w:val="auto"/>
          <w:highlight w:val="none"/>
        </w:rPr>
        <w:fldChar w:fldCharType="end"/>
      </w:r>
      <w:r>
        <w:rPr>
          <w:rFonts w:ascii="小标宋" w:eastAsia="小标宋"/>
          <w:color w:val="auto"/>
          <w:szCs w:val="44"/>
          <w:highlight w:val="none"/>
          <w:lang w:val="zh-CN"/>
        </w:rPr>
        <w:fldChar w:fldCharType="end"/>
      </w:r>
    </w:p>
    <w:p>
      <w:pPr>
        <w:pStyle w:val="60"/>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_Toc28559 </w:instrText>
      </w:r>
      <w:r>
        <w:rPr>
          <w:rFonts w:ascii="小标宋" w:eastAsia="小标宋"/>
          <w:color w:val="auto"/>
          <w:szCs w:val="44"/>
          <w:highlight w:val="none"/>
          <w:lang w:val="zh-CN"/>
        </w:rPr>
        <w:fldChar w:fldCharType="separate"/>
      </w:r>
      <w:r>
        <w:rPr>
          <w:rFonts w:hint="eastAsia" w:ascii="宋体" w:hAnsi="宋体" w:cs="宋体"/>
          <w:color w:val="auto"/>
          <w:kern w:val="44"/>
          <w:szCs w:val="36"/>
          <w:highlight w:val="none"/>
        </w:rPr>
        <w:t>第三部分 专用合同条件</w:t>
      </w:r>
      <w:r>
        <w:rPr>
          <w:color w:val="auto"/>
          <w:highlight w:val="none"/>
        </w:rPr>
        <w:tab/>
      </w:r>
      <w:r>
        <w:rPr>
          <w:color w:val="auto"/>
          <w:highlight w:val="none"/>
        </w:rPr>
        <w:fldChar w:fldCharType="begin"/>
      </w:r>
      <w:r>
        <w:rPr>
          <w:color w:val="auto"/>
          <w:highlight w:val="none"/>
        </w:rPr>
        <w:instrText xml:space="preserve"> PAGEREF _Toc28559 \h </w:instrText>
      </w:r>
      <w:r>
        <w:rPr>
          <w:color w:val="auto"/>
          <w:highlight w:val="none"/>
        </w:rPr>
        <w:fldChar w:fldCharType="separate"/>
      </w:r>
      <w:r>
        <w:rPr>
          <w:color w:val="auto"/>
          <w:highlight w:val="none"/>
        </w:rPr>
        <w:t>64</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_Toc17162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1条</w:t>
      </w:r>
      <w:r>
        <w:rPr>
          <w:rFonts w:hint="eastAsia" w:ascii="黑体" w:hAnsi="黑体" w:eastAsia="黑体"/>
          <w:color w:val="auto"/>
          <w:szCs w:val="28"/>
          <w:highlight w:val="none"/>
        </w:rPr>
        <w:t xml:space="preserve"> 一般约定</w:t>
      </w:r>
      <w:r>
        <w:rPr>
          <w:color w:val="auto"/>
          <w:highlight w:val="none"/>
        </w:rPr>
        <w:tab/>
      </w:r>
      <w:r>
        <w:rPr>
          <w:color w:val="auto"/>
          <w:highlight w:val="none"/>
        </w:rPr>
        <w:fldChar w:fldCharType="begin"/>
      </w:r>
      <w:r>
        <w:rPr>
          <w:color w:val="auto"/>
          <w:highlight w:val="none"/>
        </w:rPr>
        <w:instrText xml:space="preserve"> PAGEREF _Toc17162 \h </w:instrText>
      </w:r>
      <w:r>
        <w:rPr>
          <w:color w:val="auto"/>
          <w:highlight w:val="none"/>
        </w:rPr>
        <w:fldChar w:fldCharType="separate"/>
      </w:r>
      <w:r>
        <w:rPr>
          <w:color w:val="auto"/>
          <w:highlight w:val="none"/>
        </w:rPr>
        <w:t>64</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_Toc8087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2条</w:t>
      </w:r>
      <w:r>
        <w:rPr>
          <w:rFonts w:hint="eastAsia" w:ascii="黑体" w:hAnsi="黑体" w:eastAsia="黑体"/>
          <w:color w:val="auto"/>
          <w:szCs w:val="28"/>
          <w:highlight w:val="none"/>
        </w:rPr>
        <w:t xml:space="preserve"> 发包人</w:t>
      </w:r>
      <w:r>
        <w:rPr>
          <w:color w:val="auto"/>
          <w:highlight w:val="none"/>
        </w:rPr>
        <w:tab/>
      </w:r>
      <w:r>
        <w:rPr>
          <w:color w:val="auto"/>
          <w:highlight w:val="none"/>
        </w:rPr>
        <w:fldChar w:fldCharType="begin"/>
      </w:r>
      <w:r>
        <w:rPr>
          <w:color w:val="auto"/>
          <w:highlight w:val="none"/>
        </w:rPr>
        <w:instrText xml:space="preserve"> PAGEREF _Toc8087 \h </w:instrText>
      </w:r>
      <w:r>
        <w:rPr>
          <w:color w:val="auto"/>
          <w:highlight w:val="none"/>
        </w:rPr>
        <w:fldChar w:fldCharType="separate"/>
      </w:r>
      <w:r>
        <w:rPr>
          <w:color w:val="auto"/>
          <w:highlight w:val="none"/>
        </w:rPr>
        <w:t>66</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_Toc13283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3条</w:t>
      </w:r>
      <w:r>
        <w:rPr>
          <w:rFonts w:hint="eastAsia" w:ascii="黑体" w:hAnsi="黑体" w:eastAsia="黑体"/>
          <w:color w:val="auto"/>
          <w:szCs w:val="28"/>
          <w:highlight w:val="none"/>
        </w:rPr>
        <w:t xml:space="preserve"> 发包人的管理</w:t>
      </w:r>
      <w:r>
        <w:rPr>
          <w:color w:val="auto"/>
          <w:highlight w:val="none"/>
        </w:rPr>
        <w:tab/>
      </w:r>
      <w:r>
        <w:rPr>
          <w:color w:val="auto"/>
          <w:highlight w:val="none"/>
        </w:rPr>
        <w:fldChar w:fldCharType="begin"/>
      </w:r>
      <w:r>
        <w:rPr>
          <w:color w:val="auto"/>
          <w:highlight w:val="none"/>
        </w:rPr>
        <w:instrText xml:space="preserve"> PAGEREF _Toc13283 \h </w:instrText>
      </w:r>
      <w:r>
        <w:rPr>
          <w:color w:val="auto"/>
          <w:highlight w:val="none"/>
        </w:rPr>
        <w:fldChar w:fldCharType="separate"/>
      </w:r>
      <w:r>
        <w:rPr>
          <w:color w:val="auto"/>
          <w:highlight w:val="none"/>
        </w:rPr>
        <w:t>67</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_Toc11349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第4条 承包人</w:t>
      </w:r>
      <w:r>
        <w:rPr>
          <w:color w:val="auto"/>
          <w:highlight w:val="none"/>
        </w:rPr>
        <w:tab/>
      </w:r>
      <w:r>
        <w:rPr>
          <w:color w:val="auto"/>
          <w:highlight w:val="none"/>
        </w:rPr>
        <w:fldChar w:fldCharType="begin"/>
      </w:r>
      <w:r>
        <w:rPr>
          <w:color w:val="auto"/>
          <w:highlight w:val="none"/>
        </w:rPr>
        <w:instrText xml:space="preserve"> PAGEREF _Toc11349 \h </w:instrText>
      </w:r>
      <w:r>
        <w:rPr>
          <w:color w:val="auto"/>
          <w:highlight w:val="none"/>
        </w:rPr>
        <w:fldChar w:fldCharType="separate"/>
      </w:r>
      <w:r>
        <w:rPr>
          <w:color w:val="auto"/>
          <w:highlight w:val="none"/>
        </w:rPr>
        <w:t>69</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_Toc18795 </w:instrText>
      </w:r>
      <w:r>
        <w:rPr>
          <w:rFonts w:ascii="小标宋" w:eastAsia="小标宋"/>
          <w:color w:val="auto"/>
          <w:szCs w:val="44"/>
          <w:highlight w:val="none"/>
          <w:lang w:val="zh-CN"/>
        </w:rPr>
        <w:fldChar w:fldCharType="separate"/>
      </w:r>
      <w:r>
        <w:rPr>
          <w:rFonts w:hint="eastAsia" w:ascii="黑体" w:hAnsi="黑体" w:eastAsia="黑体" w:cs="Times"/>
          <w:bCs/>
          <w:color w:val="auto"/>
          <w:szCs w:val="28"/>
          <w:highlight w:val="none"/>
        </w:rPr>
        <w:t>第5条  设计</w:t>
      </w:r>
      <w:r>
        <w:rPr>
          <w:color w:val="auto"/>
          <w:highlight w:val="none"/>
        </w:rPr>
        <w:tab/>
      </w:r>
      <w:r>
        <w:rPr>
          <w:color w:val="auto"/>
          <w:highlight w:val="none"/>
        </w:rPr>
        <w:fldChar w:fldCharType="begin"/>
      </w:r>
      <w:r>
        <w:rPr>
          <w:color w:val="auto"/>
          <w:highlight w:val="none"/>
        </w:rPr>
        <w:instrText xml:space="preserve"> PAGEREF _Toc18795 \h </w:instrText>
      </w:r>
      <w:r>
        <w:rPr>
          <w:color w:val="auto"/>
          <w:highlight w:val="none"/>
        </w:rPr>
        <w:fldChar w:fldCharType="separate"/>
      </w:r>
      <w:r>
        <w:rPr>
          <w:color w:val="auto"/>
          <w:highlight w:val="none"/>
        </w:rPr>
        <w:t>75</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_Toc11160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6条</w:t>
      </w:r>
      <w:r>
        <w:rPr>
          <w:rFonts w:hint="eastAsia" w:ascii="黑体" w:hAnsi="黑体" w:eastAsia="黑体"/>
          <w:color w:val="auto"/>
          <w:szCs w:val="28"/>
          <w:highlight w:val="none"/>
        </w:rPr>
        <w:t xml:space="preserve"> 材料、工程设备</w:t>
      </w:r>
      <w:r>
        <w:rPr>
          <w:color w:val="auto"/>
          <w:highlight w:val="none"/>
        </w:rPr>
        <w:tab/>
      </w:r>
      <w:r>
        <w:rPr>
          <w:color w:val="auto"/>
          <w:highlight w:val="none"/>
        </w:rPr>
        <w:fldChar w:fldCharType="begin"/>
      </w:r>
      <w:r>
        <w:rPr>
          <w:color w:val="auto"/>
          <w:highlight w:val="none"/>
        </w:rPr>
        <w:instrText xml:space="preserve"> PAGEREF _Toc11160 \h </w:instrText>
      </w:r>
      <w:r>
        <w:rPr>
          <w:color w:val="auto"/>
          <w:highlight w:val="none"/>
        </w:rPr>
        <w:fldChar w:fldCharType="separate"/>
      </w:r>
      <w:r>
        <w:rPr>
          <w:color w:val="auto"/>
          <w:highlight w:val="none"/>
        </w:rPr>
        <w:t>77</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_Toc12984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7条</w:t>
      </w:r>
      <w:r>
        <w:rPr>
          <w:rFonts w:hint="eastAsia" w:ascii="黑体" w:hAnsi="黑体" w:eastAsia="黑体"/>
          <w:color w:val="auto"/>
          <w:szCs w:val="28"/>
          <w:highlight w:val="none"/>
        </w:rPr>
        <w:t xml:space="preserve"> 施工</w:t>
      </w:r>
      <w:r>
        <w:rPr>
          <w:color w:val="auto"/>
          <w:highlight w:val="none"/>
        </w:rPr>
        <w:tab/>
      </w:r>
      <w:r>
        <w:rPr>
          <w:color w:val="auto"/>
          <w:highlight w:val="none"/>
        </w:rPr>
        <w:fldChar w:fldCharType="begin"/>
      </w:r>
      <w:r>
        <w:rPr>
          <w:color w:val="auto"/>
          <w:highlight w:val="none"/>
        </w:rPr>
        <w:instrText xml:space="preserve"> PAGEREF _Toc12984 \h </w:instrText>
      </w:r>
      <w:r>
        <w:rPr>
          <w:color w:val="auto"/>
          <w:highlight w:val="none"/>
        </w:rPr>
        <w:fldChar w:fldCharType="separate"/>
      </w:r>
      <w:r>
        <w:rPr>
          <w:color w:val="auto"/>
          <w:highlight w:val="none"/>
        </w:rPr>
        <w:t>81</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_Toc18066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8条</w:t>
      </w:r>
      <w:r>
        <w:rPr>
          <w:rFonts w:hint="eastAsia" w:ascii="黑体" w:hAnsi="黑体" w:eastAsia="黑体"/>
          <w:color w:val="auto"/>
          <w:szCs w:val="28"/>
          <w:highlight w:val="none"/>
        </w:rPr>
        <w:t xml:space="preserve"> 工期和进度</w:t>
      </w:r>
      <w:r>
        <w:rPr>
          <w:color w:val="auto"/>
          <w:highlight w:val="none"/>
        </w:rPr>
        <w:tab/>
      </w:r>
      <w:r>
        <w:rPr>
          <w:color w:val="auto"/>
          <w:highlight w:val="none"/>
        </w:rPr>
        <w:fldChar w:fldCharType="begin"/>
      </w:r>
      <w:r>
        <w:rPr>
          <w:color w:val="auto"/>
          <w:highlight w:val="none"/>
        </w:rPr>
        <w:instrText xml:space="preserve"> PAGEREF _Toc18066 \h </w:instrText>
      </w:r>
      <w:r>
        <w:rPr>
          <w:color w:val="auto"/>
          <w:highlight w:val="none"/>
        </w:rPr>
        <w:fldChar w:fldCharType="separate"/>
      </w:r>
      <w:r>
        <w:rPr>
          <w:color w:val="auto"/>
          <w:highlight w:val="none"/>
        </w:rPr>
        <w:t>83</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_Toc14529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9条</w:t>
      </w:r>
      <w:r>
        <w:rPr>
          <w:rFonts w:hint="eastAsia" w:ascii="黑体" w:hAnsi="黑体" w:eastAsia="黑体"/>
          <w:color w:val="auto"/>
          <w:szCs w:val="28"/>
          <w:highlight w:val="none"/>
        </w:rPr>
        <w:t xml:space="preserve"> 竣工试验</w:t>
      </w:r>
      <w:r>
        <w:rPr>
          <w:color w:val="auto"/>
          <w:highlight w:val="none"/>
        </w:rPr>
        <w:tab/>
      </w:r>
      <w:r>
        <w:rPr>
          <w:color w:val="auto"/>
          <w:highlight w:val="none"/>
        </w:rPr>
        <w:fldChar w:fldCharType="begin"/>
      </w:r>
      <w:r>
        <w:rPr>
          <w:color w:val="auto"/>
          <w:highlight w:val="none"/>
        </w:rPr>
        <w:instrText xml:space="preserve"> PAGEREF _Toc14529 \h </w:instrText>
      </w:r>
      <w:r>
        <w:rPr>
          <w:color w:val="auto"/>
          <w:highlight w:val="none"/>
        </w:rPr>
        <w:fldChar w:fldCharType="separate"/>
      </w:r>
      <w:r>
        <w:rPr>
          <w:color w:val="auto"/>
          <w:highlight w:val="none"/>
        </w:rPr>
        <w:t>85</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_Toc7341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10条</w:t>
      </w:r>
      <w:r>
        <w:rPr>
          <w:rFonts w:hint="eastAsia" w:ascii="黑体" w:hAnsi="黑体" w:eastAsia="黑体"/>
          <w:color w:val="auto"/>
          <w:szCs w:val="28"/>
          <w:highlight w:val="none"/>
        </w:rPr>
        <w:t xml:space="preserve"> 验收和工程接收</w:t>
      </w:r>
      <w:r>
        <w:rPr>
          <w:color w:val="auto"/>
          <w:highlight w:val="none"/>
        </w:rPr>
        <w:tab/>
      </w:r>
      <w:r>
        <w:rPr>
          <w:color w:val="auto"/>
          <w:highlight w:val="none"/>
        </w:rPr>
        <w:fldChar w:fldCharType="begin"/>
      </w:r>
      <w:r>
        <w:rPr>
          <w:color w:val="auto"/>
          <w:highlight w:val="none"/>
        </w:rPr>
        <w:instrText xml:space="preserve"> PAGEREF _Toc7341 \h </w:instrText>
      </w:r>
      <w:r>
        <w:rPr>
          <w:color w:val="auto"/>
          <w:highlight w:val="none"/>
        </w:rPr>
        <w:fldChar w:fldCharType="separate"/>
      </w:r>
      <w:r>
        <w:rPr>
          <w:color w:val="auto"/>
          <w:highlight w:val="none"/>
        </w:rPr>
        <w:t>85</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_Toc13936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11条</w:t>
      </w:r>
      <w:r>
        <w:rPr>
          <w:rFonts w:hint="eastAsia" w:ascii="黑体" w:hAnsi="黑体" w:eastAsia="黑体"/>
          <w:color w:val="auto"/>
          <w:szCs w:val="28"/>
          <w:highlight w:val="none"/>
        </w:rPr>
        <w:t xml:space="preserve"> 缺陷责任与保修</w:t>
      </w:r>
      <w:r>
        <w:rPr>
          <w:color w:val="auto"/>
          <w:highlight w:val="none"/>
        </w:rPr>
        <w:tab/>
      </w:r>
      <w:r>
        <w:rPr>
          <w:color w:val="auto"/>
          <w:highlight w:val="none"/>
        </w:rPr>
        <w:fldChar w:fldCharType="begin"/>
      </w:r>
      <w:r>
        <w:rPr>
          <w:color w:val="auto"/>
          <w:highlight w:val="none"/>
        </w:rPr>
        <w:instrText xml:space="preserve"> PAGEREF _Toc13936 \h </w:instrText>
      </w:r>
      <w:r>
        <w:rPr>
          <w:color w:val="auto"/>
          <w:highlight w:val="none"/>
        </w:rPr>
        <w:fldChar w:fldCharType="separate"/>
      </w:r>
      <w:r>
        <w:rPr>
          <w:color w:val="auto"/>
          <w:highlight w:val="none"/>
        </w:rPr>
        <w:t>86</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_Toc31170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12条</w:t>
      </w:r>
      <w:r>
        <w:rPr>
          <w:rFonts w:hint="eastAsia" w:ascii="黑体" w:hAnsi="黑体" w:eastAsia="黑体"/>
          <w:color w:val="auto"/>
          <w:szCs w:val="28"/>
          <w:highlight w:val="none"/>
        </w:rPr>
        <w:t xml:space="preserve"> 竣工后试验</w:t>
      </w:r>
      <w:r>
        <w:rPr>
          <w:color w:val="auto"/>
          <w:highlight w:val="none"/>
        </w:rPr>
        <w:tab/>
      </w:r>
      <w:r>
        <w:rPr>
          <w:color w:val="auto"/>
          <w:highlight w:val="none"/>
        </w:rPr>
        <w:fldChar w:fldCharType="begin"/>
      </w:r>
      <w:r>
        <w:rPr>
          <w:color w:val="auto"/>
          <w:highlight w:val="none"/>
        </w:rPr>
        <w:instrText xml:space="preserve"> PAGEREF _Toc31170 \h </w:instrText>
      </w:r>
      <w:r>
        <w:rPr>
          <w:color w:val="auto"/>
          <w:highlight w:val="none"/>
        </w:rPr>
        <w:fldChar w:fldCharType="separate"/>
      </w:r>
      <w:r>
        <w:rPr>
          <w:color w:val="auto"/>
          <w:highlight w:val="none"/>
        </w:rPr>
        <w:t>87</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_Toc6759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13条</w:t>
      </w:r>
      <w:r>
        <w:rPr>
          <w:rFonts w:hint="eastAsia" w:ascii="黑体" w:hAnsi="黑体" w:eastAsia="黑体"/>
          <w:color w:val="auto"/>
          <w:szCs w:val="28"/>
          <w:highlight w:val="none"/>
        </w:rPr>
        <w:t xml:space="preserve"> 变更与调整</w:t>
      </w:r>
      <w:r>
        <w:rPr>
          <w:color w:val="auto"/>
          <w:highlight w:val="none"/>
        </w:rPr>
        <w:tab/>
      </w:r>
      <w:r>
        <w:rPr>
          <w:color w:val="auto"/>
          <w:highlight w:val="none"/>
        </w:rPr>
        <w:fldChar w:fldCharType="begin"/>
      </w:r>
      <w:r>
        <w:rPr>
          <w:color w:val="auto"/>
          <w:highlight w:val="none"/>
        </w:rPr>
        <w:instrText xml:space="preserve"> PAGEREF _Toc6759 \h </w:instrText>
      </w:r>
      <w:r>
        <w:rPr>
          <w:color w:val="auto"/>
          <w:highlight w:val="none"/>
        </w:rPr>
        <w:fldChar w:fldCharType="separate"/>
      </w:r>
      <w:r>
        <w:rPr>
          <w:color w:val="auto"/>
          <w:highlight w:val="none"/>
        </w:rPr>
        <w:t>87</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_Toc25433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14条</w:t>
      </w:r>
      <w:r>
        <w:rPr>
          <w:rFonts w:hint="eastAsia" w:ascii="黑体" w:hAnsi="黑体" w:eastAsia="黑体"/>
          <w:color w:val="auto"/>
          <w:szCs w:val="28"/>
          <w:highlight w:val="none"/>
        </w:rPr>
        <w:t xml:space="preserve"> 合同价格与支付</w:t>
      </w:r>
      <w:r>
        <w:rPr>
          <w:color w:val="auto"/>
          <w:highlight w:val="none"/>
        </w:rPr>
        <w:tab/>
      </w:r>
      <w:r>
        <w:rPr>
          <w:color w:val="auto"/>
          <w:highlight w:val="none"/>
        </w:rPr>
        <w:fldChar w:fldCharType="begin"/>
      </w:r>
      <w:r>
        <w:rPr>
          <w:color w:val="auto"/>
          <w:highlight w:val="none"/>
        </w:rPr>
        <w:instrText xml:space="preserve"> PAGEREF _Toc25433 \h </w:instrText>
      </w:r>
      <w:r>
        <w:rPr>
          <w:color w:val="auto"/>
          <w:highlight w:val="none"/>
        </w:rPr>
        <w:fldChar w:fldCharType="separate"/>
      </w:r>
      <w:r>
        <w:rPr>
          <w:color w:val="auto"/>
          <w:highlight w:val="none"/>
        </w:rPr>
        <w:t>89</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_Toc2005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15条</w:t>
      </w:r>
      <w:r>
        <w:rPr>
          <w:rFonts w:hint="eastAsia" w:ascii="黑体" w:hAnsi="黑体" w:eastAsia="黑体"/>
          <w:color w:val="auto"/>
          <w:szCs w:val="28"/>
          <w:highlight w:val="none"/>
        </w:rPr>
        <w:t xml:space="preserve"> 违约</w:t>
      </w:r>
      <w:r>
        <w:rPr>
          <w:color w:val="auto"/>
          <w:highlight w:val="none"/>
        </w:rPr>
        <w:tab/>
      </w:r>
      <w:r>
        <w:rPr>
          <w:color w:val="auto"/>
          <w:highlight w:val="none"/>
        </w:rPr>
        <w:fldChar w:fldCharType="begin"/>
      </w:r>
      <w:r>
        <w:rPr>
          <w:color w:val="auto"/>
          <w:highlight w:val="none"/>
        </w:rPr>
        <w:instrText xml:space="preserve"> PAGEREF _Toc2005 \h </w:instrText>
      </w:r>
      <w:r>
        <w:rPr>
          <w:color w:val="auto"/>
          <w:highlight w:val="none"/>
        </w:rPr>
        <w:fldChar w:fldCharType="separate"/>
      </w:r>
      <w:r>
        <w:rPr>
          <w:color w:val="auto"/>
          <w:highlight w:val="none"/>
        </w:rPr>
        <w:t>94</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_Toc23707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16条</w:t>
      </w:r>
      <w:r>
        <w:rPr>
          <w:rFonts w:hint="eastAsia" w:ascii="黑体" w:hAnsi="黑体" w:eastAsia="黑体"/>
          <w:color w:val="auto"/>
          <w:szCs w:val="28"/>
          <w:highlight w:val="none"/>
        </w:rPr>
        <w:t xml:space="preserve"> 合同解除</w:t>
      </w:r>
      <w:r>
        <w:rPr>
          <w:color w:val="auto"/>
          <w:highlight w:val="none"/>
        </w:rPr>
        <w:tab/>
      </w:r>
      <w:r>
        <w:rPr>
          <w:color w:val="auto"/>
          <w:highlight w:val="none"/>
        </w:rPr>
        <w:fldChar w:fldCharType="begin"/>
      </w:r>
      <w:r>
        <w:rPr>
          <w:color w:val="auto"/>
          <w:highlight w:val="none"/>
        </w:rPr>
        <w:instrText xml:space="preserve"> PAGEREF _Toc23707 \h </w:instrText>
      </w:r>
      <w:r>
        <w:rPr>
          <w:color w:val="auto"/>
          <w:highlight w:val="none"/>
        </w:rPr>
        <w:fldChar w:fldCharType="separate"/>
      </w:r>
      <w:r>
        <w:rPr>
          <w:color w:val="auto"/>
          <w:highlight w:val="none"/>
        </w:rPr>
        <w:t>96</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_Toc5901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17条</w:t>
      </w:r>
      <w:r>
        <w:rPr>
          <w:rFonts w:hint="eastAsia" w:ascii="黑体" w:hAnsi="黑体" w:eastAsia="黑体"/>
          <w:color w:val="auto"/>
          <w:szCs w:val="28"/>
          <w:highlight w:val="none"/>
        </w:rPr>
        <w:t xml:space="preserve"> 不可抗力</w:t>
      </w:r>
      <w:r>
        <w:rPr>
          <w:color w:val="auto"/>
          <w:highlight w:val="none"/>
        </w:rPr>
        <w:tab/>
      </w:r>
      <w:r>
        <w:rPr>
          <w:color w:val="auto"/>
          <w:highlight w:val="none"/>
        </w:rPr>
        <w:fldChar w:fldCharType="begin"/>
      </w:r>
      <w:r>
        <w:rPr>
          <w:color w:val="auto"/>
          <w:highlight w:val="none"/>
        </w:rPr>
        <w:instrText xml:space="preserve"> PAGEREF _Toc5901 \h </w:instrText>
      </w:r>
      <w:r>
        <w:rPr>
          <w:color w:val="auto"/>
          <w:highlight w:val="none"/>
        </w:rPr>
        <w:fldChar w:fldCharType="separate"/>
      </w:r>
      <w:r>
        <w:rPr>
          <w:color w:val="auto"/>
          <w:highlight w:val="none"/>
        </w:rPr>
        <w:t>96</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_Toc32537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第1</w:t>
      </w:r>
      <w:r>
        <w:rPr>
          <w:rFonts w:ascii="黑体" w:hAnsi="黑体" w:eastAsia="黑体"/>
          <w:color w:val="auto"/>
          <w:szCs w:val="28"/>
          <w:highlight w:val="none"/>
        </w:rPr>
        <w:t>8</w:t>
      </w:r>
      <w:r>
        <w:rPr>
          <w:rFonts w:hint="eastAsia" w:ascii="黑体" w:hAnsi="黑体" w:eastAsia="黑体"/>
          <w:color w:val="auto"/>
          <w:szCs w:val="28"/>
          <w:highlight w:val="none"/>
        </w:rPr>
        <w:t>条</w:t>
      </w:r>
      <w:r>
        <w:rPr>
          <w:rFonts w:ascii="黑体" w:hAnsi="黑体" w:eastAsia="黑体"/>
          <w:color w:val="auto"/>
          <w:szCs w:val="28"/>
          <w:highlight w:val="none"/>
        </w:rPr>
        <w:t xml:space="preserve"> </w:t>
      </w:r>
      <w:r>
        <w:rPr>
          <w:rFonts w:hint="eastAsia" w:ascii="黑体" w:hAnsi="黑体" w:eastAsia="黑体"/>
          <w:color w:val="auto"/>
          <w:szCs w:val="28"/>
          <w:highlight w:val="none"/>
        </w:rPr>
        <w:t>保险</w:t>
      </w:r>
      <w:r>
        <w:rPr>
          <w:color w:val="auto"/>
          <w:highlight w:val="none"/>
        </w:rPr>
        <w:tab/>
      </w:r>
      <w:r>
        <w:rPr>
          <w:color w:val="auto"/>
          <w:highlight w:val="none"/>
        </w:rPr>
        <w:fldChar w:fldCharType="begin"/>
      </w:r>
      <w:r>
        <w:rPr>
          <w:color w:val="auto"/>
          <w:highlight w:val="none"/>
        </w:rPr>
        <w:instrText xml:space="preserve"> PAGEREF _Toc32537 \h </w:instrText>
      </w:r>
      <w:r>
        <w:rPr>
          <w:color w:val="auto"/>
          <w:highlight w:val="none"/>
        </w:rPr>
        <w:fldChar w:fldCharType="separate"/>
      </w:r>
      <w:r>
        <w:rPr>
          <w:color w:val="auto"/>
          <w:highlight w:val="none"/>
        </w:rPr>
        <w:t>96</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_Toc31680 </w:instrText>
      </w:r>
      <w:r>
        <w:rPr>
          <w:rFonts w:ascii="小标宋" w:eastAsia="小标宋"/>
          <w:color w:val="auto"/>
          <w:szCs w:val="44"/>
          <w:highlight w:val="none"/>
          <w:lang w:val="zh-CN"/>
        </w:rPr>
        <w:fldChar w:fldCharType="separate"/>
      </w:r>
      <w:r>
        <w:rPr>
          <w:rFonts w:hint="eastAsia" w:ascii="黑体" w:hAnsi="黑体" w:eastAsia="黑体"/>
          <w:color w:val="auto"/>
          <w:szCs w:val="28"/>
          <w:highlight w:val="none"/>
        </w:rPr>
        <w:t>第</w:t>
      </w:r>
      <w:r>
        <w:rPr>
          <w:rFonts w:ascii="黑体" w:hAnsi="黑体" w:eastAsia="黑体"/>
          <w:color w:val="auto"/>
          <w:szCs w:val="28"/>
          <w:highlight w:val="none"/>
        </w:rPr>
        <w:t>20条</w:t>
      </w:r>
      <w:r>
        <w:rPr>
          <w:rFonts w:hint="eastAsia" w:ascii="黑体" w:hAnsi="黑体" w:eastAsia="黑体"/>
          <w:color w:val="auto"/>
          <w:szCs w:val="28"/>
          <w:highlight w:val="none"/>
        </w:rPr>
        <w:t xml:space="preserve"> 争议解决</w:t>
      </w:r>
      <w:r>
        <w:rPr>
          <w:color w:val="auto"/>
          <w:highlight w:val="none"/>
        </w:rPr>
        <w:tab/>
      </w:r>
      <w:r>
        <w:rPr>
          <w:color w:val="auto"/>
          <w:highlight w:val="none"/>
        </w:rPr>
        <w:fldChar w:fldCharType="begin"/>
      </w:r>
      <w:r>
        <w:rPr>
          <w:color w:val="auto"/>
          <w:highlight w:val="none"/>
        </w:rPr>
        <w:instrText xml:space="preserve"> PAGEREF _Toc31680 \h </w:instrText>
      </w:r>
      <w:r>
        <w:rPr>
          <w:color w:val="auto"/>
          <w:highlight w:val="none"/>
        </w:rPr>
        <w:fldChar w:fldCharType="separate"/>
      </w:r>
      <w:r>
        <w:rPr>
          <w:color w:val="auto"/>
          <w:highlight w:val="none"/>
        </w:rPr>
        <w:t>97</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_Toc13981 </w:instrText>
      </w:r>
      <w:r>
        <w:rPr>
          <w:rFonts w:ascii="小标宋" w:eastAsia="小标宋"/>
          <w:color w:val="auto"/>
          <w:szCs w:val="44"/>
          <w:highlight w:val="none"/>
          <w:lang w:val="zh-CN"/>
        </w:rPr>
        <w:fldChar w:fldCharType="separate"/>
      </w:r>
      <w:r>
        <w:rPr>
          <w:rFonts w:ascii="黑体" w:hAnsi="黑体" w:eastAsia="黑体"/>
          <w:color w:val="auto"/>
          <w:szCs w:val="28"/>
          <w:highlight w:val="none"/>
        </w:rPr>
        <w:t>21 本项目其他约定</w:t>
      </w:r>
      <w:r>
        <w:rPr>
          <w:color w:val="auto"/>
          <w:highlight w:val="none"/>
        </w:rPr>
        <w:tab/>
      </w:r>
      <w:r>
        <w:rPr>
          <w:color w:val="auto"/>
          <w:highlight w:val="none"/>
        </w:rPr>
        <w:fldChar w:fldCharType="begin"/>
      </w:r>
      <w:r>
        <w:rPr>
          <w:color w:val="auto"/>
          <w:highlight w:val="none"/>
        </w:rPr>
        <w:instrText xml:space="preserve"> PAGEREF _Toc13981 \h </w:instrText>
      </w:r>
      <w:r>
        <w:rPr>
          <w:color w:val="auto"/>
          <w:highlight w:val="none"/>
        </w:rPr>
        <w:fldChar w:fldCharType="separate"/>
      </w:r>
      <w:r>
        <w:rPr>
          <w:color w:val="auto"/>
          <w:highlight w:val="none"/>
        </w:rPr>
        <w:t>97</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_Toc17920 </w:instrText>
      </w:r>
      <w:r>
        <w:rPr>
          <w:rFonts w:ascii="小标宋" w:eastAsia="小标宋"/>
          <w:color w:val="auto"/>
          <w:szCs w:val="44"/>
          <w:highlight w:val="none"/>
          <w:lang w:val="zh-CN"/>
        </w:rPr>
        <w:fldChar w:fldCharType="separate"/>
      </w:r>
      <w:r>
        <w:rPr>
          <w:rFonts w:hint="eastAsia"/>
          <w:color w:val="auto"/>
          <w:highlight w:val="none"/>
        </w:rPr>
        <w:t>专用合同条件附件</w:t>
      </w:r>
      <w:r>
        <w:rPr>
          <w:color w:val="auto"/>
          <w:highlight w:val="none"/>
        </w:rPr>
        <w:tab/>
      </w:r>
      <w:r>
        <w:rPr>
          <w:color w:val="auto"/>
          <w:highlight w:val="none"/>
        </w:rPr>
        <w:fldChar w:fldCharType="begin"/>
      </w:r>
      <w:r>
        <w:rPr>
          <w:color w:val="auto"/>
          <w:highlight w:val="none"/>
        </w:rPr>
        <w:instrText xml:space="preserve"> PAGEREF _Toc17920 \h </w:instrText>
      </w:r>
      <w:r>
        <w:rPr>
          <w:color w:val="auto"/>
          <w:highlight w:val="none"/>
        </w:rPr>
        <w:fldChar w:fldCharType="separate"/>
      </w:r>
      <w:r>
        <w:rPr>
          <w:color w:val="auto"/>
          <w:highlight w:val="none"/>
        </w:rPr>
        <w:t>98</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_Toc8343 </w:instrText>
      </w:r>
      <w:r>
        <w:rPr>
          <w:rFonts w:ascii="小标宋" w:eastAsia="小标宋"/>
          <w:color w:val="auto"/>
          <w:szCs w:val="44"/>
          <w:highlight w:val="none"/>
          <w:lang w:val="zh-CN"/>
        </w:rPr>
        <w:fldChar w:fldCharType="separate"/>
      </w:r>
      <w:r>
        <w:rPr>
          <w:rFonts w:hint="eastAsia"/>
          <w:color w:val="auto"/>
          <w:highlight w:val="none"/>
        </w:rPr>
        <w:t>附件2</w:t>
      </w:r>
      <w:r>
        <w:rPr>
          <w:color w:val="auto"/>
          <w:highlight w:val="none"/>
        </w:rPr>
        <w:t xml:space="preserve"> 发包人供应材料设备一览表</w:t>
      </w:r>
      <w:r>
        <w:rPr>
          <w:color w:val="auto"/>
          <w:highlight w:val="none"/>
        </w:rPr>
        <w:tab/>
      </w:r>
      <w:r>
        <w:rPr>
          <w:color w:val="auto"/>
          <w:highlight w:val="none"/>
        </w:rPr>
        <w:fldChar w:fldCharType="begin"/>
      </w:r>
      <w:r>
        <w:rPr>
          <w:color w:val="auto"/>
          <w:highlight w:val="none"/>
        </w:rPr>
        <w:instrText xml:space="preserve"> PAGEREF _Toc8343 \h </w:instrText>
      </w:r>
      <w:r>
        <w:rPr>
          <w:color w:val="auto"/>
          <w:highlight w:val="none"/>
        </w:rPr>
        <w:fldChar w:fldCharType="separate"/>
      </w:r>
      <w:r>
        <w:rPr>
          <w:color w:val="auto"/>
          <w:highlight w:val="none"/>
        </w:rPr>
        <w:t>101</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_Toc23681 </w:instrText>
      </w:r>
      <w:r>
        <w:rPr>
          <w:rFonts w:ascii="小标宋" w:eastAsia="小标宋"/>
          <w:color w:val="auto"/>
          <w:szCs w:val="44"/>
          <w:highlight w:val="none"/>
          <w:lang w:val="zh-CN"/>
        </w:rPr>
        <w:fldChar w:fldCharType="separate"/>
      </w:r>
      <w:r>
        <w:rPr>
          <w:rFonts w:hint="eastAsia"/>
          <w:color w:val="auto"/>
          <w:highlight w:val="none"/>
        </w:rPr>
        <w:t>附件</w:t>
      </w:r>
      <w:r>
        <w:rPr>
          <w:color w:val="auto"/>
          <w:highlight w:val="none"/>
        </w:rPr>
        <w:t>3 工程质量保修书</w:t>
      </w:r>
      <w:r>
        <w:rPr>
          <w:color w:val="auto"/>
          <w:highlight w:val="none"/>
        </w:rPr>
        <w:tab/>
      </w:r>
      <w:r>
        <w:rPr>
          <w:color w:val="auto"/>
          <w:highlight w:val="none"/>
        </w:rPr>
        <w:fldChar w:fldCharType="begin"/>
      </w:r>
      <w:r>
        <w:rPr>
          <w:color w:val="auto"/>
          <w:highlight w:val="none"/>
        </w:rPr>
        <w:instrText xml:space="preserve"> PAGEREF _Toc23681 \h </w:instrText>
      </w:r>
      <w:r>
        <w:rPr>
          <w:color w:val="auto"/>
          <w:highlight w:val="none"/>
        </w:rPr>
        <w:fldChar w:fldCharType="separate"/>
      </w:r>
      <w:r>
        <w:rPr>
          <w:color w:val="auto"/>
          <w:highlight w:val="none"/>
        </w:rPr>
        <w:t>102</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_Toc21481 </w:instrText>
      </w:r>
      <w:r>
        <w:rPr>
          <w:rFonts w:ascii="小标宋" w:eastAsia="小标宋"/>
          <w:color w:val="auto"/>
          <w:szCs w:val="44"/>
          <w:highlight w:val="none"/>
          <w:lang w:val="zh-CN"/>
        </w:rPr>
        <w:fldChar w:fldCharType="separate"/>
      </w:r>
      <w:r>
        <w:rPr>
          <w:rFonts w:hint="eastAsia"/>
          <w:color w:val="auto"/>
          <w:highlight w:val="none"/>
        </w:rPr>
        <w:t>附件4</w:t>
      </w:r>
      <w:r>
        <w:rPr>
          <w:color w:val="auto"/>
          <w:highlight w:val="none"/>
        </w:rPr>
        <w:t xml:space="preserve"> 主要建设工程文件目录</w:t>
      </w:r>
      <w:r>
        <w:rPr>
          <w:color w:val="auto"/>
          <w:highlight w:val="none"/>
        </w:rPr>
        <w:tab/>
      </w:r>
      <w:r>
        <w:rPr>
          <w:color w:val="auto"/>
          <w:highlight w:val="none"/>
        </w:rPr>
        <w:fldChar w:fldCharType="begin"/>
      </w:r>
      <w:r>
        <w:rPr>
          <w:color w:val="auto"/>
          <w:highlight w:val="none"/>
        </w:rPr>
        <w:instrText xml:space="preserve"> PAGEREF _Toc21481 \h </w:instrText>
      </w:r>
      <w:r>
        <w:rPr>
          <w:color w:val="auto"/>
          <w:highlight w:val="none"/>
        </w:rPr>
        <w:fldChar w:fldCharType="separate"/>
      </w:r>
      <w:r>
        <w:rPr>
          <w:color w:val="auto"/>
          <w:highlight w:val="none"/>
        </w:rPr>
        <w:t>104</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_Toc428 </w:instrText>
      </w:r>
      <w:r>
        <w:rPr>
          <w:rFonts w:ascii="小标宋" w:eastAsia="小标宋"/>
          <w:color w:val="auto"/>
          <w:szCs w:val="44"/>
          <w:highlight w:val="none"/>
          <w:lang w:val="zh-CN"/>
        </w:rPr>
        <w:fldChar w:fldCharType="separate"/>
      </w:r>
      <w:r>
        <w:rPr>
          <w:rFonts w:hint="eastAsia"/>
          <w:color w:val="auto"/>
          <w:highlight w:val="none"/>
        </w:rPr>
        <w:t>附件</w:t>
      </w:r>
      <w:r>
        <w:rPr>
          <w:color w:val="auto"/>
          <w:highlight w:val="none"/>
        </w:rPr>
        <w:t>5 承包人主要管理人员表</w:t>
      </w:r>
      <w:r>
        <w:rPr>
          <w:color w:val="auto"/>
          <w:highlight w:val="none"/>
        </w:rPr>
        <w:tab/>
      </w:r>
      <w:r>
        <w:rPr>
          <w:color w:val="auto"/>
          <w:highlight w:val="none"/>
        </w:rPr>
        <w:fldChar w:fldCharType="begin"/>
      </w:r>
      <w:r>
        <w:rPr>
          <w:color w:val="auto"/>
          <w:highlight w:val="none"/>
        </w:rPr>
        <w:instrText xml:space="preserve"> PAGEREF _Toc428 \h </w:instrText>
      </w:r>
      <w:r>
        <w:rPr>
          <w:color w:val="auto"/>
          <w:highlight w:val="none"/>
        </w:rPr>
        <w:fldChar w:fldCharType="separate"/>
      </w:r>
      <w:r>
        <w:rPr>
          <w:color w:val="auto"/>
          <w:highlight w:val="none"/>
        </w:rPr>
        <w:t>105</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_Toc15392 </w:instrText>
      </w:r>
      <w:r>
        <w:rPr>
          <w:rFonts w:ascii="小标宋" w:eastAsia="小标宋"/>
          <w:color w:val="auto"/>
          <w:szCs w:val="44"/>
          <w:highlight w:val="none"/>
          <w:lang w:val="zh-CN"/>
        </w:rPr>
        <w:fldChar w:fldCharType="separate"/>
      </w:r>
      <w:r>
        <w:rPr>
          <w:rFonts w:hint="eastAsia"/>
          <w:color w:val="auto"/>
          <w:highlight w:val="none"/>
        </w:rPr>
        <w:t>附件6</w:t>
      </w:r>
      <w:r>
        <w:rPr>
          <w:color w:val="auto"/>
          <w:highlight w:val="none"/>
        </w:rPr>
        <w:t xml:space="preserve"> </w:t>
      </w:r>
      <w:r>
        <w:rPr>
          <w:rFonts w:hint="eastAsia"/>
          <w:color w:val="auto"/>
          <w:highlight w:val="none"/>
        </w:rPr>
        <w:t>价格指数权重表</w:t>
      </w:r>
      <w:r>
        <w:rPr>
          <w:color w:val="auto"/>
          <w:highlight w:val="none"/>
        </w:rPr>
        <w:tab/>
      </w:r>
      <w:r>
        <w:rPr>
          <w:color w:val="auto"/>
          <w:highlight w:val="none"/>
        </w:rPr>
        <w:fldChar w:fldCharType="begin"/>
      </w:r>
      <w:r>
        <w:rPr>
          <w:color w:val="auto"/>
          <w:highlight w:val="none"/>
        </w:rPr>
        <w:instrText xml:space="preserve"> PAGEREF _Toc15392 \h </w:instrText>
      </w:r>
      <w:r>
        <w:rPr>
          <w:color w:val="auto"/>
          <w:highlight w:val="none"/>
        </w:rPr>
        <w:fldChar w:fldCharType="separate"/>
      </w:r>
      <w:r>
        <w:rPr>
          <w:color w:val="auto"/>
          <w:highlight w:val="none"/>
        </w:rPr>
        <w:t>106</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_Toc640 </w:instrText>
      </w:r>
      <w:r>
        <w:rPr>
          <w:rFonts w:ascii="小标宋" w:eastAsia="小标宋"/>
          <w:color w:val="auto"/>
          <w:szCs w:val="44"/>
          <w:highlight w:val="none"/>
          <w:lang w:val="zh-CN"/>
        </w:rPr>
        <w:fldChar w:fldCharType="separate"/>
      </w:r>
      <w:r>
        <w:rPr>
          <w:rFonts w:hint="eastAsia" w:ascii="宋体" w:hAnsi="宋体" w:cs="宋体"/>
          <w:bCs/>
          <w:color w:val="auto"/>
          <w:kern w:val="44"/>
          <w:szCs w:val="44"/>
          <w:highlight w:val="none"/>
        </w:rPr>
        <w:t>第五章 发包人要求</w:t>
      </w:r>
      <w:r>
        <w:rPr>
          <w:color w:val="auto"/>
          <w:highlight w:val="none"/>
        </w:rPr>
        <w:tab/>
      </w:r>
      <w:r>
        <w:rPr>
          <w:color w:val="auto"/>
          <w:highlight w:val="none"/>
        </w:rPr>
        <w:fldChar w:fldCharType="begin"/>
      </w:r>
      <w:r>
        <w:rPr>
          <w:color w:val="auto"/>
          <w:highlight w:val="none"/>
        </w:rPr>
        <w:instrText xml:space="preserve"> PAGEREF _Toc640 \h </w:instrText>
      </w:r>
      <w:r>
        <w:rPr>
          <w:color w:val="auto"/>
          <w:highlight w:val="none"/>
        </w:rPr>
        <w:fldChar w:fldCharType="separate"/>
      </w:r>
      <w:r>
        <w:rPr>
          <w:color w:val="auto"/>
          <w:highlight w:val="none"/>
        </w:rPr>
        <w:t>107</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_Toc19286 </w:instrText>
      </w:r>
      <w:r>
        <w:rPr>
          <w:rFonts w:ascii="小标宋" w:eastAsia="小标宋"/>
          <w:color w:val="auto"/>
          <w:szCs w:val="44"/>
          <w:highlight w:val="none"/>
          <w:lang w:val="zh-CN"/>
        </w:rPr>
        <w:fldChar w:fldCharType="separate"/>
      </w:r>
      <w:r>
        <w:rPr>
          <w:rFonts w:hint="eastAsia" w:ascii="宋体" w:hAnsi="宋体" w:cs="宋体"/>
          <w:bCs/>
          <w:color w:val="auto"/>
          <w:highlight w:val="none"/>
        </w:rPr>
        <w:t>一、 建设目标</w:t>
      </w:r>
      <w:r>
        <w:rPr>
          <w:color w:val="auto"/>
          <w:highlight w:val="none"/>
        </w:rPr>
        <w:tab/>
      </w:r>
      <w:r>
        <w:rPr>
          <w:color w:val="auto"/>
          <w:highlight w:val="none"/>
        </w:rPr>
        <w:fldChar w:fldCharType="begin"/>
      </w:r>
      <w:r>
        <w:rPr>
          <w:color w:val="auto"/>
          <w:highlight w:val="none"/>
        </w:rPr>
        <w:instrText xml:space="preserve"> PAGEREF _Toc19286 \h </w:instrText>
      </w:r>
      <w:r>
        <w:rPr>
          <w:color w:val="auto"/>
          <w:highlight w:val="none"/>
        </w:rPr>
        <w:fldChar w:fldCharType="separate"/>
      </w:r>
      <w:r>
        <w:rPr>
          <w:color w:val="auto"/>
          <w:highlight w:val="none"/>
        </w:rPr>
        <w:t>107</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_Toc25951 </w:instrText>
      </w:r>
      <w:r>
        <w:rPr>
          <w:rFonts w:ascii="小标宋" w:eastAsia="小标宋"/>
          <w:color w:val="auto"/>
          <w:szCs w:val="44"/>
          <w:highlight w:val="none"/>
          <w:lang w:val="zh-CN"/>
        </w:rPr>
        <w:fldChar w:fldCharType="separate"/>
      </w:r>
      <w:r>
        <w:rPr>
          <w:rFonts w:hint="eastAsia" w:ascii="宋体" w:hAnsi="宋体" w:cs="宋体"/>
          <w:bCs/>
          <w:color w:val="auto"/>
          <w:highlight w:val="none"/>
        </w:rPr>
        <w:t>二、 建设规模</w:t>
      </w:r>
      <w:r>
        <w:rPr>
          <w:color w:val="auto"/>
          <w:highlight w:val="none"/>
        </w:rPr>
        <w:tab/>
      </w:r>
      <w:r>
        <w:rPr>
          <w:color w:val="auto"/>
          <w:highlight w:val="none"/>
        </w:rPr>
        <w:fldChar w:fldCharType="begin"/>
      </w:r>
      <w:r>
        <w:rPr>
          <w:color w:val="auto"/>
          <w:highlight w:val="none"/>
        </w:rPr>
        <w:instrText xml:space="preserve"> PAGEREF _Toc25951 \h </w:instrText>
      </w:r>
      <w:r>
        <w:rPr>
          <w:color w:val="auto"/>
          <w:highlight w:val="none"/>
        </w:rPr>
        <w:fldChar w:fldCharType="separate"/>
      </w:r>
      <w:r>
        <w:rPr>
          <w:color w:val="auto"/>
          <w:highlight w:val="none"/>
        </w:rPr>
        <w:t>107</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_Toc8280 </w:instrText>
      </w:r>
      <w:r>
        <w:rPr>
          <w:rFonts w:ascii="小标宋" w:eastAsia="小标宋"/>
          <w:color w:val="auto"/>
          <w:szCs w:val="44"/>
          <w:highlight w:val="none"/>
          <w:lang w:val="zh-CN"/>
        </w:rPr>
        <w:fldChar w:fldCharType="separate"/>
      </w:r>
      <w:r>
        <w:rPr>
          <w:rFonts w:hint="eastAsia" w:ascii="宋体" w:hAnsi="宋体" w:cs="宋体"/>
          <w:bCs/>
          <w:color w:val="auto"/>
          <w:highlight w:val="none"/>
        </w:rPr>
        <w:t>三、 建设标准</w:t>
      </w:r>
      <w:r>
        <w:rPr>
          <w:color w:val="auto"/>
          <w:highlight w:val="none"/>
        </w:rPr>
        <w:tab/>
      </w:r>
      <w:r>
        <w:rPr>
          <w:color w:val="auto"/>
          <w:highlight w:val="none"/>
        </w:rPr>
        <w:fldChar w:fldCharType="begin"/>
      </w:r>
      <w:r>
        <w:rPr>
          <w:color w:val="auto"/>
          <w:highlight w:val="none"/>
        </w:rPr>
        <w:instrText xml:space="preserve"> PAGEREF _Toc8280 \h </w:instrText>
      </w:r>
      <w:r>
        <w:rPr>
          <w:color w:val="auto"/>
          <w:highlight w:val="none"/>
        </w:rPr>
        <w:fldChar w:fldCharType="separate"/>
      </w:r>
      <w:r>
        <w:rPr>
          <w:color w:val="auto"/>
          <w:highlight w:val="none"/>
        </w:rPr>
        <w:t>107</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_Toc24613 </w:instrText>
      </w:r>
      <w:r>
        <w:rPr>
          <w:rFonts w:ascii="小标宋" w:eastAsia="小标宋"/>
          <w:color w:val="auto"/>
          <w:szCs w:val="44"/>
          <w:highlight w:val="none"/>
          <w:lang w:val="zh-CN"/>
        </w:rPr>
        <w:fldChar w:fldCharType="separate"/>
      </w:r>
      <w:r>
        <w:rPr>
          <w:rFonts w:hint="eastAsia" w:ascii="宋体" w:hAnsi="宋体" w:cs="宋体"/>
          <w:bCs/>
          <w:color w:val="auto"/>
          <w:highlight w:val="none"/>
        </w:rPr>
        <w:t>四、 建设条件</w:t>
      </w:r>
      <w:r>
        <w:rPr>
          <w:color w:val="auto"/>
          <w:highlight w:val="none"/>
        </w:rPr>
        <w:tab/>
      </w:r>
      <w:r>
        <w:rPr>
          <w:color w:val="auto"/>
          <w:highlight w:val="none"/>
        </w:rPr>
        <w:fldChar w:fldCharType="begin"/>
      </w:r>
      <w:r>
        <w:rPr>
          <w:color w:val="auto"/>
          <w:highlight w:val="none"/>
        </w:rPr>
        <w:instrText xml:space="preserve"> PAGEREF _Toc24613 \h </w:instrText>
      </w:r>
      <w:r>
        <w:rPr>
          <w:color w:val="auto"/>
          <w:highlight w:val="none"/>
        </w:rPr>
        <w:fldChar w:fldCharType="separate"/>
      </w:r>
      <w:r>
        <w:rPr>
          <w:color w:val="auto"/>
          <w:highlight w:val="none"/>
        </w:rPr>
        <w:t>108</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_Toc27330 </w:instrText>
      </w:r>
      <w:r>
        <w:rPr>
          <w:rFonts w:ascii="小标宋" w:eastAsia="小标宋"/>
          <w:color w:val="auto"/>
          <w:szCs w:val="44"/>
          <w:highlight w:val="none"/>
          <w:lang w:val="zh-CN"/>
        </w:rPr>
        <w:fldChar w:fldCharType="separate"/>
      </w:r>
      <w:r>
        <w:rPr>
          <w:rFonts w:hint="eastAsia" w:ascii="宋体" w:hAnsi="宋体" w:cs="宋体"/>
          <w:bCs/>
          <w:color w:val="auto"/>
          <w:highlight w:val="none"/>
        </w:rPr>
        <w:t>五、 招标范围</w:t>
      </w:r>
      <w:r>
        <w:rPr>
          <w:color w:val="auto"/>
          <w:highlight w:val="none"/>
        </w:rPr>
        <w:tab/>
      </w:r>
      <w:r>
        <w:rPr>
          <w:color w:val="auto"/>
          <w:highlight w:val="none"/>
        </w:rPr>
        <w:fldChar w:fldCharType="begin"/>
      </w:r>
      <w:r>
        <w:rPr>
          <w:color w:val="auto"/>
          <w:highlight w:val="none"/>
        </w:rPr>
        <w:instrText xml:space="preserve"> PAGEREF _Toc27330 \h </w:instrText>
      </w:r>
      <w:r>
        <w:rPr>
          <w:color w:val="auto"/>
          <w:highlight w:val="none"/>
        </w:rPr>
        <w:fldChar w:fldCharType="separate"/>
      </w:r>
      <w:r>
        <w:rPr>
          <w:color w:val="auto"/>
          <w:highlight w:val="none"/>
        </w:rPr>
        <w:t>109</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_Toc22607 </w:instrText>
      </w:r>
      <w:r>
        <w:rPr>
          <w:rFonts w:ascii="小标宋" w:eastAsia="小标宋"/>
          <w:color w:val="auto"/>
          <w:szCs w:val="44"/>
          <w:highlight w:val="none"/>
          <w:lang w:val="zh-CN"/>
        </w:rPr>
        <w:fldChar w:fldCharType="separate"/>
      </w:r>
      <w:r>
        <w:rPr>
          <w:rFonts w:hint="eastAsia" w:ascii="宋体" w:hAnsi="宋体" w:cs="宋体"/>
          <w:bCs/>
          <w:color w:val="auto"/>
          <w:highlight w:val="none"/>
        </w:rPr>
        <w:t>六、 发包人需求任务书</w:t>
      </w:r>
      <w:r>
        <w:rPr>
          <w:color w:val="auto"/>
          <w:highlight w:val="none"/>
        </w:rPr>
        <w:tab/>
      </w:r>
      <w:r>
        <w:rPr>
          <w:color w:val="auto"/>
          <w:highlight w:val="none"/>
        </w:rPr>
        <w:fldChar w:fldCharType="begin"/>
      </w:r>
      <w:r>
        <w:rPr>
          <w:color w:val="auto"/>
          <w:highlight w:val="none"/>
        </w:rPr>
        <w:instrText xml:space="preserve"> PAGEREF _Toc22607 \h </w:instrText>
      </w:r>
      <w:r>
        <w:rPr>
          <w:color w:val="auto"/>
          <w:highlight w:val="none"/>
        </w:rPr>
        <w:fldChar w:fldCharType="separate"/>
      </w:r>
      <w:r>
        <w:rPr>
          <w:color w:val="auto"/>
          <w:highlight w:val="none"/>
        </w:rPr>
        <w:t>110</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_Toc25900 </w:instrText>
      </w:r>
      <w:r>
        <w:rPr>
          <w:rFonts w:ascii="小标宋" w:eastAsia="小标宋"/>
          <w:color w:val="auto"/>
          <w:szCs w:val="44"/>
          <w:highlight w:val="none"/>
          <w:lang w:val="zh-CN"/>
        </w:rPr>
        <w:fldChar w:fldCharType="separate"/>
      </w:r>
      <w:r>
        <w:rPr>
          <w:rFonts w:hint="eastAsia"/>
          <w:color w:val="auto"/>
          <w:highlight w:val="none"/>
          <w:lang w:val="en-US" w:eastAsia="zh-CN"/>
        </w:rPr>
        <w:t>三、深化设计应与概算限额相契合。</w:t>
      </w:r>
      <w:r>
        <w:rPr>
          <w:color w:val="auto"/>
          <w:highlight w:val="none"/>
        </w:rPr>
        <w:tab/>
      </w:r>
      <w:r>
        <w:rPr>
          <w:color w:val="auto"/>
          <w:highlight w:val="none"/>
        </w:rPr>
        <w:fldChar w:fldCharType="begin"/>
      </w:r>
      <w:r>
        <w:rPr>
          <w:color w:val="auto"/>
          <w:highlight w:val="none"/>
        </w:rPr>
        <w:instrText xml:space="preserve"> PAGEREF _Toc25900 \h </w:instrText>
      </w:r>
      <w:r>
        <w:rPr>
          <w:color w:val="auto"/>
          <w:highlight w:val="none"/>
        </w:rPr>
        <w:fldChar w:fldCharType="separate"/>
      </w:r>
      <w:r>
        <w:rPr>
          <w:color w:val="auto"/>
          <w:highlight w:val="none"/>
        </w:rPr>
        <w:t>121</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_Toc1270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一、定义</w:t>
      </w:r>
      <w:r>
        <w:rPr>
          <w:color w:val="auto"/>
          <w:highlight w:val="none"/>
        </w:rPr>
        <w:tab/>
      </w:r>
      <w:r>
        <w:rPr>
          <w:color w:val="auto"/>
          <w:highlight w:val="none"/>
        </w:rPr>
        <w:fldChar w:fldCharType="begin"/>
      </w:r>
      <w:r>
        <w:rPr>
          <w:color w:val="auto"/>
          <w:highlight w:val="none"/>
        </w:rPr>
        <w:instrText xml:space="preserve"> PAGEREF _Toc1270 \h </w:instrText>
      </w:r>
      <w:r>
        <w:rPr>
          <w:color w:val="auto"/>
          <w:highlight w:val="none"/>
        </w:rPr>
        <w:fldChar w:fldCharType="separate"/>
      </w:r>
      <w:r>
        <w:rPr>
          <w:color w:val="auto"/>
          <w:highlight w:val="none"/>
        </w:rPr>
        <w:t>139</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_Toc15782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二、本项目提供的BIM技术基本工作环境</w:t>
      </w:r>
      <w:r>
        <w:rPr>
          <w:color w:val="auto"/>
          <w:highlight w:val="none"/>
        </w:rPr>
        <w:tab/>
      </w:r>
      <w:r>
        <w:rPr>
          <w:color w:val="auto"/>
          <w:highlight w:val="none"/>
        </w:rPr>
        <w:fldChar w:fldCharType="begin"/>
      </w:r>
      <w:r>
        <w:rPr>
          <w:color w:val="auto"/>
          <w:highlight w:val="none"/>
        </w:rPr>
        <w:instrText xml:space="preserve"> PAGEREF _Toc15782 \h </w:instrText>
      </w:r>
      <w:r>
        <w:rPr>
          <w:color w:val="auto"/>
          <w:highlight w:val="none"/>
        </w:rPr>
        <w:fldChar w:fldCharType="separate"/>
      </w:r>
      <w:r>
        <w:rPr>
          <w:color w:val="auto"/>
          <w:highlight w:val="none"/>
        </w:rPr>
        <w:t>141</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_Toc18911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三、BIM工作的管理环境</w:t>
      </w:r>
      <w:r>
        <w:rPr>
          <w:color w:val="auto"/>
          <w:highlight w:val="none"/>
        </w:rPr>
        <w:tab/>
      </w:r>
      <w:r>
        <w:rPr>
          <w:color w:val="auto"/>
          <w:highlight w:val="none"/>
        </w:rPr>
        <w:fldChar w:fldCharType="begin"/>
      </w:r>
      <w:r>
        <w:rPr>
          <w:color w:val="auto"/>
          <w:highlight w:val="none"/>
        </w:rPr>
        <w:instrText xml:space="preserve"> PAGEREF _Toc18911 \h </w:instrText>
      </w:r>
      <w:r>
        <w:rPr>
          <w:color w:val="auto"/>
          <w:highlight w:val="none"/>
        </w:rPr>
        <w:fldChar w:fldCharType="separate"/>
      </w:r>
      <w:r>
        <w:rPr>
          <w:color w:val="auto"/>
          <w:highlight w:val="none"/>
        </w:rPr>
        <w:t>142</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_Toc18185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四、施工总承包的BIM工作范围</w:t>
      </w:r>
      <w:r>
        <w:rPr>
          <w:color w:val="auto"/>
          <w:highlight w:val="none"/>
        </w:rPr>
        <w:tab/>
      </w:r>
      <w:r>
        <w:rPr>
          <w:color w:val="auto"/>
          <w:highlight w:val="none"/>
        </w:rPr>
        <w:fldChar w:fldCharType="begin"/>
      </w:r>
      <w:r>
        <w:rPr>
          <w:color w:val="auto"/>
          <w:highlight w:val="none"/>
        </w:rPr>
        <w:instrText xml:space="preserve"> PAGEREF _Toc18185 \h </w:instrText>
      </w:r>
      <w:r>
        <w:rPr>
          <w:color w:val="auto"/>
          <w:highlight w:val="none"/>
        </w:rPr>
        <w:fldChar w:fldCharType="separate"/>
      </w:r>
      <w:r>
        <w:rPr>
          <w:color w:val="auto"/>
          <w:highlight w:val="none"/>
        </w:rPr>
        <w:t>142</w:t>
      </w:r>
      <w:r>
        <w:rPr>
          <w:color w:val="auto"/>
          <w:highlight w:val="none"/>
        </w:rPr>
        <w:fldChar w:fldCharType="end"/>
      </w:r>
      <w:r>
        <w:rPr>
          <w:rFonts w:ascii="小标宋" w:eastAsia="小标宋"/>
          <w:color w:val="auto"/>
          <w:szCs w:val="44"/>
          <w:highlight w:val="none"/>
          <w:lang w:val="zh-CN"/>
        </w:rPr>
        <w:fldChar w:fldCharType="end"/>
      </w:r>
    </w:p>
    <w:p>
      <w:pPr>
        <w:pStyle w:val="62"/>
        <w:tabs>
          <w:tab w:val="right" w:pos="3200"/>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_Toc23551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w:t>
      </w:r>
      <w:r>
        <w:rPr>
          <w:rFonts w:hint="eastAsia" w:ascii="宋体" w:hAnsi="宋体" w:cs="宋体"/>
          <w:color w:val="auto"/>
          <w:szCs w:val="21"/>
          <w:highlight w:val="none"/>
        </w:rPr>
        <w:tab/>
      </w:r>
      <w:r>
        <w:rPr>
          <w:rFonts w:hint="eastAsia" w:ascii="宋体" w:hAnsi="宋体" w:cs="宋体"/>
          <w:color w:val="auto"/>
          <w:szCs w:val="21"/>
          <w:highlight w:val="none"/>
        </w:rPr>
        <w:t>基坑及围护工程施工</w:t>
      </w:r>
      <w:r>
        <w:rPr>
          <w:color w:val="auto"/>
          <w:highlight w:val="none"/>
        </w:rPr>
        <w:tab/>
      </w:r>
      <w:r>
        <w:rPr>
          <w:color w:val="auto"/>
          <w:highlight w:val="none"/>
        </w:rPr>
        <w:fldChar w:fldCharType="begin"/>
      </w:r>
      <w:r>
        <w:rPr>
          <w:color w:val="auto"/>
          <w:highlight w:val="none"/>
        </w:rPr>
        <w:instrText xml:space="preserve"> PAGEREF _Toc23551 \h </w:instrText>
      </w:r>
      <w:r>
        <w:rPr>
          <w:color w:val="auto"/>
          <w:highlight w:val="none"/>
        </w:rPr>
        <w:fldChar w:fldCharType="separate"/>
      </w:r>
      <w:r>
        <w:rPr>
          <w:color w:val="auto"/>
          <w:highlight w:val="none"/>
        </w:rPr>
        <w:t>144</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_Toc25069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五、施工总承包与分包的工作界面</w:t>
      </w:r>
      <w:r>
        <w:rPr>
          <w:color w:val="auto"/>
          <w:highlight w:val="none"/>
        </w:rPr>
        <w:tab/>
      </w:r>
      <w:r>
        <w:rPr>
          <w:color w:val="auto"/>
          <w:highlight w:val="none"/>
        </w:rPr>
        <w:fldChar w:fldCharType="begin"/>
      </w:r>
      <w:r>
        <w:rPr>
          <w:color w:val="auto"/>
          <w:highlight w:val="none"/>
        </w:rPr>
        <w:instrText xml:space="preserve"> PAGEREF _Toc25069 \h </w:instrText>
      </w:r>
      <w:r>
        <w:rPr>
          <w:color w:val="auto"/>
          <w:highlight w:val="none"/>
        </w:rPr>
        <w:fldChar w:fldCharType="separate"/>
      </w:r>
      <w:r>
        <w:rPr>
          <w:color w:val="auto"/>
          <w:highlight w:val="none"/>
        </w:rPr>
        <w:t>145</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_Toc798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表格4：BIM项目协调图</w:t>
      </w:r>
      <w:r>
        <w:rPr>
          <w:color w:val="auto"/>
          <w:highlight w:val="none"/>
        </w:rPr>
        <w:tab/>
      </w:r>
      <w:r>
        <w:rPr>
          <w:color w:val="auto"/>
          <w:highlight w:val="none"/>
        </w:rPr>
        <w:fldChar w:fldCharType="begin"/>
      </w:r>
      <w:r>
        <w:rPr>
          <w:color w:val="auto"/>
          <w:highlight w:val="none"/>
        </w:rPr>
        <w:instrText xml:space="preserve"> PAGEREF _Toc798 \h </w:instrText>
      </w:r>
      <w:r>
        <w:rPr>
          <w:color w:val="auto"/>
          <w:highlight w:val="none"/>
        </w:rPr>
        <w:fldChar w:fldCharType="separate"/>
      </w:r>
      <w:r>
        <w:rPr>
          <w:color w:val="auto"/>
          <w:highlight w:val="none"/>
        </w:rPr>
        <w:t>147</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_Toc16971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六、建模要求</w:t>
      </w:r>
      <w:r>
        <w:rPr>
          <w:color w:val="auto"/>
          <w:highlight w:val="none"/>
        </w:rPr>
        <w:tab/>
      </w:r>
      <w:r>
        <w:rPr>
          <w:color w:val="auto"/>
          <w:highlight w:val="none"/>
        </w:rPr>
        <w:fldChar w:fldCharType="begin"/>
      </w:r>
      <w:r>
        <w:rPr>
          <w:color w:val="auto"/>
          <w:highlight w:val="none"/>
        </w:rPr>
        <w:instrText xml:space="preserve"> PAGEREF _Toc16971 \h </w:instrText>
      </w:r>
      <w:r>
        <w:rPr>
          <w:color w:val="auto"/>
          <w:highlight w:val="none"/>
        </w:rPr>
        <w:fldChar w:fldCharType="separate"/>
      </w:r>
      <w:r>
        <w:rPr>
          <w:color w:val="auto"/>
          <w:highlight w:val="none"/>
        </w:rPr>
        <w:t>147</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_Toc10615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七、BIM模型管理</w:t>
      </w:r>
      <w:r>
        <w:rPr>
          <w:color w:val="auto"/>
          <w:highlight w:val="none"/>
        </w:rPr>
        <w:tab/>
      </w:r>
      <w:r>
        <w:rPr>
          <w:color w:val="auto"/>
          <w:highlight w:val="none"/>
        </w:rPr>
        <w:fldChar w:fldCharType="begin"/>
      </w:r>
      <w:r>
        <w:rPr>
          <w:color w:val="auto"/>
          <w:highlight w:val="none"/>
        </w:rPr>
        <w:instrText xml:space="preserve"> PAGEREF _Toc10615 \h </w:instrText>
      </w:r>
      <w:r>
        <w:rPr>
          <w:color w:val="auto"/>
          <w:highlight w:val="none"/>
        </w:rPr>
        <w:fldChar w:fldCharType="separate"/>
      </w:r>
      <w:r>
        <w:rPr>
          <w:color w:val="auto"/>
          <w:highlight w:val="none"/>
        </w:rPr>
        <w:t>158</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_Toc7943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其他发包人、BIM总包同意的格式文件</w:t>
      </w:r>
      <w:r>
        <w:rPr>
          <w:color w:val="auto"/>
          <w:highlight w:val="none"/>
        </w:rPr>
        <w:tab/>
      </w:r>
      <w:r>
        <w:rPr>
          <w:color w:val="auto"/>
          <w:highlight w:val="none"/>
        </w:rPr>
        <w:fldChar w:fldCharType="begin"/>
      </w:r>
      <w:r>
        <w:rPr>
          <w:color w:val="auto"/>
          <w:highlight w:val="none"/>
        </w:rPr>
        <w:instrText xml:space="preserve"> PAGEREF _Toc7943 \h </w:instrText>
      </w:r>
      <w:r>
        <w:rPr>
          <w:color w:val="auto"/>
          <w:highlight w:val="none"/>
        </w:rPr>
        <w:fldChar w:fldCharType="separate"/>
      </w:r>
      <w:r>
        <w:rPr>
          <w:color w:val="auto"/>
          <w:highlight w:val="none"/>
        </w:rPr>
        <w:t>159</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_Toc12688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八、知识产权</w:t>
      </w:r>
      <w:r>
        <w:rPr>
          <w:color w:val="auto"/>
          <w:highlight w:val="none"/>
        </w:rPr>
        <w:tab/>
      </w:r>
      <w:r>
        <w:rPr>
          <w:color w:val="auto"/>
          <w:highlight w:val="none"/>
        </w:rPr>
        <w:fldChar w:fldCharType="begin"/>
      </w:r>
      <w:r>
        <w:rPr>
          <w:color w:val="auto"/>
          <w:highlight w:val="none"/>
        </w:rPr>
        <w:instrText xml:space="preserve"> PAGEREF _Toc12688 \h </w:instrText>
      </w:r>
      <w:r>
        <w:rPr>
          <w:color w:val="auto"/>
          <w:highlight w:val="none"/>
        </w:rPr>
        <w:fldChar w:fldCharType="separate"/>
      </w:r>
      <w:r>
        <w:rPr>
          <w:color w:val="auto"/>
          <w:highlight w:val="none"/>
        </w:rPr>
        <w:t>159</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_Toc761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九、BIM实施计划</w:t>
      </w:r>
      <w:r>
        <w:rPr>
          <w:color w:val="auto"/>
          <w:highlight w:val="none"/>
        </w:rPr>
        <w:tab/>
      </w:r>
      <w:r>
        <w:rPr>
          <w:color w:val="auto"/>
          <w:highlight w:val="none"/>
        </w:rPr>
        <w:fldChar w:fldCharType="begin"/>
      </w:r>
      <w:r>
        <w:rPr>
          <w:color w:val="auto"/>
          <w:highlight w:val="none"/>
        </w:rPr>
        <w:instrText xml:space="preserve"> PAGEREF _Toc761 \h </w:instrText>
      </w:r>
      <w:r>
        <w:rPr>
          <w:color w:val="auto"/>
          <w:highlight w:val="none"/>
        </w:rPr>
        <w:fldChar w:fldCharType="separate"/>
      </w:r>
      <w:r>
        <w:rPr>
          <w:color w:val="auto"/>
          <w:highlight w:val="none"/>
        </w:rPr>
        <w:t>159</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_Toc2976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十、BIM成果要求</w:t>
      </w:r>
      <w:r>
        <w:rPr>
          <w:color w:val="auto"/>
          <w:highlight w:val="none"/>
        </w:rPr>
        <w:tab/>
      </w:r>
      <w:r>
        <w:rPr>
          <w:color w:val="auto"/>
          <w:highlight w:val="none"/>
        </w:rPr>
        <w:fldChar w:fldCharType="begin"/>
      </w:r>
      <w:r>
        <w:rPr>
          <w:color w:val="auto"/>
          <w:highlight w:val="none"/>
        </w:rPr>
        <w:instrText xml:space="preserve"> PAGEREF _Toc2976 \h </w:instrText>
      </w:r>
      <w:r>
        <w:rPr>
          <w:color w:val="auto"/>
          <w:highlight w:val="none"/>
        </w:rPr>
        <w:fldChar w:fldCharType="separate"/>
      </w:r>
      <w:r>
        <w:rPr>
          <w:color w:val="auto"/>
          <w:highlight w:val="none"/>
        </w:rPr>
        <w:t>160</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_Toc29497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十一、数据安全和保存</w:t>
      </w:r>
      <w:r>
        <w:rPr>
          <w:color w:val="auto"/>
          <w:highlight w:val="none"/>
        </w:rPr>
        <w:tab/>
      </w:r>
      <w:r>
        <w:rPr>
          <w:color w:val="auto"/>
          <w:highlight w:val="none"/>
        </w:rPr>
        <w:fldChar w:fldCharType="begin"/>
      </w:r>
      <w:r>
        <w:rPr>
          <w:color w:val="auto"/>
          <w:highlight w:val="none"/>
        </w:rPr>
        <w:instrText xml:space="preserve"> PAGEREF _Toc29497 \h </w:instrText>
      </w:r>
      <w:r>
        <w:rPr>
          <w:color w:val="auto"/>
          <w:highlight w:val="none"/>
        </w:rPr>
        <w:fldChar w:fldCharType="separate"/>
      </w:r>
      <w:r>
        <w:rPr>
          <w:color w:val="auto"/>
          <w:highlight w:val="none"/>
        </w:rPr>
        <w:t>161</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_Toc3890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十二、质量保证和质量控制</w:t>
      </w:r>
      <w:r>
        <w:rPr>
          <w:color w:val="auto"/>
          <w:highlight w:val="none"/>
        </w:rPr>
        <w:tab/>
      </w:r>
      <w:r>
        <w:rPr>
          <w:color w:val="auto"/>
          <w:highlight w:val="none"/>
        </w:rPr>
        <w:fldChar w:fldCharType="begin"/>
      </w:r>
      <w:r>
        <w:rPr>
          <w:color w:val="auto"/>
          <w:highlight w:val="none"/>
        </w:rPr>
        <w:instrText xml:space="preserve"> PAGEREF _Toc3890 \h </w:instrText>
      </w:r>
      <w:r>
        <w:rPr>
          <w:color w:val="auto"/>
          <w:highlight w:val="none"/>
        </w:rPr>
        <w:fldChar w:fldCharType="separate"/>
      </w:r>
      <w:r>
        <w:rPr>
          <w:color w:val="auto"/>
          <w:highlight w:val="none"/>
        </w:rPr>
        <w:t>161</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_Toc31919 </w:instrText>
      </w:r>
      <w:r>
        <w:rPr>
          <w:rFonts w:ascii="小标宋" w:eastAsia="小标宋"/>
          <w:color w:val="auto"/>
          <w:szCs w:val="44"/>
          <w:highlight w:val="none"/>
          <w:lang w:val="zh-CN"/>
        </w:rPr>
        <w:fldChar w:fldCharType="separate"/>
      </w:r>
      <w:r>
        <w:rPr>
          <w:rFonts w:hint="eastAsia" w:ascii="宋体" w:hAnsi="宋体" w:cs="宋体"/>
          <w:color w:val="auto"/>
          <w:szCs w:val="21"/>
          <w:highlight w:val="none"/>
        </w:rPr>
        <w:t>十三、驻场人员要求：</w:t>
      </w:r>
      <w:r>
        <w:rPr>
          <w:color w:val="auto"/>
          <w:highlight w:val="none"/>
        </w:rPr>
        <w:tab/>
      </w:r>
      <w:r>
        <w:rPr>
          <w:color w:val="auto"/>
          <w:highlight w:val="none"/>
        </w:rPr>
        <w:fldChar w:fldCharType="begin"/>
      </w:r>
      <w:r>
        <w:rPr>
          <w:color w:val="auto"/>
          <w:highlight w:val="none"/>
        </w:rPr>
        <w:instrText xml:space="preserve"> PAGEREF _Toc31919 \h </w:instrText>
      </w:r>
      <w:r>
        <w:rPr>
          <w:color w:val="auto"/>
          <w:highlight w:val="none"/>
        </w:rPr>
        <w:fldChar w:fldCharType="separate"/>
      </w:r>
      <w:r>
        <w:rPr>
          <w:color w:val="auto"/>
          <w:highlight w:val="none"/>
        </w:rPr>
        <w:t>162</w:t>
      </w:r>
      <w:r>
        <w:rPr>
          <w:color w:val="auto"/>
          <w:highlight w:val="none"/>
        </w:rPr>
        <w:fldChar w:fldCharType="end"/>
      </w:r>
      <w:r>
        <w:rPr>
          <w:rFonts w:ascii="小标宋" w:eastAsia="小标宋"/>
          <w:color w:val="auto"/>
          <w:szCs w:val="44"/>
          <w:highlight w:val="none"/>
          <w:lang w:val="zh-CN"/>
        </w:rPr>
        <w:fldChar w:fldCharType="end"/>
      </w:r>
    </w:p>
    <w:p>
      <w:pPr>
        <w:pStyle w:val="60"/>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_Toc751 </w:instrText>
      </w:r>
      <w:r>
        <w:rPr>
          <w:rFonts w:ascii="小标宋" w:eastAsia="小标宋"/>
          <w:color w:val="auto"/>
          <w:szCs w:val="44"/>
          <w:highlight w:val="none"/>
          <w:lang w:val="zh-CN"/>
        </w:rPr>
        <w:fldChar w:fldCharType="separate"/>
      </w:r>
      <w:r>
        <w:rPr>
          <w:rFonts w:hint="eastAsia"/>
          <w:color w:val="auto"/>
          <w:highlight w:val="none"/>
        </w:rPr>
        <w:t>第六章  发包人提供的资料</w:t>
      </w:r>
      <w:r>
        <w:rPr>
          <w:color w:val="auto"/>
          <w:highlight w:val="none"/>
        </w:rPr>
        <w:tab/>
      </w:r>
      <w:r>
        <w:rPr>
          <w:color w:val="auto"/>
          <w:highlight w:val="none"/>
        </w:rPr>
        <w:fldChar w:fldCharType="begin"/>
      </w:r>
      <w:r>
        <w:rPr>
          <w:color w:val="auto"/>
          <w:highlight w:val="none"/>
        </w:rPr>
        <w:instrText xml:space="preserve"> PAGEREF _Toc751 \h </w:instrText>
      </w:r>
      <w:r>
        <w:rPr>
          <w:color w:val="auto"/>
          <w:highlight w:val="none"/>
        </w:rPr>
        <w:fldChar w:fldCharType="separate"/>
      </w:r>
      <w:r>
        <w:rPr>
          <w:color w:val="auto"/>
          <w:highlight w:val="none"/>
        </w:rPr>
        <w:t>163</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_Toc2871 </w:instrText>
      </w:r>
      <w:r>
        <w:rPr>
          <w:rFonts w:ascii="小标宋" w:eastAsia="小标宋"/>
          <w:color w:val="auto"/>
          <w:szCs w:val="44"/>
          <w:highlight w:val="none"/>
          <w:lang w:val="zh-CN"/>
        </w:rPr>
        <w:fldChar w:fldCharType="separate"/>
      </w:r>
      <w:r>
        <w:rPr>
          <w:rFonts w:hint="eastAsia" w:ascii="Times New Roman" w:hAnsi="Times New Roman" w:eastAsia="黑体"/>
          <w:color w:val="auto"/>
          <w:kern w:val="44"/>
          <w:szCs w:val="44"/>
          <w:highlight w:val="none"/>
        </w:rPr>
        <w:t>第七章</w:t>
      </w:r>
      <w:r>
        <w:rPr>
          <w:rFonts w:ascii="Times New Roman" w:hAnsi="Times New Roman" w:eastAsia="黑体"/>
          <w:color w:val="auto"/>
          <w:kern w:val="44"/>
          <w:szCs w:val="44"/>
          <w:highlight w:val="none"/>
        </w:rPr>
        <w:t xml:space="preserve">  </w:t>
      </w:r>
      <w:r>
        <w:rPr>
          <w:rFonts w:hint="eastAsia" w:ascii="Times New Roman" w:hAnsi="Times New Roman" w:eastAsia="黑体"/>
          <w:color w:val="auto"/>
          <w:kern w:val="44"/>
          <w:szCs w:val="44"/>
          <w:highlight w:val="none"/>
        </w:rPr>
        <w:t>投标文件格式</w:t>
      </w:r>
      <w:r>
        <w:rPr>
          <w:color w:val="auto"/>
          <w:highlight w:val="none"/>
        </w:rPr>
        <w:tab/>
      </w:r>
      <w:r>
        <w:rPr>
          <w:color w:val="auto"/>
          <w:highlight w:val="none"/>
        </w:rPr>
        <w:fldChar w:fldCharType="begin"/>
      </w:r>
      <w:r>
        <w:rPr>
          <w:color w:val="auto"/>
          <w:highlight w:val="none"/>
        </w:rPr>
        <w:instrText xml:space="preserve"> PAGEREF _Toc2871 \h </w:instrText>
      </w:r>
      <w:r>
        <w:rPr>
          <w:color w:val="auto"/>
          <w:highlight w:val="none"/>
        </w:rPr>
        <w:fldChar w:fldCharType="separate"/>
      </w:r>
      <w:r>
        <w:rPr>
          <w:color w:val="auto"/>
          <w:highlight w:val="none"/>
        </w:rPr>
        <w:t>164</w:t>
      </w:r>
      <w:r>
        <w:rPr>
          <w:color w:val="auto"/>
          <w:highlight w:val="none"/>
        </w:rPr>
        <w:fldChar w:fldCharType="end"/>
      </w:r>
      <w:r>
        <w:rPr>
          <w:rFonts w:ascii="小标宋" w:eastAsia="小标宋"/>
          <w:color w:val="auto"/>
          <w:szCs w:val="44"/>
          <w:highlight w:val="none"/>
          <w:lang w:val="zh-CN"/>
        </w:rPr>
        <w:fldChar w:fldCharType="end"/>
      </w:r>
    </w:p>
    <w:p>
      <w:pPr>
        <w:pStyle w:val="62"/>
        <w:tabs>
          <w:tab w:val="right" w:leader="dot" w:pos="9071"/>
        </w:tabs>
        <w:ind w:left="0" w:leftChars="0" w:firstLine="600" w:firstLineChars="300"/>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_Toc19384 </w:instrText>
      </w:r>
      <w:r>
        <w:rPr>
          <w:rFonts w:ascii="小标宋" w:eastAsia="小标宋"/>
          <w:color w:val="auto"/>
          <w:szCs w:val="44"/>
          <w:highlight w:val="none"/>
          <w:lang w:val="zh-CN"/>
        </w:rPr>
        <w:fldChar w:fldCharType="separate"/>
      </w:r>
      <w:r>
        <w:rPr>
          <w:rFonts w:hint="eastAsia" w:ascii="宋体" w:hAnsi="宋体"/>
          <w:bCs/>
          <w:color w:val="auto"/>
          <w:highlight w:val="none"/>
        </w:rPr>
        <w:t>投标声明书</w:t>
      </w:r>
      <w:r>
        <w:rPr>
          <w:color w:val="auto"/>
          <w:highlight w:val="none"/>
        </w:rPr>
        <w:tab/>
      </w:r>
      <w:r>
        <w:rPr>
          <w:color w:val="auto"/>
          <w:highlight w:val="none"/>
        </w:rPr>
        <w:fldChar w:fldCharType="begin"/>
      </w:r>
      <w:r>
        <w:rPr>
          <w:color w:val="auto"/>
          <w:highlight w:val="none"/>
        </w:rPr>
        <w:instrText xml:space="preserve"> PAGEREF _Toc19384 \h </w:instrText>
      </w:r>
      <w:r>
        <w:rPr>
          <w:color w:val="auto"/>
          <w:highlight w:val="none"/>
        </w:rPr>
        <w:fldChar w:fldCharType="separate"/>
      </w:r>
      <w:r>
        <w:rPr>
          <w:color w:val="auto"/>
          <w:highlight w:val="none"/>
        </w:rPr>
        <w:t>164</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_Toc16091 </w:instrText>
      </w:r>
      <w:r>
        <w:rPr>
          <w:rFonts w:ascii="小标宋" w:eastAsia="小标宋"/>
          <w:color w:val="auto"/>
          <w:szCs w:val="44"/>
          <w:highlight w:val="none"/>
          <w:lang w:val="zh-CN"/>
        </w:rPr>
        <w:fldChar w:fldCharType="separate"/>
      </w:r>
      <w:r>
        <w:rPr>
          <w:rFonts w:hint="eastAsia" w:ascii="宋体" w:hAnsi="宋体" w:cs="仿宋"/>
          <w:color w:val="auto"/>
          <w:szCs w:val="28"/>
          <w:highlight w:val="none"/>
        </w:rPr>
        <w:t>投标人及拟派项目负责人</w:t>
      </w:r>
      <w:r>
        <w:rPr>
          <w:rFonts w:hint="eastAsia" w:ascii="Times New Roman" w:hAnsi="Times New Roman"/>
          <w:color w:val="auto"/>
          <w:szCs w:val="28"/>
          <w:highlight w:val="none"/>
        </w:rPr>
        <w:t>(</w:t>
      </w:r>
      <w:r>
        <w:rPr>
          <w:rFonts w:hint="eastAsia" w:ascii="宋体" w:hAnsi="宋体" w:cs="仿宋"/>
          <w:color w:val="auto"/>
          <w:szCs w:val="28"/>
          <w:highlight w:val="none"/>
          <w:lang w:eastAsia="zh-CN"/>
        </w:rPr>
        <w:t>总监</w:t>
      </w:r>
      <w:r>
        <w:rPr>
          <w:rFonts w:hint="eastAsia" w:ascii="Times New Roman" w:hAnsi="Times New Roman"/>
          <w:color w:val="auto"/>
          <w:szCs w:val="28"/>
          <w:highlight w:val="none"/>
        </w:rPr>
        <w:t>)</w:t>
      </w:r>
      <w:r>
        <w:rPr>
          <w:rFonts w:hint="eastAsia" w:ascii="宋体" w:hAnsi="宋体" w:cs="仿宋"/>
          <w:color w:val="auto"/>
          <w:szCs w:val="28"/>
          <w:highlight w:val="none"/>
        </w:rPr>
        <w:t>信用信息情况表</w:t>
      </w:r>
      <w:r>
        <w:rPr>
          <w:rFonts w:hint="eastAsia" w:ascii="Times New Roman" w:hAnsi="Times New Roman"/>
          <w:color w:val="auto"/>
          <w:szCs w:val="28"/>
          <w:highlight w:val="none"/>
        </w:rPr>
        <w:t>(</w:t>
      </w:r>
      <w:r>
        <w:rPr>
          <w:rFonts w:hint="eastAsia" w:ascii="宋体" w:hAnsi="宋体" w:cs="仿宋"/>
          <w:color w:val="auto"/>
          <w:szCs w:val="28"/>
          <w:highlight w:val="none"/>
        </w:rPr>
        <w:t>建设</w:t>
      </w:r>
      <w:r>
        <w:rPr>
          <w:rFonts w:hint="eastAsia" w:ascii="Times New Roman" w:hAnsi="Times New Roman"/>
          <w:color w:val="auto"/>
          <w:szCs w:val="28"/>
          <w:highlight w:val="none"/>
        </w:rPr>
        <w:t>)</w:t>
      </w:r>
      <w:r>
        <w:rPr>
          <w:rFonts w:hint="eastAsia" w:ascii="Times New Roman" w:hAnsi="Times New Roman"/>
          <w:color w:val="auto"/>
          <w:szCs w:val="28"/>
          <w:highlight w:val="none"/>
          <w:lang w:eastAsia="zh-CN"/>
        </w:rPr>
        <w:t>（项目负责人）</w:t>
      </w:r>
      <w:r>
        <w:rPr>
          <w:color w:val="auto"/>
          <w:highlight w:val="none"/>
        </w:rPr>
        <w:tab/>
      </w:r>
      <w:r>
        <w:rPr>
          <w:color w:val="auto"/>
          <w:highlight w:val="none"/>
        </w:rPr>
        <w:fldChar w:fldCharType="begin"/>
      </w:r>
      <w:r>
        <w:rPr>
          <w:color w:val="auto"/>
          <w:highlight w:val="none"/>
        </w:rPr>
        <w:instrText xml:space="preserve"> PAGEREF _Toc16091 \h </w:instrText>
      </w:r>
      <w:r>
        <w:rPr>
          <w:color w:val="auto"/>
          <w:highlight w:val="none"/>
        </w:rPr>
        <w:fldChar w:fldCharType="separate"/>
      </w:r>
      <w:r>
        <w:rPr>
          <w:color w:val="auto"/>
          <w:highlight w:val="none"/>
        </w:rPr>
        <w:t>170</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_Toc17773 </w:instrText>
      </w:r>
      <w:r>
        <w:rPr>
          <w:rFonts w:ascii="小标宋" w:eastAsia="小标宋"/>
          <w:color w:val="auto"/>
          <w:szCs w:val="44"/>
          <w:highlight w:val="none"/>
          <w:lang w:val="zh-CN"/>
        </w:rPr>
        <w:fldChar w:fldCharType="separate"/>
      </w:r>
      <w:r>
        <w:rPr>
          <w:rFonts w:hint="eastAsia" w:ascii="宋体" w:hAnsi="宋体" w:cs="仿宋"/>
          <w:color w:val="auto"/>
          <w:szCs w:val="30"/>
          <w:highlight w:val="none"/>
        </w:rPr>
        <w:t>投标人及拟派项目负责人</w:t>
      </w:r>
      <w:r>
        <w:rPr>
          <w:rFonts w:hint="eastAsia" w:ascii="Times New Roman" w:hAnsi="Times New Roman"/>
          <w:color w:val="auto"/>
          <w:szCs w:val="30"/>
          <w:highlight w:val="none"/>
        </w:rPr>
        <w:t>(</w:t>
      </w:r>
      <w:r>
        <w:rPr>
          <w:rFonts w:hint="eastAsia" w:ascii="宋体" w:hAnsi="宋体" w:cs="仿宋"/>
          <w:color w:val="auto"/>
          <w:szCs w:val="30"/>
          <w:highlight w:val="none"/>
          <w:lang w:eastAsia="zh-CN"/>
        </w:rPr>
        <w:t>总监</w:t>
      </w:r>
      <w:r>
        <w:rPr>
          <w:rFonts w:hint="eastAsia" w:ascii="Times New Roman" w:hAnsi="Times New Roman"/>
          <w:color w:val="auto"/>
          <w:szCs w:val="30"/>
          <w:highlight w:val="none"/>
        </w:rPr>
        <w:t>)</w:t>
      </w:r>
      <w:r>
        <w:rPr>
          <w:rFonts w:hint="eastAsia" w:ascii="宋体" w:hAnsi="宋体" w:cs="仿宋"/>
          <w:color w:val="auto"/>
          <w:szCs w:val="30"/>
          <w:highlight w:val="none"/>
        </w:rPr>
        <w:t>信用信息情况表</w:t>
      </w:r>
      <w:r>
        <w:rPr>
          <w:rFonts w:hint="eastAsia" w:ascii="Times New Roman" w:hAnsi="Times New Roman"/>
          <w:color w:val="auto"/>
          <w:szCs w:val="30"/>
          <w:highlight w:val="none"/>
        </w:rPr>
        <w:t>(</w:t>
      </w:r>
      <w:r>
        <w:rPr>
          <w:rFonts w:hint="eastAsia" w:ascii="宋体" w:hAnsi="宋体" w:cs="仿宋"/>
          <w:color w:val="auto"/>
          <w:szCs w:val="30"/>
          <w:highlight w:val="none"/>
        </w:rPr>
        <w:t>建设</w:t>
      </w:r>
      <w:r>
        <w:rPr>
          <w:rFonts w:hint="eastAsia" w:ascii="Times New Roman" w:hAnsi="Times New Roman"/>
          <w:color w:val="auto"/>
          <w:szCs w:val="30"/>
          <w:highlight w:val="none"/>
        </w:rPr>
        <w:t>)</w:t>
      </w:r>
      <w:r>
        <w:rPr>
          <w:rFonts w:hint="eastAsia" w:ascii="Times New Roman" w:hAnsi="Times New Roman"/>
          <w:color w:val="auto"/>
          <w:szCs w:val="30"/>
          <w:highlight w:val="none"/>
          <w:lang w:eastAsia="zh-CN"/>
        </w:rPr>
        <w:t>（施工负责人）</w:t>
      </w:r>
      <w:r>
        <w:rPr>
          <w:color w:val="auto"/>
          <w:highlight w:val="none"/>
        </w:rPr>
        <w:tab/>
      </w:r>
      <w:r>
        <w:rPr>
          <w:color w:val="auto"/>
          <w:highlight w:val="none"/>
        </w:rPr>
        <w:fldChar w:fldCharType="begin"/>
      </w:r>
      <w:r>
        <w:rPr>
          <w:color w:val="auto"/>
          <w:highlight w:val="none"/>
        </w:rPr>
        <w:instrText xml:space="preserve"> PAGEREF _Toc17773 \h </w:instrText>
      </w:r>
      <w:r>
        <w:rPr>
          <w:color w:val="auto"/>
          <w:highlight w:val="none"/>
        </w:rPr>
        <w:fldChar w:fldCharType="separate"/>
      </w:r>
      <w:r>
        <w:rPr>
          <w:color w:val="auto"/>
          <w:highlight w:val="none"/>
        </w:rPr>
        <w:t>171</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_Toc22516 </w:instrText>
      </w:r>
      <w:r>
        <w:rPr>
          <w:rFonts w:ascii="小标宋" w:eastAsia="小标宋"/>
          <w:color w:val="auto"/>
          <w:szCs w:val="44"/>
          <w:highlight w:val="none"/>
          <w:lang w:val="zh-CN"/>
        </w:rPr>
        <w:fldChar w:fldCharType="separate"/>
      </w:r>
      <w:r>
        <w:rPr>
          <w:rFonts w:hint="eastAsia" w:ascii="宋体" w:hAnsi="宋体" w:cs="仿宋"/>
          <w:color w:val="auto"/>
          <w:szCs w:val="30"/>
          <w:highlight w:val="none"/>
        </w:rPr>
        <w:t>投标人及拟派项目负责人</w:t>
      </w:r>
      <w:r>
        <w:rPr>
          <w:rFonts w:hint="eastAsia" w:ascii="Times New Roman" w:hAnsi="Times New Roman"/>
          <w:color w:val="auto"/>
          <w:szCs w:val="30"/>
          <w:highlight w:val="none"/>
        </w:rPr>
        <w:t>(</w:t>
      </w:r>
      <w:r>
        <w:rPr>
          <w:rFonts w:hint="eastAsia" w:ascii="宋体" w:hAnsi="宋体" w:cs="仿宋"/>
          <w:color w:val="auto"/>
          <w:szCs w:val="30"/>
          <w:highlight w:val="none"/>
          <w:lang w:eastAsia="zh-CN"/>
        </w:rPr>
        <w:t>总监</w:t>
      </w:r>
      <w:r>
        <w:rPr>
          <w:rFonts w:hint="eastAsia" w:ascii="Times New Roman" w:hAnsi="Times New Roman"/>
          <w:color w:val="auto"/>
          <w:szCs w:val="30"/>
          <w:highlight w:val="none"/>
        </w:rPr>
        <w:t>)</w:t>
      </w:r>
      <w:r>
        <w:rPr>
          <w:rFonts w:hint="eastAsia" w:ascii="宋体" w:hAnsi="宋体" w:cs="仿宋"/>
          <w:color w:val="auto"/>
          <w:szCs w:val="30"/>
          <w:highlight w:val="none"/>
        </w:rPr>
        <w:t>信用信息情况表</w:t>
      </w:r>
      <w:r>
        <w:rPr>
          <w:rFonts w:hint="eastAsia" w:ascii="Times New Roman" w:hAnsi="Times New Roman"/>
          <w:color w:val="auto"/>
          <w:szCs w:val="30"/>
          <w:highlight w:val="none"/>
        </w:rPr>
        <w:t>(</w:t>
      </w:r>
      <w:r>
        <w:rPr>
          <w:rFonts w:hint="eastAsia" w:ascii="宋体" w:hAnsi="宋体" w:cs="仿宋"/>
          <w:color w:val="auto"/>
          <w:szCs w:val="30"/>
          <w:highlight w:val="none"/>
        </w:rPr>
        <w:t>建设</w:t>
      </w:r>
      <w:r>
        <w:rPr>
          <w:rFonts w:hint="eastAsia" w:ascii="Times New Roman" w:hAnsi="Times New Roman"/>
          <w:color w:val="auto"/>
          <w:szCs w:val="30"/>
          <w:highlight w:val="none"/>
        </w:rPr>
        <w:t>)</w:t>
      </w:r>
      <w:r>
        <w:rPr>
          <w:rFonts w:hint="eastAsia" w:ascii="Times New Roman" w:hAnsi="Times New Roman"/>
          <w:color w:val="auto"/>
          <w:szCs w:val="30"/>
          <w:highlight w:val="none"/>
          <w:lang w:eastAsia="zh-CN"/>
        </w:rPr>
        <w:t>（设计负责人）</w:t>
      </w:r>
      <w:r>
        <w:rPr>
          <w:color w:val="auto"/>
          <w:highlight w:val="none"/>
        </w:rPr>
        <w:tab/>
      </w:r>
      <w:r>
        <w:rPr>
          <w:color w:val="auto"/>
          <w:highlight w:val="none"/>
        </w:rPr>
        <w:fldChar w:fldCharType="begin"/>
      </w:r>
      <w:r>
        <w:rPr>
          <w:color w:val="auto"/>
          <w:highlight w:val="none"/>
        </w:rPr>
        <w:instrText xml:space="preserve"> PAGEREF _Toc22516 \h </w:instrText>
      </w:r>
      <w:r>
        <w:rPr>
          <w:color w:val="auto"/>
          <w:highlight w:val="none"/>
        </w:rPr>
        <w:fldChar w:fldCharType="separate"/>
      </w:r>
      <w:r>
        <w:rPr>
          <w:color w:val="auto"/>
          <w:highlight w:val="none"/>
        </w:rPr>
        <w:t>172</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_Toc25672 </w:instrText>
      </w:r>
      <w:r>
        <w:rPr>
          <w:rFonts w:ascii="小标宋" w:eastAsia="小标宋"/>
          <w:color w:val="auto"/>
          <w:szCs w:val="44"/>
          <w:highlight w:val="none"/>
          <w:lang w:val="zh-CN"/>
        </w:rPr>
        <w:fldChar w:fldCharType="separate"/>
      </w:r>
      <w:r>
        <w:rPr>
          <w:rFonts w:ascii="宋体" w:hAnsi="宋体" w:cs="宋体"/>
          <w:color w:val="auto"/>
          <w:highlight w:val="none"/>
        </w:rPr>
        <w:t xml:space="preserve">法定代表或委托代理人：         </w:t>
      </w:r>
      <w:r>
        <w:rPr>
          <w:rFonts w:hint="eastAsia" w:ascii="宋体" w:hAnsi="宋体" w:cs="宋体"/>
          <w:color w:val="auto"/>
          <w:highlight w:val="none"/>
        </w:rPr>
        <w:t>（签字或盖章）</w:t>
      </w:r>
      <w:r>
        <w:rPr>
          <w:color w:val="auto"/>
          <w:highlight w:val="none"/>
        </w:rPr>
        <w:tab/>
      </w:r>
      <w:r>
        <w:rPr>
          <w:color w:val="auto"/>
          <w:highlight w:val="none"/>
        </w:rPr>
        <w:fldChar w:fldCharType="begin"/>
      </w:r>
      <w:r>
        <w:rPr>
          <w:color w:val="auto"/>
          <w:highlight w:val="none"/>
        </w:rPr>
        <w:instrText xml:space="preserve"> PAGEREF _Toc25672 \h </w:instrText>
      </w:r>
      <w:r>
        <w:rPr>
          <w:color w:val="auto"/>
          <w:highlight w:val="none"/>
        </w:rPr>
        <w:fldChar w:fldCharType="separate"/>
      </w:r>
      <w:r>
        <w:rPr>
          <w:color w:val="auto"/>
          <w:highlight w:val="none"/>
        </w:rPr>
        <w:t>180</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_Toc29471 </w:instrText>
      </w:r>
      <w:r>
        <w:rPr>
          <w:rFonts w:ascii="小标宋" w:eastAsia="小标宋"/>
          <w:color w:val="auto"/>
          <w:szCs w:val="44"/>
          <w:highlight w:val="none"/>
          <w:lang w:val="zh-CN"/>
        </w:rPr>
        <w:fldChar w:fldCharType="separate"/>
      </w:r>
      <w:r>
        <w:rPr>
          <w:rFonts w:hint="eastAsia" w:ascii="宋体" w:hAnsi="宋体" w:eastAsia="宋体" w:cs="宋体"/>
          <w:bCs/>
          <w:i w:val="0"/>
          <w:iCs w:val="0"/>
          <w:color w:val="auto"/>
          <w:szCs w:val="24"/>
          <w:highlight w:val="none"/>
        </w:rPr>
        <w:t>投标函附录</w:t>
      </w:r>
      <w:r>
        <w:rPr>
          <w:color w:val="auto"/>
          <w:highlight w:val="none"/>
        </w:rPr>
        <w:tab/>
      </w:r>
      <w:r>
        <w:rPr>
          <w:color w:val="auto"/>
          <w:highlight w:val="none"/>
        </w:rPr>
        <w:fldChar w:fldCharType="begin"/>
      </w:r>
      <w:r>
        <w:rPr>
          <w:color w:val="auto"/>
          <w:highlight w:val="none"/>
        </w:rPr>
        <w:instrText xml:space="preserve"> PAGEREF _Toc29471 \h </w:instrText>
      </w:r>
      <w:r>
        <w:rPr>
          <w:color w:val="auto"/>
          <w:highlight w:val="none"/>
        </w:rPr>
        <w:fldChar w:fldCharType="separate"/>
      </w:r>
      <w:r>
        <w:rPr>
          <w:color w:val="auto"/>
          <w:highlight w:val="none"/>
        </w:rPr>
        <w:t>181</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_Toc24437 </w:instrText>
      </w:r>
      <w:r>
        <w:rPr>
          <w:rFonts w:ascii="小标宋" w:eastAsia="小标宋"/>
          <w:color w:val="auto"/>
          <w:szCs w:val="44"/>
          <w:highlight w:val="none"/>
          <w:lang w:val="zh-CN"/>
        </w:rPr>
        <w:fldChar w:fldCharType="separate"/>
      </w:r>
      <w:r>
        <w:rPr>
          <w:rFonts w:hint="eastAsia"/>
          <w:color w:val="auto"/>
          <w:highlight w:val="none"/>
        </w:rPr>
        <w:t>工程总承包项目清单及计价表</w:t>
      </w:r>
      <w:r>
        <w:rPr>
          <w:color w:val="auto"/>
          <w:highlight w:val="none"/>
        </w:rPr>
        <w:tab/>
      </w:r>
      <w:r>
        <w:rPr>
          <w:color w:val="auto"/>
          <w:highlight w:val="none"/>
        </w:rPr>
        <w:fldChar w:fldCharType="begin"/>
      </w:r>
      <w:r>
        <w:rPr>
          <w:color w:val="auto"/>
          <w:highlight w:val="none"/>
        </w:rPr>
        <w:instrText xml:space="preserve"> PAGEREF _Toc24437 \h </w:instrText>
      </w:r>
      <w:r>
        <w:rPr>
          <w:color w:val="auto"/>
          <w:highlight w:val="none"/>
        </w:rPr>
        <w:fldChar w:fldCharType="separate"/>
      </w:r>
      <w:r>
        <w:rPr>
          <w:color w:val="auto"/>
          <w:highlight w:val="none"/>
        </w:rPr>
        <w:t>182</w:t>
      </w:r>
      <w:r>
        <w:rPr>
          <w:color w:val="auto"/>
          <w:highlight w:val="none"/>
        </w:rPr>
        <w:fldChar w:fldCharType="end"/>
      </w:r>
      <w:r>
        <w:rPr>
          <w:rFonts w:ascii="小标宋" w:eastAsia="小标宋"/>
          <w:color w:val="auto"/>
          <w:szCs w:val="44"/>
          <w:highlight w:val="none"/>
          <w:lang w:val="zh-CN"/>
        </w:rPr>
        <w:fldChar w:fldCharType="end"/>
      </w:r>
    </w:p>
    <w:p>
      <w:pPr>
        <w:pStyle w:val="61"/>
        <w:tabs>
          <w:tab w:val="right" w:leader="dot" w:pos="9071"/>
        </w:tabs>
        <w:rPr>
          <w:color w:val="auto"/>
          <w:highlight w:val="none"/>
        </w:rPr>
      </w:pPr>
      <w:r>
        <w:rPr>
          <w:rFonts w:ascii="小标宋" w:eastAsia="小标宋"/>
          <w:color w:val="auto"/>
          <w:szCs w:val="44"/>
          <w:highlight w:val="none"/>
          <w:lang w:val="zh-CN"/>
        </w:rPr>
        <w:fldChar w:fldCharType="begin"/>
      </w:r>
      <w:r>
        <w:rPr>
          <w:rFonts w:ascii="小标宋" w:eastAsia="小标宋"/>
          <w:color w:val="auto"/>
          <w:szCs w:val="44"/>
          <w:highlight w:val="none"/>
          <w:lang w:val="zh-CN"/>
        </w:rPr>
        <w:instrText xml:space="preserve"> HYPERLINK \l _Toc4949 </w:instrText>
      </w:r>
      <w:r>
        <w:rPr>
          <w:rFonts w:ascii="小标宋" w:eastAsia="小标宋"/>
          <w:color w:val="auto"/>
          <w:szCs w:val="44"/>
          <w:highlight w:val="none"/>
          <w:lang w:val="zh-CN"/>
        </w:rPr>
        <w:fldChar w:fldCharType="separate"/>
      </w:r>
      <w:r>
        <w:rPr>
          <w:rFonts w:hint="eastAsia" w:ascii="宋体" w:hAnsi="宋体"/>
          <w:bCs/>
          <w:color w:val="auto"/>
          <w:szCs w:val="28"/>
          <w:highlight w:val="none"/>
        </w:rPr>
        <w:t>主要材料选用品牌一览表</w:t>
      </w:r>
      <w:r>
        <w:rPr>
          <w:color w:val="auto"/>
          <w:highlight w:val="none"/>
        </w:rPr>
        <w:tab/>
      </w:r>
      <w:r>
        <w:rPr>
          <w:color w:val="auto"/>
          <w:highlight w:val="none"/>
        </w:rPr>
        <w:fldChar w:fldCharType="begin"/>
      </w:r>
      <w:r>
        <w:rPr>
          <w:color w:val="auto"/>
          <w:highlight w:val="none"/>
        </w:rPr>
        <w:instrText xml:space="preserve"> PAGEREF _Toc4949 \h </w:instrText>
      </w:r>
      <w:r>
        <w:rPr>
          <w:color w:val="auto"/>
          <w:highlight w:val="none"/>
        </w:rPr>
        <w:fldChar w:fldCharType="separate"/>
      </w:r>
      <w:r>
        <w:rPr>
          <w:color w:val="auto"/>
          <w:highlight w:val="none"/>
        </w:rPr>
        <w:t>189</w:t>
      </w:r>
      <w:r>
        <w:rPr>
          <w:color w:val="auto"/>
          <w:highlight w:val="none"/>
        </w:rPr>
        <w:fldChar w:fldCharType="end"/>
      </w:r>
      <w:r>
        <w:rPr>
          <w:rFonts w:ascii="小标宋" w:eastAsia="小标宋"/>
          <w:color w:val="auto"/>
          <w:szCs w:val="44"/>
          <w:highlight w:val="none"/>
          <w:lang w:val="zh-CN"/>
        </w:rPr>
        <w:fldChar w:fldCharType="end"/>
      </w:r>
    </w:p>
    <w:p>
      <w:pPr>
        <w:snapToGrid w:val="0"/>
        <w:jc w:val="center"/>
        <w:rPr>
          <w:rFonts w:ascii="小标宋" w:eastAsia="小标宋"/>
          <w:color w:val="auto"/>
          <w:sz w:val="44"/>
          <w:szCs w:val="44"/>
          <w:highlight w:val="none"/>
          <w:lang w:val="zh-CN"/>
        </w:rPr>
      </w:pPr>
      <w:r>
        <w:rPr>
          <w:rFonts w:ascii="小标宋" w:eastAsia="小标宋"/>
          <w:color w:val="auto"/>
          <w:szCs w:val="44"/>
          <w:highlight w:val="none"/>
          <w:lang w:val="zh-CN"/>
        </w:rPr>
        <w:fldChar w:fldCharType="end"/>
      </w:r>
    </w:p>
    <w:p>
      <w:pPr>
        <w:pStyle w:val="17"/>
        <w:tabs>
          <w:tab w:val="right" w:leader="dot" w:pos="8835"/>
        </w:tabs>
        <w:rPr>
          <w:rFonts w:cs="宋体"/>
          <w:color w:val="auto"/>
          <w:kern w:val="2"/>
          <w:highlight w:val="none"/>
        </w:rPr>
      </w:pPr>
    </w:p>
    <w:p>
      <w:pPr>
        <w:spacing w:line="360" w:lineRule="auto"/>
        <w:rPr>
          <w:rFonts w:ascii="宋体" w:hAnsi="宋体" w:cs="宋体"/>
          <w:bCs/>
          <w:color w:val="auto"/>
          <w:kern w:val="44"/>
          <w:highlight w:val="none"/>
        </w:rPr>
      </w:pPr>
      <w:r>
        <w:rPr>
          <w:rFonts w:hint="eastAsia" w:ascii="宋体" w:hAnsi="宋体" w:cs="宋体"/>
          <w:bCs/>
          <w:color w:val="auto"/>
          <w:kern w:val="44"/>
          <w:highlight w:val="none"/>
        </w:rPr>
        <w:br w:type="page"/>
      </w:r>
    </w:p>
    <w:p>
      <w:pPr>
        <w:spacing w:line="360" w:lineRule="auto"/>
        <w:ind w:firstLine="880" w:firstLineChars="200"/>
        <w:jc w:val="center"/>
        <w:outlineLvl w:val="0"/>
        <w:rPr>
          <w:rFonts w:ascii="Times New Roman" w:hAnsi="Times New Roman" w:eastAsia="黑体"/>
          <w:bCs/>
          <w:color w:val="auto"/>
          <w:kern w:val="44"/>
          <w:sz w:val="44"/>
          <w:szCs w:val="44"/>
          <w:highlight w:val="none"/>
        </w:rPr>
      </w:pPr>
      <w:bookmarkStart w:id="2" w:name="_Toc20334"/>
      <w:r>
        <w:rPr>
          <w:rFonts w:hint="eastAsia" w:ascii="Times New Roman" w:hAnsi="Times New Roman" w:eastAsia="黑体"/>
          <w:bCs/>
          <w:color w:val="auto"/>
          <w:kern w:val="44"/>
          <w:sz w:val="44"/>
          <w:szCs w:val="44"/>
          <w:highlight w:val="none"/>
        </w:rPr>
        <w:t>第一章</w:t>
      </w:r>
      <w:r>
        <w:rPr>
          <w:rFonts w:ascii="Times New Roman" w:hAnsi="Times New Roman" w:eastAsia="黑体"/>
          <w:bCs/>
          <w:color w:val="auto"/>
          <w:kern w:val="44"/>
          <w:sz w:val="44"/>
          <w:szCs w:val="44"/>
          <w:highlight w:val="none"/>
        </w:rPr>
        <w:t xml:space="preserve"> </w:t>
      </w:r>
      <w:r>
        <w:rPr>
          <w:rFonts w:hint="eastAsia" w:ascii="Times New Roman" w:hAnsi="Times New Roman" w:eastAsia="黑体"/>
          <w:bCs/>
          <w:color w:val="auto"/>
          <w:kern w:val="44"/>
          <w:sz w:val="44"/>
          <w:szCs w:val="44"/>
          <w:highlight w:val="none"/>
        </w:rPr>
        <w:t>招标公告</w:t>
      </w:r>
      <w:bookmarkEnd w:id="2"/>
    </w:p>
    <w:p>
      <w:pPr>
        <w:ind w:firstLine="562" w:firstLineChars="200"/>
        <w:jc w:val="center"/>
        <w:rPr>
          <w:b/>
          <w:color w:val="auto"/>
          <w:sz w:val="28"/>
          <w:szCs w:val="28"/>
          <w:highlight w:val="none"/>
        </w:rPr>
      </w:pPr>
      <w:r>
        <w:rPr>
          <w:rFonts w:hint="eastAsia"/>
          <w:b/>
          <w:color w:val="auto"/>
          <w:sz w:val="28"/>
          <w:szCs w:val="28"/>
          <w:highlight w:val="none"/>
        </w:rPr>
        <w:t>湖州市南太湖新区太湖湾单元（TH-08-02）13E、14C、15B、16A-1、16A-2、16B、17A、17B-1、17B-2、17C、18B-1、18B-2、20B-1、20B-2、27E、28B-1、28B-2、29B、13E-1、20B-3号地块（长东未来社区）开发建设项目工程总承包项目招标公告</w:t>
      </w:r>
    </w:p>
    <w:p>
      <w:pPr>
        <w:spacing w:line="360" w:lineRule="auto"/>
        <w:ind w:firstLine="643" w:firstLineChars="200"/>
        <w:outlineLvl w:val="1"/>
        <w:rPr>
          <w:rFonts w:ascii="宋体" w:hAnsi="宋体"/>
          <w:b/>
          <w:color w:val="auto"/>
          <w:sz w:val="32"/>
          <w:szCs w:val="32"/>
          <w:highlight w:val="none"/>
        </w:rPr>
      </w:pPr>
      <w:bookmarkStart w:id="3" w:name="bookmark2"/>
      <w:bookmarkEnd w:id="3"/>
      <w:bookmarkStart w:id="4" w:name="_Toc26001996"/>
      <w:bookmarkStart w:id="5" w:name="_Toc29163"/>
      <w:bookmarkStart w:id="6" w:name="_Toc45697220"/>
      <w:bookmarkStart w:id="7" w:name="_Toc24050269"/>
      <w:bookmarkStart w:id="8" w:name="_Toc22827968"/>
      <w:bookmarkStart w:id="9" w:name="_Toc22072"/>
      <w:bookmarkStart w:id="10" w:name="_Toc22828051"/>
      <w:bookmarkStart w:id="11" w:name="_Toc26002049"/>
      <w:r>
        <w:rPr>
          <w:rFonts w:ascii="宋体" w:hAnsi="宋体"/>
          <w:b/>
          <w:color w:val="auto"/>
          <w:sz w:val="32"/>
          <w:szCs w:val="32"/>
          <w:highlight w:val="none"/>
        </w:rPr>
        <w:t>1.招标条件</w:t>
      </w:r>
      <w:bookmarkEnd w:id="4"/>
      <w:bookmarkEnd w:id="5"/>
      <w:bookmarkEnd w:id="6"/>
      <w:bookmarkEnd w:id="7"/>
      <w:bookmarkEnd w:id="8"/>
      <w:bookmarkEnd w:id="9"/>
      <w:bookmarkEnd w:id="10"/>
      <w:bookmarkEnd w:id="11"/>
    </w:p>
    <w:p>
      <w:pPr>
        <w:pStyle w:val="18"/>
        <w:snapToGrid w:val="0"/>
        <w:spacing w:beforeAutospacing="0" w:afterAutospacing="0" w:line="400" w:lineRule="exact"/>
        <w:ind w:firstLine="422" w:firstLineChars="200"/>
        <w:rPr>
          <w:rFonts w:hint="eastAsia" w:cs="宋体"/>
          <w:b/>
          <w:color w:val="auto"/>
          <w:sz w:val="21"/>
          <w:szCs w:val="21"/>
          <w:highlight w:val="none"/>
        </w:rPr>
      </w:pPr>
      <w:bookmarkStart w:id="12" w:name="_Hlk24014946"/>
      <w:bookmarkStart w:id="13" w:name="_Hlk24015002"/>
      <w:r>
        <w:rPr>
          <w:rFonts w:hint="eastAsia" w:cs="宋体"/>
          <w:b/>
          <w:color w:val="auto"/>
          <w:sz w:val="21"/>
          <w:szCs w:val="21"/>
          <w:highlight w:val="none"/>
        </w:rPr>
        <w:t>本项目为全流程电子招投标项目【采用远程不见面开标方式】，</w:t>
      </w:r>
      <w:r>
        <w:rPr>
          <w:rFonts w:hint="eastAsia" w:cs="宋体"/>
          <w:b/>
          <w:bCs/>
          <w:color w:val="auto"/>
          <w:sz w:val="21"/>
          <w:szCs w:val="21"/>
          <w:highlight w:val="none"/>
        </w:rPr>
        <w:t>本项目招标文件已于</w:t>
      </w:r>
      <w:r>
        <w:rPr>
          <w:rFonts w:hint="eastAsia" w:cs="宋体"/>
          <w:b/>
          <w:bCs/>
          <w:color w:val="auto"/>
          <w:sz w:val="21"/>
          <w:szCs w:val="21"/>
          <w:highlight w:val="none"/>
          <w:lang w:val="en-US" w:eastAsia="zh-CN"/>
        </w:rPr>
        <w:t>2022</w:t>
      </w:r>
      <w:r>
        <w:rPr>
          <w:rFonts w:hint="eastAsia" w:cs="宋体"/>
          <w:b/>
          <w:bCs/>
          <w:color w:val="auto"/>
          <w:sz w:val="21"/>
          <w:szCs w:val="21"/>
          <w:highlight w:val="none"/>
        </w:rPr>
        <w:t>年</w:t>
      </w:r>
      <w:r>
        <w:rPr>
          <w:rFonts w:hint="eastAsia" w:cs="宋体"/>
          <w:b/>
          <w:bCs/>
          <w:color w:val="auto"/>
          <w:sz w:val="21"/>
          <w:szCs w:val="21"/>
          <w:highlight w:val="none"/>
          <w:lang w:val="en-US" w:eastAsia="zh-CN"/>
        </w:rPr>
        <w:t>7</w:t>
      </w:r>
      <w:r>
        <w:rPr>
          <w:rFonts w:hint="eastAsia" w:cs="宋体"/>
          <w:b/>
          <w:bCs/>
          <w:color w:val="auto"/>
          <w:sz w:val="21"/>
          <w:szCs w:val="21"/>
          <w:highlight w:val="none"/>
        </w:rPr>
        <w:t>月</w:t>
      </w:r>
      <w:r>
        <w:rPr>
          <w:rFonts w:hint="eastAsia" w:cs="宋体"/>
          <w:b/>
          <w:bCs/>
          <w:color w:val="auto"/>
          <w:sz w:val="21"/>
          <w:szCs w:val="21"/>
          <w:highlight w:val="none"/>
          <w:lang w:val="en-US" w:eastAsia="zh-CN"/>
        </w:rPr>
        <w:t>20</w:t>
      </w:r>
      <w:r>
        <w:rPr>
          <w:rFonts w:hint="eastAsia" w:cs="宋体"/>
          <w:b/>
          <w:bCs/>
          <w:color w:val="auto"/>
          <w:sz w:val="21"/>
          <w:szCs w:val="21"/>
          <w:highlight w:val="none"/>
        </w:rPr>
        <w:t>日至</w:t>
      </w:r>
      <w:r>
        <w:rPr>
          <w:rFonts w:hint="eastAsia" w:cs="宋体"/>
          <w:b/>
          <w:bCs/>
          <w:color w:val="auto"/>
          <w:sz w:val="21"/>
          <w:szCs w:val="21"/>
          <w:highlight w:val="none"/>
          <w:lang w:val="en-US" w:eastAsia="zh-CN"/>
        </w:rPr>
        <w:t>2022</w:t>
      </w:r>
      <w:r>
        <w:rPr>
          <w:rFonts w:hint="eastAsia" w:cs="宋体"/>
          <w:b/>
          <w:bCs/>
          <w:color w:val="auto"/>
          <w:sz w:val="21"/>
          <w:szCs w:val="21"/>
          <w:highlight w:val="none"/>
        </w:rPr>
        <w:t>年</w:t>
      </w:r>
      <w:r>
        <w:rPr>
          <w:rFonts w:hint="eastAsia" w:cs="宋体"/>
          <w:b/>
          <w:bCs/>
          <w:color w:val="auto"/>
          <w:sz w:val="21"/>
          <w:szCs w:val="21"/>
          <w:highlight w:val="none"/>
          <w:lang w:val="en-US" w:eastAsia="zh-CN"/>
        </w:rPr>
        <w:t>7</w:t>
      </w:r>
      <w:r>
        <w:rPr>
          <w:rFonts w:hint="eastAsia" w:cs="宋体"/>
          <w:b/>
          <w:bCs/>
          <w:color w:val="auto"/>
          <w:sz w:val="21"/>
          <w:szCs w:val="21"/>
          <w:highlight w:val="none"/>
        </w:rPr>
        <w:t>月</w:t>
      </w:r>
      <w:r>
        <w:rPr>
          <w:rFonts w:hint="eastAsia" w:cs="宋体"/>
          <w:b/>
          <w:bCs/>
          <w:color w:val="auto"/>
          <w:sz w:val="21"/>
          <w:szCs w:val="21"/>
          <w:highlight w:val="none"/>
          <w:lang w:val="en-US" w:eastAsia="zh-CN"/>
        </w:rPr>
        <w:t>23</w:t>
      </w:r>
      <w:r>
        <w:rPr>
          <w:rFonts w:hint="eastAsia" w:cs="宋体"/>
          <w:b/>
          <w:bCs/>
          <w:color w:val="auto"/>
          <w:sz w:val="21"/>
          <w:szCs w:val="21"/>
          <w:highlight w:val="none"/>
        </w:rPr>
        <w:t>日在湖州市公共资源交易平台公示。</w:t>
      </w:r>
    </w:p>
    <w:p>
      <w:pPr>
        <w:tabs>
          <w:tab w:val="left" w:pos="1343"/>
          <w:tab w:val="left" w:pos="2697"/>
          <w:tab w:val="left" w:pos="3264"/>
          <w:tab w:val="left" w:pos="4896"/>
          <w:tab w:val="left" w:pos="6005"/>
          <w:tab w:val="left" w:pos="7085"/>
          <w:tab w:val="left" w:pos="7498"/>
        </w:tabs>
        <w:kinsoku w:val="0"/>
        <w:spacing w:line="360" w:lineRule="auto"/>
        <w:ind w:firstLine="476" w:firstLineChars="200"/>
        <w:rPr>
          <w:color w:val="auto"/>
          <w:highlight w:val="none"/>
        </w:rPr>
      </w:pPr>
      <w:r>
        <w:rPr>
          <w:color w:val="auto"/>
          <w:spacing w:val="-1"/>
          <w:highlight w:val="none"/>
          <w:u w:val="single"/>
        </w:rPr>
        <w:t xml:space="preserve">  </w:t>
      </w:r>
      <w:bookmarkEnd w:id="12"/>
      <w:r>
        <w:rPr>
          <w:rFonts w:hint="eastAsia"/>
          <w:color w:val="auto"/>
          <w:spacing w:val="-1"/>
          <w:highlight w:val="none"/>
          <w:u w:val="single"/>
        </w:rPr>
        <w:t>湖州市南太湖新区太湖湾单元（TH-08-02）13E、14C、15B、16A-1、16A-2、16B、17A、17B-1、17B-2、17C、18B-1、18B-2、20B-1、20B-2、27E、28B-1、28B-2、29B、13E-1、20B-3号地块（长东未来社区）开发建设项目工程总承包项目</w:t>
      </w:r>
      <w:r>
        <w:rPr>
          <w:rFonts w:hint="eastAsia" w:cs="宋体"/>
          <w:b/>
          <w:bCs/>
          <w:color w:val="auto"/>
          <w:sz w:val="21"/>
          <w:szCs w:val="21"/>
          <w:highlight w:val="none"/>
          <w:u w:val="single"/>
        </w:rPr>
        <w:t xml:space="preserve">  </w:t>
      </w:r>
      <w:r>
        <w:rPr>
          <w:rFonts w:hint="eastAsia"/>
          <w:color w:val="auto"/>
          <w:spacing w:val="-1"/>
          <w:highlight w:val="none"/>
        </w:rPr>
        <w:t>已由</w:t>
      </w:r>
      <w:r>
        <w:rPr>
          <w:rFonts w:hint="eastAsia"/>
          <w:color w:val="auto"/>
          <w:spacing w:val="-1"/>
          <w:highlight w:val="none"/>
          <w:u w:val="single"/>
        </w:rPr>
        <w:t xml:space="preserve">  南太湖新区湖州南太湖新区管委会政务服务中心</w:t>
      </w:r>
      <w:r>
        <w:rPr>
          <w:rFonts w:hint="eastAsia"/>
          <w:color w:val="auto"/>
          <w:spacing w:val="-5"/>
          <w:highlight w:val="none"/>
        </w:rPr>
        <w:t>以</w:t>
      </w:r>
      <w:r>
        <w:rPr>
          <w:rFonts w:hint="eastAsia"/>
          <w:color w:val="auto"/>
          <w:spacing w:val="-4"/>
          <w:highlight w:val="none"/>
          <w:u w:val="single"/>
        </w:rPr>
        <w:t xml:space="preserve">  浙江省企业投资项目备案表项目代码2112-330591-04-01-435408</w:t>
      </w:r>
      <w:r>
        <w:rPr>
          <w:rFonts w:hint="eastAsia"/>
          <w:color w:val="auto"/>
          <w:spacing w:val="-4"/>
          <w:highlight w:val="none"/>
        </w:rPr>
        <w:t>批准建设，建设资金来</w:t>
      </w:r>
      <w:r>
        <w:rPr>
          <w:color w:val="auto"/>
          <w:spacing w:val="-97"/>
          <w:highlight w:val="none"/>
        </w:rPr>
        <w:t xml:space="preserve"> </w:t>
      </w:r>
      <w:r>
        <w:rPr>
          <w:rFonts w:hint="eastAsia"/>
          <w:color w:val="auto"/>
          <w:spacing w:val="-1"/>
          <w:highlight w:val="none"/>
        </w:rPr>
        <w:t>自</w:t>
      </w:r>
      <w:r>
        <w:rPr>
          <w:rFonts w:hint="eastAsia"/>
          <w:color w:val="auto"/>
          <w:spacing w:val="-12"/>
          <w:highlight w:val="none"/>
          <w:u w:val="single"/>
        </w:rPr>
        <w:t xml:space="preserve">  自筹 </w:t>
      </w:r>
      <w:r>
        <w:rPr>
          <w:rFonts w:hint="eastAsia"/>
          <w:color w:val="auto"/>
          <w:spacing w:val="-12"/>
          <w:highlight w:val="none"/>
        </w:rPr>
        <w:t>，出资比例为</w:t>
      </w:r>
      <w:r>
        <w:rPr>
          <w:rFonts w:hint="eastAsia"/>
          <w:i/>
          <w:iCs/>
          <w:color w:val="auto"/>
          <w:spacing w:val="-12"/>
          <w:highlight w:val="none"/>
          <w:u w:val="single"/>
        </w:rPr>
        <w:t xml:space="preserve"> </w:t>
      </w:r>
      <w:r>
        <w:rPr>
          <w:rFonts w:hint="eastAsia" w:cs="宋体"/>
          <w:b/>
          <w:bCs/>
          <w:color w:val="auto"/>
          <w:sz w:val="21"/>
          <w:szCs w:val="21"/>
          <w:highlight w:val="none"/>
          <w:u w:val="single"/>
        </w:rPr>
        <w:t>100%</w:t>
      </w:r>
      <w:r>
        <w:rPr>
          <w:rFonts w:hint="eastAsia"/>
          <w:color w:val="auto"/>
          <w:spacing w:val="-12"/>
          <w:highlight w:val="none"/>
          <w:u w:val="single"/>
        </w:rPr>
        <w:t xml:space="preserve"> </w:t>
      </w:r>
      <w:r>
        <w:rPr>
          <w:rFonts w:hint="eastAsia"/>
          <w:color w:val="auto"/>
          <w:spacing w:val="-6"/>
          <w:highlight w:val="none"/>
        </w:rPr>
        <w:t>，项目业主为</w:t>
      </w:r>
      <w:r>
        <w:rPr>
          <w:color w:val="auto"/>
          <w:spacing w:val="-6"/>
          <w:highlight w:val="none"/>
          <w:u w:val="single"/>
        </w:rPr>
        <w:t xml:space="preserve">  </w:t>
      </w:r>
      <w:r>
        <w:rPr>
          <w:rFonts w:hint="eastAsia" w:cs="宋体"/>
          <w:b/>
          <w:bCs/>
          <w:color w:val="auto"/>
          <w:sz w:val="21"/>
          <w:szCs w:val="21"/>
          <w:highlight w:val="none"/>
          <w:u w:val="single"/>
        </w:rPr>
        <w:t>湖州市南太湖未来社区建设发展有限公司</w:t>
      </w:r>
      <w:r>
        <w:rPr>
          <w:color w:val="auto"/>
          <w:spacing w:val="-6"/>
          <w:highlight w:val="none"/>
          <w:u w:val="single"/>
        </w:rPr>
        <w:t xml:space="preserve">  </w:t>
      </w:r>
      <w:r>
        <w:rPr>
          <w:rFonts w:hint="eastAsia"/>
          <w:color w:val="auto"/>
          <w:spacing w:val="-6"/>
          <w:highlight w:val="none"/>
        </w:rPr>
        <w:t>，招标人为</w:t>
      </w:r>
      <w:r>
        <w:rPr>
          <w:rFonts w:hint="eastAsia" w:cs="宋体"/>
          <w:b/>
          <w:bCs/>
          <w:color w:val="auto"/>
          <w:sz w:val="21"/>
          <w:szCs w:val="21"/>
          <w:highlight w:val="none"/>
          <w:u w:val="single"/>
        </w:rPr>
        <w:t>湖州市南太湖未来社区建设发展有限公司</w:t>
      </w:r>
      <w:r>
        <w:rPr>
          <w:color w:val="auto"/>
          <w:spacing w:val="-6"/>
          <w:highlight w:val="none"/>
          <w:u w:val="single"/>
        </w:rPr>
        <w:t xml:space="preserve"> </w:t>
      </w:r>
      <w:r>
        <w:rPr>
          <w:rFonts w:hint="eastAsia"/>
          <w:color w:val="auto"/>
          <w:spacing w:val="-6"/>
          <w:highlight w:val="none"/>
        </w:rPr>
        <w:t>，委托代理机构为</w:t>
      </w:r>
      <w:r>
        <w:rPr>
          <w:color w:val="auto"/>
          <w:spacing w:val="-6"/>
          <w:highlight w:val="none"/>
          <w:u w:val="single"/>
        </w:rPr>
        <w:t xml:space="preserve"> </w:t>
      </w:r>
      <w:r>
        <w:rPr>
          <w:rFonts w:hint="eastAsia" w:cs="宋体"/>
          <w:b/>
          <w:bCs/>
          <w:color w:val="auto"/>
          <w:sz w:val="21"/>
          <w:szCs w:val="21"/>
          <w:highlight w:val="none"/>
          <w:u w:val="single"/>
        </w:rPr>
        <w:t>浙江天钫工程管理咨询有限公司</w:t>
      </w:r>
      <w:r>
        <w:rPr>
          <w:color w:val="auto"/>
          <w:spacing w:val="-6"/>
          <w:highlight w:val="none"/>
          <w:u w:val="single"/>
        </w:rPr>
        <w:t xml:space="preserve"> </w:t>
      </w:r>
      <w:r>
        <w:rPr>
          <w:rFonts w:hint="eastAsia"/>
          <w:color w:val="auto"/>
          <w:spacing w:val="-4"/>
          <w:highlight w:val="none"/>
        </w:rPr>
        <w:t>。项目已具备招标</w:t>
      </w:r>
      <w:r>
        <w:rPr>
          <w:color w:val="auto"/>
          <w:spacing w:val="-95"/>
          <w:highlight w:val="none"/>
        </w:rPr>
        <w:t xml:space="preserve"> </w:t>
      </w:r>
      <w:r>
        <w:rPr>
          <w:rFonts w:hint="eastAsia"/>
          <w:color w:val="auto"/>
          <w:highlight w:val="none"/>
        </w:rPr>
        <w:t>条件</w:t>
      </w:r>
      <w:bookmarkEnd w:id="13"/>
      <w:r>
        <w:rPr>
          <w:rFonts w:hint="eastAsia"/>
          <w:color w:val="auto"/>
          <w:highlight w:val="none"/>
        </w:rPr>
        <w:t>，现对该项目的</w:t>
      </w:r>
      <w:r>
        <w:rPr>
          <w:rFonts w:hint="eastAsia" w:cs="宋体"/>
          <w:b/>
          <w:bCs/>
          <w:color w:val="auto"/>
          <w:sz w:val="21"/>
          <w:szCs w:val="21"/>
          <w:highlight w:val="none"/>
          <w:u w:val="single"/>
        </w:rPr>
        <w:t>工程总承包（设计、施工、采购）</w:t>
      </w:r>
      <w:r>
        <w:rPr>
          <w:rFonts w:hint="eastAsia"/>
          <w:color w:val="auto"/>
          <w:highlight w:val="none"/>
        </w:rPr>
        <w:t>进行公开招标。</w:t>
      </w:r>
    </w:p>
    <w:p>
      <w:pPr>
        <w:spacing w:line="360" w:lineRule="auto"/>
        <w:ind w:firstLine="643" w:firstLineChars="200"/>
        <w:outlineLvl w:val="1"/>
        <w:rPr>
          <w:rFonts w:ascii="宋体" w:hAnsi="宋体"/>
          <w:b/>
          <w:color w:val="auto"/>
          <w:sz w:val="32"/>
          <w:szCs w:val="32"/>
          <w:highlight w:val="none"/>
        </w:rPr>
      </w:pPr>
      <w:bookmarkStart w:id="14" w:name="bookmark3"/>
      <w:bookmarkEnd w:id="14"/>
      <w:bookmarkStart w:id="15" w:name="_Toc26001997"/>
      <w:bookmarkStart w:id="16" w:name="_Toc22828052"/>
      <w:bookmarkStart w:id="17" w:name="_Toc1387"/>
      <w:bookmarkStart w:id="18" w:name="_Toc20011"/>
      <w:bookmarkStart w:id="19" w:name="_Toc26002050"/>
      <w:bookmarkStart w:id="20" w:name="_Toc24050270"/>
      <w:bookmarkStart w:id="21" w:name="_Toc45697221"/>
      <w:bookmarkStart w:id="22" w:name="_Toc22827969"/>
      <w:r>
        <w:rPr>
          <w:rFonts w:ascii="宋体" w:hAnsi="宋体"/>
          <w:b/>
          <w:color w:val="auto"/>
          <w:sz w:val="32"/>
          <w:szCs w:val="32"/>
          <w:highlight w:val="none"/>
        </w:rPr>
        <w:t>2.项目概况与招标范围</w:t>
      </w:r>
      <w:bookmarkEnd w:id="15"/>
      <w:bookmarkEnd w:id="16"/>
      <w:bookmarkEnd w:id="17"/>
      <w:bookmarkEnd w:id="18"/>
      <w:bookmarkEnd w:id="19"/>
      <w:bookmarkEnd w:id="20"/>
      <w:bookmarkEnd w:id="21"/>
      <w:bookmarkEnd w:id="22"/>
      <w:bookmarkStart w:id="23" w:name="_Hlk24015039"/>
    </w:p>
    <w:p>
      <w:pPr>
        <w:tabs>
          <w:tab w:val="left" w:pos="1343"/>
          <w:tab w:val="left" w:pos="2697"/>
          <w:tab w:val="left" w:pos="3264"/>
          <w:tab w:val="left" w:pos="4896"/>
          <w:tab w:val="left" w:pos="6005"/>
          <w:tab w:val="left" w:pos="7085"/>
          <w:tab w:val="left" w:pos="7498"/>
        </w:tabs>
        <w:kinsoku w:val="0"/>
        <w:spacing w:line="360" w:lineRule="auto"/>
        <w:ind w:firstLine="464" w:firstLineChars="200"/>
        <w:rPr>
          <w:rFonts w:hint="eastAsia"/>
          <w:color w:val="auto"/>
          <w:spacing w:val="-4"/>
          <w:highlight w:val="none"/>
        </w:rPr>
      </w:pPr>
      <w:r>
        <w:rPr>
          <w:rFonts w:hint="eastAsia"/>
          <w:color w:val="auto"/>
          <w:spacing w:val="-4"/>
          <w:highlight w:val="none"/>
        </w:rPr>
        <w:t>2.1项目概况：本项目投资估算</w:t>
      </w:r>
      <w:r>
        <w:rPr>
          <w:rFonts w:hint="eastAsia"/>
          <w:color w:val="auto"/>
          <w:spacing w:val="-4"/>
          <w:highlight w:val="none"/>
          <w:u w:val="single"/>
        </w:rPr>
        <w:t xml:space="preserve"> 629378</w:t>
      </w:r>
      <w:r>
        <w:rPr>
          <w:rFonts w:hint="eastAsia"/>
          <w:color w:val="auto"/>
          <w:spacing w:val="-4"/>
          <w:highlight w:val="none"/>
        </w:rPr>
        <w:t xml:space="preserve"> 万元，工程概算</w:t>
      </w:r>
      <w:r>
        <w:rPr>
          <w:rFonts w:hint="eastAsia"/>
          <w:color w:val="auto"/>
          <w:spacing w:val="-4"/>
          <w:highlight w:val="none"/>
          <w:u w:val="single"/>
        </w:rPr>
        <w:t xml:space="preserve"> 341</w:t>
      </w:r>
      <w:r>
        <w:rPr>
          <w:rFonts w:hint="eastAsia"/>
          <w:color w:val="auto"/>
          <w:spacing w:val="-4"/>
          <w:highlight w:val="none"/>
          <w:u w:val="single"/>
          <w:lang w:val="en-US" w:eastAsia="zh-CN"/>
        </w:rPr>
        <w:t>978</w:t>
      </w:r>
      <w:r>
        <w:rPr>
          <w:rFonts w:hint="eastAsia"/>
          <w:color w:val="auto"/>
          <w:spacing w:val="-4"/>
          <w:highlight w:val="none"/>
          <w:u w:val="single"/>
        </w:rPr>
        <w:t xml:space="preserve"> </w:t>
      </w:r>
      <w:r>
        <w:rPr>
          <w:rFonts w:hint="eastAsia"/>
          <w:color w:val="auto"/>
          <w:spacing w:val="-4"/>
          <w:highlight w:val="none"/>
        </w:rPr>
        <w:t>万元，其中建安工程造价</w:t>
      </w:r>
      <w:r>
        <w:rPr>
          <w:rFonts w:hint="eastAsia"/>
          <w:color w:val="auto"/>
          <w:spacing w:val="-4"/>
          <w:highlight w:val="none"/>
          <w:u w:val="single"/>
          <w:lang w:eastAsia="zh-CN"/>
        </w:rPr>
        <w:t>约</w:t>
      </w:r>
      <w:r>
        <w:rPr>
          <w:rFonts w:hint="eastAsia"/>
          <w:color w:val="auto"/>
          <w:spacing w:val="-4"/>
          <w:highlight w:val="none"/>
          <w:u w:val="single"/>
          <w:lang w:val="en-US" w:eastAsia="zh-CN"/>
        </w:rPr>
        <w:t>307840</w:t>
      </w:r>
      <w:r>
        <w:rPr>
          <w:rFonts w:hint="eastAsia"/>
          <w:color w:val="auto"/>
          <w:spacing w:val="-4"/>
          <w:highlight w:val="none"/>
        </w:rPr>
        <w:t>万元，建设规模：</w:t>
      </w:r>
      <w:r>
        <w:rPr>
          <w:rFonts w:hint="eastAsia"/>
          <w:color w:val="auto"/>
          <w:spacing w:val="-4"/>
          <w:highlight w:val="none"/>
          <w:u w:val="single"/>
        </w:rPr>
        <w:t>项目位于湖州南太湖新区太湖湾单元的未来社区片区，内部分成20个子地块，北侧为长东路，其他侧均临水。建设内容主要包括住宅、人才公寓、配套商业、九大场景与双创空间及代征绿地、规划道路、规划绿地、16B和17A地块公园、部分空中公共廊道</w:t>
      </w:r>
      <w:r>
        <w:rPr>
          <w:rFonts w:hint="eastAsia"/>
          <w:color w:val="auto"/>
          <w:spacing w:val="-4"/>
          <w:highlight w:val="none"/>
          <w:u w:val="single"/>
          <w:lang w:eastAsia="zh-CN"/>
        </w:rPr>
        <w:t>（</w:t>
      </w:r>
      <w:r>
        <w:rPr>
          <w:rFonts w:hint="eastAsia"/>
          <w:color w:val="auto"/>
          <w:highlight w:val="none"/>
          <w:u w:val="single"/>
        </w:rPr>
        <w:t>见附件</w:t>
      </w:r>
      <w:r>
        <w:rPr>
          <w:rFonts w:hint="eastAsia"/>
          <w:color w:val="auto"/>
          <w:highlight w:val="none"/>
          <w:u w:val="single"/>
          <w:lang w:eastAsia="zh-CN"/>
        </w:rPr>
        <w:t>）</w:t>
      </w:r>
      <w:r>
        <w:rPr>
          <w:rFonts w:hint="eastAsia"/>
          <w:color w:val="auto"/>
          <w:spacing w:val="-4"/>
          <w:highlight w:val="none"/>
          <w:u w:val="single"/>
        </w:rPr>
        <w:t>。本项目建筑面积按国家标准《GB/T 50353-2013》计算，总用地面积199902平方米，新增建筑总面积约624846平方米，其中地上建筑面积约442764平方米，地下建筑面积约182082平方米。其中住宅约328455平方米，人才公寓约70955平方米，九大场景与双创空间及配套商业约45449平方米（含地下文化活动中心兼运动场馆约2095平方米）。本项目建筑面积计算口径：按建筑工程建筑面积计算规范（GB/T50353-2013）计入。</w:t>
      </w:r>
    </w:p>
    <w:p>
      <w:pPr>
        <w:tabs>
          <w:tab w:val="left" w:pos="1343"/>
          <w:tab w:val="left" w:pos="2697"/>
          <w:tab w:val="left" w:pos="3264"/>
          <w:tab w:val="left" w:pos="4896"/>
          <w:tab w:val="left" w:pos="6005"/>
          <w:tab w:val="left" w:pos="7085"/>
          <w:tab w:val="left" w:pos="7498"/>
        </w:tabs>
        <w:kinsoku w:val="0"/>
        <w:spacing w:line="360" w:lineRule="auto"/>
        <w:ind w:firstLine="464" w:firstLineChars="200"/>
        <w:rPr>
          <w:rFonts w:ascii="宋体" w:hAnsi="宋体"/>
          <w:color w:val="auto"/>
          <w:highlight w:val="none"/>
        </w:rPr>
      </w:pPr>
      <w:r>
        <w:rPr>
          <w:rFonts w:hint="eastAsia"/>
          <w:color w:val="auto"/>
          <w:spacing w:val="-4"/>
          <w:highlight w:val="none"/>
        </w:rPr>
        <w:t>建设地点：</w:t>
      </w:r>
      <w:r>
        <w:rPr>
          <w:rFonts w:hint="eastAsia"/>
          <w:color w:val="auto"/>
          <w:spacing w:val="-4"/>
          <w:highlight w:val="none"/>
          <w:u w:val="single"/>
        </w:rPr>
        <w:t>太湖湾单元（TH-08-02）13E、14C、15B、16A-1、16A-2、16B、17A、17B-1、17B-2、17C、18B-1、18B-2、20B-1、20B-2、27E、28B-1、28B-2、29B、13E-1、20B-3号地块。</w:t>
      </w:r>
    </w:p>
    <w:p>
      <w:pPr>
        <w:widowControl/>
        <w:spacing w:line="400" w:lineRule="exact"/>
        <w:ind w:firstLine="480" w:firstLineChars="200"/>
        <w:rPr>
          <w:rFonts w:ascii="宋体" w:hAnsi="宋体"/>
          <w:color w:val="auto"/>
          <w:highlight w:val="none"/>
        </w:rPr>
      </w:pPr>
      <w:r>
        <w:rPr>
          <w:rFonts w:ascii="宋体" w:hAnsi="宋体"/>
          <w:color w:val="auto"/>
          <w:highlight w:val="none"/>
        </w:rPr>
        <w:t>2.2本次</w:t>
      </w:r>
      <w:r>
        <w:rPr>
          <w:rFonts w:hint="eastAsia" w:ascii="宋体" w:hAnsi="宋体"/>
          <w:color w:val="auto"/>
          <w:highlight w:val="none"/>
        </w:rPr>
        <w:t>招标范围：</w:t>
      </w:r>
      <w:r>
        <w:rPr>
          <w:rFonts w:ascii="宋体" w:hAnsi="宋体"/>
          <w:color w:val="auto"/>
          <w:highlight w:val="none"/>
          <w:u w:val="single"/>
        </w:rPr>
        <w:t xml:space="preserve">  </w:t>
      </w:r>
      <w:r>
        <w:rPr>
          <w:rFonts w:hint="eastAsia" w:ascii="宋体" w:hAnsi="宋体" w:cs="宋体"/>
          <w:b/>
          <w:bCs/>
          <w:color w:val="auto"/>
          <w:highlight w:val="none"/>
          <w:u w:val="single"/>
        </w:rPr>
        <w:t xml:space="preserve">设计、施工、采购工程总承包，包括上述范围内的设计、采购、施工、管理、验收、移交、备案和保修服务，并对工程的质量、安全、工期、造价等全面负责  </w:t>
      </w:r>
      <w:r>
        <w:rPr>
          <w:rFonts w:hint="eastAsia" w:ascii="宋体" w:hAnsi="宋体"/>
          <w:color w:val="auto"/>
          <w:highlight w:val="none"/>
        </w:rPr>
        <w:t>。本次招标控制价</w:t>
      </w:r>
      <w:r>
        <w:rPr>
          <w:rFonts w:hint="eastAsia" w:ascii="宋体" w:hAnsi="宋体"/>
          <w:color w:val="auto"/>
          <w:highlight w:val="none"/>
          <w:u w:val="single"/>
        </w:rPr>
        <w:t xml:space="preserve"> 307948</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4226 </w:t>
      </w:r>
      <w:r>
        <w:rPr>
          <w:rFonts w:hint="eastAsia" w:ascii="宋体" w:hAnsi="宋体"/>
          <w:color w:val="auto"/>
          <w:highlight w:val="none"/>
        </w:rPr>
        <w:t>万元。</w:t>
      </w:r>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outlineLvl w:val="2"/>
        <w:rPr>
          <w:rFonts w:ascii="宋体" w:hAnsi="宋体"/>
          <w:color w:val="auto"/>
          <w:highlight w:val="none"/>
          <w:u w:val="single"/>
        </w:rPr>
      </w:pPr>
      <w:bookmarkStart w:id="24" w:name="_Toc32010"/>
      <w:r>
        <w:rPr>
          <w:rFonts w:ascii="宋体" w:hAnsi="宋体"/>
          <w:color w:val="auto"/>
          <w:highlight w:val="none"/>
        </w:rPr>
        <w:t>2.3</w:t>
      </w:r>
      <w:r>
        <w:rPr>
          <w:rFonts w:hint="eastAsia" w:ascii="宋体" w:hAnsi="宋体"/>
          <w:color w:val="auto"/>
          <w:highlight w:val="none"/>
        </w:rPr>
        <w:t>计划工期：</w:t>
      </w:r>
      <w:r>
        <w:rPr>
          <w:rFonts w:ascii="宋体" w:hAnsi="宋体"/>
          <w:color w:val="auto"/>
          <w:highlight w:val="none"/>
          <w:u w:val="single"/>
        </w:rPr>
        <w:t xml:space="preserve"> </w:t>
      </w:r>
      <w:r>
        <w:rPr>
          <w:rFonts w:hint="eastAsia" w:ascii="宋体" w:hAnsi="宋体"/>
          <w:color w:val="auto"/>
          <w:highlight w:val="none"/>
          <w:u w:val="single"/>
          <w:lang w:val="en-US" w:eastAsia="zh-CN"/>
        </w:rPr>
        <w:t>900</w:t>
      </w:r>
      <w:r>
        <w:rPr>
          <w:rFonts w:hint="eastAsia" w:ascii="宋体" w:hAnsi="宋体"/>
          <w:color w:val="auto"/>
          <w:highlight w:val="none"/>
          <w:u w:val="single"/>
        </w:rPr>
        <w:t>日历天</w:t>
      </w:r>
      <w:r>
        <w:rPr>
          <w:rFonts w:ascii="宋体" w:hAnsi="宋体"/>
          <w:color w:val="auto"/>
          <w:highlight w:val="none"/>
          <w:u w:val="single"/>
        </w:rPr>
        <w:t xml:space="preserve">  </w:t>
      </w:r>
      <w:r>
        <w:rPr>
          <w:rFonts w:hint="eastAsia" w:ascii="宋体" w:hAnsi="宋体"/>
          <w:color w:val="auto"/>
          <w:highlight w:val="none"/>
        </w:rPr>
        <w:t>。</w:t>
      </w:r>
      <w:bookmarkEnd w:id="24"/>
    </w:p>
    <w:bookmarkEnd w:id="23"/>
    <w:p>
      <w:pPr>
        <w:spacing w:line="360" w:lineRule="auto"/>
        <w:ind w:firstLine="643" w:firstLineChars="200"/>
        <w:outlineLvl w:val="1"/>
        <w:rPr>
          <w:rFonts w:ascii="宋体" w:hAnsi="宋体"/>
          <w:b/>
          <w:color w:val="auto"/>
          <w:sz w:val="32"/>
          <w:szCs w:val="32"/>
          <w:highlight w:val="none"/>
        </w:rPr>
      </w:pPr>
      <w:bookmarkStart w:id="25" w:name="bookmark4"/>
      <w:bookmarkEnd w:id="25"/>
      <w:bookmarkStart w:id="26" w:name="_Toc45697222"/>
      <w:bookmarkStart w:id="27" w:name="_Toc22202"/>
      <w:bookmarkStart w:id="28" w:name="_Toc6739"/>
      <w:bookmarkStart w:id="29" w:name="_Toc26001998"/>
      <w:bookmarkStart w:id="30" w:name="_Toc22827970"/>
      <w:bookmarkStart w:id="31" w:name="_Toc24050271"/>
      <w:bookmarkStart w:id="32" w:name="_Toc26002051"/>
      <w:bookmarkStart w:id="33" w:name="_Toc22828053"/>
      <w:r>
        <w:rPr>
          <w:rFonts w:ascii="宋体" w:hAnsi="宋体"/>
          <w:b/>
          <w:color w:val="auto"/>
          <w:sz w:val="32"/>
          <w:szCs w:val="32"/>
          <w:highlight w:val="none"/>
        </w:rPr>
        <w:t>3.投标人资格要求</w:t>
      </w:r>
      <w:bookmarkEnd w:id="26"/>
      <w:bookmarkEnd w:id="27"/>
      <w:bookmarkEnd w:id="28"/>
      <w:bookmarkEnd w:id="29"/>
      <w:bookmarkEnd w:id="30"/>
      <w:bookmarkEnd w:id="31"/>
      <w:bookmarkEnd w:id="32"/>
      <w:bookmarkEnd w:id="33"/>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outlineLvl w:val="2"/>
        <w:rPr>
          <w:rFonts w:ascii="宋体" w:hAnsi="宋体"/>
          <w:color w:val="auto"/>
          <w:highlight w:val="none"/>
        </w:rPr>
      </w:pPr>
      <w:bookmarkStart w:id="34" w:name="_Toc22387"/>
      <w:bookmarkStart w:id="35" w:name="_Hlk54099124"/>
      <w:r>
        <w:rPr>
          <w:rFonts w:hint="eastAsia" w:ascii="宋体" w:hAnsi="宋体"/>
          <w:color w:val="auto"/>
          <w:highlight w:val="none"/>
          <w:shd w:val="clear" w:color="auto" w:fill="FFFFFF"/>
        </w:rPr>
        <w:t>（一）投标人</w:t>
      </w:r>
      <w:r>
        <w:rPr>
          <w:rFonts w:hint="eastAsia" w:ascii="宋体" w:hAnsi="宋体"/>
          <w:color w:val="auto"/>
          <w:highlight w:val="none"/>
        </w:rPr>
        <w:t>：</w:t>
      </w:r>
      <w:bookmarkEnd w:id="34"/>
    </w:p>
    <w:p>
      <w:pPr>
        <w:pStyle w:val="18"/>
        <w:snapToGrid w:val="0"/>
        <w:spacing w:beforeAutospacing="0" w:afterAutospacing="0" w:line="400" w:lineRule="exact"/>
        <w:ind w:firstLine="482" w:firstLineChars="200"/>
        <w:rPr>
          <w:rFonts w:hint="eastAsia" w:ascii="宋体" w:hAnsi="宋体" w:cs="宋体"/>
          <w:b/>
          <w:bCs/>
          <w:color w:val="auto"/>
          <w:highlight w:val="none"/>
          <w:u w:val="single"/>
        </w:rPr>
      </w:pPr>
      <w:r>
        <w:rPr>
          <w:rFonts w:hint="eastAsia" w:ascii="宋体" w:hAnsi="宋体" w:cs="宋体"/>
          <w:b/>
          <w:bCs/>
          <w:color w:val="auto"/>
          <w:highlight w:val="none"/>
          <w:u w:val="single"/>
        </w:rPr>
        <w:t>3.1投标人资格要求：</w:t>
      </w:r>
    </w:p>
    <w:p>
      <w:pPr>
        <w:pStyle w:val="18"/>
        <w:snapToGrid w:val="0"/>
        <w:spacing w:beforeAutospacing="0" w:afterAutospacing="0" w:line="400" w:lineRule="exact"/>
        <w:ind w:firstLine="482" w:firstLineChars="200"/>
        <w:rPr>
          <w:rFonts w:hint="eastAsia" w:ascii="宋体" w:hAnsi="宋体" w:cs="宋体"/>
          <w:b/>
          <w:bCs/>
          <w:color w:val="auto"/>
          <w:highlight w:val="none"/>
          <w:u w:val="single"/>
        </w:rPr>
      </w:pPr>
      <w:r>
        <w:rPr>
          <w:rFonts w:hint="eastAsia" w:ascii="宋体" w:hAnsi="宋体" w:cs="宋体"/>
          <w:b/>
          <w:bCs/>
          <w:color w:val="auto"/>
          <w:highlight w:val="none"/>
          <w:u w:val="single"/>
        </w:rPr>
        <w:t>3.1.1投标人须具备有效的建筑工程施工总承包一级及以上，且具备有效的安全生产许可证；</w:t>
      </w:r>
    </w:p>
    <w:p>
      <w:pPr>
        <w:pStyle w:val="18"/>
        <w:snapToGrid w:val="0"/>
        <w:spacing w:beforeAutospacing="0" w:afterAutospacing="0" w:line="400" w:lineRule="exact"/>
        <w:ind w:firstLine="482" w:firstLineChars="200"/>
        <w:rPr>
          <w:rFonts w:hint="eastAsia" w:ascii="宋体" w:hAnsi="宋体" w:cs="宋体"/>
          <w:b/>
          <w:bCs/>
          <w:color w:val="auto"/>
          <w:highlight w:val="none"/>
          <w:u w:val="single"/>
        </w:rPr>
      </w:pPr>
      <w:r>
        <w:rPr>
          <w:rFonts w:hint="eastAsia" w:ascii="宋体" w:hAnsi="宋体" w:cs="宋体"/>
          <w:b/>
          <w:bCs/>
          <w:color w:val="auto"/>
          <w:highlight w:val="none"/>
          <w:u w:val="single"/>
        </w:rPr>
        <w:t>3.1.2投标人须具备工程设计综合资质或具备建筑行业（建筑工程）设计甲级资质。</w:t>
      </w:r>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ascii="宋体" w:hAnsi="宋体"/>
          <w:color w:val="auto"/>
          <w:highlight w:val="none"/>
        </w:rPr>
      </w:pPr>
      <w:r>
        <w:rPr>
          <w:rFonts w:ascii="宋体" w:hAnsi="宋体"/>
          <w:color w:val="auto"/>
          <w:highlight w:val="none"/>
        </w:rPr>
        <w:t>3.2</w:t>
      </w:r>
      <w:r>
        <w:rPr>
          <w:rFonts w:hint="eastAsia" w:ascii="宋体" w:hAnsi="宋体"/>
          <w:color w:val="auto"/>
          <w:highlight w:val="none"/>
        </w:rPr>
        <w:t>本次招标（</w:t>
      </w:r>
      <w:r>
        <w:rPr>
          <w:rFonts w:hint="eastAsia" w:ascii="宋体" w:hAnsi="宋体"/>
          <w:color w:val="auto"/>
          <w:highlight w:val="none"/>
        </w:rPr>
        <w:sym w:font="Wingdings 2" w:char="0052"/>
      </w:r>
      <w:r>
        <w:rPr>
          <w:rFonts w:hint="eastAsia" w:ascii="宋体" w:hAnsi="宋体"/>
          <w:color w:val="auto"/>
          <w:highlight w:val="none"/>
        </w:rPr>
        <w:t>接受/□不接受</w:t>
      </w:r>
      <w:r>
        <w:rPr>
          <w:rFonts w:ascii="宋体" w:hAnsi="宋体"/>
          <w:color w:val="auto"/>
          <w:highlight w:val="none"/>
        </w:rPr>
        <w:t>）</w:t>
      </w:r>
      <w:r>
        <w:rPr>
          <w:rFonts w:hint="eastAsia" w:ascii="宋体" w:hAnsi="宋体"/>
          <w:color w:val="auto"/>
          <w:highlight w:val="none"/>
        </w:rPr>
        <w:t>联合体投标。</w:t>
      </w:r>
      <w:r>
        <w:rPr>
          <w:rFonts w:hint="eastAsia" w:ascii="宋体" w:hAnsi="宋体"/>
          <w:color w:val="auto"/>
          <w:highlight w:val="none"/>
        </w:rPr>
        <w:sym w:font="Wingdings 2" w:char="0052"/>
      </w:r>
      <w:r>
        <w:rPr>
          <w:rFonts w:hint="eastAsia" w:ascii="宋体" w:hAnsi="宋体"/>
          <w:color w:val="auto"/>
          <w:highlight w:val="none"/>
        </w:rPr>
        <w:t>联合体投标的，应满足下列要求：</w:t>
      </w:r>
    </w:p>
    <w:p>
      <w:pPr>
        <w:tabs>
          <w:tab w:val="left" w:pos="1343"/>
          <w:tab w:val="left" w:pos="2697"/>
          <w:tab w:val="left" w:pos="4896"/>
          <w:tab w:val="left" w:pos="6005"/>
          <w:tab w:val="left" w:pos="7085"/>
          <w:tab w:val="left" w:pos="7498"/>
        </w:tabs>
        <w:kinsoku w:val="0"/>
        <w:snapToGrid w:val="0"/>
        <w:spacing w:line="360" w:lineRule="auto"/>
        <w:ind w:firstLine="480" w:firstLineChars="200"/>
        <w:outlineLvl w:val="1"/>
        <w:rPr>
          <w:rFonts w:ascii="宋体" w:hAnsi="宋体"/>
          <w:color w:val="auto"/>
          <w:highlight w:val="none"/>
        </w:rPr>
      </w:pPr>
      <w:bookmarkStart w:id="36" w:name="_Toc32156"/>
      <w:r>
        <w:rPr>
          <w:rFonts w:ascii="宋体" w:hAnsi="宋体"/>
          <w:color w:val="auto"/>
          <w:highlight w:val="none"/>
        </w:rPr>
        <w:t>1</w:t>
      </w:r>
      <w:r>
        <w:rPr>
          <w:rFonts w:hint="eastAsia" w:ascii="宋体" w:hAnsi="宋体"/>
          <w:color w:val="auto"/>
          <w:highlight w:val="none"/>
        </w:rPr>
        <w:t>.项目负责人由牵头单位人员担任</w:t>
      </w:r>
      <w:r>
        <w:rPr>
          <w:rFonts w:ascii="宋体" w:hAnsi="宋体"/>
          <w:color w:val="auto"/>
          <w:highlight w:val="none"/>
        </w:rPr>
        <w:t>；</w:t>
      </w:r>
      <w:bookmarkEnd w:id="36"/>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w:t>
      </w:r>
      <w:r>
        <w:rPr>
          <w:rFonts w:ascii="宋体" w:hAnsi="宋体"/>
          <w:color w:val="auto"/>
          <w:highlight w:val="none"/>
        </w:rPr>
        <w:sym w:font="Wingdings 2" w:char="0052"/>
      </w:r>
      <w:r>
        <w:rPr>
          <w:rFonts w:hint="eastAsia" w:ascii="宋体" w:hAnsi="宋体"/>
          <w:color w:val="auto"/>
          <w:highlight w:val="none"/>
        </w:rPr>
        <w:t>联合体数量不超过</w:t>
      </w:r>
      <w:r>
        <w:rPr>
          <w:rFonts w:ascii="宋体" w:hAnsi="宋体"/>
          <w:color w:val="auto"/>
          <w:highlight w:val="none"/>
          <w:u w:val="single"/>
        </w:rPr>
        <w:t xml:space="preserve">   </w:t>
      </w:r>
      <w:r>
        <w:rPr>
          <w:rFonts w:hint="eastAsia" w:ascii="宋体" w:hAnsi="宋体"/>
          <w:color w:val="auto"/>
          <w:highlight w:val="none"/>
          <w:u w:val="single"/>
        </w:rPr>
        <w:t>2</w:t>
      </w:r>
      <w:r>
        <w:rPr>
          <w:rFonts w:ascii="宋体" w:hAnsi="宋体"/>
          <w:color w:val="auto"/>
          <w:highlight w:val="none"/>
          <w:u w:val="single"/>
        </w:rPr>
        <w:t xml:space="preserve">    </w:t>
      </w:r>
      <w:r>
        <w:rPr>
          <w:rFonts w:ascii="宋体" w:hAnsi="宋体"/>
          <w:color w:val="auto"/>
          <w:highlight w:val="none"/>
        </w:rPr>
        <w:t>个</w:t>
      </w:r>
      <w:r>
        <w:rPr>
          <w:rFonts w:hint="eastAsia" w:ascii="宋体" w:hAnsi="宋体"/>
          <w:color w:val="auto"/>
          <w:highlight w:val="none"/>
        </w:rPr>
        <w:t>；</w:t>
      </w:r>
    </w:p>
    <w:p>
      <w:pPr>
        <w:spacing w:line="400" w:lineRule="exact"/>
        <w:ind w:firstLine="480" w:firstLineChars="200"/>
        <w:rPr>
          <w:rFonts w:hint="eastAsia" w:ascii="宋体" w:hAnsi="宋体" w:cs="宋体"/>
          <w:b/>
          <w:bCs/>
          <w:color w:val="auto"/>
          <w:highlight w:val="none"/>
          <w:u w:val="single"/>
        </w:rPr>
      </w:pPr>
      <w:r>
        <w:rPr>
          <w:rFonts w:ascii="宋体" w:hAnsi="宋体"/>
          <w:color w:val="auto"/>
          <w:highlight w:val="none"/>
        </w:rPr>
        <w:t>3</w:t>
      </w:r>
      <w:r>
        <w:rPr>
          <w:rFonts w:hint="eastAsia" w:ascii="宋体" w:hAnsi="宋体"/>
          <w:color w:val="auto"/>
          <w:highlight w:val="none"/>
        </w:rPr>
        <w:t>.</w:t>
      </w:r>
      <w:r>
        <w:rPr>
          <w:rFonts w:ascii="宋体" w:hAnsi="宋体"/>
          <w:color w:val="auto"/>
          <w:highlight w:val="none"/>
        </w:rPr>
        <w:sym w:font="Wingdings 2" w:char="0052"/>
      </w:r>
      <w:r>
        <w:rPr>
          <w:rFonts w:hint="eastAsia" w:ascii="宋体" w:hAnsi="宋体"/>
          <w:color w:val="auto"/>
          <w:highlight w:val="none"/>
        </w:rPr>
        <w:t>其他：</w:t>
      </w:r>
      <w:r>
        <w:rPr>
          <w:rFonts w:ascii="宋体" w:hAnsi="宋体"/>
          <w:color w:val="auto"/>
          <w:highlight w:val="none"/>
          <w:u w:val="single"/>
        </w:rPr>
        <w:t xml:space="preserve">  </w:t>
      </w:r>
      <w:r>
        <w:rPr>
          <w:rFonts w:hint="eastAsia" w:ascii="宋体" w:hAnsi="宋体" w:cs="宋体"/>
          <w:b/>
          <w:bCs/>
          <w:color w:val="auto"/>
          <w:highlight w:val="none"/>
          <w:u w:val="single"/>
        </w:rPr>
        <w:t>本项目接受联合体投标，如为联合体，联合体单位总数不得超过2家，即由1家具备施工资质（即满足第3.1.1条要求）和1家具备设计资质（即满足第3.1.2条要求）的企业组成联合体投标，且必须以具备施工资质（即满足第3.1.1条要求）的企业为联合体牵头人。</w:t>
      </w:r>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ascii="宋体" w:hAnsi="宋体"/>
          <w:color w:val="auto"/>
          <w:highlight w:val="none"/>
        </w:rPr>
      </w:pPr>
      <w:r>
        <w:rPr>
          <w:rFonts w:ascii="宋体" w:hAnsi="宋体"/>
          <w:color w:val="auto"/>
          <w:highlight w:val="none"/>
        </w:rPr>
        <w:t>3.3</w:t>
      </w:r>
      <w:r>
        <w:rPr>
          <w:rFonts w:ascii="宋体" w:hAnsi="宋体"/>
          <w:color w:val="auto"/>
          <w:highlight w:val="none"/>
        </w:rPr>
        <w:sym w:font="Wingdings 2" w:char="0052"/>
      </w:r>
      <w:r>
        <w:rPr>
          <w:rFonts w:hint="eastAsia" w:ascii="宋体" w:hAnsi="宋体"/>
          <w:color w:val="auto"/>
          <w:highlight w:val="none"/>
        </w:rPr>
        <w:t>具备有效的企业安全生产许可证（联合体投标的，由联合体牵头人提供）。</w:t>
      </w:r>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ascii="宋体" w:hAnsi="宋体"/>
          <w:color w:val="auto"/>
          <w:highlight w:val="none"/>
        </w:rPr>
        <w:t>3.4</w:t>
      </w:r>
      <w:r>
        <w:rPr>
          <w:rFonts w:ascii="宋体" w:hAnsi="宋体"/>
          <w:color w:val="auto"/>
          <w:highlight w:val="none"/>
        </w:rPr>
        <w:sym w:font="Wingdings 2" w:char="0052"/>
      </w:r>
      <w:r>
        <w:rPr>
          <w:rFonts w:hint="eastAsia" w:ascii="宋体" w:hAnsi="宋体"/>
          <w:color w:val="auto"/>
          <w:highlight w:val="none"/>
        </w:rPr>
        <w:t>自 2017 年 7月 1  日以来承接过单个合同金额拾亿元及以上的房建施工业绩；</w:t>
      </w:r>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eastAsia="宋体" w:cs="Times New Roman"/>
          <w:color w:val="auto"/>
          <w:highlight w:val="none"/>
          <w:u w:val="single"/>
        </w:rPr>
      </w:pPr>
      <w:r>
        <w:rPr>
          <w:rFonts w:hint="eastAsia" w:ascii="宋体" w:hAnsi="宋体"/>
          <w:color w:val="auto"/>
          <w:highlight w:val="none"/>
        </w:rPr>
        <w:t>（业绩证明材料：①经当地主管部门备案的中标通知书②合同；【注：①如为联合体投标，则为联合体牵头单位满足上述业绩要求②以合同签订的时间为准③承担EPC总承包项目中施工任务的视作施工业绩】）</w:t>
      </w:r>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ascii="宋体" w:hAnsi="宋体"/>
          <w:color w:val="auto"/>
          <w:highlight w:val="none"/>
        </w:rPr>
      </w:pPr>
      <w:r>
        <w:rPr>
          <w:rFonts w:ascii="宋体" w:hAnsi="宋体"/>
          <w:color w:val="auto"/>
          <w:highlight w:val="none"/>
        </w:rPr>
        <w:t>3.5</w:t>
      </w:r>
      <w:r>
        <w:rPr>
          <w:rFonts w:ascii="宋体" w:hAnsi="宋体"/>
          <w:color w:val="auto"/>
          <w:highlight w:val="none"/>
        </w:rPr>
        <w:sym w:font="Wingdings 2" w:char="0052"/>
      </w:r>
      <w:r>
        <w:rPr>
          <w:rFonts w:hint="eastAsia" w:ascii="宋体" w:hAnsi="宋体"/>
          <w:color w:val="auto"/>
          <w:highlight w:val="none"/>
        </w:rPr>
        <w:t>企业主要负责人（法定代表人、企业经理、企业分管安全生产的副经理、企业技术负责人）具有“三类人员”A类证书（联合体投标的，由联合体牵头人提供）。</w:t>
      </w:r>
    </w:p>
    <w:p>
      <w:pPr>
        <w:widowControl/>
        <w:snapToGrid w:val="0"/>
        <w:spacing w:line="360" w:lineRule="auto"/>
        <w:ind w:firstLine="480" w:firstLineChars="200"/>
        <w:textAlignment w:val="bottom"/>
        <w:outlineLvl w:val="2"/>
        <w:rPr>
          <w:rFonts w:ascii="宋体" w:hAnsi="宋体"/>
          <w:color w:val="auto"/>
          <w:highlight w:val="none"/>
        </w:rPr>
      </w:pPr>
      <w:bookmarkStart w:id="37" w:name="_Toc23824"/>
      <w:r>
        <w:rPr>
          <w:rFonts w:hint="eastAsia" w:ascii="宋体" w:hAnsi="宋体"/>
          <w:color w:val="auto"/>
          <w:highlight w:val="none"/>
        </w:rPr>
        <w:t>（二）拟派项目负责人、设计负责人、施工负责人：</w:t>
      </w:r>
      <w:bookmarkEnd w:id="37"/>
    </w:p>
    <w:p>
      <w:pPr>
        <w:tabs>
          <w:tab w:val="left" w:pos="1343"/>
          <w:tab w:val="left" w:pos="2697"/>
          <w:tab w:val="left" w:pos="3264"/>
          <w:tab w:val="left" w:pos="4896"/>
          <w:tab w:val="left" w:pos="6600"/>
          <w:tab w:val="left" w:pos="7498"/>
        </w:tabs>
        <w:kinsoku w:val="0"/>
        <w:snapToGrid w:val="0"/>
        <w:spacing w:line="360" w:lineRule="auto"/>
        <w:ind w:firstLine="480" w:firstLineChars="200"/>
        <w:rPr>
          <w:rFonts w:ascii="宋体" w:hAnsi="宋体"/>
          <w:color w:val="auto"/>
          <w:highlight w:val="none"/>
        </w:rPr>
      </w:pPr>
      <w:r>
        <w:rPr>
          <w:rFonts w:ascii="宋体" w:hAnsi="宋体"/>
          <w:color w:val="auto"/>
          <w:highlight w:val="none"/>
        </w:rPr>
        <w:t>3.</w:t>
      </w:r>
      <w:bookmarkStart w:id="38" w:name="_Hlk24015190"/>
      <w:r>
        <w:rPr>
          <w:rFonts w:hint="eastAsia" w:ascii="宋体" w:hAnsi="宋体"/>
          <w:color w:val="auto"/>
          <w:highlight w:val="none"/>
        </w:rPr>
        <w:t>6拟派项目负责人具有注册在投标人单位的</w:t>
      </w:r>
      <w:r>
        <w:rPr>
          <w:rFonts w:ascii="宋体" w:hAnsi="宋体"/>
          <w:color w:val="auto"/>
          <w:highlight w:val="none"/>
          <w:u w:val="single"/>
        </w:rPr>
        <w:t xml:space="preserve">  </w:t>
      </w:r>
      <w:r>
        <w:rPr>
          <w:rFonts w:hint="eastAsia" w:ascii="宋体" w:hAnsi="宋体" w:cs="宋体"/>
          <w:b/>
          <w:bCs/>
          <w:color w:val="auto"/>
          <w:highlight w:val="none"/>
          <w:u w:val="single"/>
        </w:rPr>
        <w:t>建筑工程一级注册建造师（不含临时建造师）或一级注册建筑师或一级注册结构工程师或</w:t>
      </w:r>
      <w:r>
        <w:rPr>
          <w:rFonts w:hint="eastAsia" w:ascii="宋体" w:hAnsi="宋体" w:cs="宋体"/>
          <w:b/>
          <w:bCs/>
          <w:i w:val="0"/>
          <w:iCs w:val="0"/>
          <w:color w:val="auto"/>
          <w:sz w:val="24"/>
          <w:szCs w:val="24"/>
          <w:highlight w:val="none"/>
          <w:u w:val="single"/>
          <w:lang w:eastAsia="zh-CN"/>
        </w:rPr>
        <w:t>房屋建筑工程专业</w:t>
      </w:r>
      <w:r>
        <w:rPr>
          <w:rFonts w:hint="eastAsia" w:ascii="宋体" w:hAnsi="宋体" w:cs="宋体"/>
          <w:b/>
          <w:bCs/>
          <w:color w:val="auto"/>
          <w:highlight w:val="none"/>
          <w:u w:val="single"/>
          <w:lang w:val="en-US" w:eastAsia="zh-CN"/>
        </w:rPr>
        <w:t>国家</w:t>
      </w:r>
      <w:r>
        <w:rPr>
          <w:rFonts w:hint="eastAsia" w:ascii="宋体" w:hAnsi="宋体" w:cs="宋体"/>
          <w:b/>
          <w:bCs/>
          <w:color w:val="auto"/>
          <w:highlight w:val="none"/>
          <w:u w:val="single"/>
        </w:rPr>
        <w:t xml:space="preserve">注册监理工程师  </w:t>
      </w:r>
      <w:r>
        <w:rPr>
          <w:rFonts w:ascii="宋体" w:hAnsi="宋体"/>
          <w:color w:val="auto"/>
          <w:highlight w:val="none"/>
          <w:u w:val="single"/>
        </w:rPr>
        <w:t xml:space="preserve">  </w:t>
      </w:r>
      <w:r>
        <w:rPr>
          <w:rFonts w:hint="eastAsia" w:ascii="宋体" w:hAnsi="宋体"/>
          <w:color w:val="auto"/>
          <w:highlight w:val="none"/>
        </w:rPr>
        <w:t>执业资格；□</w:t>
      </w:r>
      <w:r>
        <w:rPr>
          <w:rFonts w:ascii="宋体" w:hAnsi="宋体"/>
          <w:color w:val="auto"/>
          <w:highlight w:val="none"/>
          <w:u w:val="single"/>
        </w:rPr>
        <w:t xml:space="preserve">     </w:t>
      </w:r>
      <w:r>
        <w:rPr>
          <w:rFonts w:hint="eastAsia" w:ascii="宋体" w:hAnsi="宋体"/>
          <w:color w:val="auto"/>
          <w:highlight w:val="none"/>
        </w:rPr>
        <w:t>高级专业技术职称。</w:t>
      </w:r>
      <w:r>
        <w:rPr>
          <w:rFonts w:hint="eastAsia" w:ascii="宋体" w:hAnsi="宋体" w:cs="宋体"/>
          <w:color w:val="auto"/>
          <w:highlight w:val="none"/>
        </w:rPr>
        <w:t>拟派项目负责人（</w:t>
      </w:r>
      <w:r>
        <w:rPr>
          <w:rFonts w:hint="eastAsia" w:ascii="宋体" w:hAnsi="宋体"/>
          <w:color w:val="auto"/>
          <w:highlight w:val="none"/>
        </w:rPr>
        <w:sym w:font="Wingdings 2" w:char="0052"/>
      </w:r>
      <w:r>
        <w:rPr>
          <w:rFonts w:hint="eastAsia" w:ascii="宋体" w:hAnsi="宋体"/>
          <w:color w:val="auto"/>
          <w:highlight w:val="none"/>
        </w:rPr>
        <w:t>可/□不可）</w:t>
      </w:r>
      <w:r>
        <w:rPr>
          <w:rFonts w:hint="eastAsia" w:ascii="宋体" w:hAnsi="宋体" w:cs="宋体"/>
          <w:color w:val="auto"/>
          <w:highlight w:val="none"/>
        </w:rPr>
        <w:t>兼任本项目施工负责人</w:t>
      </w:r>
      <w:bookmarkEnd w:id="38"/>
      <w:r>
        <w:rPr>
          <w:rFonts w:hint="eastAsia" w:ascii="宋体" w:hAnsi="宋体" w:cs="宋体"/>
          <w:color w:val="auto"/>
          <w:highlight w:val="none"/>
        </w:rPr>
        <w:t>。</w:t>
      </w:r>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7拟派设计负责人具有</w:t>
      </w:r>
      <w:r>
        <w:rPr>
          <w:rFonts w:hint="eastAsia" w:ascii="宋体" w:hAnsi="宋体" w:cs="宋体"/>
          <w:b/>
          <w:bCs/>
          <w:color w:val="auto"/>
          <w:highlight w:val="none"/>
          <w:u w:val="single"/>
        </w:rPr>
        <w:t xml:space="preserve"> 一级注册建筑师或一级注册结构工程师 </w:t>
      </w:r>
      <w:r>
        <w:rPr>
          <w:rFonts w:hint="eastAsia" w:ascii="宋体" w:hAnsi="宋体"/>
          <w:color w:val="auto"/>
          <w:highlight w:val="none"/>
        </w:rPr>
        <w:t>资格（联合体投标的，设计负责人须由联合体成员拟派）。</w:t>
      </w:r>
    </w:p>
    <w:p>
      <w:pPr>
        <w:tabs>
          <w:tab w:val="left" w:pos="1343"/>
          <w:tab w:val="left" w:pos="2697"/>
          <w:tab w:val="left" w:pos="3264"/>
          <w:tab w:val="left" w:pos="4896"/>
          <w:tab w:val="left" w:pos="6600"/>
          <w:tab w:val="left" w:pos="7498"/>
        </w:tabs>
        <w:kinsoku w:val="0"/>
        <w:snapToGrid w:val="0"/>
        <w:spacing w:line="360" w:lineRule="auto"/>
        <w:ind w:firstLine="480" w:firstLineChars="20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8拟派施工负责人具有</w:t>
      </w:r>
      <w:r>
        <w:rPr>
          <w:rFonts w:ascii="宋体" w:hAnsi="宋体"/>
          <w:color w:val="auto"/>
          <w:highlight w:val="none"/>
          <w:u w:val="single"/>
        </w:rPr>
        <w:t xml:space="preserve"> </w:t>
      </w:r>
      <w:r>
        <w:rPr>
          <w:rFonts w:hint="eastAsia" w:ascii="宋体" w:hAnsi="宋体" w:cs="宋体"/>
          <w:b/>
          <w:bCs/>
          <w:color w:val="auto"/>
          <w:highlight w:val="none"/>
          <w:u w:val="single"/>
        </w:rPr>
        <w:t xml:space="preserve"> 建筑工程一级注册建造师  </w:t>
      </w:r>
      <w:r>
        <w:rPr>
          <w:rFonts w:ascii="宋体" w:hAnsi="宋体"/>
          <w:color w:val="auto"/>
          <w:highlight w:val="none"/>
          <w:u w:val="single"/>
        </w:rPr>
        <w:t xml:space="preserve">  </w:t>
      </w:r>
      <w:r>
        <w:rPr>
          <w:rFonts w:hint="eastAsia" w:ascii="宋体" w:hAnsi="宋体"/>
          <w:color w:val="auto"/>
          <w:highlight w:val="none"/>
        </w:rPr>
        <w:t>资格，同时具有“三类人员”B类证书。联合体投标的，施工负责人须由联合体牵头人拟派。</w:t>
      </w:r>
    </w:p>
    <w:p>
      <w:pPr>
        <w:tabs>
          <w:tab w:val="left" w:pos="1343"/>
          <w:tab w:val="left" w:pos="2697"/>
          <w:tab w:val="left" w:pos="3264"/>
          <w:tab w:val="left" w:pos="4896"/>
          <w:tab w:val="left" w:pos="6600"/>
          <w:tab w:val="left" w:pos="7498"/>
        </w:tabs>
        <w:kinsoku w:val="0"/>
        <w:snapToGrid w:val="0"/>
        <w:spacing w:line="360" w:lineRule="auto"/>
        <w:ind w:firstLine="480" w:firstLineChars="20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9如拟派项目负责人或施工负责人在投标截止日存在在其他任何在建合同工程（在建合同工程的开始时间为合同工程中标通知书发出日期，或者不通过招标方式的则以合同签订日期为开始时间，结束时间为该合同工程验收合格或合同解除日期）担任工程总承包项目负责人、工程总承包施工负责人或施工负责人的，不得以拟派项目负责人或施工负责人的身份参加本次投标；</w:t>
      </w:r>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ascii="宋体" w:hAnsi="宋体"/>
          <w:color w:val="auto"/>
          <w:highlight w:val="none"/>
          <w:u w:val="single"/>
        </w:rPr>
      </w:pPr>
      <w:r>
        <w:rPr>
          <w:rFonts w:ascii="宋体" w:hAnsi="宋体"/>
          <w:color w:val="auto"/>
          <w:highlight w:val="none"/>
        </w:rPr>
        <w:t>3.1</w:t>
      </w:r>
      <w:r>
        <w:rPr>
          <w:rFonts w:hint="eastAsia" w:ascii="宋体" w:hAnsi="宋体"/>
          <w:color w:val="auto"/>
          <w:highlight w:val="none"/>
        </w:rPr>
        <w:t>0</w:t>
      </w:r>
      <w:r>
        <w:rPr>
          <w:rFonts w:hint="eastAsia" w:ascii="宋体" w:hAnsi="宋体"/>
          <w:color w:val="auto"/>
          <w:highlight w:val="none"/>
        </w:rPr>
        <w:sym w:font="Wingdings 2" w:char="0052"/>
      </w:r>
      <w:r>
        <w:rPr>
          <w:rFonts w:ascii="宋体" w:hAnsi="宋体"/>
          <w:color w:val="auto"/>
          <w:highlight w:val="none"/>
          <w:u w:val="single"/>
        </w:rPr>
        <w:t xml:space="preserve">  </w:t>
      </w:r>
      <w:r>
        <w:rPr>
          <w:rFonts w:hint="eastAsia" w:ascii="宋体" w:hAnsi="宋体"/>
          <w:color w:val="auto"/>
          <w:highlight w:val="none"/>
          <w:u w:val="single"/>
        </w:rPr>
        <w:t>本项目拒绝接受持临时建造师注册证书的项目负责人参与投标</w:t>
      </w:r>
      <w:r>
        <w:rPr>
          <w:rFonts w:hint="eastAsia" w:ascii="宋体" w:hAnsi="宋体"/>
          <w:color w:val="auto"/>
          <w:highlight w:val="none"/>
          <w:u w:val="single"/>
          <w:lang w:eastAsia="zh-CN"/>
        </w:rPr>
        <w:t>；一级建造师电子证书须符合《住房和城乡建设部办公厅关于全面实行一级建造师电子注册证书的通知》的相关要求。</w:t>
      </w:r>
      <w:r>
        <w:rPr>
          <w:rFonts w:hint="eastAsia" w:ascii="宋体" w:hAnsi="宋体"/>
          <w:color w:val="auto"/>
          <w:highlight w:val="none"/>
          <w:u w:val="single"/>
        </w:rPr>
        <w:t>本工程拒绝企业法定代表人或企业负责人或技术负责人作为</w:t>
      </w:r>
      <w:r>
        <w:rPr>
          <w:rFonts w:hint="eastAsia" w:ascii="宋体" w:hAnsi="宋体"/>
          <w:color w:val="auto"/>
          <w:highlight w:val="none"/>
          <w:u w:val="single"/>
          <w:lang w:val="en-US" w:eastAsia="zh-CN"/>
        </w:rPr>
        <w:t>项目负责人或</w:t>
      </w:r>
      <w:r>
        <w:rPr>
          <w:rFonts w:hint="eastAsia" w:ascii="宋体" w:hAnsi="宋体"/>
          <w:color w:val="auto"/>
          <w:highlight w:val="none"/>
          <w:u w:val="single"/>
        </w:rPr>
        <w:t>施工负责人参加投标，如确需参加投标的，须经招标人同意，提供招标人书面同意证明材料）。</w:t>
      </w:r>
    </w:p>
    <w:p>
      <w:pPr>
        <w:widowControl/>
        <w:snapToGrid w:val="0"/>
        <w:spacing w:line="360" w:lineRule="auto"/>
        <w:ind w:firstLine="480" w:firstLineChars="200"/>
        <w:textAlignment w:val="bottom"/>
        <w:outlineLvl w:val="2"/>
        <w:rPr>
          <w:rFonts w:ascii="宋体" w:hAnsi="宋体"/>
          <w:color w:val="auto"/>
          <w:highlight w:val="none"/>
        </w:rPr>
      </w:pPr>
      <w:bookmarkStart w:id="39" w:name="_Toc10266"/>
      <w:r>
        <w:rPr>
          <w:rFonts w:ascii="宋体" w:hAnsi="宋体"/>
          <w:color w:val="auto"/>
          <w:highlight w:val="none"/>
        </w:rPr>
        <w:t>（</w:t>
      </w:r>
      <w:r>
        <w:rPr>
          <w:rFonts w:hint="eastAsia" w:ascii="宋体" w:hAnsi="宋体"/>
          <w:color w:val="auto"/>
          <w:highlight w:val="none"/>
        </w:rPr>
        <w:t>三</w:t>
      </w:r>
      <w:r>
        <w:rPr>
          <w:rFonts w:ascii="宋体" w:hAnsi="宋体"/>
          <w:color w:val="auto"/>
          <w:highlight w:val="none"/>
        </w:rPr>
        <w:t>）其他：</w:t>
      </w:r>
      <w:bookmarkEnd w:id="39"/>
    </w:p>
    <w:p>
      <w:pPr>
        <w:widowControl/>
        <w:snapToGrid w:val="0"/>
        <w:spacing w:line="360" w:lineRule="auto"/>
        <w:ind w:firstLine="480" w:firstLineChars="200"/>
        <w:textAlignment w:val="bottom"/>
        <w:rPr>
          <w:rFonts w:ascii="宋体" w:hAnsi="宋体"/>
          <w:color w:val="auto"/>
          <w:highlight w:val="none"/>
        </w:rPr>
      </w:pPr>
      <w:r>
        <w:rPr>
          <w:rFonts w:ascii="宋体" w:hAnsi="宋体"/>
          <w:color w:val="auto"/>
          <w:highlight w:val="none"/>
        </w:rPr>
        <w:t>3.1</w:t>
      </w:r>
      <w:r>
        <w:rPr>
          <w:rFonts w:hint="eastAsia" w:ascii="宋体" w:hAnsi="宋体"/>
          <w:color w:val="auto"/>
          <w:highlight w:val="none"/>
        </w:rPr>
        <w:t>1</w:t>
      </w:r>
      <w:r>
        <w:rPr>
          <w:rFonts w:hint="eastAsia" w:ascii="宋体" w:hAnsi="宋体"/>
          <w:color w:val="auto"/>
          <w:highlight w:val="none"/>
        </w:rPr>
        <w:sym w:font="Wingdings 2" w:char="0052"/>
      </w:r>
      <w:r>
        <w:rPr>
          <w:rFonts w:hint="eastAsia" w:ascii="宋体" w:hAnsi="宋体"/>
          <w:color w:val="auto"/>
          <w:highlight w:val="none"/>
        </w:rPr>
        <w:t>专职安全生产管理人员具有“三类人员”C类证书，人数符合中华人民共和国住房和城乡建设部建质﹝2008﹞91号《建筑施工企业安全生产管理机构设置及专职安全生产管理人员配备办法》的规定。联合体投标的，专职安全生产管理人员须由联合体</w:t>
      </w:r>
      <w:r>
        <w:rPr>
          <w:rFonts w:hint="eastAsia" w:ascii="宋体" w:hAnsi="宋体"/>
          <w:color w:val="auto"/>
          <w:highlight w:val="none"/>
          <w:lang w:val="en-US" w:eastAsia="zh-CN"/>
        </w:rPr>
        <w:t>牵头人</w:t>
      </w:r>
      <w:r>
        <w:rPr>
          <w:rFonts w:hint="eastAsia" w:ascii="宋体" w:hAnsi="宋体"/>
          <w:color w:val="auto"/>
          <w:highlight w:val="none"/>
        </w:rPr>
        <w:t>拟派。</w:t>
      </w:r>
    </w:p>
    <w:p>
      <w:pPr>
        <w:widowControl/>
        <w:snapToGrid w:val="0"/>
        <w:spacing w:line="360" w:lineRule="auto"/>
        <w:ind w:firstLine="480" w:firstLineChars="200"/>
        <w:textAlignment w:val="bottom"/>
        <w:rPr>
          <w:rFonts w:ascii="宋体" w:hAnsi="宋体"/>
          <w:color w:val="auto"/>
          <w:szCs w:val="28"/>
          <w:highlight w:val="none"/>
        </w:rPr>
      </w:pPr>
      <w:r>
        <w:rPr>
          <w:rFonts w:hint="eastAsia" w:ascii="宋体" w:hAnsi="宋体"/>
          <w:color w:val="auto"/>
          <w:szCs w:val="28"/>
          <w:highlight w:val="none"/>
        </w:rPr>
        <w:t>3</w:t>
      </w:r>
      <w:r>
        <w:rPr>
          <w:rFonts w:ascii="宋体" w:hAnsi="宋体"/>
          <w:color w:val="auto"/>
          <w:szCs w:val="28"/>
          <w:highlight w:val="none"/>
        </w:rPr>
        <w:t>.1</w:t>
      </w:r>
      <w:r>
        <w:rPr>
          <w:rFonts w:hint="eastAsia" w:ascii="宋体" w:hAnsi="宋体"/>
          <w:color w:val="auto"/>
          <w:szCs w:val="28"/>
          <w:highlight w:val="none"/>
        </w:rPr>
        <w:t>2</w:t>
      </w:r>
      <w:r>
        <w:rPr>
          <w:rFonts w:ascii="宋体" w:hAnsi="宋体"/>
          <w:color w:val="auto"/>
          <w:szCs w:val="28"/>
          <w:highlight w:val="none"/>
        </w:rPr>
        <w:t>投标人及其拟派</w:t>
      </w:r>
      <w:r>
        <w:rPr>
          <w:rFonts w:hint="eastAsia" w:ascii="宋体" w:hAnsi="宋体"/>
          <w:color w:val="auto"/>
          <w:szCs w:val="28"/>
          <w:highlight w:val="none"/>
        </w:rPr>
        <w:t>项目负责人、施工负责人、设计负责人未被列入建筑市场</w:t>
      </w:r>
      <w:r>
        <w:rPr>
          <w:rFonts w:ascii="宋体" w:hAnsi="宋体"/>
          <w:color w:val="auto"/>
          <w:szCs w:val="28"/>
          <w:highlight w:val="none"/>
        </w:rPr>
        <w:t>失信</w:t>
      </w:r>
      <w:r>
        <w:rPr>
          <w:rFonts w:hint="eastAsia" w:ascii="宋体" w:hAnsi="宋体"/>
          <w:color w:val="auto"/>
          <w:szCs w:val="28"/>
          <w:highlight w:val="none"/>
        </w:rPr>
        <w:t>黒</w:t>
      </w:r>
      <w:r>
        <w:rPr>
          <w:rFonts w:ascii="宋体" w:hAnsi="宋体"/>
          <w:color w:val="auto"/>
          <w:szCs w:val="28"/>
          <w:highlight w:val="none"/>
        </w:rPr>
        <w:t>名单</w:t>
      </w:r>
      <w:r>
        <w:rPr>
          <w:rFonts w:hint="eastAsia" w:ascii="宋体" w:hAnsi="宋体"/>
          <w:color w:val="auto"/>
          <w:szCs w:val="28"/>
          <w:highlight w:val="none"/>
        </w:rPr>
        <w:t>（以全国建筑市场监管公共服务平台黑名单记录、个人诚信不良记录、</w:t>
      </w:r>
      <w:r>
        <w:rPr>
          <w:rFonts w:ascii="宋体" w:hAnsi="宋体"/>
          <w:color w:val="auto"/>
          <w:szCs w:val="28"/>
          <w:highlight w:val="none"/>
        </w:rPr>
        <w:t>失信</w:t>
      </w:r>
      <w:r>
        <w:rPr>
          <w:rFonts w:hint="eastAsia" w:ascii="宋体" w:hAnsi="宋体"/>
          <w:color w:val="auto"/>
          <w:szCs w:val="28"/>
          <w:highlight w:val="none"/>
        </w:rPr>
        <w:t>联合惩戒记录和浙江省建筑市场监管公共服务系统发布有效期内的企业不良记录、发布有效期内的人员不良记录、</w:t>
      </w:r>
      <w:r>
        <w:rPr>
          <w:rFonts w:ascii="宋体" w:hAnsi="宋体"/>
          <w:color w:val="auto"/>
          <w:szCs w:val="28"/>
          <w:highlight w:val="none"/>
        </w:rPr>
        <w:t>失信</w:t>
      </w:r>
      <w:r>
        <w:rPr>
          <w:rFonts w:hint="eastAsia" w:ascii="宋体" w:hAnsi="宋体"/>
          <w:color w:val="auto"/>
          <w:szCs w:val="28"/>
          <w:highlight w:val="none"/>
        </w:rPr>
        <w:t>黑名单发布的信息为准；</w:t>
      </w:r>
    </w:p>
    <w:p>
      <w:pPr>
        <w:widowControl/>
        <w:snapToGrid w:val="0"/>
        <w:spacing w:line="360" w:lineRule="auto"/>
        <w:ind w:firstLine="480" w:firstLineChars="200"/>
        <w:textAlignment w:val="bottom"/>
        <w:rPr>
          <w:rFonts w:ascii="宋体" w:hAnsi="宋体"/>
          <w:color w:val="auto"/>
          <w:szCs w:val="28"/>
          <w:highlight w:val="none"/>
        </w:rPr>
      </w:pPr>
      <w:r>
        <w:rPr>
          <w:rFonts w:ascii="宋体" w:hAnsi="宋体"/>
          <w:color w:val="auto"/>
          <w:szCs w:val="28"/>
          <w:highlight w:val="none"/>
        </w:rPr>
        <w:t>3.1</w:t>
      </w:r>
      <w:r>
        <w:rPr>
          <w:rFonts w:hint="eastAsia" w:ascii="宋体" w:hAnsi="宋体"/>
          <w:color w:val="auto"/>
          <w:szCs w:val="28"/>
          <w:highlight w:val="none"/>
        </w:rPr>
        <w:t>3</w:t>
      </w:r>
      <w:r>
        <w:rPr>
          <w:rFonts w:hint="eastAsia" w:ascii="宋体" w:hAnsi="宋体"/>
          <w:color w:val="auto"/>
          <w:highlight w:val="none"/>
        </w:rPr>
        <w:sym w:font="Wingdings 2" w:char="0052"/>
      </w:r>
      <w:r>
        <w:rPr>
          <w:rFonts w:hint="eastAsia" w:ascii="宋体" w:hAnsi="宋体"/>
          <w:color w:val="auto"/>
          <w:szCs w:val="28"/>
          <w:highlight w:val="none"/>
        </w:rPr>
        <w:t>投标人及其拟派项目负责人、施工负责人、设计负责人未被列入招标投标失信黑名单（以浙江省发展和改革委员会公布的披露期内的失信黑名单为准）；</w:t>
      </w:r>
    </w:p>
    <w:p>
      <w:pPr>
        <w:widowControl/>
        <w:snapToGrid w:val="0"/>
        <w:spacing w:line="360" w:lineRule="auto"/>
        <w:ind w:firstLine="480" w:firstLineChars="200"/>
        <w:textAlignment w:val="bottom"/>
        <w:rPr>
          <w:rFonts w:ascii="宋体" w:hAnsi="宋体"/>
          <w:color w:val="auto"/>
          <w:szCs w:val="28"/>
          <w:highlight w:val="none"/>
        </w:rPr>
      </w:pPr>
      <w:r>
        <w:rPr>
          <w:rFonts w:ascii="宋体" w:hAnsi="宋体"/>
          <w:color w:val="auto"/>
          <w:szCs w:val="28"/>
          <w:highlight w:val="none"/>
        </w:rPr>
        <w:t>3.1</w:t>
      </w:r>
      <w:r>
        <w:rPr>
          <w:rFonts w:hint="eastAsia" w:ascii="宋体" w:hAnsi="宋体"/>
          <w:color w:val="auto"/>
          <w:szCs w:val="28"/>
          <w:highlight w:val="none"/>
        </w:rPr>
        <w:t>4投标人及其拟派项目负责人、施工负责人、设计负责人</w:t>
      </w:r>
      <w:r>
        <w:rPr>
          <w:rFonts w:ascii="宋体" w:hAnsi="宋体"/>
          <w:color w:val="auto"/>
          <w:szCs w:val="28"/>
          <w:highlight w:val="none"/>
        </w:rPr>
        <w:t>自</w:t>
      </w:r>
      <w:r>
        <w:rPr>
          <w:rFonts w:hint="eastAsia" w:ascii="宋体" w:hAnsi="宋体"/>
          <w:color w:val="auto"/>
          <w:szCs w:val="28"/>
          <w:highlight w:val="none"/>
          <w:u w:val="single"/>
        </w:rPr>
        <w:t>2019</w:t>
      </w:r>
      <w:r>
        <w:rPr>
          <w:rFonts w:ascii="宋体" w:hAnsi="宋体"/>
          <w:color w:val="auto"/>
          <w:szCs w:val="28"/>
          <w:highlight w:val="none"/>
        </w:rPr>
        <w:t>年</w:t>
      </w:r>
      <w:r>
        <w:rPr>
          <w:rFonts w:hint="eastAsia" w:ascii="宋体" w:hAnsi="宋体"/>
          <w:color w:val="auto"/>
          <w:szCs w:val="28"/>
          <w:highlight w:val="none"/>
          <w:u w:val="single"/>
        </w:rPr>
        <w:t>7</w:t>
      </w:r>
      <w:r>
        <w:rPr>
          <w:rFonts w:ascii="宋体" w:hAnsi="宋体"/>
          <w:color w:val="auto"/>
          <w:szCs w:val="28"/>
          <w:highlight w:val="none"/>
        </w:rPr>
        <w:t>月</w:t>
      </w:r>
      <w:r>
        <w:rPr>
          <w:rFonts w:hint="eastAsia" w:ascii="宋体" w:hAnsi="宋体"/>
          <w:color w:val="auto"/>
          <w:szCs w:val="28"/>
          <w:highlight w:val="none"/>
          <w:u w:val="single"/>
          <w:lang w:val="en-US" w:eastAsia="zh-CN"/>
        </w:rPr>
        <w:t>1</w:t>
      </w:r>
      <w:r>
        <w:rPr>
          <w:rFonts w:ascii="宋体" w:hAnsi="宋体"/>
          <w:color w:val="auto"/>
          <w:szCs w:val="28"/>
          <w:highlight w:val="none"/>
        </w:rPr>
        <w:t>日起</w:t>
      </w:r>
      <w:r>
        <w:rPr>
          <w:rFonts w:hint="eastAsia" w:ascii="宋体" w:hAnsi="宋体"/>
          <w:color w:val="auto"/>
          <w:szCs w:val="28"/>
          <w:highlight w:val="none"/>
        </w:rPr>
        <w:t>（以法院判决书生效日期为准）至投标截止</w:t>
      </w:r>
      <w:r>
        <w:rPr>
          <w:rFonts w:ascii="宋体" w:hAnsi="宋体"/>
          <w:color w:val="auto"/>
          <w:szCs w:val="28"/>
          <w:highlight w:val="none"/>
        </w:rPr>
        <w:t>日</w:t>
      </w:r>
      <w:r>
        <w:rPr>
          <w:rFonts w:hint="eastAsia" w:ascii="宋体" w:hAnsi="宋体"/>
          <w:color w:val="auto"/>
          <w:szCs w:val="28"/>
          <w:highlight w:val="none"/>
        </w:rPr>
        <w:t>止</w:t>
      </w:r>
      <w:r>
        <w:rPr>
          <w:rFonts w:ascii="宋体" w:hAnsi="宋体"/>
          <w:color w:val="auto"/>
          <w:szCs w:val="28"/>
          <w:highlight w:val="none"/>
        </w:rPr>
        <w:t>无行贿犯罪记录（以“</w:t>
      </w:r>
      <w:r>
        <w:rPr>
          <w:rFonts w:hint="eastAsia" w:ascii="宋体" w:hAnsi="宋体"/>
          <w:color w:val="auto"/>
          <w:szCs w:val="28"/>
          <w:highlight w:val="none"/>
        </w:rPr>
        <w:t>中国裁判文书网”为准</w:t>
      </w:r>
      <w:r>
        <w:rPr>
          <w:rFonts w:ascii="宋体" w:hAnsi="宋体"/>
          <w:color w:val="auto"/>
          <w:szCs w:val="28"/>
          <w:highlight w:val="none"/>
        </w:rPr>
        <w:t>）</w:t>
      </w:r>
      <w:r>
        <w:rPr>
          <w:rFonts w:hint="eastAsia" w:ascii="宋体" w:hAnsi="宋体"/>
          <w:color w:val="auto"/>
          <w:szCs w:val="28"/>
          <w:highlight w:val="none"/>
        </w:rPr>
        <w:t>；</w:t>
      </w:r>
    </w:p>
    <w:p>
      <w:pPr>
        <w:widowControl/>
        <w:snapToGrid w:val="0"/>
        <w:spacing w:line="360" w:lineRule="auto"/>
        <w:ind w:firstLine="480" w:firstLineChars="200"/>
        <w:textAlignment w:val="bottom"/>
        <w:rPr>
          <w:rFonts w:ascii="宋体" w:hAnsi="宋体"/>
          <w:color w:val="auto"/>
          <w:szCs w:val="28"/>
          <w:highlight w:val="none"/>
        </w:rPr>
      </w:pPr>
      <w:r>
        <w:rPr>
          <w:rFonts w:ascii="宋体" w:hAnsi="宋体"/>
          <w:color w:val="auto"/>
          <w:szCs w:val="28"/>
          <w:highlight w:val="none"/>
        </w:rPr>
        <w:t>3.1</w:t>
      </w:r>
      <w:r>
        <w:rPr>
          <w:rFonts w:hint="eastAsia" w:ascii="宋体" w:hAnsi="宋体"/>
          <w:color w:val="auto"/>
          <w:szCs w:val="28"/>
          <w:highlight w:val="none"/>
        </w:rPr>
        <w:t>5投标人及其拟派项目负责人、施工负责人、设计负责人</w:t>
      </w:r>
      <w:r>
        <w:rPr>
          <w:rFonts w:ascii="宋体" w:hAnsi="宋体"/>
          <w:color w:val="auto"/>
          <w:szCs w:val="28"/>
          <w:highlight w:val="none"/>
        </w:rPr>
        <w:t>自</w:t>
      </w:r>
      <w:r>
        <w:rPr>
          <w:rFonts w:hint="eastAsia" w:ascii="宋体" w:hAnsi="宋体"/>
          <w:color w:val="auto"/>
          <w:szCs w:val="28"/>
          <w:highlight w:val="none"/>
          <w:u w:val="single"/>
        </w:rPr>
        <w:t>2019</w:t>
      </w:r>
      <w:r>
        <w:rPr>
          <w:rFonts w:ascii="宋体" w:hAnsi="宋体"/>
          <w:color w:val="auto"/>
          <w:szCs w:val="28"/>
          <w:highlight w:val="none"/>
        </w:rPr>
        <w:t>年</w:t>
      </w:r>
      <w:r>
        <w:rPr>
          <w:rFonts w:hint="eastAsia" w:ascii="宋体" w:hAnsi="宋体"/>
          <w:color w:val="auto"/>
          <w:szCs w:val="28"/>
          <w:highlight w:val="none"/>
          <w:u w:val="single"/>
        </w:rPr>
        <w:t>7</w:t>
      </w:r>
      <w:r>
        <w:rPr>
          <w:rFonts w:ascii="宋体" w:hAnsi="宋体"/>
          <w:color w:val="auto"/>
          <w:szCs w:val="28"/>
          <w:highlight w:val="none"/>
        </w:rPr>
        <w:t>月</w:t>
      </w:r>
      <w:r>
        <w:rPr>
          <w:rFonts w:hint="eastAsia" w:ascii="宋体" w:hAnsi="宋体"/>
          <w:color w:val="auto"/>
          <w:szCs w:val="28"/>
          <w:highlight w:val="none"/>
          <w:u w:val="single"/>
          <w:lang w:val="en-US" w:eastAsia="zh-CN"/>
        </w:rPr>
        <w:t>1</w:t>
      </w:r>
      <w:r>
        <w:rPr>
          <w:rFonts w:ascii="宋体" w:hAnsi="宋体"/>
          <w:color w:val="auto"/>
          <w:szCs w:val="28"/>
          <w:highlight w:val="none"/>
        </w:rPr>
        <w:t>日起</w:t>
      </w:r>
      <w:r>
        <w:rPr>
          <w:rFonts w:hint="eastAsia" w:ascii="宋体" w:hAnsi="宋体"/>
          <w:color w:val="auto"/>
          <w:szCs w:val="28"/>
          <w:highlight w:val="none"/>
        </w:rPr>
        <w:t>至投标截止</w:t>
      </w:r>
      <w:r>
        <w:rPr>
          <w:rFonts w:ascii="宋体" w:hAnsi="宋体"/>
          <w:color w:val="auto"/>
          <w:szCs w:val="28"/>
          <w:highlight w:val="none"/>
        </w:rPr>
        <w:t>日</w:t>
      </w:r>
      <w:r>
        <w:rPr>
          <w:rFonts w:hint="eastAsia" w:ascii="宋体" w:hAnsi="宋体"/>
          <w:color w:val="auto"/>
          <w:szCs w:val="28"/>
          <w:highlight w:val="none"/>
        </w:rPr>
        <w:t>止未被列入失信被执行人名单</w:t>
      </w:r>
      <w:r>
        <w:rPr>
          <w:rFonts w:ascii="宋体" w:hAnsi="宋体"/>
          <w:color w:val="auto"/>
          <w:szCs w:val="28"/>
          <w:highlight w:val="none"/>
        </w:rPr>
        <w:t>（以“</w:t>
      </w:r>
      <w:r>
        <w:rPr>
          <w:rFonts w:hint="eastAsia" w:ascii="宋体" w:hAnsi="宋体"/>
          <w:color w:val="auto"/>
          <w:szCs w:val="28"/>
          <w:highlight w:val="none"/>
        </w:rPr>
        <w:t>信用中国”为准</w:t>
      </w:r>
      <w:r>
        <w:rPr>
          <w:rFonts w:ascii="宋体" w:hAnsi="宋体"/>
          <w:color w:val="auto"/>
          <w:szCs w:val="28"/>
          <w:highlight w:val="none"/>
        </w:rPr>
        <w:t>）</w:t>
      </w:r>
      <w:r>
        <w:rPr>
          <w:rFonts w:hint="eastAsia" w:ascii="宋体" w:hAnsi="宋体"/>
          <w:color w:val="auto"/>
          <w:szCs w:val="28"/>
          <w:highlight w:val="none"/>
        </w:rPr>
        <w:t>；</w:t>
      </w:r>
    </w:p>
    <w:p>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ascii="宋体" w:hAnsi="宋体"/>
          <w:color w:val="auto"/>
          <w:highlight w:val="none"/>
        </w:rPr>
      </w:pPr>
      <w:r>
        <w:rPr>
          <w:rFonts w:ascii="宋体" w:hAnsi="宋体"/>
          <w:color w:val="auto"/>
          <w:highlight w:val="none"/>
        </w:rPr>
        <w:t>3.1</w:t>
      </w:r>
      <w:r>
        <w:rPr>
          <w:rFonts w:hint="eastAsia" w:ascii="宋体" w:hAnsi="宋体"/>
          <w:color w:val="auto"/>
          <w:highlight w:val="none"/>
        </w:rPr>
        <w:t>6</w:t>
      </w:r>
      <w:r>
        <w:rPr>
          <w:rFonts w:hint="eastAsia" w:ascii="宋体" w:hAnsi="宋体"/>
          <w:color w:val="auto"/>
          <w:highlight w:val="none"/>
        </w:rPr>
        <w:sym w:font="Wingdings 2" w:char="0052"/>
      </w:r>
      <w:r>
        <w:rPr>
          <w:rFonts w:ascii="宋体" w:hAnsi="宋体"/>
          <w:color w:val="auto"/>
          <w:highlight w:val="none"/>
          <w:u w:val="single"/>
        </w:rPr>
        <w:t xml:space="preserve">   </w:t>
      </w:r>
      <w:r>
        <w:rPr>
          <w:rFonts w:hint="eastAsia" w:ascii="宋体" w:hAnsi="宋体"/>
          <w:color w:val="auto"/>
          <w:highlight w:val="none"/>
          <w:u w:val="single"/>
        </w:rPr>
        <w:t>本项目项目名称字符数量超过新点投标文件制作软件100字符以内的规定，可能会导致无法创建投标文件，故各投标人在创建新的投标工程文件时名称手动修改为“湖州市南太湖新区太湖湾单元（长东未来社区）开发建设项目工程总承包项目”即可。投标文件中其他内容需手动填写项目名称的，仍须按“湖州市南太湖新区太湖湾单元（TH-08-02）13E、14C、15B、16A-1、16A-2、16B、17A、17B-1、17B-2、17C、18B-1、18B-2、20B-1、20B-2、27E、28B-1、28B-2、29B、13E-1、20B-3号地块（长东未来社区）开发建设项目工程总承包项目”填写。</w:t>
      </w:r>
    </w:p>
    <w:bookmarkEnd w:id="35"/>
    <w:p>
      <w:pPr>
        <w:spacing w:line="360" w:lineRule="auto"/>
        <w:ind w:firstLine="643" w:firstLineChars="200"/>
        <w:outlineLvl w:val="1"/>
        <w:rPr>
          <w:rFonts w:ascii="宋体" w:hAnsi="宋体"/>
          <w:b/>
          <w:color w:val="auto"/>
          <w:sz w:val="32"/>
          <w:szCs w:val="32"/>
          <w:highlight w:val="none"/>
        </w:rPr>
      </w:pPr>
      <w:bookmarkStart w:id="40" w:name="_Toc26002052"/>
      <w:bookmarkStart w:id="41" w:name="_Toc45697223"/>
      <w:bookmarkStart w:id="42" w:name="_Toc24050272"/>
      <w:bookmarkStart w:id="43" w:name="_Toc26001999"/>
      <w:bookmarkStart w:id="44" w:name="_Toc11579"/>
      <w:bookmarkStart w:id="45" w:name="_Hlk24015219"/>
      <w:bookmarkStart w:id="46" w:name="_Toc22828054"/>
      <w:bookmarkStart w:id="47" w:name="_Toc30484"/>
      <w:bookmarkStart w:id="48" w:name="_Toc22827971"/>
      <w:r>
        <w:rPr>
          <w:rFonts w:ascii="宋体" w:hAnsi="宋体"/>
          <w:b/>
          <w:color w:val="auto"/>
          <w:sz w:val="32"/>
          <w:szCs w:val="32"/>
          <w:highlight w:val="none"/>
        </w:rPr>
        <w:t>4.招标方式</w:t>
      </w:r>
      <w:bookmarkEnd w:id="40"/>
      <w:bookmarkEnd w:id="41"/>
      <w:bookmarkEnd w:id="42"/>
      <w:bookmarkEnd w:id="43"/>
      <w:bookmarkEnd w:id="44"/>
    </w:p>
    <w:p>
      <w:pPr>
        <w:spacing w:line="360" w:lineRule="auto"/>
        <w:ind w:firstLine="480" w:firstLineChars="200"/>
        <w:outlineLvl w:val="2"/>
        <w:rPr>
          <w:rFonts w:ascii="宋体" w:hAnsi="宋体"/>
          <w:color w:val="auto"/>
          <w:highlight w:val="none"/>
        </w:rPr>
      </w:pPr>
      <w:bookmarkStart w:id="49" w:name="_Toc26002000"/>
      <w:bookmarkStart w:id="50" w:name="_Toc26002053"/>
      <w:bookmarkStart w:id="51" w:name="_Toc17356"/>
      <w:r>
        <w:rPr>
          <w:rFonts w:ascii="宋体" w:hAnsi="宋体"/>
          <w:color w:val="auto"/>
          <w:highlight w:val="none"/>
        </w:rPr>
        <w:t>4.1公开招标</w:t>
      </w:r>
      <w:bookmarkEnd w:id="45"/>
      <w:bookmarkEnd w:id="46"/>
      <w:bookmarkEnd w:id="47"/>
      <w:bookmarkEnd w:id="48"/>
      <w:bookmarkEnd w:id="49"/>
      <w:bookmarkEnd w:id="50"/>
      <w:bookmarkStart w:id="52" w:name="bookmark5"/>
      <w:bookmarkEnd w:id="52"/>
      <w:r>
        <w:rPr>
          <w:rFonts w:hint="eastAsia" w:ascii="宋体" w:hAnsi="宋体"/>
          <w:color w:val="auto"/>
          <w:highlight w:val="none"/>
        </w:rPr>
        <w:t>。</w:t>
      </w:r>
      <w:bookmarkEnd w:id="51"/>
    </w:p>
    <w:p>
      <w:pPr>
        <w:spacing w:line="360" w:lineRule="auto"/>
        <w:ind w:firstLine="643" w:firstLineChars="200"/>
        <w:outlineLvl w:val="1"/>
        <w:rPr>
          <w:rFonts w:ascii="宋体" w:hAnsi="宋体"/>
          <w:b/>
          <w:color w:val="auto"/>
          <w:sz w:val="32"/>
          <w:szCs w:val="32"/>
          <w:highlight w:val="none"/>
        </w:rPr>
      </w:pPr>
      <w:bookmarkStart w:id="53" w:name="bookmark6"/>
      <w:bookmarkEnd w:id="53"/>
      <w:bookmarkStart w:id="54" w:name="_Toc22828055"/>
      <w:bookmarkStart w:id="55" w:name="_Toc26002054"/>
      <w:bookmarkStart w:id="56" w:name="_Toc17450"/>
      <w:bookmarkStart w:id="57" w:name="_Toc12635"/>
      <w:bookmarkStart w:id="58" w:name="_Toc22827972"/>
      <w:bookmarkStart w:id="59" w:name="_Toc24050273"/>
      <w:bookmarkStart w:id="60" w:name="_Toc26002001"/>
      <w:bookmarkStart w:id="61" w:name="_Toc45697224"/>
      <w:r>
        <w:rPr>
          <w:rFonts w:ascii="宋体" w:hAnsi="宋体"/>
          <w:b/>
          <w:color w:val="auto"/>
          <w:sz w:val="32"/>
          <w:szCs w:val="32"/>
          <w:highlight w:val="none"/>
        </w:rPr>
        <w:t>5.招标文件的获取</w:t>
      </w:r>
      <w:bookmarkEnd w:id="54"/>
      <w:bookmarkEnd w:id="55"/>
      <w:bookmarkEnd w:id="56"/>
      <w:bookmarkEnd w:id="57"/>
      <w:bookmarkEnd w:id="58"/>
      <w:bookmarkEnd w:id="59"/>
      <w:bookmarkEnd w:id="60"/>
      <w:bookmarkEnd w:id="61"/>
    </w:p>
    <w:p>
      <w:pPr>
        <w:snapToGrid w:val="0"/>
        <w:spacing w:line="360" w:lineRule="auto"/>
        <w:ind w:firstLine="480" w:firstLineChars="200"/>
        <w:rPr>
          <w:rFonts w:ascii="宋体" w:hAnsi="宋体"/>
          <w:color w:val="auto"/>
          <w:highlight w:val="none"/>
        </w:rPr>
      </w:pPr>
      <w:r>
        <w:rPr>
          <w:rFonts w:ascii="宋体" w:hAnsi="宋体"/>
          <w:color w:val="auto"/>
          <w:highlight w:val="none"/>
        </w:rPr>
        <w:t>5.1</w:t>
      </w:r>
      <w:r>
        <w:rPr>
          <w:rFonts w:hint="eastAsia" w:ascii="宋体" w:hAnsi="宋体"/>
          <w:color w:val="auto"/>
          <w:highlight w:val="none"/>
        </w:rPr>
        <w:t>本项目招标文件（含图纸）和补充（答疑、澄清）、修改文件以网上下载方式发放</w:t>
      </w:r>
      <w:r>
        <w:rPr>
          <w:rFonts w:hint="eastAsia" w:ascii="宋体" w:hAnsi="宋体" w:cs="宋体"/>
          <w:b/>
          <w:bCs/>
          <w:color w:val="auto"/>
          <w:highlight w:val="none"/>
          <w:u w:val="single"/>
        </w:rPr>
        <w:t>湖州市公共资源交易系统（http://ggzy.huzhou.gov.cn/hzfront/） 。</w:t>
      </w:r>
    </w:p>
    <w:p>
      <w:pPr>
        <w:snapToGrid w:val="0"/>
        <w:spacing w:line="360" w:lineRule="auto"/>
        <w:ind w:firstLine="480" w:firstLineChars="200"/>
        <w:rPr>
          <w:rFonts w:ascii="宋体" w:hAnsi="宋体" w:cs="宋体"/>
          <w:b/>
          <w:bCs/>
          <w:color w:val="auto"/>
          <w:highlight w:val="none"/>
          <w:u w:val="single"/>
        </w:rPr>
      </w:pPr>
      <w:r>
        <w:rPr>
          <w:rFonts w:ascii="宋体" w:hAnsi="宋体"/>
          <w:color w:val="auto"/>
          <w:highlight w:val="none"/>
        </w:rPr>
        <w:t>5.2</w:t>
      </w:r>
      <w:r>
        <w:rPr>
          <w:rFonts w:hint="eastAsia" w:ascii="宋体" w:hAnsi="宋体"/>
          <w:color w:val="auto"/>
          <w:highlight w:val="none"/>
        </w:rPr>
        <w:t>招标文件下载网址：</w:t>
      </w:r>
      <w:bookmarkStart w:id="62" w:name="_Hlk24015357"/>
      <w:r>
        <w:rPr>
          <w:rFonts w:hint="eastAsia" w:ascii="宋体" w:hAnsi="宋体" w:cs="宋体"/>
          <w:b/>
          <w:bCs/>
          <w:color w:val="auto"/>
          <w:highlight w:val="none"/>
          <w:u w:val="single"/>
        </w:rPr>
        <w:t>已注册用户，请登录湖州市公共资源交易系统（http://ggzy.huzhou.gov.cn/hzfront/）—“交易主体登录”，下载获取后缀名为“.HZZF”的招标文件。未注册用户可通过招标公告中附件下载获取招标文件进行查看咨询。</w:t>
      </w:r>
      <w:bookmarkEnd w:id="62"/>
    </w:p>
    <w:p>
      <w:pPr>
        <w:snapToGrid w:val="0"/>
        <w:spacing w:line="360" w:lineRule="auto"/>
        <w:ind w:firstLine="480" w:firstLineChars="200"/>
        <w:rPr>
          <w:rFonts w:ascii="宋体" w:hAnsi="宋体" w:cs="宋体"/>
          <w:color w:val="auto"/>
          <w:highlight w:val="none"/>
        </w:rPr>
      </w:pPr>
      <w:r>
        <w:rPr>
          <w:rFonts w:ascii="宋体" w:hAnsi="宋体"/>
          <w:color w:val="auto"/>
          <w:highlight w:val="none"/>
        </w:rPr>
        <w:t>5.3</w:t>
      </w:r>
      <w:r>
        <w:rPr>
          <w:rFonts w:hint="eastAsia" w:ascii="宋体" w:hAnsi="宋体"/>
          <w:color w:val="auto"/>
          <w:highlight w:val="none"/>
        </w:rPr>
        <w:t>招标文件网上下载时间：</w:t>
      </w:r>
      <w:bookmarkStart w:id="63" w:name="EB711a71a1d4074416afbde3071813b61c"/>
      <w:r>
        <w:rPr>
          <w:rFonts w:hint="eastAsia" w:ascii="宋体" w:hAnsi="宋体"/>
          <w:i/>
          <w:iCs/>
          <w:color w:val="auto"/>
          <w:highlight w:val="none"/>
        </w:rPr>
        <w:t>（</w:t>
      </w:r>
      <w:r>
        <w:rPr>
          <w:rFonts w:hint="eastAsia" w:ascii="宋体" w:hAnsi="宋体"/>
          <w:i/>
          <w:iCs/>
          <w:color w:val="auto"/>
          <w:highlight w:val="none"/>
          <w:u w:val="single"/>
        </w:rPr>
        <w:t>公告发布之日起至投标文件递交截止时</w:t>
      </w:r>
      <w:bookmarkEnd w:id="63"/>
      <w:r>
        <w:rPr>
          <w:rFonts w:hint="eastAsia" w:ascii="宋体" w:hAnsi="宋体"/>
          <w:i/>
          <w:iCs/>
          <w:color w:val="auto"/>
          <w:highlight w:val="none"/>
          <w:u w:val="single"/>
        </w:rPr>
        <w:t>间</w:t>
      </w:r>
      <w:r>
        <w:rPr>
          <w:rFonts w:hint="eastAsia" w:ascii="宋体" w:hAnsi="宋体"/>
          <w:i/>
          <w:iCs/>
          <w:color w:val="auto"/>
          <w:highlight w:val="none"/>
        </w:rPr>
        <w:t>）</w:t>
      </w:r>
      <w:r>
        <w:rPr>
          <w:rFonts w:hint="eastAsia" w:ascii="宋体" w:hAnsi="宋体"/>
          <w:color w:val="auto"/>
          <w:highlight w:val="none"/>
        </w:rPr>
        <w:t>。</w:t>
      </w:r>
    </w:p>
    <w:p>
      <w:pPr>
        <w:spacing w:line="360" w:lineRule="auto"/>
        <w:ind w:firstLine="643" w:firstLineChars="200"/>
        <w:outlineLvl w:val="1"/>
        <w:rPr>
          <w:rFonts w:ascii="宋体" w:hAnsi="宋体"/>
          <w:b/>
          <w:color w:val="auto"/>
          <w:sz w:val="32"/>
          <w:szCs w:val="32"/>
          <w:highlight w:val="none"/>
        </w:rPr>
      </w:pPr>
      <w:bookmarkStart w:id="64" w:name="_Toc22827973"/>
      <w:bookmarkStart w:id="65" w:name="_Toc24050274"/>
      <w:bookmarkStart w:id="66" w:name="_Toc5207"/>
      <w:bookmarkStart w:id="67" w:name="_Toc5388"/>
      <w:bookmarkStart w:id="68" w:name="_Toc45697225"/>
      <w:bookmarkStart w:id="69" w:name="_Toc22828056"/>
      <w:bookmarkStart w:id="70" w:name="_Toc26002002"/>
      <w:bookmarkStart w:id="71" w:name="_Toc26002055"/>
      <w:r>
        <w:rPr>
          <w:rFonts w:ascii="宋体" w:hAnsi="宋体"/>
          <w:b/>
          <w:color w:val="auto"/>
          <w:sz w:val="32"/>
          <w:szCs w:val="32"/>
          <w:highlight w:val="none"/>
        </w:rPr>
        <w:t>6.投标文件的递交</w:t>
      </w:r>
      <w:bookmarkEnd w:id="64"/>
      <w:bookmarkEnd w:id="65"/>
      <w:bookmarkEnd w:id="66"/>
      <w:bookmarkEnd w:id="67"/>
      <w:bookmarkEnd w:id="68"/>
      <w:bookmarkEnd w:id="69"/>
      <w:bookmarkEnd w:id="70"/>
      <w:bookmarkEnd w:id="71"/>
    </w:p>
    <w:p>
      <w:pPr>
        <w:tabs>
          <w:tab w:val="left" w:pos="8381"/>
        </w:tabs>
        <w:kinsoku w:val="0"/>
        <w:snapToGrid w:val="0"/>
        <w:spacing w:line="360" w:lineRule="auto"/>
        <w:ind w:firstLine="480" w:firstLineChars="200"/>
        <w:rPr>
          <w:rFonts w:ascii="宋体" w:hAnsi="宋体" w:cs="宋体"/>
          <w:b/>
          <w:bCs/>
          <w:color w:val="auto"/>
          <w:highlight w:val="none"/>
          <w:u w:val="single"/>
        </w:rPr>
      </w:pPr>
      <w:r>
        <w:rPr>
          <w:rFonts w:ascii="宋体" w:hAnsi="宋体"/>
          <w:color w:val="auto"/>
          <w:highlight w:val="none"/>
        </w:rPr>
        <w:t>6.1</w:t>
      </w:r>
      <w:r>
        <w:rPr>
          <w:rFonts w:hint="eastAsia" w:ascii="宋体" w:hAnsi="宋体"/>
          <w:color w:val="auto"/>
          <w:highlight w:val="none"/>
        </w:rPr>
        <w:t>投标文件递交的截止时间（投标截止时间，下同）为</w:t>
      </w:r>
      <w:r>
        <w:rPr>
          <w:rFonts w:hint="eastAsia" w:ascii="宋体" w:hAnsi="宋体"/>
          <w:color w:val="auto"/>
          <w:highlight w:val="none"/>
          <w:u w:val="single"/>
          <w:lang w:val="en-US" w:eastAsia="zh-CN"/>
        </w:rPr>
        <w:t>2022</w:t>
      </w:r>
      <w:r>
        <w:rPr>
          <w:rFonts w:hint="eastAsia" w:ascii="宋体" w:hAnsi="宋体"/>
          <w:color w:val="auto"/>
          <w:highlight w:val="none"/>
        </w:rPr>
        <w:t>年</w:t>
      </w:r>
      <w:r>
        <w:rPr>
          <w:rFonts w:hint="eastAsia" w:ascii="宋体" w:hAnsi="宋体"/>
          <w:color w:val="auto"/>
          <w:highlight w:val="none"/>
          <w:u w:val="single"/>
          <w:lang w:val="en-US" w:eastAsia="zh-CN"/>
        </w:rPr>
        <w:t>8</w:t>
      </w:r>
      <w:r>
        <w:rPr>
          <w:rFonts w:hint="eastAsia" w:ascii="宋体" w:hAnsi="宋体"/>
          <w:color w:val="auto"/>
          <w:highlight w:val="none"/>
        </w:rPr>
        <w:t>月</w:t>
      </w:r>
      <w:r>
        <w:rPr>
          <w:rFonts w:hint="eastAsia" w:ascii="宋体" w:hAnsi="宋体"/>
          <w:color w:val="auto"/>
          <w:highlight w:val="none"/>
          <w:u w:val="single"/>
          <w:lang w:val="en-US" w:eastAsia="zh-CN"/>
        </w:rPr>
        <w:t>30</w:t>
      </w:r>
      <w:r>
        <w:rPr>
          <w:rFonts w:hint="eastAsia" w:ascii="宋体" w:hAnsi="宋体"/>
          <w:color w:val="auto"/>
          <w:highlight w:val="none"/>
        </w:rPr>
        <w:t>日</w:t>
      </w:r>
      <w:r>
        <w:rPr>
          <w:rFonts w:hint="eastAsia" w:ascii="宋体" w:hAnsi="宋体"/>
          <w:color w:val="auto"/>
          <w:highlight w:val="none"/>
          <w:u w:val="single"/>
          <w:lang w:val="en-US" w:eastAsia="zh-CN"/>
        </w:rPr>
        <w:t>9</w:t>
      </w:r>
      <w:r>
        <w:rPr>
          <w:rFonts w:hint="eastAsia" w:ascii="宋体" w:hAnsi="宋体"/>
          <w:color w:val="auto"/>
          <w:highlight w:val="none"/>
        </w:rPr>
        <w:t>时</w:t>
      </w:r>
      <w:r>
        <w:rPr>
          <w:rFonts w:hint="eastAsia" w:ascii="宋体" w:hAnsi="宋体"/>
          <w:color w:val="auto"/>
          <w:highlight w:val="none"/>
          <w:u w:val="single"/>
          <w:lang w:val="en-US" w:eastAsia="zh-CN"/>
        </w:rPr>
        <w:t>30</w:t>
      </w:r>
      <w:r>
        <w:rPr>
          <w:rFonts w:hint="eastAsia" w:ascii="宋体" w:hAnsi="宋体"/>
          <w:color w:val="auto"/>
          <w:highlight w:val="none"/>
        </w:rPr>
        <w:t>分</w:t>
      </w:r>
      <w:r>
        <w:rPr>
          <w:rFonts w:hint="eastAsia" w:ascii="宋体" w:hAnsi="宋体"/>
          <w:color w:val="auto"/>
          <w:spacing w:val="-1"/>
          <w:highlight w:val="none"/>
        </w:rPr>
        <w:t>，</w:t>
      </w:r>
      <w:r>
        <w:rPr>
          <w:rFonts w:hint="eastAsia" w:ascii="宋体" w:hAnsi="宋体"/>
          <w:color w:val="auto"/>
          <w:highlight w:val="none"/>
        </w:rPr>
        <w:t>电子招标投标交易平台：</w:t>
      </w:r>
      <w:r>
        <w:rPr>
          <w:rFonts w:hint="eastAsia" w:ascii="宋体" w:hAnsi="宋体" w:cs="宋体"/>
          <w:b/>
          <w:bCs/>
          <w:color w:val="auto"/>
          <w:highlight w:val="none"/>
          <w:u w:val="single"/>
        </w:rPr>
        <w:t>湖州市公共资源交易信息网—交易主体登录—电子招投标交易平台—上传投标文件模块，上传“CA加密后的电子投标文件”。</w:t>
      </w:r>
    </w:p>
    <w:p>
      <w:pPr>
        <w:spacing w:line="360" w:lineRule="auto"/>
        <w:ind w:firstLine="643" w:firstLineChars="200"/>
        <w:outlineLvl w:val="1"/>
        <w:rPr>
          <w:rFonts w:hint="eastAsia" w:ascii="宋体" w:hAnsi="宋体"/>
          <w:b/>
          <w:color w:val="auto"/>
          <w:sz w:val="32"/>
          <w:szCs w:val="32"/>
          <w:highlight w:val="none"/>
        </w:rPr>
      </w:pPr>
      <w:bookmarkStart w:id="72" w:name="bookmark8"/>
      <w:bookmarkEnd w:id="72"/>
      <w:bookmarkStart w:id="73" w:name="_Toc4583"/>
      <w:r>
        <w:rPr>
          <w:rFonts w:hint="eastAsia" w:ascii="宋体" w:hAnsi="宋体"/>
          <w:b/>
          <w:color w:val="auto"/>
          <w:sz w:val="32"/>
          <w:szCs w:val="32"/>
          <w:highlight w:val="none"/>
        </w:rPr>
        <w:t>7.联系方式</w:t>
      </w:r>
      <w:bookmarkEnd w:id="73"/>
    </w:p>
    <w:p>
      <w:pPr>
        <w:pStyle w:val="18"/>
        <w:spacing w:beforeAutospacing="0" w:afterAutospacing="0" w:line="440" w:lineRule="exact"/>
        <w:jc w:val="right"/>
        <w:rPr>
          <w:rFonts w:hint="eastAsia" w:cs="宋体"/>
          <w:color w:val="auto"/>
          <w:sz w:val="21"/>
          <w:szCs w:val="21"/>
          <w:highlight w:val="none"/>
        </w:rPr>
      </w:pPr>
      <w:bookmarkStart w:id="74" w:name="_Toc15130"/>
      <w:r>
        <w:rPr>
          <w:rFonts w:hint="eastAsia" w:cs="宋体"/>
          <w:color w:val="auto"/>
          <w:sz w:val="21"/>
          <w:szCs w:val="21"/>
          <w:highlight w:val="none"/>
        </w:rPr>
        <w:t>招标人：湖州市南太湖未来社区建设发展有限公司 招标代理机构：浙江天钫工程管理咨询有限公司</w:t>
      </w:r>
    </w:p>
    <w:p>
      <w:pPr>
        <w:pStyle w:val="18"/>
        <w:spacing w:beforeAutospacing="0" w:afterAutospacing="0" w:line="440" w:lineRule="exact"/>
        <w:rPr>
          <w:rFonts w:hint="eastAsia" w:cs="仿宋"/>
          <w:color w:val="auto"/>
          <w:sz w:val="21"/>
          <w:szCs w:val="21"/>
          <w:highlight w:val="none"/>
        </w:rPr>
      </w:pPr>
      <w:r>
        <w:rPr>
          <w:rFonts w:hint="eastAsia" w:cs="宋体"/>
          <w:color w:val="auto"/>
          <w:sz w:val="21"/>
          <w:szCs w:val="21"/>
          <w:highlight w:val="none"/>
        </w:rPr>
        <w:t xml:space="preserve">地 址：浙江省湖州市仁皇山路501号              </w:t>
      </w:r>
      <w:r>
        <w:rPr>
          <w:rFonts w:hint="eastAsia" w:cs="仿宋"/>
          <w:color w:val="auto"/>
          <w:sz w:val="21"/>
          <w:szCs w:val="21"/>
          <w:highlight w:val="none"/>
        </w:rPr>
        <w:t>地</w:t>
      </w:r>
      <w:r>
        <w:rPr>
          <w:rFonts w:hint="eastAsia" w:cs="宋体"/>
          <w:color w:val="auto"/>
          <w:sz w:val="21"/>
          <w:szCs w:val="21"/>
          <w:highlight w:val="none"/>
        </w:rPr>
        <w:t xml:space="preserve"> </w:t>
      </w:r>
      <w:r>
        <w:rPr>
          <w:rFonts w:hint="eastAsia" w:cs="仿宋"/>
          <w:color w:val="auto"/>
          <w:sz w:val="21"/>
          <w:szCs w:val="21"/>
          <w:highlight w:val="none"/>
        </w:rPr>
        <w:t>址：湖州市长岛公园9号楼</w:t>
      </w:r>
    </w:p>
    <w:p>
      <w:pPr>
        <w:pStyle w:val="18"/>
        <w:spacing w:beforeAutospacing="0" w:afterAutospacing="0" w:line="400" w:lineRule="exact"/>
        <w:rPr>
          <w:rFonts w:hint="eastAsia" w:cs="仿宋"/>
          <w:color w:val="auto"/>
          <w:sz w:val="21"/>
          <w:szCs w:val="21"/>
          <w:highlight w:val="none"/>
        </w:rPr>
      </w:pPr>
      <w:r>
        <w:rPr>
          <w:rFonts w:hint="eastAsia" w:cs="仿宋"/>
          <w:color w:val="auto"/>
          <w:sz w:val="21"/>
          <w:szCs w:val="21"/>
          <w:highlight w:val="none"/>
        </w:rPr>
        <w:t>联 系 人：罗钻萍、张珍珍</w:t>
      </w:r>
      <w:r>
        <w:rPr>
          <w:rFonts w:hint="eastAsia" w:cs="宋体"/>
          <w:color w:val="auto"/>
          <w:sz w:val="21"/>
          <w:szCs w:val="21"/>
          <w:highlight w:val="none"/>
        </w:rPr>
        <w:t>     </w:t>
      </w:r>
      <w:r>
        <w:rPr>
          <w:rFonts w:hint="eastAsia" w:cs="仿宋"/>
          <w:color w:val="auto"/>
          <w:sz w:val="21"/>
          <w:szCs w:val="21"/>
          <w:highlight w:val="none"/>
        </w:rPr>
        <w:t xml:space="preserve">                     联</w:t>
      </w:r>
      <w:r>
        <w:rPr>
          <w:rFonts w:hint="eastAsia" w:cs="宋体"/>
          <w:color w:val="auto"/>
          <w:sz w:val="21"/>
          <w:szCs w:val="21"/>
          <w:highlight w:val="none"/>
        </w:rPr>
        <w:t xml:space="preserve"> </w:t>
      </w:r>
      <w:r>
        <w:rPr>
          <w:rFonts w:hint="eastAsia" w:cs="仿宋"/>
          <w:color w:val="auto"/>
          <w:sz w:val="21"/>
          <w:szCs w:val="21"/>
          <w:highlight w:val="none"/>
        </w:rPr>
        <w:t>系</w:t>
      </w:r>
      <w:r>
        <w:rPr>
          <w:rFonts w:hint="eastAsia" w:cs="宋体"/>
          <w:color w:val="auto"/>
          <w:sz w:val="21"/>
          <w:szCs w:val="21"/>
          <w:highlight w:val="none"/>
        </w:rPr>
        <w:t xml:space="preserve"> </w:t>
      </w:r>
      <w:r>
        <w:rPr>
          <w:rFonts w:hint="eastAsia" w:cs="仿宋"/>
          <w:color w:val="auto"/>
          <w:sz w:val="21"/>
          <w:szCs w:val="21"/>
          <w:highlight w:val="none"/>
        </w:rPr>
        <w:t>人：钟虹、陈思思</w:t>
      </w:r>
    </w:p>
    <w:p>
      <w:pPr>
        <w:pStyle w:val="18"/>
        <w:spacing w:beforeAutospacing="0" w:afterAutospacing="0" w:line="400" w:lineRule="exact"/>
        <w:rPr>
          <w:rFonts w:hint="eastAsia" w:cs="仿宋"/>
          <w:color w:val="auto"/>
          <w:sz w:val="21"/>
          <w:szCs w:val="21"/>
          <w:highlight w:val="none"/>
        </w:rPr>
      </w:pPr>
      <w:r>
        <w:rPr>
          <w:rFonts w:hint="eastAsia" w:cs="仿宋"/>
          <w:color w:val="auto"/>
          <w:sz w:val="21"/>
          <w:szCs w:val="21"/>
          <w:highlight w:val="none"/>
        </w:rPr>
        <w:t>电</w:t>
      </w:r>
      <w:r>
        <w:rPr>
          <w:rFonts w:hint="eastAsia" w:cs="宋体"/>
          <w:color w:val="auto"/>
          <w:sz w:val="21"/>
          <w:szCs w:val="21"/>
          <w:highlight w:val="none"/>
        </w:rPr>
        <w:t> </w:t>
      </w:r>
      <w:r>
        <w:rPr>
          <w:rFonts w:hint="eastAsia" w:cs="仿宋"/>
          <w:color w:val="auto"/>
          <w:sz w:val="21"/>
          <w:szCs w:val="21"/>
          <w:highlight w:val="none"/>
        </w:rPr>
        <w:t>话：0572-2392963</w:t>
      </w:r>
      <w:r>
        <w:rPr>
          <w:rFonts w:hint="eastAsia" w:cs="宋体"/>
          <w:color w:val="auto"/>
          <w:sz w:val="21"/>
          <w:szCs w:val="21"/>
          <w:highlight w:val="none"/>
        </w:rPr>
        <w:t>     </w:t>
      </w:r>
      <w:r>
        <w:rPr>
          <w:rFonts w:hint="eastAsia" w:cs="仿宋"/>
          <w:color w:val="auto"/>
          <w:sz w:val="21"/>
          <w:szCs w:val="21"/>
          <w:highlight w:val="none"/>
        </w:rPr>
        <w:t xml:space="preserve">                         电</w:t>
      </w:r>
      <w:r>
        <w:rPr>
          <w:rFonts w:hint="eastAsia" w:cs="宋体"/>
          <w:color w:val="auto"/>
          <w:sz w:val="21"/>
          <w:szCs w:val="21"/>
          <w:highlight w:val="none"/>
        </w:rPr>
        <w:t> </w:t>
      </w:r>
      <w:r>
        <w:rPr>
          <w:rFonts w:hint="eastAsia" w:cs="仿宋"/>
          <w:color w:val="auto"/>
          <w:sz w:val="21"/>
          <w:szCs w:val="21"/>
          <w:highlight w:val="none"/>
        </w:rPr>
        <w:t>话：0572-2221679</w:t>
      </w:r>
    </w:p>
    <w:p>
      <w:pPr>
        <w:spacing w:line="360" w:lineRule="auto"/>
        <w:ind w:firstLine="643" w:firstLineChars="200"/>
        <w:outlineLvl w:val="1"/>
        <w:rPr>
          <w:rFonts w:hint="eastAsia" w:ascii="宋体" w:hAnsi="宋体"/>
          <w:b/>
          <w:color w:val="auto"/>
          <w:sz w:val="32"/>
          <w:szCs w:val="32"/>
          <w:highlight w:val="none"/>
        </w:rPr>
      </w:pPr>
      <w:bookmarkStart w:id="75" w:name="_Toc23685"/>
      <w:r>
        <w:rPr>
          <w:rFonts w:hint="eastAsia" w:ascii="宋体" w:hAnsi="宋体"/>
          <w:b/>
          <w:color w:val="auto"/>
          <w:sz w:val="32"/>
          <w:szCs w:val="32"/>
          <w:highlight w:val="none"/>
        </w:rPr>
        <w:t>8. 软件技术支持</w:t>
      </w:r>
      <w:bookmarkEnd w:id="74"/>
      <w:bookmarkEnd w:id="75"/>
    </w:p>
    <w:p>
      <w:pPr>
        <w:pStyle w:val="18"/>
        <w:spacing w:beforeAutospacing="0" w:afterAutospacing="0" w:line="400" w:lineRule="exact"/>
        <w:ind w:firstLine="480" w:firstLineChars="200"/>
        <w:rPr>
          <w:rFonts w:hint="eastAsia" w:cs="宋体"/>
          <w:color w:val="auto"/>
          <w:highlight w:val="none"/>
        </w:rPr>
      </w:pPr>
      <w:r>
        <w:rPr>
          <w:rFonts w:hint="eastAsia" w:cs="宋体"/>
          <w:color w:val="auto"/>
          <w:highlight w:val="none"/>
        </w:rPr>
        <w:t>电 话：0572-2220028</w:t>
      </w:r>
    </w:p>
    <w:p>
      <w:pPr>
        <w:pStyle w:val="18"/>
        <w:spacing w:beforeAutospacing="0" w:afterAutospacing="0" w:line="400" w:lineRule="exact"/>
        <w:ind w:firstLine="480" w:firstLineChars="200"/>
        <w:rPr>
          <w:rFonts w:hint="eastAsia" w:eastAsia="宋体" w:cs="宋体"/>
          <w:color w:val="auto"/>
          <w:highlight w:val="none"/>
        </w:rPr>
      </w:pPr>
      <w:r>
        <w:rPr>
          <w:rFonts w:hint="eastAsia" w:cs="宋体"/>
          <w:color w:val="auto"/>
          <w:highlight w:val="none"/>
        </w:rPr>
        <w:t>联系人：国泰新点客服  电话 ：400998</w:t>
      </w:r>
      <w:r>
        <w:rPr>
          <w:rFonts w:hint="eastAsia" w:eastAsia="宋体" w:cs="宋体"/>
          <w:color w:val="auto"/>
          <w:highlight w:val="none"/>
        </w:rPr>
        <w:t>0000</w:t>
      </w:r>
    </w:p>
    <w:p>
      <w:pPr>
        <w:pStyle w:val="18"/>
        <w:spacing w:beforeAutospacing="0" w:afterAutospacing="0" w:line="400" w:lineRule="exact"/>
        <w:ind w:firstLine="480" w:firstLineChars="200"/>
        <w:rPr>
          <w:rFonts w:hint="default" w:eastAsia="宋体" w:cs="宋体"/>
          <w:color w:val="auto"/>
          <w:highlight w:val="none"/>
          <w:lang w:val="en-US" w:eastAsia="zh-CN"/>
        </w:rPr>
      </w:pPr>
      <w:r>
        <w:rPr>
          <w:rFonts w:hint="eastAsia" w:eastAsia="宋体" w:cs="宋体"/>
          <w:color w:val="auto"/>
          <w:highlight w:val="none"/>
        </w:rPr>
        <w:t>联系人：国泰新点      电话 ：0572-2220028；</w:t>
      </w:r>
      <w:r>
        <w:rPr>
          <w:rFonts w:hint="eastAsia" w:eastAsia="宋体" w:cs="宋体"/>
          <w:color w:val="auto"/>
          <w:highlight w:val="none"/>
          <w:lang w:val="en-US" w:eastAsia="zh-CN"/>
        </w:rPr>
        <w:t>13023622671</w:t>
      </w:r>
    </w:p>
    <w:p>
      <w:pPr>
        <w:tabs>
          <w:tab w:val="left" w:pos="4228"/>
          <w:tab w:val="left" w:pos="7975"/>
        </w:tabs>
        <w:kinsoku w:val="0"/>
        <w:spacing w:line="360" w:lineRule="auto"/>
        <w:ind w:firstLine="480" w:firstLineChars="200"/>
        <w:jc w:val="center"/>
        <w:outlineLvl w:val="0"/>
        <w:rPr>
          <w:rFonts w:hint="eastAsia" w:ascii="黑体" w:hAnsi="黑体" w:eastAsia="黑体" w:cs="黑体"/>
          <w:color w:val="auto"/>
          <w:sz w:val="44"/>
          <w:szCs w:val="44"/>
          <w:highlight w:val="none"/>
        </w:rPr>
      </w:pPr>
      <w:r>
        <w:rPr>
          <w:color w:val="auto"/>
          <w:highlight w:val="none"/>
        </w:rPr>
        <w:t xml:space="preserve"> </w:t>
      </w:r>
      <w:bookmarkStart w:id="76" w:name="_Toc45697228"/>
      <w:r>
        <w:rPr>
          <w:rFonts w:ascii="Times New Roman" w:hAnsi="Times New Roman" w:eastAsia="黑体"/>
          <w:bCs/>
          <w:color w:val="auto"/>
          <w:kern w:val="44"/>
          <w:sz w:val="44"/>
          <w:szCs w:val="44"/>
          <w:highlight w:val="none"/>
        </w:rPr>
        <w:br w:type="page"/>
      </w:r>
      <w:bookmarkEnd w:id="76"/>
      <w:bookmarkStart w:id="77" w:name="bookmark181"/>
      <w:bookmarkEnd w:id="77"/>
      <w:bookmarkStart w:id="78" w:name="_Toc18957"/>
      <w:bookmarkStart w:id="79" w:name="_Toc24050297"/>
      <w:bookmarkStart w:id="80" w:name="_Toc22828079"/>
      <w:bookmarkStart w:id="81" w:name="_Toc25289"/>
      <w:r>
        <w:rPr>
          <w:rFonts w:hint="eastAsia" w:ascii="黑体" w:hAnsi="黑体" w:eastAsia="黑体" w:cs="黑体"/>
          <w:color w:val="auto"/>
          <w:sz w:val="44"/>
          <w:szCs w:val="44"/>
          <w:highlight w:val="none"/>
        </w:rPr>
        <w:t>第二章 投标人须知</w:t>
      </w:r>
      <w:bookmarkEnd w:id="78"/>
    </w:p>
    <w:p>
      <w:pPr>
        <w:pStyle w:val="6"/>
        <w:jc w:val="center"/>
        <w:rPr>
          <w:color w:val="auto"/>
          <w:highlight w:val="none"/>
        </w:rPr>
      </w:pPr>
      <w:bookmarkStart w:id="82" w:name="第一节投标人须知前附表"/>
      <w:bookmarkEnd w:id="82"/>
      <w:bookmarkStart w:id="83" w:name="_Toc9857"/>
      <w:r>
        <w:rPr>
          <w:rFonts w:hint="eastAsia"/>
          <w:color w:val="auto"/>
          <w:highlight w:val="none"/>
        </w:rPr>
        <w:t>投标人须知前附表</w:t>
      </w:r>
      <w:bookmarkEnd w:id="83"/>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988"/>
        <w:gridCol w:w="1768"/>
        <w:gridCol w:w="5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noWrap w:val="0"/>
            <w:vAlign w:val="center"/>
          </w:tcPr>
          <w:p>
            <w:pPr>
              <w:pStyle w:val="40"/>
              <w:adjustRightInd/>
              <w:spacing w:line="288" w:lineRule="auto"/>
              <w:ind w:left="232" w:right="220"/>
              <w:jc w:val="center"/>
              <w:rPr>
                <w:b/>
                <w:color w:val="auto"/>
                <w:highlight w:val="none"/>
              </w:rPr>
            </w:pPr>
            <w:r>
              <w:rPr>
                <w:rFonts w:hint="eastAsia"/>
                <w:b/>
                <w:color w:val="auto"/>
                <w:highlight w:val="none"/>
              </w:rPr>
              <w:t>条款号</w:t>
            </w:r>
          </w:p>
        </w:tc>
        <w:tc>
          <w:tcPr>
            <w:tcW w:w="1768" w:type="dxa"/>
            <w:noWrap w:val="0"/>
            <w:vAlign w:val="center"/>
          </w:tcPr>
          <w:p>
            <w:pPr>
              <w:pStyle w:val="40"/>
              <w:adjustRightInd/>
              <w:spacing w:line="288" w:lineRule="auto"/>
              <w:ind w:left="185" w:right="175"/>
              <w:jc w:val="center"/>
              <w:rPr>
                <w:b/>
                <w:color w:val="auto"/>
                <w:highlight w:val="none"/>
              </w:rPr>
            </w:pPr>
            <w:r>
              <w:rPr>
                <w:rFonts w:hint="eastAsia"/>
                <w:b/>
                <w:color w:val="auto"/>
                <w:highlight w:val="none"/>
              </w:rPr>
              <w:t>条款名称</w:t>
            </w:r>
          </w:p>
        </w:tc>
        <w:tc>
          <w:tcPr>
            <w:tcW w:w="5954" w:type="dxa"/>
            <w:noWrap w:val="0"/>
            <w:vAlign w:val="center"/>
          </w:tcPr>
          <w:p>
            <w:pPr>
              <w:pStyle w:val="40"/>
              <w:tabs>
                <w:tab w:val="left" w:pos="494"/>
                <w:tab w:val="left" w:pos="976"/>
                <w:tab w:val="left" w:pos="1458"/>
              </w:tabs>
              <w:adjustRightInd/>
              <w:spacing w:line="360" w:lineRule="auto"/>
              <w:ind w:left="14"/>
              <w:jc w:val="center"/>
              <w:rPr>
                <w:b/>
                <w:color w:val="auto"/>
                <w:highlight w:val="none"/>
              </w:rPr>
            </w:pPr>
            <w:bookmarkStart w:id="84" w:name="_bookmark2"/>
            <w:bookmarkEnd w:id="84"/>
            <w:r>
              <w:rPr>
                <w:rFonts w:hint="eastAsia"/>
                <w:b/>
                <w:color w:val="auto"/>
                <w:highlight w:val="no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1.1.2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招标人</w:t>
            </w:r>
          </w:p>
        </w:tc>
        <w:tc>
          <w:tcPr>
            <w:tcW w:w="5954" w:type="dxa"/>
            <w:noWrap w:val="0"/>
            <w:vAlign w:val="center"/>
          </w:tcPr>
          <w:p>
            <w:pPr>
              <w:pStyle w:val="40"/>
              <w:tabs>
                <w:tab w:val="left" w:pos="3080"/>
                <w:tab w:val="left" w:pos="4248"/>
              </w:tabs>
              <w:adjustRightInd/>
              <w:spacing w:line="360" w:lineRule="auto"/>
              <w:ind w:right="-8"/>
              <w:jc w:val="both"/>
              <w:rPr>
                <w:rFonts w:hint="eastAsia"/>
                <w:color w:val="auto"/>
                <w:highlight w:val="none"/>
              </w:rPr>
            </w:pPr>
            <w:r>
              <w:rPr>
                <w:rFonts w:hint="eastAsia"/>
                <w:color w:val="auto"/>
                <w:highlight w:val="none"/>
              </w:rPr>
              <w:t>详见招标公告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1.1.3</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招标代理机构</w:t>
            </w:r>
          </w:p>
        </w:tc>
        <w:tc>
          <w:tcPr>
            <w:tcW w:w="5954" w:type="dxa"/>
            <w:noWrap w:val="0"/>
            <w:vAlign w:val="center"/>
          </w:tcPr>
          <w:p>
            <w:pPr>
              <w:pStyle w:val="40"/>
              <w:tabs>
                <w:tab w:val="left" w:pos="3080"/>
              </w:tabs>
              <w:adjustRightInd/>
              <w:spacing w:line="360" w:lineRule="auto"/>
              <w:ind w:right="-8"/>
              <w:jc w:val="both"/>
              <w:rPr>
                <w:color w:val="auto"/>
                <w:highlight w:val="none"/>
              </w:rPr>
            </w:pPr>
            <w:r>
              <w:rPr>
                <w:rFonts w:hint="eastAsia"/>
                <w:color w:val="auto"/>
                <w:highlight w:val="none"/>
              </w:rPr>
              <w:t>详见招标公告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1.1.4</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项目名称</w:t>
            </w:r>
          </w:p>
        </w:tc>
        <w:tc>
          <w:tcPr>
            <w:tcW w:w="5954" w:type="dxa"/>
            <w:noWrap w:val="0"/>
            <w:vAlign w:val="center"/>
          </w:tcPr>
          <w:p>
            <w:pPr>
              <w:pStyle w:val="40"/>
              <w:adjustRightInd/>
              <w:spacing w:line="360" w:lineRule="auto"/>
              <w:ind w:right="-8"/>
              <w:jc w:val="both"/>
              <w:rPr>
                <w:color w:val="auto"/>
                <w:highlight w:val="none"/>
              </w:rPr>
            </w:pPr>
            <w:r>
              <w:rPr>
                <w:rFonts w:hint="eastAsia"/>
                <w:color w:val="auto"/>
                <w:szCs w:val="21"/>
                <w:highlight w:val="none"/>
              </w:rPr>
              <w:t>湖州市南太湖新区太湖湾单元（TH-08-02）13E、14C、15B、16A-1、16A-2、16B、17A、17B-1、17B-2、17C、18B-1、18B-2、20B-1、20B-2、27E、28B-1、28B-2、29B、13E-1、20B-3号地块（长东未来社区）开发建设项目工程总承包项目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1.1.5</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建设地点</w:t>
            </w:r>
          </w:p>
        </w:tc>
        <w:tc>
          <w:tcPr>
            <w:tcW w:w="5954" w:type="dxa"/>
            <w:noWrap w:val="0"/>
            <w:vAlign w:val="center"/>
          </w:tcPr>
          <w:p>
            <w:pPr>
              <w:spacing w:line="400" w:lineRule="exact"/>
              <w:rPr>
                <w:color w:val="auto"/>
                <w:highlight w:val="none"/>
              </w:rPr>
            </w:pPr>
            <w:r>
              <w:rPr>
                <w:rFonts w:hint="eastAsia" w:ascii="宋体" w:hAnsi="宋体" w:cs="宋体"/>
                <w:color w:val="auto"/>
                <w:szCs w:val="21"/>
                <w:highlight w:val="none"/>
              </w:rPr>
              <w:t>详见招标公告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1.2.1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资金来源及比例</w:t>
            </w:r>
          </w:p>
        </w:tc>
        <w:tc>
          <w:tcPr>
            <w:tcW w:w="5954" w:type="dxa"/>
            <w:noWrap w:val="0"/>
            <w:vAlign w:val="center"/>
          </w:tcPr>
          <w:p>
            <w:pPr>
              <w:spacing w:line="400" w:lineRule="exact"/>
              <w:rPr>
                <w:color w:val="auto"/>
                <w:highlight w:val="none"/>
              </w:rPr>
            </w:pPr>
            <w:r>
              <w:rPr>
                <w:rFonts w:hint="eastAsia" w:ascii="宋体" w:hAnsi="宋体" w:cs="宋体"/>
                <w:color w:val="auto"/>
                <w:szCs w:val="21"/>
                <w:highlight w:val="none"/>
              </w:rPr>
              <w:t>详见招标公告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1.2.2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资金落实情况</w:t>
            </w:r>
          </w:p>
        </w:tc>
        <w:tc>
          <w:tcPr>
            <w:tcW w:w="5954" w:type="dxa"/>
            <w:noWrap w:val="0"/>
            <w:vAlign w:val="center"/>
          </w:tcPr>
          <w:p>
            <w:pPr>
              <w:spacing w:line="400" w:lineRule="exact"/>
              <w:rPr>
                <w:color w:val="auto"/>
                <w:highlight w:val="none"/>
              </w:rPr>
            </w:pPr>
            <w:r>
              <w:rPr>
                <w:rFonts w:hint="eastAsia" w:ascii="宋体" w:hAnsi="宋体" w:cs="宋体"/>
                <w:bCs/>
                <w:color w:val="auto"/>
                <w:szCs w:val="21"/>
                <w:highlight w:val="none"/>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1.3.1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招标范围</w:t>
            </w:r>
          </w:p>
        </w:tc>
        <w:tc>
          <w:tcPr>
            <w:tcW w:w="5954" w:type="dxa"/>
            <w:noWrap w:val="0"/>
            <w:vAlign w:val="center"/>
          </w:tcPr>
          <w:p>
            <w:pPr>
              <w:widowControl/>
              <w:spacing w:line="400" w:lineRule="exact"/>
              <w:ind w:firstLine="480" w:firstLineChars="200"/>
              <w:rPr>
                <w:rFonts w:hint="eastAsia" w:ascii="宋体" w:hAnsi="宋体" w:eastAsia="宋体" w:cs="宋体"/>
                <w:b w:val="0"/>
                <w:bCs w:val="0"/>
                <w:color w:val="auto"/>
                <w:szCs w:val="21"/>
                <w:highlight w:val="none"/>
                <w:lang w:val="zh-CN" w:bidi="zh-CN"/>
              </w:rPr>
            </w:pPr>
            <w:r>
              <w:rPr>
                <w:rFonts w:hint="eastAsia" w:ascii="宋体" w:hAnsi="宋体" w:eastAsia="宋体" w:cs="宋体"/>
                <w:b w:val="0"/>
                <w:bCs w:val="0"/>
                <w:color w:val="auto"/>
                <w:szCs w:val="21"/>
                <w:highlight w:val="none"/>
                <w:lang w:val="zh-CN" w:bidi="zh-CN"/>
              </w:rPr>
              <w:t>本次招标范围为设计、施工、采购工程总承包，包括上述范围内的设计、采购、施工、管理、验收、移交、备案和保修服务，并对工程的质量、安全、工期、造价等全面负责。</w:t>
            </w:r>
          </w:p>
          <w:p>
            <w:pPr>
              <w:spacing w:line="440" w:lineRule="exact"/>
              <w:ind w:firstLine="480" w:firstLineChars="200"/>
              <w:rPr>
                <w:rFonts w:hint="eastAsia" w:ascii="宋体" w:hAnsi="宋体" w:eastAsia="宋体" w:cs="宋体"/>
                <w:b w:val="0"/>
                <w:bCs w:val="0"/>
                <w:color w:val="auto"/>
                <w:szCs w:val="21"/>
                <w:highlight w:val="none"/>
                <w:lang w:val="zh-CN" w:bidi="zh-CN"/>
              </w:rPr>
            </w:pPr>
            <w:r>
              <w:rPr>
                <w:rFonts w:hint="eastAsia" w:ascii="宋体" w:hAnsi="宋体" w:eastAsia="宋体" w:cs="宋体"/>
                <w:b w:val="0"/>
                <w:bCs w:val="0"/>
                <w:color w:val="auto"/>
                <w:szCs w:val="21"/>
                <w:highlight w:val="none"/>
                <w:lang w:val="zh-CN" w:bidi="zh-CN"/>
              </w:rPr>
              <w:t>1.设计范围：本项目所涉及的施工图设计（含补勘）、各类专项设计、论证、BIM技术服务（仅包含地下室，具体技术要求详见招标文件）及后期施工全过程配合服务等。【包括但不限于建筑、结构、水电安装、暖通、幕墙、基坑、消防、人防、室外总布、景观绿化、小区周边市政绿化、部分空中公共廊道</w:t>
            </w:r>
            <w:r>
              <w:rPr>
                <w:rFonts w:hint="eastAsia" w:ascii="宋体" w:hAnsi="宋体" w:eastAsia="宋体" w:cs="宋体"/>
                <w:b w:val="0"/>
                <w:bCs w:val="0"/>
                <w:color w:val="auto"/>
                <w:szCs w:val="21"/>
                <w:highlight w:val="none"/>
                <w:lang w:val="zh-CN" w:eastAsia="zh-CN" w:bidi="zh-CN"/>
              </w:rPr>
              <w:t>（</w:t>
            </w:r>
            <w:r>
              <w:rPr>
                <w:rFonts w:hint="eastAsia" w:ascii="宋体" w:hAnsi="宋体" w:eastAsia="宋体" w:cs="宋体"/>
                <w:b w:val="0"/>
                <w:bCs w:val="0"/>
                <w:color w:val="auto"/>
                <w:szCs w:val="21"/>
                <w:highlight w:val="none"/>
                <w:lang w:val="zh-CN" w:bidi="zh-CN"/>
              </w:rPr>
              <w:t>见附件</w:t>
            </w:r>
            <w:r>
              <w:rPr>
                <w:rFonts w:hint="eastAsia" w:ascii="宋体" w:hAnsi="宋体" w:eastAsia="宋体" w:cs="宋体"/>
                <w:b w:val="0"/>
                <w:bCs w:val="0"/>
                <w:color w:val="auto"/>
                <w:szCs w:val="21"/>
                <w:highlight w:val="none"/>
                <w:lang w:val="en-US" w:bidi="zh-CN"/>
              </w:rPr>
              <w:t>1</w:t>
            </w:r>
            <w:r>
              <w:rPr>
                <w:rFonts w:hint="eastAsia" w:ascii="宋体" w:hAnsi="宋体" w:eastAsia="宋体" w:cs="宋体"/>
                <w:b w:val="0"/>
                <w:bCs w:val="0"/>
                <w:color w:val="auto"/>
                <w:szCs w:val="21"/>
                <w:highlight w:val="none"/>
                <w:lang w:val="zh-CN" w:eastAsia="zh-CN" w:bidi="zh-CN"/>
              </w:rPr>
              <w:t>）</w:t>
            </w:r>
            <w:r>
              <w:rPr>
                <w:rFonts w:hint="eastAsia" w:ascii="宋体" w:hAnsi="宋体" w:eastAsia="宋体" w:cs="宋体"/>
                <w:b w:val="0"/>
                <w:bCs w:val="0"/>
                <w:color w:val="auto"/>
                <w:szCs w:val="21"/>
                <w:highlight w:val="none"/>
                <w:lang w:val="zh-CN" w:bidi="zh-CN"/>
              </w:rPr>
              <w:t>、装修、智能化专项设计、交通标识标牌、抗震支架、泛光亮化、电梯、PC、绿建（含节能评估、绿建评审及后期施工咨询、验收等）及其他专项设计等所有内容（具体以甲方指令为准</w:t>
            </w:r>
            <w:r>
              <w:rPr>
                <w:rFonts w:hint="eastAsia" w:ascii="宋体" w:hAnsi="宋体" w:eastAsia="宋体" w:cs="宋体"/>
                <w:color w:val="auto"/>
                <w:szCs w:val="21"/>
                <w:highlight w:val="none"/>
                <w:lang w:val="zh-CN" w:bidi="zh-CN"/>
              </w:rPr>
              <w:t>】</w:t>
            </w:r>
            <w:r>
              <w:rPr>
                <w:rFonts w:hint="eastAsia" w:ascii="宋体" w:hAnsi="宋体" w:eastAsia="宋体" w:cs="宋体"/>
                <w:b w:val="0"/>
                <w:bCs w:val="0"/>
                <w:color w:val="auto"/>
                <w:szCs w:val="21"/>
                <w:highlight w:val="none"/>
                <w:lang w:val="zh-CN" w:bidi="zh-CN"/>
              </w:rPr>
              <w:t>。</w:t>
            </w:r>
          </w:p>
          <w:p>
            <w:pPr>
              <w:spacing w:line="440" w:lineRule="exact"/>
              <w:ind w:firstLine="480" w:firstLineChars="200"/>
              <w:rPr>
                <w:rFonts w:hint="eastAsia" w:ascii="宋体" w:hAnsi="宋体" w:eastAsia="宋体" w:cs="宋体"/>
                <w:b w:val="0"/>
                <w:bCs w:val="0"/>
                <w:color w:val="auto"/>
                <w:szCs w:val="21"/>
                <w:highlight w:val="none"/>
                <w:lang w:val="zh-CN" w:bidi="zh-CN"/>
              </w:rPr>
            </w:pPr>
            <w:r>
              <w:rPr>
                <w:rFonts w:hint="eastAsia" w:ascii="宋体" w:hAnsi="宋体" w:eastAsia="宋体" w:cs="宋体"/>
                <w:b w:val="0"/>
                <w:bCs w:val="0"/>
                <w:color w:val="auto"/>
                <w:szCs w:val="21"/>
                <w:highlight w:val="none"/>
                <w:lang w:val="zh-CN" w:bidi="zh-CN"/>
              </w:rPr>
              <w:t>2.施工、采购范围：①工程施工及采购，主要包括本次招标设计范围内的工程施工总承包，</w:t>
            </w:r>
            <w:r>
              <w:rPr>
                <w:rFonts w:hint="eastAsia" w:ascii="宋体" w:hAnsi="宋体" w:eastAsia="宋体" w:cs="宋体"/>
                <w:color w:val="auto"/>
                <w:szCs w:val="21"/>
                <w:highlight w:val="none"/>
                <w:lang w:val="zh-CN" w:bidi="zh-CN"/>
              </w:rPr>
              <w:t>【</w:t>
            </w:r>
            <w:r>
              <w:rPr>
                <w:rFonts w:hint="eastAsia" w:ascii="宋体" w:hAnsi="宋体" w:eastAsia="宋体" w:cs="宋体"/>
                <w:b w:val="0"/>
                <w:bCs w:val="0"/>
                <w:color w:val="auto"/>
                <w:szCs w:val="21"/>
                <w:highlight w:val="none"/>
                <w:lang w:val="zh-CN" w:bidi="zh-CN"/>
              </w:rPr>
              <w:t>包括但不限于场地平整、土建、水电安装、暖通、幕墙、基坑、消防、人防、室外总布、景观绿化、小区周边市政绿化、</w:t>
            </w:r>
            <w:r>
              <w:rPr>
                <w:rFonts w:hint="eastAsia" w:ascii="宋体" w:hAnsi="宋体" w:eastAsia="宋体" w:cs="宋体"/>
                <w:b w:val="0"/>
                <w:bCs w:val="0"/>
                <w:color w:val="auto"/>
                <w:szCs w:val="21"/>
                <w:highlight w:val="none"/>
                <w:u w:val="none"/>
                <w:lang w:val="zh-CN" w:bidi="zh-CN"/>
              </w:rPr>
              <w:t>部分空中公共廊道</w:t>
            </w:r>
            <w:r>
              <w:rPr>
                <w:rFonts w:hint="eastAsia" w:ascii="宋体" w:hAnsi="宋体" w:eastAsia="宋体" w:cs="宋体"/>
                <w:b w:val="0"/>
                <w:bCs w:val="0"/>
                <w:color w:val="auto"/>
                <w:szCs w:val="21"/>
                <w:highlight w:val="none"/>
                <w:u w:val="none"/>
                <w:lang w:val="zh-CN" w:eastAsia="zh-CN" w:bidi="zh-CN"/>
              </w:rPr>
              <w:t>（</w:t>
            </w:r>
            <w:r>
              <w:rPr>
                <w:rFonts w:hint="eastAsia" w:ascii="宋体" w:hAnsi="宋体" w:eastAsia="宋体" w:cs="宋体"/>
                <w:b w:val="0"/>
                <w:bCs w:val="0"/>
                <w:color w:val="auto"/>
                <w:szCs w:val="21"/>
                <w:highlight w:val="none"/>
                <w:u w:val="none"/>
                <w:lang w:val="zh-CN" w:bidi="zh-CN"/>
              </w:rPr>
              <w:t>见附件</w:t>
            </w:r>
            <w:r>
              <w:rPr>
                <w:rFonts w:hint="eastAsia" w:ascii="宋体" w:hAnsi="宋体" w:eastAsia="宋体" w:cs="宋体"/>
                <w:b w:val="0"/>
                <w:bCs w:val="0"/>
                <w:color w:val="auto"/>
                <w:szCs w:val="21"/>
                <w:highlight w:val="none"/>
                <w:u w:val="none"/>
                <w:lang w:val="en-US" w:bidi="zh-CN"/>
              </w:rPr>
              <w:t>1</w:t>
            </w:r>
            <w:r>
              <w:rPr>
                <w:rFonts w:hint="eastAsia" w:ascii="宋体" w:hAnsi="宋体" w:eastAsia="宋体" w:cs="宋体"/>
                <w:b w:val="0"/>
                <w:bCs w:val="0"/>
                <w:color w:val="auto"/>
                <w:szCs w:val="21"/>
                <w:highlight w:val="none"/>
                <w:u w:val="none"/>
                <w:lang w:val="zh-CN" w:eastAsia="zh-CN" w:bidi="zh-CN"/>
              </w:rPr>
              <w:t>）</w:t>
            </w:r>
            <w:r>
              <w:rPr>
                <w:rFonts w:hint="eastAsia" w:ascii="宋体" w:hAnsi="宋体" w:eastAsia="宋体" w:cs="宋体"/>
                <w:b w:val="0"/>
                <w:bCs w:val="0"/>
                <w:color w:val="auto"/>
                <w:szCs w:val="21"/>
                <w:highlight w:val="none"/>
                <w:lang w:val="zh-CN" w:bidi="zh-CN"/>
              </w:rPr>
              <w:t>、装修、智能化、交通标识标牌、抗震支架、泛光亮化、</w:t>
            </w:r>
            <w:r>
              <w:rPr>
                <w:rFonts w:hint="eastAsia" w:ascii="宋体" w:hAnsi="宋体" w:eastAsia="宋体" w:cs="宋体"/>
                <w:b w:val="0"/>
                <w:bCs w:val="0"/>
                <w:color w:val="auto"/>
                <w:szCs w:val="21"/>
                <w:highlight w:val="none"/>
                <w:lang w:val="en-US" w:bidi="zh-CN"/>
              </w:rPr>
              <w:t>充电桩、</w:t>
            </w:r>
            <w:r>
              <w:rPr>
                <w:rFonts w:hint="eastAsia" w:ascii="宋体" w:hAnsi="宋体" w:eastAsia="宋体" w:cs="宋体"/>
                <w:b w:val="0"/>
                <w:bCs w:val="0"/>
                <w:color w:val="auto"/>
                <w:szCs w:val="21"/>
                <w:highlight w:val="none"/>
                <w:lang w:val="zh-CN" w:bidi="zh-CN"/>
              </w:rPr>
              <w:t>电梯等承包人设计范围内的全部工程施工及相应设备采购安装（具体以甲方指令为准）</w:t>
            </w:r>
            <w:r>
              <w:rPr>
                <w:rFonts w:hint="eastAsia" w:ascii="宋体" w:hAnsi="宋体" w:eastAsia="宋体" w:cs="宋体"/>
                <w:color w:val="auto"/>
                <w:szCs w:val="21"/>
                <w:highlight w:val="none"/>
                <w:lang w:val="zh-CN" w:bidi="zh-CN"/>
              </w:rPr>
              <w:t>】</w:t>
            </w:r>
            <w:r>
              <w:rPr>
                <w:rFonts w:hint="eastAsia" w:ascii="宋体" w:hAnsi="宋体" w:eastAsia="宋体" w:cs="宋体"/>
                <w:b w:val="0"/>
                <w:bCs w:val="0"/>
                <w:color w:val="auto"/>
                <w:szCs w:val="21"/>
                <w:highlight w:val="none"/>
                <w:lang w:val="zh-CN" w:bidi="zh-CN"/>
              </w:rPr>
              <w:t>；②工程验收，包括但不限于负责法人验收以及政府验收（各阶段、各专项验收，完工验收。）的资料准备及相关配合工作；③工程移交；④缺陷责任期内的缺陷修复、保修服务；⑤按合同约定对项目质量、安全、进度、投资、信息等进行管理和控制。</w:t>
            </w:r>
          </w:p>
          <w:p>
            <w:pPr>
              <w:spacing w:line="400" w:lineRule="exact"/>
              <w:ind w:firstLine="480" w:firstLineChars="200"/>
              <w:rPr>
                <w:rFonts w:hint="eastAsia" w:ascii="宋体" w:hAnsi="宋体" w:eastAsia="宋体" w:cs="宋体"/>
                <w:b w:val="0"/>
                <w:bCs w:val="0"/>
                <w:color w:val="auto"/>
                <w:szCs w:val="21"/>
                <w:highlight w:val="none"/>
                <w:lang w:val="zh-CN" w:bidi="zh-CN"/>
              </w:rPr>
            </w:pPr>
            <w:r>
              <w:rPr>
                <w:rFonts w:hint="eastAsia" w:ascii="宋体" w:hAnsi="宋体" w:eastAsia="宋体" w:cs="宋体"/>
                <w:b w:val="0"/>
                <w:bCs w:val="0"/>
                <w:color w:val="auto"/>
                <w:szCs w:val="21"/>
                <w:highlight w:val="none"/>
                <w:lang w:val="zh-CN" w:bidi="zh-CN"/>
              </w:rPr>
              <w:t>3.工程总承包管理服务：包括但不限于承担本项目（除涉及可研相关工作、监理、第三方全过程审计外）的所有审批手续、施工图日照分析、水保竣工报告编制、土地复核（含宗地测量及分摊）、组织验收（含各专项验收）、工规证规费（档案管理费等）、竣工实测、场地测绘（各阶段）、点位放样、坐标、高程控制点、水准点、试桩、分户检测、节能检测、能耗监测、室内环境监测、消防检测</w:t>
            </w:r>
            <w:r>
              <w:rPr>
                <w:rFonts w:hint="eastAsia" w:ascii="宋体" w:hAnsi="宋体" w:eastAsia="宋体" w:cs="宋体"/>
                <w:b w:val="0"/>
                <w:bCs w:val="0"/>
                <w:color w:val="auto"/>
                <w:szCs w:val="21"/>
                <w:highlight w:val="none"/>
                <w:lang w:val="zh-CN" w:eastAsia="zh-CN" w:bidi="zh-CN"/>
              </w:rPr>
              <w:t>、</w:t>
            </w:r>
            <w:r>
              <w:rPr>
                <w:rFonts w:hint="eastAsia" w:ascii="宋体" w:hAnsi="宋体" w:eastAsia="宋体" w:cs="宋体"/>
                <w:b w:val="0"/>
                <w:bCs w:val="0"/>
                <w:color w:val="auto"/>
                <w:szCs w:val="21"/>
                <w:highlight w:val="none"/>
                <w:lang w:val="zh-CN" w:bidi="zh-CN"/>
              </w:rPr>
              <w:t>人防检测、水质检测、防雷检测、CCTV检测、电力检测、沉降观测、平战转换方案、人防标识标牌、施工许可证办理、房屋建筑面积测绘、</w:t>
            </w:r>
            <w:r>
              <w:rPr>
                <w:rFonts w:hint="eastAsia" w:ascii="宋体" w:hAnsi="宋体" w:eastAsia="宋体" w:cs="宋体"/>
                <w:b w:val="0"/>
                <w:bCs w:val="0"/>
                <w:color w:val="auto"/>
                <w:szCs w:val="21"/>
                <w:highlight w:val="none"/>
                <w:lang w:val="en-US" w:bidi="zh-CN"/>
              </w:rPr>
              <w:t>PC、绿色建筑</w:t>
            </w:r>
            <w:r>
              <w:rPr>
                <w:rFonts w:hint="eastAsia" w:ascii="宋体" w:hAnsi="宋体" w:eastAsia="宋体" w:cs="宋体"/>
                <w:b w:val="0"/>
                <w:bCs w:val="0"/>
                <w:color w:val="auto"/>
                <w:szCs w:val="21"/>
                <w:highlight w:val="none"/>
                <w:lang w:val="zh-CN" w:bidi="zh-CN"/>
              </w:rPr>
              <w:t>，项目全过程施工管理直至各单项验收（如规划、消防、环保、档案、水利、人防、气象、排污、白蚁防治等）和综合竣工验收、竣工备案、资料归档、整体移交等工作）（不包含桩基检测、基坑监测）【以上所涉及的费用已含在总承包管理费中】。</w:t>
            </w:r>
          </w:p>
          <w:p>
            <w:pPr>
              <w:spacing w:line="400" w:lineRule="exact"/>
              <w:ind w:firstLine="480" w:firstLineChars="200"/>
              <w:rPr>
                <w:color w:val="auto"/>
                <w:highlight w:val="none"/>
              </w:rPr>
            </w:pPr>
            <w:r>
              <w:rPr>
                <w:rFonts w:hint="eastAsia" w:ascii="宋体" w:hAnsi="宋体" w:eastAsia="宋体" w:cs="宋体"/>
                <w:b w:val="0"/>
                <w:bCs w:val="0"/>
                <w:color w:val="auto"/>
                <w:szCs w:val="21"/>
                <w:highlight w:val="none"/>
                <w:lang w:val="zh-CN" w:bidi="zh-CN"/>
              </w:rPr>
              <w:t>包括所有的专业配套工程（杆线迁移及拆除、消防绿化表计、给水工程等）及生活水电表的申请和过户、办公经营用房的提留的手续办理申请、设计委托、施工、过户、移交、备案等一切相关资料的办理工作（除电力设计、电力施工、电力设备、电力增容、自来水总布施工、二次供水、消防供水、燃气工程、三网合一综合通信、华数工程外）【以上手续相关的办理服务费用已含在总承包管理费中（按照有关规定必须由招标人支付的费用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1.3.2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工期要求</w:t>
            </w:r>
          </w:p>
        </w:tc>
        <w:tc>
          <w:tcPr>
            <w:tcW w:w="5954" w:type="dxa"/>
            <w:noWrap w:val="0"/>
            <w:vAlign w:val="center"/>
          </w:tcPr>
          <w:p>
            <w:pPr>
              <w:pStyle w:val="40"/>
              <w:tabs>
                <w:tab w:val="left" w:pos="1690"/>
              </w:tabs>
              <w:adjustRightInd/>
              <w:spacing w:line="360" w:lineRule="auto"/>
              <w:ind w:right="-8"/>
              <w:jc w:val="both"/>
              <w:rPr>
                <w:color w:val="auto"/>
                <w:highlight w:val="none"/>
              </w:rPr>
            </w:pPr>
            <w:r>
              <w:rPr>
                <w:rFonts w:hint="eastAsia"/>
                <w:color w:val="auto"/>
                <w:highlight w:val="none"/>
              </w:rPr>
              <w:t>计划</w:t>
            </w:r>
            <w:r>
              <w:rPr>
                <w:rFonts w:hint="eastAsia"/>
                <w:color w:val="auto"/>
                <w:spacing w:val="4"/>
                <w:highlight w:val="none"/>
              </w:rPr>
              <w:t>工</w:t>
            </w:r>
            <w:r>
              <w:rPr>
                <w:rFonts w:hint="eastAsia"/>
                <w:color w:val="auto"/>
                <w:highlight w:val="none"/>
              </w:rPr>
              <w:t>期：</w:t>
            </w:r>
            <w:r>
              <w:rPr>
                <w:rFonts w:hint="eastAsia"/>
                <w:color w:val="auto"/>
                <w:highlight w:val="none"/>
                <w:u w:val="single"/>
              </w:rPr>
              <w:t xml:space="preserve"> </w:t>
            </w:r>
            <w:r>
              <w:rPr>
                <w:rFonts w:hint="eastAsia"/>
                <w:color w:val="auto"/>
                <w:highlight w:val="none"/>
                <w:u w:val="single"/>
                <w:lang w:val="en-US" w:eastAsia="zh-CN"/>
              </w:rPr>
              <w:t>90</w:t>
            </w:r>
            <w:r>
              <w:rPr>
                <w:rFonts w:hint="eastAsia"/>
                <w:color w:val="auto"/>
                <w:highlight w:val="none"/>
                <w:u w:val="single"/>
                <w:lang w:val="en-US"/>
              </w:rPr>
              <w:t>0</w:t>
            </w:r>
            <w:r>
              <w:rPr>
                <w:rFonts w:hint="eastAsia"/>
                <w:color w:val="auto"/>
                <w:highlight w:val="none"/>
                <w:u w:val="single"/>
              </w:rPr>
              <w:tab/>
            </w:r>
            <w:r>
              <w:rPr>
                <w:rFonts w:hint="eastAsia"/>
                <w:color w:val="auto"/>
                <w:spacing w:val="4"/>
                <w:highlight w:val="none"/>
              </w:rPr>
              <w:t>个日历天。投标</w:t>
            </w:r>
            <w:r>
              <w:rPr>
                <w:rFonts w:hint="eastAsia"/>
                <w:color w:val="auto"/>
                <w:highlight w:val="none"/>
              </w:rPr>
              <w:t>承诺工期不</w:t>
            </w:r>
            <w:r>
              <w:rPr>
                <w:rFonts w:hint="eastAsia"/>
                <w:color w:val="auto"/>
                <w:spacing w:val="4"/>
                <w:highlight w:val="none"/>
              </w:rPr>
              <w:t>得</w:t>
            </w:r>
            <w:r>
              <w:rPr>
                <w:rFonts w:hint="eastAsia"/>
                <w:color w:val="auto"/>
                <w:highlight w:val="none"/>
              </w:rPr>
              <w:t>超过该计划工期。</w:t>
            </w:r>
          </w:p>
          <w:p>
            <w:pPr>
              <w:pStyle w:val="40"/>
              <w:tabs>
                <w:tab w:val="left" w:pos="2628"/>
                <w:tab w:val="left" w:pos="3228"/>
                <w:tab w:val="left" w:pos="3831"/>
              </w:tabs>
              <w:adjustRightInd/>
              <w:spacing w:line="360" w:lineRule="auto"/>
              <w:ind w:right="-8"/>
              <w:jc w:val="both"/>
              <w:rPr>
                <w:color w:val="auto"/>
                <w:highlight w:val="none"/>
              </w:rPr>
            </w:pPr>
            <w:r>
              <w:rPr>
                <w:rFonts w:hint="eastAsia"/>
                <w:color w:val="auto"/>
                <w:highlight w:val="none"/>
              </w:rPr>
              <w:t>计划开始工作日期：</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年</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月</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日</w:t>
            </w:r>
          </w:p>
          <w:p>
            <w:pPr>
              <w:pStyle w:val="40"/>
              <w:tabs>
                <w:tab w:val="left" w:pos="2628"/>
                <w:tab w:val="left" w:pos="3228"/>
                <w:tab w:val="left" w:pos="3831"/>
              </w:tabs>
              <w:adjustRightInd/>
              <w:spacing w:line="360" w:lineRule="auto"/>
              <w:ind w:right="-8"/>
              <w:jc w:val="both"/>
              <w:rPr>
                <w:color w:val="auto"/>
                <w:highlight w:val="none"/>
              </w:rPr>
            </w:pPr>
            <w:r>
              <w:rPr>
                <w:rFonts w:hint="eastAsia"/>
                <w:color w:val="auto"/>
                <w:highlight w:val="none"/>
              </w:rPr>
              <w:t>计划开工时间：</w:t>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rPr>
              <w:t>月</w:t>
            </w:r>
            <w:r>
              <w:rPr>
                <w:rFonts w:hint="eastAsia"/>
                <w:color w:val="auto"/>
                <w:highlight w:val="none"/>
                <w:u w:val="single"/>
                <w:lang w:val="en-US"/>
              </w:rPr>
              <w:t xml:space="preserve"> </w:t>
            </w:r>
            <w:r>
              <w:rPr>
                <w:rFonts w:hint="eastAsia"/>
                <w:color w:val="auto"/>
                <w:highlight w:val="none"/>
                <w:u w:val="single"/>
              </w:rPr>
              <w:tab/>
            </w:r>
            <w:r>
              <w:rPr>
                <w:rFonts w:hint="eastAsia"/>
                <w:color w:val="auto"/>
                <w:highlight w:val="none"/>
                <w:u w:val="single"/>
                <w:lang w:val="en-US"/>
              </w:rPr>
              <w:t xml:space="preserve"> </w:t>
            </w:r>
            <w:r>
              <w:rPr>
                <w:rFonts w:hint="eastAsia"/>
                <w:color w:val="auto"/>
                <w:highlight w:val="none"/>
              </w:rPr>
              <w:t>日</w:t>
            </w:r>
          </w:p>
          <w:p>
            <w:pPr>
              <w:pStyle w:val="40"/>
              <w:tabs>
                <w:tab w:val="left" w:pos="2148"/>
                <w:tab w:val="left" w:pos="2748"/>
                <w:tab w:val="left" w:pos="3351"/>
              </w:tabs>
              <w:adjustRightInd/>
              <w:spacing w:line="360" w:lineRule="auto"/>
              <w:ind w:right="-8"/>
              <w:jc w:val="both"/>
              <w:rPr>
                <w:color w:val="auto"/>
                <w:highlight w:val="none"/>
              </w:rPr>
            </w:pPr>
            <w:r>
              <w:rPr>
                <w:rFonts w:hint="eastAsia"/>
                <w:color w:val="auto"/>
                <w:highlight w:val="none"/>
              </w:rPr>
              <w:t>计划竣工日期：</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年</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月</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1.3.3</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质量标准</w:t>
            </w:r>
          </w:p>
        </w:tc>
        <w:tc>
          <w:tcPr>
            <w:tcW w:w="5954" w:type="dxa"/>
            <w:noWrap w:val="0"/>
            <w:vAlign w:val="center"/>
          </w:tcPr>
          <w:p>
            <w:pPr>
              <w:pStyle w:val="40"/>
              <w:adjustRightInd/>
              <w:spacing w:line="288" w:lineRule="auto"/>
              <w:ind w:right="178" w:rightChars="74" w:firstLine="31" w:firstLineChars="13"/>
              <w:rPr>
                <w:rFonts w:hint="eastAsia"/>
                <w:color w:val="auto"/>
                <w:highlight w:val="none"/>
              </w:rPr>
            </w:pPr>
            <w:r>
              <w:rPr>
                <w:rFonts w:hint="eastAsia"/>
                <w:color w:val="auto"/>
                <w:highlight w:val="none"/>
                <w:lang w:val="en-US"/>
              </w:rPr>
              <w:t xml:space="preserve">设计质量标准：符合现行国家有关工程设计质量评定标准的合格要求。 </w:t>
            </w:r>
          </w:p>
          <w:p>
            <w:pPr>
              <w:pStyle w:val="40"/>
              <w:adjustRightInd/>
              <w:spacing w:line="288" w:lineRule="auto"/>
              <w:ind w:right="178" w:rightChars="74" w:firstLine="31" w:firstLineChars="13"/>
              <w:rPr>
                <w:color w:val="auto"/>
                <w:highlight w:val="none"/>
                <w:lang w:val="en-US"/>
              </w:rPr>
            </w:pPr>
            <w:r>
              <w:rPr>
                <w:rFonts w:hint="eastAsia"/>
                <w:color w:val="auto"/>
                <w:highlight w:val="none"/>
                <w:lang w:val="en-US"/>
              </w:rPr>
              <w:t xml:space="preserve">施工质量标准：符合现行国家有关工程施工验收规范和标准的合格要求。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1.4.1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投标人资质条</w:t>
            </w:r>
            <w:r>
              <w:rPr>
                <w:rFonts w:hint="eastAsia"/>
                <w:color w:val="auto"/>
                <w:spacing w:val="-7"/>
                <w:highlight w:val="none"/>
              </w:rPr>
              <w:t>件、能力和信誉</w:t>
            </w:r>
          </w:p>
        </w:tc>
        <w:tc>
          <w:tcPr>
            <w:tcW w:w="5954" w:type="dxa"/>
            <w:noWrap w:val="0"/>
            <w:vAlign w:val="center"/>
          </w:tcPr>
          <w:p>
            <w:pPr>
              <w:pStyle w:val="40"/>
              <w:adjustRightInd/>
              <w:spacing w:line="360" w:lineRule="auto"/>
              <w:ind w:right="-8"/>
              <w:jc w:val="both"/>
              <w:rPr>
                <w:color w:val="auto"/>
                <w:highlight w:val="none"/>
              </w:rPr>
            </w:pPr>
            <w:r>
              <w:rPr>
                <w:rFonts w:hint="eastAsia"/>
                <w:color w:val="auto"/>
                <w:highlight w:val="none"/>
              </w:rPr>
              <w:t>详见招标公告内容</w:t>
            </w:r>
          </w:p>
          <w:p>
            <w:pPr>
              <w:pStyle w:val="40"/>
              <w:adjustRightInd/>
              <w:spacing w:line="360" w:lineRule="auto"/>
              <w:ind w:right="-8"/>
              <w:jc w:val="both"/>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1.4.2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是否接受联合体投标</w:t>
            </w:r>
          </w:p>
        </w:tc>
        <w:tc>
          <w:tcPr>
            <w:tcW w:w="5954" w:type="dxa"/>
            <w:noWrap w:val="0"/>
            <w:vAlign w:val="center"/>
          </w:tcPr>
          <w:p>
            <w:pPr>
              <w:pStyle w:val="11"/>
              <w:adjustRightInd/>
              <w:spacing w:after="0" w:line="360" w:lineRule="auto"/>
              <w:jc w:val="both"/>
              <w:rPr>
                <w:rFonts w:ascii="宋体" w:hAnsi="宋体" w:cs="宋体"/>
                <w:color w:val="auto"/>
                <w:sz w:val="24"/>
                <w:szCs w:val="24"/>
                <w:highlight w:val="none"/>
              </w:rPr>
            </w:pPr>
            <w:r>
              <w:rPr>
                <w:rFonts w:hint="eastAsia" w:ascii="宋体" w:hAnsi="宋体" w:cs="宋体"/>
                <w:color w:val="auto"/>
                <w:sz w:val="24"/>
                <w:szCs w:val="24"/>
                <w:highlight w:val="none"/>
              </w:rPr>
              <w:t>□不接受。</w:t>
            </w:r>
          </w:p>
          <w:p>
            <w:pPr>
              <w:pStyle w:val="40"/>
              <w:adjustRightInd/>
              <w:spacing w:line="360" w:lineRule="auto"/>
              <w:ind w:right="-8"/>
              <w:jc w:val="both"/>
              <w:rPr>
                <w:color w:val="auto"/>
                <w:highlight w:val="none"/>
                <w:lang w:val="en-US"/>
              </w:rPr>
            </w:pPr>
            <w:r>
              <w:rPr>
                <w:rFonts w:hint="eastAsia"/>
                <w:color w:val="auto"/>
                <w:highlight w:val="none"/>
              </w:rPr>
              <w:sym w:font="Wingdings 2" w:char="0052"/>
            </w:r>
            <w:r>
              <w:rPr>
                <w:rFonts w:hint="eastAsia"/>
                <w:color w:val="auto"/>
                <w:highlight w:val="none"/>
              </w:rPr>
              <w:t>接受。应满足下列要求：见招标公告及投标人须知相应条款内容要求。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1.5</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费用承担和设计成果补偿</w:t>
            </w:r>
          </w:p>
        </w:tc>
        <w:tc>
          <w:tcPr>
            <w:tcW w:w="5954" w:type="dxa"/>
            <w:noWrap w:val="0"/>
            <w:vAlign w:val="center"/>
          </w:tcPr>
          <w:p>
            <w:pPr>
              <w:pStyle w:val="40"/>
              <w:adjustRightInd/>
              <w:spacing w:line="360" w:lineRule="auto"/>
              <w:ind w:right="-8"/>
              <w:jc w:val="both"/>
              <w:rPr>
                <w:color w:val="auto"/>
                <w:highlight w:val="none"/>
              </w:rPr>
            </w:pPr>
            <w:r>
              <w:rPr>
                <w:rFonts w:hint="eastAsia"/>
                <w:color w:val="auto"/>
                <w:highlight w:val="none"/>
              </w:rPr>
              <w:sym w:font="Wingdings 2" w:char="0052"/>
            </w:r>
            <w:r>
              <w:rPr>
                <w:rFonts w:hint="eastAsia"/>
                <w:color w:val="auto"/>
                <w:highlight w:val="none"/>
              </w:rPr>
              <w:t>不补偿</w:t>
            </w:r>
          </w:p>
          <w:p>
            <w:pPr>
              <w:pStyle w:val="40"/>
              <w:adjustRightInd/>
              <w:spacing w:line="360" w:lineRule="auto"/>
              <w:ind w:right="-8"/>
              <w:jc w:val="both"/>
              <w:rPr>
                <w:color w:val="auto"/>
                <w:highlight w:val="none"/>
              </w:rPr>
            </w:pPr>
            <w:r>
              <w:rPr>
                <w:rFonts w:hint="eastAsia"/>
                <w:color w:val="auto"/>
                <w:highlight w:val="none"/>
              </w:rPr>
              <w:t>□补偿，补偿标准：</w:t>
            </w:r>
            <w:r>
              <w:rPr>
                <w:rFonts w:hint="eastAsia"/>
                <w:color w:val="auto"/>
                <w:highlight w:val="none"/>
                <w:u w:val="single"/>
              </w:rPr>
              <w:tab/>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1.9.1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踏勘现场</w:t>
            </w:r>
          </w:p>
        </w:tc>
        <w:tc>
          <w:tcPr>
            <w:tcW w:w="5954" w:type="dxa"/>
            <w:noWrap w:val="0"/>
            <w:vAlign w:val="center"/>
          </w:tcPr>
          <w:p>
            <w:pPr>
              <w:pStyle w:val="40"/>
              <w:adjustRightInd/>
              <w:spacing w:line="360" w:lineRule="auto"/>
              <w:jc w:val="both"/>
              <w:rPr>
                <w:color w:val="auto"/>
                <w:highlight w:val="none"/>
              </w:rPr>
            </w:pPr>
            <w:r>
              <w:rPr>
                <w:rFonts w:hint="eastAsia"/>
                <w:color w:val="auto"/>
                <w:highlight w:val="none"/>
              </w:rPr>
              <w:sym w:font="Wingdings 2" w:char="0052"/>
            </w:r>
            <w:r>
              <w:rPr>
                <w:rFonts w:hint="eastAsia"/>
                <w:color w:val="auto"/>
                <w:highlight w:val="none"/>
              </w:rPr>
              <w:t>投标人自行踏勘。</w:t>
            </w:r>
          </w:p>
          <w:p>
            <w:pPr>
              <w:pStyle w:val="40"/>
              <w:tabs>
                <w:tab w:val="left" w:pos="2860"/>
                <w:tab w:val="left" w:pos="5088"/>
              </w:tabs>
              <w:adjustRightInd/>
              <w:spacing w:line="360" w:lineRule="auto"/>
              <w:ind w:right="-8"/>
              <w:jc w:val="both"/>
              <w:rPr>
                <w:color w:val="auto"/>
                <w:highlight w:val="none"/>
                <w:lang w:val="en-US"/>
              </w:rPr>
            </w:pPr>
            <w:r>
              <w:rPr>
                <w:rFonts w:hint="eastAsia"/>
                <w:color w:val="auto"/>
                <w:highlight w:val="none"/>
              </w:rPr>
              <w:sym w:font="Wingdings 2" w:char="00A3"/>
            </w:r>
            <w:r>
              <w:rPr>
                <w:rFonts w:hint="eastAsia"/>
                <w:color w:val="auto"/>
                <w:highlight w:val="none"/>
              </w:rPr>
              <w:t>由招标人组织，时间和地点：</w:t>
            </w:r>
            <w:r>
              <w:rPr>
                <w:rFonts w:hint="eastAsia"/>
                <w:color w:val="auto"/>
                <w:highlight w:val="none"/>
                <w:u w:val="single"/>
              </w:rPr>
              <w:t xml:space="preserve">                 </w:t>
            </w:r>
            <w:r>
              <w:rPr>
                <w:rFonts w:hint="eastAsia"/>
                <w:color w:val="auto"/>
                <w:highlight w:val="none"/>
              </w:rPr>
              <w:t>。</w:t>
            </w:r>
            <w:r>
              <w:rPr>
                <w:rFonts w:hint="eastAsia"/>
                <w:color w:val="auto"/>
                <w:highlight w:val="none"/>
                <w:lang w:val="en-US"/>
              </w:rPr>
              <w:t xml:space="preserve"> </w:t>
            </w:r>
          </w:p>
          <w:p>
            <w:pPr>
              <w:pStyle w:val="40"/>
              <w:tabs>
                <w:tab w:val="left" w:pos="2860"/>
                <w:tab w:val="left" w:pos="5088"/>
              </w:tabs>
              <w:adjustRightInd/>
              <w:spacing w:line="360" w:lineRule="auto"/>
              <w:ind w:right="-8"/>
              <w:jc w:val="both"/>
              <w:rPr>
                <w:color w:val="auto"/>
                <w:highlight w:val="none"/>
                <w:lang w:val="en-US"/>
              </w:rPr>
            </w:pPr>
            <w:r>
              <w:rPr>
                <w:rFonts w:hint="eastAsia"/>
                <w:color w:val="auto"/>
                <w:highlight w:val="none"/>
              </w:rPr>
              <w:t>联系人和联系电话：</w:t>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1.10.1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投标预备会</w:t>
            </w:r>
          </w:p>
        </w:tc>
        <w:tc>
          <w:tcPr>
            <w:tcW w:w="5954" w:type="dxa"/>
            <w:noWrap w:val="0"/>
            <w:vAlign w:val="center"/>
          </w:tcPr>
          <w:p>
            <w:pPr>
              <w:pStyle w:val="40"/>
              <w:adjustRightInd/>
              <w:spacing w:line="360" w:lineRule="auto"/>
              <w:ind w:right="-8"/>
              <w:jc w:val="both"/>
              <w:rPr>
                <w:color w:val="auto"/>
                <w:highlight w:val="none"/>
              </w:rPr>
            </w:pPr>
            <w:r>
              <w:rPr>
                <w:rFonts w:hint="eastAsia"/>
                <w:color w:val="auto"/>
                <w:highlight w:val="none"/>
              </w:rPr>
              <w:sym w:font="Wingdings 2" w:char="0052"/>
            </w:r>
            <w:r>
              <w:rPr>
                <w:rFonts w:hint="eastAsia"/>
                <w:color w:val="auto"/>
                <w:highlight w:val="none"/>
              </w:rPr>
              <w:t>不召开。</w:t>
            </w:r>
          </w:p>
          <w:p>
            <w:pPr>
              <w:pStyle w:val="40"/>
              <w:tabs>
                <w:tab w:val="left" w:pos="3168"/>
                <w:tab w:val="left" w:pos="3468"/>
                <w:tab w:val="left" w:pos="5568"/>
              </w:tabs>
              <w:adjustRightInd/>
              <w:spacing w:line="360" w:lineRule="auto"/>
              <w:ind w:right="-8"/>
              <w:jc w:val="both"/>
              <w:rPr>
                <w:color w:val="auto"/>
                <w:highlight w:val="none"/>
              </w:rPr>
            </w:pPr>
            <w:r>
              <w:rPr>
                <w:rFonts w:hint="eastAsia"/>
                <w:color w:val="auto"/>
                <w:highlight w:val="none"/>
              </w:rPr>
              <w:t>□召开。召开时间：</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；召开地点：</w:t>
            </w:r>
            <w:r>
              <w:rPr>
                <w:rFonts w:hint="eastAsia"/>
                <w:color w:val="auto"/>
                <w:highlight w:val="none"/>
                <w:u w:val="single"/>
              </w:rPr>
              <w:t xml:space="preserve">       </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1.10.2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投标人提出问</w:t>
            </w:r>
            <w:r>
              <w:rPr>
                <w:rFonts w:hint="eastAsia"/>
                <w:color w:val="auto"/>
                <w:spacing w:val="-3"/>
                <w:highlight w:val="none"/>
              </w:rPr>
              <w:t>题的截止时间、</w:t>
            </w:r>
            <w:r>
              <w:rPr>
                <w:rFonts w:hint="eastAsia"/>
                <w:color w:val="auto"/>
                <w:highlight w:val="none"/>
              </w:rPr>
              <w:t>上传疑问方式</w:t>
            </w:r>
          </w:p>
        </w:tc>
        <w:tc>
          <w:tcPr>
            <w:tcW w:w="5954" w:type="dxa"/>
            <w:noWrap w:val="0"/>
            <w:vAlign w:val="center"/>
          </w:tcPr>
          <w:p>
            <w:pPr>
              <w:adjustRightInd/>
              <w:spacing w:line="360" w:lineRule="auto"/>
              <w:jc w:val="both"/>
              <w:rPr>
                <w:rFonts w:ascii="宋体" w:hAnsi="宋体" w:cs="宋体"/>
                <w:color w:val="auto"/>
                <w:highlight w:val="none"/>
              </w:rPr>
            </w:pPr>
            <w:r>
              <w:rPr>
                <w:rFonts w:hint="eastAsia" w:ascii="宋体" w:hAnsi="宋体" w:cs="宋体"/>
                <w:color w:val="auto"/>
                <w:highlight w:val="none"/>
              </w:rPr>
              <w:t>截止时间：</w:t>
            </w:r>
            <w:r>
              <w:rPr>
                <w:rFonts w:hint="eastAsia" w:ascii="宋体" w:hAnsi="宋体" w:cs="宋体"/>
                <w:color w:val="auto"/>
                <w:highlight w:val="none"/>
                <w:u w:val="single"/>
                <w:lang w:val="en-US" w:eastAsia="zh-CN"/>
              </w:rPr>
              <w:t>2022</w:t>
            </w:r>
            <w:r>
              <w:rPr>
                <w:rFonts w:hint="eastAsia" w:ascii="宋体" w:hAnsi="宋体" w:cs="宋体"/>
                <w:color w:val="auto"/>
                <w:highlight w:val="none"/>
              </w:rPr>
              <w:t>年</w:t>
            </w:r>
            <w:r>
              <w:rPr>
                <w:rFonts w:hint="eastAsia" w:ascii="宋体" w:hAnsi="宋体" w:cs="宋体"/>
                <w:color w:val="auto"/>
                <w:highlight w:val="none"/>
                <w:u w:val="single"/>
                <w:lang w:val="en-US" w:eastAsia="zh-CN"/>
              </w:rPr>
              <w:t>8</w:t>
            </w:r>
            <w:r>
              <w:rPr>
                <w:rFonts w:hint="eastAsia" w:ascii="宋体" w:hAnsi="宋体" w:cs="宋体"/>
                <w:color w:val="auto"/>
                <w:highlight w:val="none"/>
              </w:rPr>
              <w:t>月</w:t>
            </w:r>
            <w:r>
              <w:rPr>
                <w:rFonts w:hint="eastAsia" w:ascii="宋体" w:hAnsi="宋体" w:cs="宋体"/>
                <w:color w:val="auto"/>
                <w:highlight w:val="none"/>
                <w:u w:val="single"/>
                <w:lang w:val="en-US" w:eastAsia="zh-CN"/>
              </w:rPr>
              <w:t>20</w:t>
            </w:r>
            <w:r>
              <w:rPr>
                <w:rFonts w:hint="eastAsia" w:ascii="宋体" w:hAnsi="宋体" w:cs="宋体"/>
                <w:color w:val="auto"/>
                <w:highlight w:val="none"/>
              </w:rPr>
              <w:t>日</w:t>
            </w:r>
            <w:r>
              <w:rPr>
                <w:rFonts w:hint="eastAsia" w:ascii="宋体" w:hAnsi="宋体" w:cs="宋体"/>
                <w:color w:val="auto"/>
                <w:highlight w:val="none"/>
                <w:u w:val="single"/>
                <w:lang w:val="en-US" w:eastAsia="zh-CN"/>
              </w:rPr>
              <w:t>17</w:t>
            </w:r>
            <w:r>
              <w:rPr>
                <w:rFonts w:hint="eastAsia" w:ascii="宋体" w:hAnsi="宋体" w:cs="宋体"/>
                <w:color w:val="auto"/>
                <w:highlight w:val="none"/>
              </w:rPr>
              <w:t>时（投标人在截止时间以后提出的澄清招标文件的要求 ，招标人可以拒绝受理）</w:t>
            </w:r>
          </w:p>
          <w:p>
            <w:pPr>
              <w:spacing w:line="400" w:lineRule="exact"/>
              <w:rPr>
                <w:color w:val="auto"/>
                <w:highlight w:val="none"/>
              </w:rPr>
            </w:pPr>
            <w:r>
              <w:rPr>
                <w:rFonts w:hint="eastAsia" w:ascii="宋体" w:hAnsi="宋体" w:cs="宋体"/>
                <w:color w:val="auto"/>
                <w:highlight w:val="none"/>
              </w:rPr>
              <w:t>提交方式：</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登录湖州市公共资源交易信息网—交易主体登录—电子招投标交易平台—网上提问，进行提疑；或在湖州市公共资源交易信息网(http://ggzy.huzhou.gov.cn/) “工程建设栏--建设公告”中相应工程的公告中的“提问”区进行提疑。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1.10.3</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招标文件的</w:t>
            </w:r>
            <w:r>
              <w:rPr>
                <w:rFonts w:hint="eastAsia"/>
                <w:color w:val="auto"/>
                <w:spacing w:val="-10"/>
                <w:highlight w:val="none"/>
              </w:rPr>
              <w:t>澄清、补充、修</w:t>
            </w:r>
            <w:r>
              <w:rPr>
                <w:rFonts w:hint="eastAsia"/>
                <w:color w:val="auto"/>
                <w:highlight w:val="none"/>
              </w:rPr>
              <w:t>改的时间</w:t>
            </w:r>
          </w:p>
        </w:tc>
        <w:tc>
          <w:tcPr>
            <w:tcW w:w="5954" w:type="dxa"/>
            <w:noWrap w:val="0"/>
            <w:vAlign w:val="center"/>
          </w:tcPr>
          <w:p>
            <w:pPr>
              <w:pStyle w:val="40"/>
              <w:tabs>
                <w:tab w:val="left" w:pos="3168"/>
                <w:tab w:val="left" w:pos="3468"/>
                <w:tab w:val="left" w:pos="5568"/>
              </w:tabs>
              <w:adjustRightInd/>
              <w:spacing w:line="360" w:lineRule="auto"/>
              <w:ind w:right="32"/>
              <w:jc w:val="both"/>
              <w:rPr>
                <w:color w:val="auto"/>
                <w:highlight w:val="none"/>
              </w:rPr>
            </w:pPr>
            <w:r>
              <w:rPr>
                <w:rFonts w:hint="eastAsia"/>
                <w:color w:val="auto"/>
                <w:highlight w:val="none"/>
              </w:rPr>
              <w:t>澄清、补充、修改的内容影响投标文件编制的，招标人将在投标截止时间15日前，在</w:t>
            </w:r>
            <w:r>
              <w:rPr>
                <w:rFonts w:hint="eastAsia"/>
                <w:color w:val="auto"/>
                <w:szCs w:val="21"/>
                <w:highlight w:val="none"/>
                <w:u w:val="single"/>
              </w:rPr>
              <w:t xml:space="preserve">湖州市公共资源交易信息网(http://ggzy.huzhou.gov.cn/) </w:t>
            </w:r>
            <w:r>
              <w:rPr>
                <w:rFonts w:hint="eastAsia"/>
                <w:color w:val="auto"/>
                <w:highlight w:val="none"/>
              </w:rPr>
              <w:t>公布，不足15日的，招标人将顺延递交投标文件的截止时间。</w:t>
            </w:r>
          </w:p>
          <w:p>
            <w:pPr>
              <w:pStyle w:val="40"/>
              <w:tabs>
                <w:tab w:val="left" w:pos="3168"/>
                <w:tab w:val="left" w:pos="3468"/>
                <w:tab w:val="left" w:pos="5568"/>
              </w:tabs>
              <w:adjustRightInd/>
              <w:spacing w:line="360" w:lineRule="auto"/>
              <w:ind w:right="32"/>
              <w:jc w:val="both"/>
              <w:rPr>
                <w:color w:val="auto"/>
                <w:highlight w:val="none"/>
                <w:u w:val="single"/>
                <w:lang w:val="en-US"/>
              </w:rPr>
            </w:pPr>
            <w:r>
              <w:rPr>
                <w:rFonts w:hint="eastAsia"/>
                <w:color w:val="auto"/>
                <w:highlight w:val="none"/>
              </w:rPr>
              <w:t>澄清、补充、修改的内容不影响投标文件编制的，将在投标文件递交截止时间</w:t>
            </w:r>
            <w:r>
              <w:rPr>
                <w:rFonts w:hint="eastAsia"/>
                <w:color w:val="auto"/>
                <w:highlight w:val="none"/>
                <w:u w:val="single"/>
                <w:lang w:val="en-US"/>
              </w:rPr>
              <w:t xml:space="preserve">  7  </w:t>
            </w:r>
            <w:r>
              <w:rPr>
                <w:rFonts w:hint="eastAsia"/>
                <w:color w:val="auto"/>
                <w:highlight w:val="none"/>
              </w:rPr>
              <w:t>日前，以上款相同的形式发布。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lang w:val="en-US"/>
              </w:rPr>
            </w:pPr>
            <w:r>
              <w:rPr>
                <w:rFonts w:hint="eastAsia"/>
                <w:color w:val="auto"/>
                <w:highlight w:val="none"/>
              </w:rPr>
              <w:t>1.11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投标人拟分包的工作</w:t>
            </w:r>
          </w:p>
        </w:tc>
        <w:tc>
          <w:tcPr>
            <w:tcW w:w="5954" w:type="dxa"/>
            <w:noWrap w:val="0"/>
            <w:vAlign w:val="center"/>
          </w:tcPr>
          <w:p>
            <w:pPr>
              <w:pStyle w:val="40"/>
              <w:adjustRightInd/>
              <w:spacing w:line="360" w:lineRule="auto"/>
              <w:ind w:right="-8"/>
              <w:jc w:val="both"/>
              <w:rPr>
                <w:color w:val="auto"/>
                <w:highlight w:val="none"/>
              </w:rPr>
            </w:pPr>
            <w:r>
              <w:rPr>
                <w:rFonts w:hint="eastAsia"/>
                <w:color w:val="auto"/>
                <w:highlight w:val="none"/>
              </w:rPr>
              <w:t>□不允许。</w:t>
            </w:r>
          </w:p>
          <w:p>
            <w:pPr>
              <w:pStyle w:val="40"/>
              <w:tabs>
                <w:tab w:val="left" w:pos="3648"/>
                <w:tab w:val="left" w:pos="3888"/>
              </w:tabs>
              <w:adjustRightInd/>
              <w:spacing w:line="360" w:lineRule="auto"/>
              <w:ind w:right="-8"/>
              <w:jc w:val="both"/>
              <w:rPr>
                <w:color w:val="auto"/>
                <w:highlight w:val="none"/>
              </w:rPr>
            </w:pPr>
            <w:r>
              <w:rPr>
                <w:rFonts w:hint="eastAsia"/>
                <w:color w:val="auto"/>
                <w:highlight w:val="none"/>
              </w:rPr>
              <w:sym w:font="Wingdings 2" w:char="0052"/>
            </w:r>
            <w:r>
              <w:rPr>
                <w:rFonts w:hint="eastAsia"/>
                <w:color w:val="auto"/>
                <w:highlight w:val="none"/>
              </w:rPr>
              <w:t>允许。分包的工程内容：</w:t>
            </w:r>
            <w:r>
              <w:rPr>
                <w:rFonts w:hint="eastAsia"/>
                <w:color w:val="auto"/>
                <w:highlight w:val="none"/>
                <w:u w:val="single"/>
              </w:rPr>
              <w:t xml:space="preserve"> 非主体、非关键性工程，同时须满足国家相关规定要求，</w:t>
            </w:r>
            <w:r>
              <w:rPr>
                <w:rFonts w:hint="eastAsia"/>
                <w:color w:val="auto"/>
                <w:highlight w:val="none"/>
                <w:u w:val="single"/>
                <w:lang w:val="en-US"/>
              </w:rPr>
              <w:t>须经招标人同意</w:t>
            </w:r>
            <w:r>
              <w:rPr>
                <w:rFonts w:hint="eastAsia"/>
                <w:color w:val="auto"/>
                <w:highlight w:val="none"/>
                <w:u w:val="single"/>
              </w:rPr>
              <w:tab/>
            </w:r>
            <w:r>
              <w:rPr>
                <w:rFonts w:hint="eastAsia"/>
                <w:color w:val="auto"/>
                <w:highlight w:val="none"/>
                <w:u w:val="single"/>
              </w:rPr>
              <w:t xml:space="preserve"> </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1.12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偏离</w:t>
            </w:r>
          </w:p>
        </w:tc>
        <w:tc>
          <w:tcPr>
            <w:tcW w:w="5954" w:type="dxa"/>
            <w:noWrap w:val="0"/>
            <w:vAlign w:val="center"/>
          </w:tcPr>
          <w:p>
            <w:pPr>
              <w:pStyle w:val="40"/>
              <w:adjustRightInd/>
              <w:spacing w:line="360" w:lineRule="auto"/>
              <w:ind w:right="-8"/>
              <w:jc w:val="both"/>
              <w:rPr>
                <w:color w:val="auto"/>
                <w:highlight w:val="none"/>
              </w:rPr>
            </w:pPr>
            <w:r>
              <w:rPr>
                <w:rFonts w:hint="eastAsia"/>
                <w:color w:val="auto"/>
                <w:highlight w:val="none"/>
              </w:rPr>
              <w:sym w:font="Wingdings 2" w:char="00A3"/>
            </w:r>
            <w:r>
              <w:rPr>
                <w:rFonts w:hint="eastAsia"/>
                <w:color w:val="auto"/>
                <w:highlight w:val="none"/>
              </w:rPr>
              <w:t>不允许</w:t>
            </w:r>
          </w:p>
          <w:p>
            <w:pPr>
              <w:pStyle w:val="40"/>
              <w:adjustRightInd/>
              <w:spacing w:line="360" w:lineRule="auto"/>
              <w:ind w:right="-8"/>
              <w:jc w:val="both"/>
              <w:rPr>
                <w:color w:val="auto"/>
                <w:highlight w:val="none"/>
                <w:lang w:val="en-US"/>
              </w:rPr>
            </w:pPr>
            <w:r>
              <w:rPr>
                <w:rFonts w:hint="eastAsia"/>
                <w:color w:val="auto"/>
                <w:highlight w:val="none"/>
              </w:rPr>
              <w:sym w:font="Wingdings 2" w:char="0052"/>
            </w:r>
            <w:r>
              <w:rPr>
                <w:rFonts w:hint="eastAsia"/>
                <w:color w:val="auto"/>
                <w:highlight w:val="none"/>
              </w:rPr>
              <w:t>允许</w:t>
            </w:r>
            <w:r>
              <w:rPr>
                <w:rFonts w:hint="eastAsia"/>
                <w:color w:val="auto"/>
                <w:highlight w:val="none"/>
                <w:lang w:val="en-US"/>
              </w:rPr>
              <w:t xml:space="preserve">  </w:t>
            </w:r>
            <w:r>
              <w:rPr>
                <w:rFonts w:hint="eastAsia"/>
                <w:color w:val="auto"/>
                <w:highlight w:val="none"/>
              </w:rPr>
              <w:t>允许偏离的内容、偏离范围和幅度：</w:t>
            </w:r>
            <w:r>
              <w:rPr>
                <w:rFonts w:hint="eastAsia"/>
                <w:color w:val="auto"/>
                <w:highlight w:val="none"/>
                <w:u w:val="single"/>
              </w:rPr>
              <w:t>仅允许优于招标文件要求的正偏离</w:t>
            </w:r>
            <w:r>
              <w:rPr>
                <w:rFonts w:hint="eastAsia"/>
                <w:color w:val="auto"/>
                <w:highlight w:val="none"/>
                <w:u w:val="single"/>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2.1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构成招标文件的其他资料</w:t>
            </w:r>
          </w:p>
        </w:tc>
        <w:tc>
          <w:tcPr>
            <w:tcW w:w="5954" w:type="dxa"/>
            <w:noWrap w:val="0"/>
            <w:vAlign w:val="center"/>
          </w:tcPr>
          <w:p>
            <w:pPr>
              <w:pStyle w:val="40"/>
              <w:numPr>
                <w:ilvl w:val="0"/>
                <w:numId w:val="4"/>
              </w:numPr>
              <w:adjustRightInd/>
              <w:spacing w:line="360" w:lineRule="auto"/>
              <w:ind w:right="-8"/>
              <w:jc w:val="both"/>
              <w:rPr>
                <w:color w:val="auto"/>
                <w:highlight w:val="none"/>
                <w:lang w:val="en-US"/>
              </w:rPr>
            </w:pPr>
            <w:r>
              <w:rPr>
                <w:rFonts w:hint="eastAsia"/>
                <w:color w:val="auto"/>
                <w:highlight w:val="none"/>
              </w:rPr>
              <w:t>招标控制价及明细</w:t>
            </w:r>
            <w:r>
              <w:rPr>
                <w:rFonts w:hint="eastAsia"/>
                <w:color w:val="auto"/>
                <w:highlight w:val="none"/>
                <w:lang w:val="en-US"/>
              </w:rPr>
              <w:t>；</w:t>
            </w:r>
          </w:p>
          <w:p>
            <w:pPr>
              <w:pStyle w:val="40"/>
              <w:numPr>
                <w:ilvl w:val="0"/>
                <w:numId w:val="4"/>
              </w:numPr>
              <w:adjustRightInd/>
              <w:spacing w:line="360" w:lineRule="auto"/>
              <w:ind w:right="-8"/>
              <w:jc w:val="both"/>
              <w:rPr>
                <w:color w:val="auto"/>
                <w:highlight w:val="none"/>
                <w:lang w:val="en"/>
              </w:rPr>
            </w:pPr>
            <w:r>
              <w:rPr>
                <w:rFonts w:hint="eastAsia"/>
                <w:color w:val="auto"/>
                <w:highlight w:val="none"/>
                <w:lang w:val="en"/>
              </w:rPr>
              <w:t>其他：</w:t>
            </w:r>
            <w:r>
              <w:rPr>
                <w:rFonts w:hint="eastAsia"/>
                <w:color w:val="auto"/>
                <w:highlight w:val="none"/>
                <w:u w:val="single"/>
              </w:rPr>
              <w:t>对招标文件所作的澄清、修改及其他附件（如有，如补遗书、答疑、修正书等）</w:t>
            </w:r>
            <w:r>
              <w:rPr>
                <w:rFonts w:hint="eastAsia"/>
                <w:color w:val="auto"/>
                <w:highlight w:val="none"/>
                <w:u w:val="single"/>
                <w:lang w:val="en-US"/>
              </w:rPr>
              <w:t xml:space="preserve"> </w:t>
            </w:r>
            <w:r>
              <w:rPr>
                <w:rFonts w:hint="eastAsia"/>
                <w:color w:val="auto"/>
                <w:highlight w:val="none"/>
                <w:u w:val="single"/>
              </w:rPr>
              <w:t xml:space="preserve"> </w:t>
            </w:r>
            <w:r>
              <w:rPr>
                <w:rFonts w:hint="eastAsia"/>
                <w:color w:val="auto"/>
                <w:highlight w:val="none"/>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2.2.1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投标人要求澄清招标文件的截止时间</w:t>
            </w:r>
          </w:p>
        </w:tc>
        <w:tc>
          <w:tcPr>
            <w:tcW w:w="5954" w:type="dxa"/>
            <w:noWrap w:val="0"/>
            <w:vAlign w:val="center"/>
          </w:tcPr>
          <w:p>
            <w:pPr>
              <w:pStyle w:val="40"/>
              <w:adjustRightInd/>
              <w:spacing w:line="360" w:lineRule="auto"/>
              <w:ind w:right="-8"/>
              <w:jc w:val="both"/>
              <w:rPr>
                <w:color w:val="auto"/>
                <w:highlight w:val="none"/>
              </w:rPr>
            </w:pPr>
            <w:r>
              <w:rPr>
                <w:rFonts w:hint="eastAsia"/>
                <w:color w:val="auto"/>
                <w:highlight w:val="none"/>
              </w:rPr>
              <w:t>同投标人须知前附表第1.10.2项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2.2.2</w:t>
            </w:r>
          </w:p>
        </w:tc>
        <w:tc>
          <w:tcPr>
            <w:tcW w:w="1768" w:type="dxa"/>
            <w:noWrap w:val="0"/>
            <w:vAlign w:val="center"/>
          </w:tcPr>
          <w:p>
            <w:pPr>
              <w:pStyle w:val="40"/>
              <w:adjustRightInd/>
              <w:spacing w:line="288" w:lineRule="auto"/>
              <w:ind w:right="178" w:rightChars="74" w:firstLine="31" w:firstLineChars="13"/>
              <w:jc w:val="center"/>
              <w:rPr>
                <w:color w:val="auto"/>
                <w:highlight w:val="none"/>
                <w:lang w:val="en-US"/>
              </w:rPr>
            </w:pPr>
            <w:r>
              <w:rPr>
                <w:rFonts w:hint="eastAsia"/>
                <w:color w:val="auto"/>
                <w:highlight w:val="none"/>
              </w:rPr>
              <w:t>投标截止时间</w:t>
            </w:r>
            <w:r>
              <w:rPr>
                <w:rFonts w:hint="eastAsia"/>
                <w:color w:val="auto"/>
                <w:highlight w:val="none"/>
                <w:lang w:val="en-US"/>
              </w:rPr>
              <w:t>/电子投标文件上传截止时间</w:t>
            </w:r>
          </w:p>
        </w:tc>
        <w:tc>
          <w:tcPr>
            <w:tcW w:w="5954" w:type="dxa"/>
            <w:noWrap w:val="0"/>
            <w:vAlign w:val="center"/>
          </w:tcPr>
          <w:p>
            <w:pPr>
              <w:pStyle w:val="40"/>
              <w:adjustRightInd/>
              <w:spacing w:line="360" w:lineRule="auto"/>
              <w:ind w:right="-8"/>
              <w:jc w:val="both"/>
              <w:rPr>
                <w:color w:val="auto"/>
                <w:highlight w:val="none"/>
              </w:rPr>
            </w:pPr>
            <w:r>
              <w:rPr>
                <w:rFonts w:hint="eastAsia"/>
                <w:color w:val="auto"/>
                <w:highlight w:val="none"/>
                <w:u w:val="single"/>
                <w:lang w:val="en-US" w:eastAsia="zh-CN"/>
              </w:rPr>
              <w:t>2022</w:t>
            </w:r>
            <w:r>
              <w:rPr>
                <w:rFonts w:hint="eastAsia"/>
                <w:color w:val="auto"/>
                <w:highlight w:val="none"/>
              </w:rPr>
              <w:t>年</w:t>
            </w:r>
            <w:r>
              <w:rPr>
                <w:rFonts w:hint="eastAsia"/>
                <w:color w:val="auto"/>
                <w:highlight w:val="none"/>
                <w:u w:val="single"/>
                <w:lang w:val="en-US" w:eastAsia="zh-CN"/>
              </w:rPr>
              <w:t>8</w:t>
            </w:r>
            <w:r>
              <w:rPr>
                <w:rFonts w:hint="eastAsia"/>
                <w:color w:val="auto"/>
                <w:highlight w:val="none"/>
              </w:rPr>
              <w:t>月</w:t>
            </w:r>
            <w:r>
              <w:rPr>
                <w:rFonts w:hint="eastAsia"/>
                <w:color w:val="auto"/>
                <w:highlight w:val="none"/>
                <w:u w:val="single"/>
                <w:lang w:val="en-US" w:eastAsia="zh-CN"/>
              </w:rPr>
              <w:t>30</w:t>
            </w:r>
            <w:r>
              <w:rPr>
                <w:rFonts w:hint="eastAsia"/>
                <w:color w:val="auto"/>
                <w:highlight w:val="none"/>
              </w:rPr>
              <w:t>日</w:t>
            </w:r>
            <w:r>
              <w:rPr>
                <w:rFonts w:hint="eastAsia"/>
                <w:color w:val="auto"/>
                <w:highlight w:val="none"/>
                <w:u w:val="single"/>
                <w:lang w:val="en-US" w:eastAsia="zh-CN"/>
              </w:rPr>
              <w:t>9</w:t>
            </w:r>
            <w:r>
              <w:rPr>
                <w:rFonts w:hint="eastAsia"/>
                <w:color w:val="auto"/>
                <w:highlight w:val="none"/>
              </w:rPr>
              <w:t>时</w:t>
            </w:r>
            <w:r>
              <w:rPr>
                <w:rFonts w:hint="eastAsia"/>
                <w:color w:val="auto"/>
                <w:highlight w:val="none"/>
                <w:u w:val="single"/>
                <w:lang w:val="en-US" w:eastAsia="zh-CN"/>
              </w:rPr>
              <w:t>30</w:t>
            </w:r>
            <w:r>
              <w:rPr>
                <w:rFonts w:hint="eastAsia"/>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2.2.3</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投标人确认收到招标文件澄清的时间</w:t>
            </w:r>
          </w:p>
        </w:tc>
        <w:tc>
          <w:tcPr>
            <w:tcW w:w="5954" w:type="dxa"/>
            <w:noWrap w:val="0"/>
            <w:vAlign w:val="center"/>
          </w:tcPr>
          <w:p>
            <w:pPr>
              <w:pStyle w:val="40"/>
              <w:adjustRightInd/>
              <w:spacing w:line="360" w:lineRule="auto"/>
              <w:ind w:right="34" w:rightChars="14"/>
              <w:jc w:val="both"/>
              <w:rPr>
                <w:color w:val="auto"/>
                <w:highlight w:val="none"/>
              </w:rPr>
            </w:pPr>
            <w:r>
              <w:rPr>
                <w:rFonts w:hint="eastAsia"/>
                <w:color w:val="auto"/>
                <w:highlight w:val="none"/>
              </w:rPr>
              <w:t>在投标人应自行关注当地招投标交易平台发布的补充文件信息，招标人不再逐一通知。投标人因自身贻误行为导致投标失败的，责任自负。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3.1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投标文件的组成</w:t>
            </w:r>
          </w:p>
        </w:tc>
        <w:tc>
          <w:tcPr>
            <w:tcW w:w="5954" w:type="dxa"/>
            <w:noWrap w:val="0"/>
            <w:vAlign w:val="center"/>
          </w:tcPr>
          <w:p>
            <w:pPr>
              <w:snapToGrid w:val="0"/>
              <w:spacing w:line="360" w:lineRule="auto"/>
              <w:jc w:val="both"/>
              <w:rPr>
                <w:rFonts w:hint="eastAsia" w:ascii="宋体" w:hAnsi="宋体" w:cs="宋体"/>
                <w:color w:val="auto"/>
                <w:highlight w:val="none"/>
              </w:rPr>
            </w:pPr>
            <w:r>
              <w:rPr>
                <w:rFonts w:hint="eastAsia" w:ascii="宋体" w:hAnsi="宋体" w:cs="宋体"/>
                <w:bCs/>
                <w:color w:val="auto"/>
                <w:highlight w:val="none"/>
              </w:rPr>
              <w:t>商务文件；技术资信文件；资格文件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3.1.1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构成投标文件的其他资料</w:t>
            </w:r>
          </w:p>
        </w:tc>
        <w:tc>
          <w:tcPr>
            <w:tcW w:w="5954" w:type="dxa"/>
            <w:noWrap w:val="0"/>
            <w:vAlign w:val="center"/>
          </w:tcPr>
          <w:p>
            <w:pPr>
              <w:pStyle w:val="40"/>
              <w:adjustRightInd/>
              <w:spacing w:line="360" w:lineRule="auto"/>
              <w:ind w:left="108" w:right="34" w:rightChars="14"/>
              <w:jc w:val="both"/>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lang w:val="en-US"/>
              </w:rPr>
            </w:pPr>
            <w:r>
              <w:rPr>
                <w:rFonts w:hint="eastAsia"/>
                <w:color w:val="auto"/>
                <w:highlight w:val="none"/>
              </w:rPr>
              <w:t>3.2.</w:t>
            </w:r>
            <w:r>
              <w:rPr>
                <w:rFonts w:hint="eastAsia"/>
                <w:color w:val="auto"/>
                <w:highlight w:val="none"/>
                <w:lang w:val="en-US"/>
              </w:rPr>
              <w:t>4</w:t>
            </w:r>
          </w:p>
          <w:p>
            <w:pPr>
              <w:pStyle w:val="40"/>
              <w:tabs>
                <w:tab w:val="left" w:pos="1100"/>
              </w:tabs>
              <w:adjustRightInd/>
              <w:spacing w:line="288" w:lineRule="auto"/>
              <w:ind w:left="10" w:right="125" w:rightChars="52" w:hanging="10"/>
              <w:jc w:val="center"/>
              <w:rPr>
                <w:color w:val="auto"/>
                <w:highlight w:val="none"/>
              </w:rPr>
            </w:pP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最高投标限价或其计算方法（分施工和设计）</w:t>
            </w:r>
          </w:p>
        </w:tc>
        <w:tc>
          <w:tcPr>
            <w:tcW w:w="5954" w:type="dxa"/>
            <w:noWrap w:val="0"/>
            <w:vAlign w:val="center"/>
          </w:tcPr>
          <w:p>
            <w:pPr>
              <w:pStyle w:val="40"/>
              <w:adjustRightInd/>
              <w:spacing w:line="360" w:lineRule="auto"/>
              <w:jc w:val="both"/>
              <w:rPr>
                <w:color w:val="auto"/>
                <w:highlight w:val="none"/>
              </w:rPr>
            </w:pPr>
            <w:r>
              <w:rPr>
                <w:rFonts w:hint="eastAsia"/>
                <w:color w:val="auto"/>
                <w:highlight w:val="none"/>
              </w:rPr>
              <w:t>1.</w:t>
            </w:r>
            <w:r>
              <w:rPr>
                <w:rFonts w:hint="eastAsia"/>
                <w:color w:val="auto"/>
                <w:highlight w:val="none"/>
                <w:lang w:val="en-US"/>
              </w:rPr>
              <w:sym w:font="Wingdings 2" w:char="0052"/>
            </w:r>
            <w:r>
              <w:rPr>
                <w:rFonts w:hint="eastAsia"/>
                <w:color w:val="auto"/>
                <w:highlight w:val="none"/>
              </w:rPr>
              <w:t>最高投标限价</w:t>
            </w:r>
            <w:r>
              <w:rPr>
                <w:rFonts w:hint="eastAsia"/>
                <w:color w:val="auto"/>
                <w:highlight w:val="none"/>
                <w:u w:val="single"/>
              </w:rPr>
              <w:t xml:space="preserve"> 307948</w:t>
            </w:r>
            <w:r>
              <w:rPr>
                <w:rFonts w:hint="eastAsia"/>
                <w:color w:val="auto"/>
                <w:highlight w:val="none"/>
                <w:u w:val="single"/>
                <w:lang w:val="en-US" w:eastAsia="zh-CN"/>
              </w:rPr>
              <w:t>.</w:t>
            </w:r>
            <w:r>
              <w:rPr>
                <w:rFonts w:hint="eastAsia"/>
                <w:color w:val="auto"/>
                <w:highlight w:val="none"/>
                <w:u w:val="single"/>
              </w:rPr>
              <w:t xml:space="preserve">4226 </w:t>
            </w:r>
            <w:r>
              <w:rPr>
                <w:rFonts w:hint="eastAsia"/>
                <w:color w:val="auto"/>
                <w:highlight w:val="none"/>
              </w:rPr>
              <w:t>万元，其中设计费限价</w:t>
            </w:r>
            <w:r>
              <w:rPr>
                <w:rFonts w:hint="eastAsia" w:ascii="宋体" w:hAnsi="宋体" w:eastAsia="宋体" w:cs="宋体"/>
                <w:color w:val="auto"/>
                <w:highlight w:val="none"/>
                <w:u w:val="single"/>
                <w:lang w:val="en-US"/>
              </w:rPr>
              <w:t>3759</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lang w:val="en-US"/>
              </w:rPr>
              <w:t>0000</w:t>
            </w:r>
            <w:r>
              <w:rPr>
                <w:rFonts w:hint="eastAsia" w:ascii="宋体" w:hAnsi="宋体" w:eastAsia="宋体" w:cs="宋体"/>
                <w:color w:val="auto"/>
                <w:highlight w:val="none"/>
                <w:u w:val="single"/>
                <w:lang w:val="en-US" w:eastAsia="zh-CN"/>
              </w:rPr>
              <w:t xml:space="preserve"> </w:t>
            </w:r>
            <w:r>
              <w:rPr>
                <w:rFonts w:hint="eastAsia"/>
                <w:color w:val="auto"/>
                <w:highlight w:val="none"/>
                <w:lang w:val="en-US"/>
              </w:rPr>
              <w:t>万元，建安工程费</w:t>
            </w:r>
            <w:r>
              <w:rPr>
                <w:rFonts w:hint="eastAsia"/>
                <w:color w:val="auto"/>
                <w:highlight w:val="none"/>
              </w:rPr>
              <w:t>限价</w:t>
            </w:r>
            <w:r>
              <w:rPr>
                <w:rFonts w:hint="eastAsia"/>
                <w:color w:val="auto"/>
                <w:highlight w:val="none"/>
                <w:u w:val="single"/>
                <w:lang w:val="en-US"/>
              </w:rPr>
              <w:t xml:space="preserve"> </w:t>
            </w:r>
            <w:r>
              <w:rPr>
                <w:rFonts w:hint="eastAsia"/>
                <w:color w:val="auto"/>
                <w:highlight w:val="none"/>
                <w:u w:val="single"/>
                <w:lang w:val="en-US" w:eastAsia="zh-CN"/>
              </w:rPr>
              <w:t>302489.4226</w:t>
            </w:r>
            <w:r>
              <w:rPr>
                <w:rFonts w:hint="eastAsia"/>
                <w:color w:val="auto"/>
                <w:highlight w:val="none"/>
                <w:u w:val="single"/>
                <w:lang w:val="en-US"/>
              </w:rPr>
              <w:t xml:space="preserve"> </w:t>
            </w:r>
            <w:r>
              <w:rPr>
                <w:rFonts w:hint="eastAsia"/>
                <w:color w:val="auto"/>
                <w:highlight w:val="none"/>
                <w:lang w:val="en-US"/>
              </w:rPr>
              <w:t>万元，设备购置费限价</w:t>
            </w:r>
            <w:r>
              <w:rPr>
                <w:rFonts w:hint="eastAsia"/>
                <w:color w:val="auto"/>
                <w:highlight w:val="none"/>
                <w:u w:val="single"/>
                <w:lang w:val="en-US"/>
              </w:rPr>
              <w:t xml:space="preserve">/     </w:t>
            </w:r>
            <w:r>
              <w:rPr>
                <w:rFonts w:hint="eastAsia"/>
                <w:color w:val="auto"/>
                <w:highlight w:val="none"/>
                <w:lang w:val="en-US"/>
              </w:rPr>
              <w:t>万元，工程总承包其他费限价</w:t>
            </w:r>
            <w:r>
              <w:rPr>
                <w:rFonts w:hint="eastAsia"/>
                <w:color w:val="auto"/>
                <w:highlight w:val="none"/>
                <w:u w:val="single"/>
                <w:lang w:val="en-US"/>
              </w:rPr>
              <w:t xml:space="preserve"> </w:t>
            </w:r>
            <w:r>
              <w:rPr>
                <w:rFonts w:hint="eastAsia"/>
                <w:color w:val="auto"/>
                <w:highlight w:val="none"/>
                <w:u w:val="single"/>
                <w:lang w:val="en-US" w:eastAsia="zh-CN"/>
              </w:rPr>
              <w:t>1700</w:t>
            </w:r>
            <w:r>
              <w:rPr>
                <w:rFonts w:hint="eastAsia"/>
                <w:color w:val="auto"/>
                <w:highlight w:val="none"/>
                <w:u w:val="single"/>
                <w:lang w:val="en-US"/>
              </w:rPr>
              <w:t xml:space="preserve"> </w:t>
            </w:r>
            <w:r>
              <w:rPr>
                <w:rFonts w:hint="eastAsia"/>
                <w:color w:val="auto"/>
                <w:highlight w:val="none"/>
                <w:lang w:val="en-US"/>
              </w:rPr>
              <w:t>万元</w:t>
            </w:r>
            <w:r>
              <w:rPr>
                <w:rFonts w:hint="eastAsia"/>
                <w:color w:val="auto"/>
                <w:highlight w:val="none"/>
              </w:rPr>
              <w:t>；</w:t>
            </w:r>
          </w:p>
          <w:p>
            <w:pPr>
              <w:pStyle w:val="40"/>
              <w:adjustRightInd/>
              <w:spacing w:line="360" w:lineRule="auto"/>
              <w:jc w:val="both"/>
              <w:rPr>
                <w:color w:val="auto"/>
                <w:highlight w:val="none"/>
              </w:rPr>
            </w:pPr>
            <w:r>
              <w:rPr>
                <w:rFonts w:hint="eastAsia"/>
                <w:color w:val="auto"/>
                <w:highlight w:val="none"/>
              </w:rPr>
              <w:t>2.</w:t>
            </w:r>
            <w:r>
              <w:rPr>
                <w:rFonts w:hint="eastAsia"/>
                <w:color w:val="auto"/>
                <w:highlight w:val="none"/>
                <w:lang w:val="en-US"/>
              </w:rPr>
              <w:sym w:font="Wingdings 2" w:char="00A3"/>
            </w:r>
            <w:r>
              <w:rPr>
                <w:rFonts w:hint="eastAsia"/>
                <w:color w:val="auto"/>
                <w:highlight w:val="none"/>
              </w:rPr>
              <w:t>最高投标限价在招标文件澄清或修改文件中发布；</w:t>
            </w:r>
          </w:p>
          <w:p>
            <w:pPr>
              <w:pStyle w:val="40"/>
              <w:adjustRightInd/>
              <w:spacing w:line="360" w:lineRule="auto"/>
              <w:ind w:right="34" w:rightChars="14"/>
              <w:jc w:val="both"/>
              <w:rPr>
                <w:color w:val="auto"/>
                <w:highlight w:val="none"/>
                <w:lang w:val="en-US"/>
              </w:rPr>
            </w:pPr>
            <w:r>
              <w:rPr>
                <w:rFonts w:hint="eastAsia" w:ascii="宋体" w:hAnsi="宋体" w:eastAsia="宋体" w:cs="宋体"/>
                <w:color w:val="auto"/>
                <w:highlight w:val="none"/>
                <w:lang w:val="en-US"/>
              </w:rPr>
              <w:t>3.</w:t>
            </w:r>
            <w:r>
              <w:rPr>
                <w:rFonts w:hint="eastAsia" w:ascii="宋体" w:hAnsi="宋体" w:eastAsia="宋体" w:cs="宋体"/>
                <w:color w:val="auto"/>
                <w:highlight w:val="none"/>
                <w:lang w:val="en-US"/>
              </w:rPr>
              <w:sym w:font="Wingdings 2" w:char="0052"/>
            </w:r>
            <w:r>
              <w:rPr>
                <w:rFonts w:hint="eastAsia" w:ascii="宋体" w:hAnsi="宋体" w:eastAsia="宋体" w:cs="宋体"/>
                <w:color w:val="auto"/>
                <w:highlight w:val="none"/>
                <w:lang w:val="en-US"/>
              </w:rPr>
              <w:t>风险控制价；为防止投标人恶意低价竞标，最高投标限价的</w:t>
            </w:r>
            <w:r>
              <w:rPr>
                <w:rFonts w:hint="eastAsia" w:ascii="宋体" w:hAnsi="宋体" w:eastAsia="宋体" w:cs="宋体"/>
                <w:color w:val="auto"/>
                <w:highlight w:val="none"/>
                <w:u w:val="single"/>
                <w:lang w:val="en-US"/>
              </w:rPr>
              <w:t xml:space="preserve">  </w:t>
            </w:r>
            <w:r>
              <w:rPr>
                <w:rFonts w:hint="eastAsia" w:ascii="宋体" w:hAnsi="宋体" w:eastAsia="宋体" w:cs="宋体"/>
                <w:color w:val="auto"/>
                <w:highlight w:val="none"/>
                <w:u w:val="single"/>
                <w:lang w:val="en-US" w:eastAsia="zh-CN"/>
              </w:rPr>
              <w:t>85</w:t>
            </w:r>
            <w:r>
              <w:rPr>
                <w:rFonts w:hint="eastAsia" w:ascii="宋体" w:hAnsi="宋体" w:eastAsia="宋体" w:cs="宋体"/>
                <w:color w:val="auto"/>
                <w:highlight w:val="none"/>
                <w:u w:val="single"/>
                <w:lang w:val="en-US"/>
              </w:rPr>
              <w:t xml:space="preserve"> </w:t>
            </w:r>
            <w:r>
              <w:rPr>
                <w:rFonts w:hint="eastAsia" w:ascii="宋体" w:hAnsi="宋体" w:eastAsia="宋体" w:cs="宋体"/>
                <w:color w:val="auto"/>
                <w:highlight w:val="none"/>
                <w:u w:val="none"/>
                <w:lang w:val="en-US"/>
              </w:rPr>
              <w:t xml:space="preserve"> </w:t>
            </w:r>
            <w:r>
              <w:rPr>
                <w:rFonts w:hint="eastAsia" w:ascii="宋体" w:hAnsi="宋体" w:eastAsia="宋体" w:cs="宋体"/>
                <w:color w:val="auto"/>
                <w:highlight w:val="none"/>
                <w:lang w:val="en-US"/>
              </w:rPr>
              <w:t>%作为风险控制价（</w:t>
            </w:r>
            <w:r>
              <w:rPr>
                <w:rFonts w:hint="eastAsia" w:ascii="宋体" w:hAnsi="宋体" w:eastAsia="宋体" w:cs="宋体"/>
                <w:color w:val="auto"/>
                <w:highlight w:val="none"/>
                <w:u w:val="none"/>
                <w:lang w:val="en-US"/>
              </w:rPr>
              <w:t>261756.1592</w:t>
            </w:r>
            <w:r>
              <w:rPr>
                <w:rFonts w:hint="eastAsia" w:ascii="宋体" w:hAnsi="宋体" w:eastAsia="宋体" w:cs="宋体"/>
                <w:color w:val="auto"/>
                <w:highlight w:val="none"/>
                <w:lang w:val="en-US"/>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lang w:val="en-US"/>
              </w:rPr>
            </w:pPr>
            <w:r>
              <w:rPr>
                <w:rFonts w:hint="eastAsia"/>
                <w:color w:val="auto"/>
                <w:highlight w:val="none"/>
              </w:rPr>
              <w:t>3.2.</w:t>
            </w:r>
            <w:r>
              <w:rPr>
                <w:rFonts w:hint="eastAsia"/>
                <w:color w:val="auto"/>
                <w:highlight w:val="none"/>
                <w:lang w:val="en-US"/>
              </w:rPr>
              <w:t>5</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投标报价的其他要求</w:t>
            </w:r>
          </w:p>
        </w:tc>
        <w:tc>
          <w:tcPr>
            <w:tcW w:w="5954" w:type="dxa"/>
            <w:noWrap w:val="0"/>
            <w:vAlign w:val="center"/>
          </w:tcPr>
          <w:p>
            <w:pPr>
              <w:pStyle w:val="40"/>
              <w:adjustRightInd/>
              <w:spacing w:line="360" w:lineRule="auto"/>
              <w:ind w:right="34" w:rightChars="14"/>
              <w:jc w:val="both"/>
              <w:rPr>
                <w:color w:val="auto"/>
                <w:highlight w:val="none"/>
              </w:rPr>
            </w:pPr>
            <w:r>
              <w:rPr>
                <w:rFonts w:hint="eastAsia"/>
                <w:color w:val="auto"/>
                <w:highlight w:val="none"/>
                <w:lang w:val="en-US"/>
              </w:rPr>
              <w:t>1.</w:t>
            </w:r>
            <w:r>
              <w:rPr>
                <w:rFonts w:hint="eastAsia"/>
                <w:color w:val="auto"/>
                <w:highlight w:val="none"/>
              </w:rPr>
              <w:t>本项目为工程总承包工程，</w:t>
            </w:r>
            <w:r>
              <w:rPr>
                <w:rFonts w:hint="eastAsia"/>
                <w:color w:val="auto"/>
                <w:highlight w:val="none"/>
                <w:lang w:eastAsia="zh-CN"/>
              </w:rPr>
              <w:t>投标人根据《</w:t>
            </w:r>
            <w:r>
              <w:rPr>
                <w:rFonts w:hint="eastAsia" w:cs="仿宋"/>
                <w:color w:val="auto"/>
                <w:szCs w:val="21"/>
                <w:highlight w:val="none"/>
                <w:lang w:val="en-US" w:eastAsia="zh-CN"/>
              </w:rPr>
              <w:t>浙江省房屋建筑和市政基础设施项目工程总承包计价规则</w:t>
            </w:r>
            <w:r>
              <w:rPr>
                <w:rFonts w:hint="eastAsia"/>
                <w:color w:val="auto"/>
                <w:highlight w:val="none"/>
                <w:lang w:eastAsia="zh-CN"/>
              </w:rPr>
              <w:t>》（</w:t>
            </w:r>
            <w:r>
              <w:rPr>
                <w:rFonts w:hint="eastAsia"/>
                <w:color w:val="auto"/>
                <w:highlight w:val="none"/>
                <w:lang w:val="en-US" w:eastAsia="zh-CN"/>
              </w:rPr>
              <w:t>2018版</w:t>
            </w:r>
            <w:r>
              <w:rPr>
                <w:rFonts w:hint="eastAsia"/>
                <w:color w:val="auto"/>
                <w:highlight w:val="none"/>
                <w:lang w:eastAsia="zh-CN"/>
              </w:rPr>
              <w:t>）、</w:t>
            </w:r>
            <w:r>
              <w:rPr>
                <w:rFonts w:hint="eastAsia"/>
                <w:color w:val="auto"/>
                <w:highlight w:val="none"/>
              </w:rPr>
              <w:t>招标控制价费用组成及招标文件中总承包所承担的工作范围和工作界面明确报价费用，并按照《发包人要求》明确报价费用；</w:t>
            </w:r>
          </w:p>
          <w:p>
            <w:pPr>
              <w:pStyle w:val="40"/>
              <w:adjustRightInd/>
              <w:spacing w:line="360" w:lineRule="auto"/>
              <w:ind w:right="34" w:rightChars="14"/>
              <w:jc w:val="both"/>
              <w:rPr>
                <w:color w:val="auto"/>
                <w:highlight w:val="none"/>
              </w:rPr>
            </w:pPr>
            <w:r>
              <w:rPr>
                <w:rFonts w:hint="eastAsia"/>
                <w:color w:val="auto"/>
                <w:highlight w:val="none"/>
                <w:lang w:val="en-US"/>
              </w:rPr>
              <w:t>2.</w:t>
            </w:r>
            <w:r>
              <w:rPr>
                <w:rFonts w:hint="eastAsia"/>
                <w:color w:val="auto"/>
                <w:highlight w:val="none"/>
              </w:rPr>
              <w:t>投标人应结合工程实际，按照发包人提供的项目清单进行报价，投标人不得修改项目清单的数量和内容，但可根据工程项目的施工组织方案，通过单独增列清单项目进行调整；</w:t>
            </w:r>
          </w:p>
          <w:p>
            <w:pPr>
              <w:pStyle w:val="40"/>
              <w:adjustRightInd/>
              <w:spacing w:line="360" w:lineRule="auto"/>
              <w:ind w:right="34" w:rightChars="14"/>
              <w:jc w:val="both"/>
              <w:rPr>
                <w:rFonts w:hint="eastAsia"/>
                <w:color w:val="auto"/>
                <w:highlight w:val="none"/>
              </w:rPr>
            </w:pPr>
            <w:r>
              <w:rPr>
                <w:rFonts w:hint="eastAsia"/>
                <w:color w:val="auto"/>
                <w:highlight w:val="none"/>
                <w:lang w:val="en-US"/>
              </w:rPr>
              <w:t>3.</w:t>
            </w:r>
            <w:r>
              <w:rPr>
                <w:rFonts w:hint="eastAsia"/>
                <w:color w:val="auto"/>
                <w:highlight w:val="none"/>
              </w:rPr>
              <w:t>暂估价：应按项目清单中列出的数量、单价及合价填报，不得调整；</w:t>
            </w:r>
          </w:p>
          <w:p>
            <w:pPr>
              <w:pStyle w:val="40"/>
              <w:adjustRightInd/>
              <w:spacing w:line="360" w:lineRule="auto"/>
              <w:ind w:right="34" w:rightChars="14"/>
              <w:jc w:val="both"/>
              <w:rPr>
                <w:rFonts w:hint="eastAsia"/>
                <w:strike/>
                <w:color w:val="auto"/>
                <w:highlight w:val="none"/>
                <w:lang w:val="en-US"/>
              </w:rPr>
            </w:pPr>
            <w:r>
              <w:rPr>
                <w:rFonts w:hint="eastAsia"/>
                <w:color w:val="auto"/>
                <w:highlight w:val="none"/>
                <w:lang w:val="en-US"/>
              </w:rPr>
              <w:t>4.</w:t>
            </w:r>
            <w:r>
              <w:rPr>
                <w:rFonts w:hint="eastAsia"/>
                <w:color w:val="auto"/>
                <w:highlight w:val="none"/>
              </w:rPr>
              <w:t>暂列金额：应按项目清单中列出的金额填报，不得调整。</w:t>
            </w:r>
          </w:p>
          <w:p>
            <w:pPr>
              <w:pStyle w:val="40"/>
              <w:adjustRightInd/>
              <w:spacing w:line="360" w:lineRule="auto"/>
              <w:ind w:right="34" w:rightChars="14"/>
              <w:jc w:val="both"/>
              <w:rPr>
                <w:rFonts w:hint="default" w:eastAsia="宋体" w:cs="仿宋"/>
                <w:color w:val="auto"/>
                <w:szCs w:val="21"/>
                <w:highlight w:val="none"/>
                <w:lang w:val="en-US" w:eastAsia="zh-CN"/>
              </w:rPr>
            </w:pPr>
            <w:r>
              <w:rPr>
                <w:rFonts w:hint="eastAsia"/>
                <w:color w:val="auto"/>
                <w:highlight w:val="none"/>
                <w:lang w:val="en-US"/>
              </w:rPr>
              <w:t>5.</w:t>
            </w:r>
            <w:r>
              <w:rPr>
                <w:rFonts w:hint="eastAsia" w:cs="仿宋"/>
                <w:color w:val="auto"/>
                <w:szCs w:val="21"/>
                <w:highlight w:val="none"/>
              </w:rPr>
              <w:t>本工程部分材料设有推荐品牌（具体详见《主要材料选用品牌一览表》）</w:t>
            </w:r>
            <w:r>
              <w:rPr>
                <w:rFonts w:hint="eastAsia" w:cs="仿宋"/>
                <w:color w:val="auto"/>
                <w:szCs w:val="21"/>
                <w:highlight w:val="none"/>
                <w:lang w:val="en-US"/>
              </w:rPr>
              <w:t>具体品牌名单后已添加“或相当于”。投标人应按推荐的品牌、规格确定投标报价，并在</w:t>
            </w:r>
            <w:r>
              <w:rPr>
                <w:rFonts w:hint="eastAsia" w:cs="仿宋"/>
                <w:color w:val="auto"/>
                <w:szCs w:val="21"/>
                <w:highlight w:val="none"/>
              </w:rPr>
              <w:t>《主要材料选用品牌一览表》</w:t>
            </w:r>
            <w:r>
              <w:rPr>
                <w:rFonts w:hint="eastAsia" w:cs="仿宋"/>
                <w:color w:val="auto"/>
                <w:szCs w:val="21"/>
                <w:highlight w:val="none"/>
                <w:lang w:val="en-US"/>
              </w:rPr>
              <w:t>中明确所选品牌（厂家）。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3.3.1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投标有效期</w:t>
            </w:r>
          </w:p>
        </w:tc>
        <w:tc>
          <w:tcPr>
            <w:tcW w:w="5954" w:type="dxa"/>
            <w:noWrap w:val="0"/>
            <w:vAlign w:val="center"/>
          </w:tcPr>
          <w:p>
            <w:pPr>
              <w:pStyle w:val="40"/>
              <w:tabs>
                <w:tab w:val="left" w:pos="1188"/>
              </w:tabs>
              <w:adjustRightInd/>
              <w:spacing w:line="360" w:lineRule="auto"/>
              <w:ind w:left="108" w:right="34" w:rightChars="14"/>
              <w:jc w:val="both"/>
              <w:rPr>
                <w:color w:val="auto"/>
                <w:highlight w:val="none"/>
              </w:rPr>
            </w:pPr>
            <w:r>
              <w:rPr>
                <w:rFonts w:hint="eastAsia"/>
                <w:color w:val="auto"/>
                <w:highlight w:val="none"/>
                <w:u w:val="single"/>
              </w:rPr>
              <w:t xml:space="preserve"> </w:t>
            </w:r>
            <w:r>
              <w:rPr>
                <w:rFonts w:hint="eastAsia"/>
                <w:color w:val="auto"/>
                <w:highlight w:val="none"/>
                <w:u w:val="single"/>
                <w:lang w:val="en-US"/>
              </w:rPr>
              <w:t xml:space="preserve">90 </w:t>
            </w:r>
            <w:r>
              <w:rPr>
                <w:rFonts w:hint="eastAsia"/>
                <w:color w:val="auto"/>
                <w:highlight w:val="none"/>
              </w:rPr>
              <w:t>个日历天（从投标截止之日起算）。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3.4.1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投标保证金</w:t>
            </w:r>
          </w:p>
        </w:tc>
        <w:tc>
          <w:tcPr>
            <w:tcW w:w="5954" w:type="dxa"/>
            <w:noWrap w:val="0"/>
            <w:vAlign w:val="center"/>
          </w:tcPr>
          <w:p>
            <w:pPr>
              <w:pStyle w:val="40"/>
              <w:snapToGrid w:val="0"/>
              <w:spacing w:line="360" w:lineRule="auto"/>
              <w:jc w:val="both"/>
              <w:rPr>
                <w:color w:val="auto"/>
                <w:highlight w:val="none"/>
              </w:rPr>
            </w:pPr>
            <w:r>
              <w:rPr>
                <w:rFonts w:hint="eastAsia"/>
                <w:color w:val="auto"/>
                <w:highlight w:val="none"/>
              </w:rPr>
              <w:t>1.金额：人民币</w:t>
            </w:r>
            <w:r>
              <w:rPr>
                <w:rFonts w:hint="eastAsia"/>
                <w:color w:val="auto"/>
                <w:highlight w:val="none"/>
                <w:u w:val="single"/>
              </w:rPr>
              <w:t xml:space="preserve">  </w:t>
            </w:r>
            <w:r>
              <w:rPr>
                <w:rFonts w:hint="eastAsia"/>
                <w:color w:val="auto"/>
                <w:highlight w:val="none"/>
                <w:u w:val="single"/>
                <w:lang w:val="en-US"/>
              </w:rPr>
              <w:t>50</w:t>
            </w:r>
            <w:r>
              <w:rPr>
                <w:rFonts w:hint="eastAsia"/>
                <w:color w:val="auto"/>
                <w:highlight w:val="none"/>
                <w:u w:val="single"/>
              </w:rPr>
              <w:t xml:space="preserve">  </w:t>
            </w:r>
            <w:r>
              <w:rPr>
                <w:rFonts w:hint="eastAsia"/>
                <w:color w:val="auto"/>
                <w:highlight w:val="none"/>
              </w:rPr>
              <w:t>万元（不得超过项目估算价的2%，且最高不得超过50万元。）</w:t>
            </w:r>
          </w:p>
          <w:p>
            <w:pPr>
              <w:pStyle w:val="40"/>
              <w:snapToGrid w:val="0"/>
              <w:spacing w:line="360" w:lineRule="auto"/>
              <w:jc w:val="both"/>
              <w:rPr>
                <w:color w:val="auto"/>
                <w:highlight w:val="none"/>
              </w:rPr>
            </w:pPr>
            <w:r>
              <w:rPr>
                <w:rFonts w:hint="eastAsia"/>
                <w:color w:val="auto"/>
                <w:highlight w:val="none"/>
              </w:rPr>
              <w:t>2.交纳方式：</w:t>
            </w:r>
            <w:r>
              <w:rPr>
                <w:rFonts w:hint="eastAsia"/>
                <w:color w:val="auto"/>
                <w:szCs w:val="21"/>
                <w:highlight w:val="none"/>
                <w:lang w:val="en-US"/>
              </w:rPr>
              <w:t>网银或电汇或</w:t>
            </w:r>
            <w:permStart w:id="0" w:edGrp="everyone"/>
            <w:r>
              <w:rPr>
                <w:rFonts w:hint="eastAsia"/>
                <w:color w:val="auto"/>
                <w:szCs w:val="21"/>
                <w:highlight w:val="none"/>
                <w:lang w:val="en-US"/>
              </w:rPr>
              <w:t>电子保函【包括但不限于银行保函、担保公司保函、保险保单（函）】（☑关联  □不关联）</w:t>
            </w:r>
            <w:permEnd w:id="0"/>
          </w:p>
          <w:p>
            <w:pPr>
              <w:pStyle w:val="40"/>
              <w:snapToGrid w:val="0"/>
              <w:spacing w:line="360" w:lineRule="auto"/>
              <w:jc w:val="both"/>
              <w:rPr>
                <w:color w:val="auto"/>
                <w:highlight w:val="none"/>
              </w:rPr>
            </w:pPr>
            <w:r>
              <w:rPr>
                <w:rFonts w:hint="eastAsia"/>
                <w:color w:val="auto"/>
                <w:highlight w:val="none"/>
              </w:rPr>
              <w:t>户名：</w:t>
            </w:r>
            <w:r>
              <w:rPr>
                <w:rFonts w:hint="eastAsia"/>
                <w:color w:val="auto"/>
                <w:highlight w:val="none"/>
                <w:u w:val="single"/>
              </w:rPr>
              <w:t xml:space="preserve"> </w:t>
            </w:r>
            <w:r>
              <w:rPr>
                <w:rFonts w:hint="eastAsia" w:ascii="宋体" w:hAnsi="宋体" w:eastAsia="宋体" w:cs="宋体"/>
                <w:color w:val="auto"/>
                <w:szCs w:val="21"/>
                <w:highlight w:val="none"/>
                <w:u w:val="single"/>
              </w:rPr>
              <w:t>湖州市公共资源交易中心湖州</w:t>
            </w:r>
            <w:r>
              <w:rPr>
                <w:rFonts w:hint="eastAsia"/>
                <w:color w:val="auto"/>
                <w:szCs w:val="21"/>
                <w:highlight w:val="none"/>
                <w:u w:val="single"/>
              </w:rPr>
              <w:t>南太湖新区分中心</w:t>
            </w:r>
            <w:r>
              <w:rPr>
                <w:rFonts w:hint="eastAsia"/>
                <w:color w:val="auto"/>
                <w:highlight w:val="none"/>
                <w:u w:val="single"/>
              </w:rPr>
              <w:t xml:space="preserve">                       </w:t>
            </w:r>
            <w:r>
              <w:rPr>
                <w:rFonts w:hint="eastAsia"/>
                <w:color w:val="auto"/>
                <w:highlight w:val="none"/>
                <w:lang w:val="en-US"/>
              </w:rPr>
              <w:t xml:space="preserve"> </w:t>
            </w:r>
          </w:p>
          <w:p>
            <w:pPr>
              <w:pStyle w:val="40"/>
              <w:snapToGrid w:val="0"/>
              <w:spacing w:line="360" w:lineRule="auto"/>
              <w:jc w:val="both"/>
              <w:rPr>
                <w:color w:val="auto"/>
                <w:highlight w:val="none"/>
              </w:rPr>
            </w:pPr>
            <w:r>
              <w:rPr>
                <w:rFonts w:hint="eastAsia"/>
                <w:color w:val="auto"/>
                <w:szCs w:val="21"/>
                <w:highlight w:val="none"/>
              </w:rPr>
              <w:t>账</w:t>
            </w:r>
            <w:r>
              <w:rPr>
                <w:rFonts w:hint="eastAsia"/>
                <w:color w:val="auto"/>
                <w:highlight w:val="none"/>
              </w:rPr>
              <w:t>户：</w:t>
            </w:r>
            <w:r>
              <w:rPr>
                <w:rFonts w:hint="eastAsia"/>
                <w:color w:val="auto"/>
                <w:highlight w:val="none"/>
                <w:u w:val="single"/>
              </w:rPr>
              <w:t xml:space="preserve">  33001649135053010548-0002      </w:t>
            </w:r>
            <w:r>
              <w:rPr>
                <w:rFonts w:hint="eastAsia"/>
                <w:color w:val="auto"/>
                <w:highlight w:val="none"/>
                <w:u w:val="single"/>
                <w:lang w:val="en-US"/>
              </w:rPr>
              <w:t xml:space="preserve"> </w:t>
            </w:r>
          </w:p>
          <w:p>
            <w:pPr>
              <w:pStyle w:val="40"/>
              <w:snapToGrid w:val="0"/>
              <w:spacing w:line="360" w:lineRule="auto"/>
              <w:jc w:val="both"/>
              <w:rPr>
                <w:color w:val="auto"/>
                <w:highlight w:val="none"/>
              </w:rPr>
            </w:pPr>
            <w:r>
              <w:rPr>
                <w:rFonts w:hint="eastAsia"/>
                <w:color w:val="auto"/>
                <w:highlight w:val="none"/>
              </w:rPr>
              <w:t>开户银行：</w:t>
            </w:r>
            <w:r>
              <w:rPr>
                <w:rFonts w:hint="eastAsia"/>
                <w:color w:val="auto"/>
                <w:szCs w:val="21"/>
                <w:highlight w:val="none"/>
                <w:u w:val="single"/>
              </w:rPr>
              <w:t>中国建设银行股份有限公司湖州南太湖新区支行</w:t>
            </w:r>
            <w:r>
              <w:rPr>
                <w:rFonts w:hint="eastAsia"/>
                <w:color w:val="auto"/>
                <w:highlight w:val="none"/>
                <w:u w:val="single"/>
              </w:rPr>
              <w:t xml:space="preserve">     </w:t>
            </w:r>
            <w:r>
              <w:rPr>
                <w:rFonts w:hint="eastAsia"/>
                <w:color w:val="auto"/>
                <w:highlight w:val="none"/>
                <w:lang w:val="en-US"/>
              </w:rPr>
              <w:t xml:space="preserve"> </w:t>
            </w:r>
          </w:p>
          <w:p>
            <w:pPr>
              <w:pStyle w:val="40"/>
              <w:adjustRightInd/>
              <w:spacing w:line="360" w:lineRule="auto"/>
              <w:ind w:right="34" w:rightChars="14"/>
              <w:jc w:val="both"/>
              <w:rPr>
                <w:rFonts w:hint="eastAsia"/>
                <w:color w:val="auto"/>
                <w:highlight w:val="none"/>
              </w:rPr>
            </w:pPr>
            <w:r>
              <w:rPr>
                <w:rFonts w:hint="eastAsia"/>
                <w:color w:val="auto"/>
                <w:highlight w:val="none"/>
              </w:rPr>
              <w:t>（投标保证金必须从投标人的银行基本账户中转出）</w:t>
            </w:r>
          </w:p>
          <w:p>
            <w:pPr>
              <w:pStyle w:val="40"/>
              <w:adjustRightInd/>
              <w:spacing w:line="360" w:lineRule="auto"/>
              <w:ind w:right="34" w:rightChars="14"/>
              <w:jc w:val="both"/>
              <w:rPr>
                <w:rFonts w:hint="eastAsia"/>
                <w:color w:val="auto"/>
                <w:highlight w:val="none"/>
              </w:rPr>
            </w:pPr>
            <w:r>
              <w:rPr>
                <w:rFonts w:hint="eastAsia"/>
                <w:color w:val="auto"/>
                <w:highlight w:val="none"/>
                <w:lang w:val="en-US"/>
              </w:rPr>
              <w:t>3、</w:t>
            </w:r>
            <w:r>
              <w:rPr>
                <w:rFonts w:hint="eastAsia"/>
                <w:color w:val="auto"/>
                <w:highlight w:val="none"/>
              </w:rPr>
              <w:t>投标保证金必须与本项目进行关联，如实际到</w:t>
            </w:r>
            <w:r>
              <w:rPr>
                <w:rFonts w:hint="eastAsia"/>
                <w:color w:val="auto"/>
                <w:highlight w:val="none"/>
                <w:lang w:eastAsia="zh-CN"/>
              </w:rPr>
              <w:t>账</w:t>
            </w:r>
            <w:r>
              <w:rPr>
                <w:rFonts w:hint="eastAsia"/>
                <w:color w:val="auto"/>
                <w:highlight w:val="none"/>
              </w:rPr>
              <w:t>时间与关联时间不一致，以实际到</w:t>
            </w:r>
            <w:r>
              <w:rPr>
                <w:rFonts w:hint="eastAsia"/>
                <w:color w:val="auto"/>
                <w:highlight w:val="none"/>
                <w:lang w:eastAsia="zh-CN"/>
              </w:rPr>
              <w:t>账</w:t>
            </w:r>
            <w:r>
              <w:rPr>
                <w:rFonts w:hint="eastAsia"/>
                <w:color w:val="auto"/>
                <w:highlight w:val="none"/>
              </w:rPr>
              <w:t>时间为准。如为联合体投标的应由联合体牵头单位提交投标保证金。</w:t>
            </w:r>
          </w:p>
          <w:p>
            <w:pPr>
              <w:spacing w:line="400" w:lineRule="exact"/>
              <w:rPr>
                <w:rFonts w:hint="eastAsia" w:ascii="宋体" w:hAnsi="宋体" w:cs="宋体"/>
                <w:color w:val="auto"/>
                <w:highlight w:val="none"/>
              </w:rPr>
            </w:pPr>
            <w:r>
              <w:rPr>
                <w:rFonts w:hint="eastAsia"/>
                <w:color w:val="auto"/>
                <w:highlight w:val="none"/>
              </w:rPr>
              <w:t>4、</w:t>
            </w:r>
            <w:r>
              <w:rPr>
                <w:rFonts w:hint="eastAsia" w:ascii="宋体" w:hAnsi="宋体" w:cs="宋体"/>
                <w:color w:val="auto"/>
                <w:highlight w:val="none"/>
              </w:rPr>
              <w:t>投标保证金</w:t>
            </w:r>
            <w:r>
              <w:rPr>
                <w:rFonts w:hint="eastAsia" w:ascii="宋体" w:hAnsi="宋体" w:cs="宋体"/>
                <w:color w:val="auto"/>
                <w:highlight w:val="none"/>
                <w:lang w:val="en-US" w:eastAsia="zh-CN"/>
              </w:rPr>
              <w:t>免交</w:t>
            </w:r>
            <w:r>
              <w:rPr>
                <w:rFonts w:hint="eastAsia" w:ascii="宋体" w:hAnsi="宋体" w:cs="宋体"/>
                <w:color w:val="auto"/>
                <w:highlight w:val="none"/>
              </w:rPr>
              <w:t>政策：根据省建设厅等11个部门《关于在全省工程建设领域改革保证金制度的通知》（浙建〔2020〕7号）、《湖州市住房和城乡建设局关于印发全市工程建设领域保证金制度改革实施意见的通知》（湖建发〔2020〕44号）。投标人获得湖</w:t>
            </w:r>
            <w:r>
              <w:rPr>
                <w:rFonts w:hint="eastAsia" w:ascii="宋体" w:hAnsi="宋体" w:cs="仿宋"/>
                <w:color w:val="auto"/>
                <w:szCs w:val="21"/>
                <w:highlight w:val="none"/>
              </w:rPr>
              <w:t>州市住房和城乡建设局关于公布2021年度第一轮全市建筑施工企业信用评价</w:t>
            </w:r>
            <w:r>
              <w:rPr>
                <w:rFonts w:hint="eastAsia" w:ascii="宋体" w:hAnsi="宋体" w:cs="宋体"/>
                <w:color w:val="auto"/>
                <w:highlight w:val="none"/>
              </w:rPr>
              <w:t>AAA级的（不分专业类别，有一项达到AAA级的)，即可免缴本项目的投标保证金。针对AAA级企业</w:t>
            </w:r>
            <w:r>
              <w:rPr>
                <w:rFonts w:hint="eastAsia" w:ascii="宋体" w:hAnsi="宋体" w:cs="宋体"/>
                <w:color w:val="auto"/>
                <w:highlight w:val="none"/>
                <w:lang w:val="en-US" w:eastAsia="zh-CN"/>
              </w:rPr>
              <w:t>免交</w:t>
            </w:r>
            <w:r>
              <w:rPr>
                <w:rFonts w:hint="eastAsia" w:ascii="宋体" w:hAnsi="宋体" w:cs="宋体"/>
                <w:color w:val="auto"/>
                <w:highlight w:val="none"/>
              </w:rPr>
              <w:t>保证金的不需要关联，只须提供相关AAA证明文件即可。</w:t>
            </w:r>
          </w:p>
          <w:p>
            <w:pPr>
              <w:spacing w:line="400" w:lineRule="exact"/>
              <w:ind w:firstLine="480" w:firstLineChars="200"/>
              <w:rPr>
                <w:rFonts w:hint="eastAsia"/>
                <w:color w:val="auto"/>
                <w:highlight w:val="none"/>
              </w:rPr>
            </w:pPr>
            <w:r>
              <w:rPr>
                <w:rFonts w:hint="eastAsia" w:ascii="宋体" w:hAnsi="宋体" w:cs="宋体"/>
                <w:color w:val="auto"/>
                <w:highlight w:val="none"/>
              </w:rPr>
              <w:t>如为联合体投标的，</w:t>
            </w:r>
            <w:r>
              <w:rPr>
                <w:rFonts w:hint="eastAsia" w:ascii="宋体" w:hAnsi="宋体" w:cs="宋体"/>
                <w:color w:val="auto"/>
                <w:szCs w:val="21"/>
                <w:highlight w:val="none"/>
              </w:rPr>
              <w:t>联合体任意一方符合投标保证金</w:t>
            </w:r>
            <w:r>
              <w:rPr>
                <w:rFonts w:hint="eastAsia" w:ascii="宋体" w:hAnsi="宋体" w:cs="宋体"/>
                <w:color w:val="auto"/>
                <w:highlight w:val="none"/>
                <w:lang w:val="en-US" w:eastAsia="zh-CN"/>
              </w:rPr>
              <w:t>免交</w:t>
            </w:r>
            <w:r>
              <w:rPr>
                <w:rFonts w:hint="eastAsia" w:ascii="宋体" w:hAnsi="宋体" w:cs="宋体"/>
                <w:color w:val="auto"/>
                <w:szCs w:val="21"/>
                <w:highlight w:val="none"/>
              </w:rPr>
              <w:t>政策的，均可</w:t>
            </w:r>
            <w:r>
              <w:rPr>
                <w:rFonts w:hint="eastAsia" w:ascii="宋体" w:hAnsi="宋体" w:cs="宋体"/>
                <w:color w:val="auto"/>
                <w:highlight w:val="none"/>
                <w:lang w:val="en-US" w:eastAsia="zh-CN"/>
              </w:rPr>
              <w:t>免交</w:t>
            </w:r>
            <w:r>
              <w:rPr>
                <w:rFonts w:hint="eastAsia" w:ascii="宋体" w:hAnsi="宋体" w:cs="宋体"/>
                <w:color w:val="auto"/>
                <w:szCs w:val="21"/>
                <w:highlight w:val="none"/>
              </w:rPr>
              <w:t>本项目的投标保证金。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29"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lang w:val="en-US"/>
              </w:rPr>
            </w:pPr>
            <w:r>
              <w:rPr>
                <w:rFonts w:hint="eastAsia"/>
                <w:color w:val="auto"/>
                <w:highlight w:val="none"/>
                <w:lang w:val="en-US"/>
              </w:rPr>
              <w:t>3.4.3</w:t>
            </w:r>
          </w:p>
        </w:tc>
        <w:tc>
          <w:tcPr>
            <w:tcW w:w="1768" w:type="dxa"/>
            <w:noWrap w:val="0"/>
            <w:vAlign w:val="center"/>
          </w:tcPr>
          <w:p>
            <w:pPr>
              <w:pStyle w:val="40"/>
              <w:adjustRightInd/>
              <w:jc w:val="center"/>
              <w:rPr>
                <w:color w:val="auto"/>
                <w:highlight w:val="none"/>
              </w:rPr>
            </w:pPr>
            <w:r>
              <w:rPr>
                <w:rFonts w:hint="eastAsia"/>
                <w:color w:val="auto"/>
                <w:highlight w:val="none"/>
              </w:rPr>
              <w:t>其他可以不予退还投标保证金的情形</w:t>
            </w:r>
          </w:p>
        </w:tc>
        <w:tc>
          <w:tcPr>
            <w:tcW w:w="5954" w:type="dxa"/>
            <w:noWrap w:val="0"/>
            <w:vAlign w:val="center"/>
          </w:tcPr>
          <w:p>
            <w:pPr>
              <w:pStyle w:val="40"/>
              <w:snapToGrid w:val="0"/>
              <w:spacing w:line="360" w:lineRule="auto"/>
              <w:jc w:val="both"/>
              <w:rPr>
                <w:color w:val="auto"/>
                <w:spacing w:val="-10"/>
                <w:highlight w:val="none"/>
              </w:rPr>
            </w:pPr>
            <w:r>
              <w:rPr>
                <w:rFonts w:hint="eastAsia"/>
                <w:color w:val="auto"/>
                <w:highlight w:val="none"/>
              </w:rPr>
              <w:t>1.</w:t>
            </w:r>
            <w:r>
              <w:rPr>
                <w:rFonts w:hint="eastAsia"/>
                <w:color w:val="auto"/>
                <w:highlight w:val="none"/>
                <w:lang w:val="en-US"/>
              </w:rPr>
              <w:sym w:font="Wingdings 2" w:char="0052"/>
            </w:r>
            <w:r>
              <w:rPr>
                <w:rFonts w:hint="eastAsia"/>
                <w:color w:val="auto"/>
                <w:spacing w:val="-10"/>
                <w:highlight w:val="none"/>
              </w:rPr>
              <w:t>经查实，投标人在投标过程中存在串通投标或弄虚作假的。</w:t>
            </w:r>
          </w:p>
          <w:p>
            <w:pPr>
              <w:pStyle w:val="40"/>
              <w:snapToGrid w:val="0"/>
              <w:spacing w:line="360" w:lineRule="auto"/>
              <w:jc w:val="both"/>
              <w:rPr>
                <w:color w:val="auto"/>
                <w:highlight w:val="none"/>
              </w:rPr>
            </w:pPr>
            <w:r>
              <w:rPr>
                <w:rFonts w:hint="eastAsia"/>
                <w:color w:val="auto"/>
                <w:highlight w:val="none"/>
              </w:rPr>
              <w:t>2.</w:t>
            </w:r>
            <w:r>
              <w:rPr>
                <w:rFonts w:hint="eastAsia"/>
                <w:color w:val="auto"/>
                <w:highlight w:val="none"/>
                <w:lang w:val="en-US"/>
              </w:rPr>
              <w:sym w:font="Wingdings 2" w:char="0052"/>
            </w:r>
            <w:r>
              <w:rPr>
                <w:rFonts w:hint="eastAsia"/>
                <w:color w:val="auto"/>
                <w:highlight w:val="none"/>
              </w:rPr>
              <w:t>拟派</w:t>
            </w:r>
            <w:r>
              <w:rPr>
                <w:rFonts w:hint="eastAsia" w:cs="Times New Roman"/>
                <w:color w:val="auto"/>
                <w:highlight w:val="none"/>
              </w:rPr>
              <w:t>项目负责人或施工负责人</w:t>
            </w:r>
            <w:r>
              <w:rPr>
                <w:rFonts w:hint="eastAsia"/>
                <w:color w:val="auto"/>
                <w:highlight w:val="none"/>
              </w:rPr>
              <w:t>在投标截止日有在其他在建合同工程上担任</w:t>
            </w:r>
            <w:r>
              <w:rPr>
                <w:rFonts w:hint="eastAsia" w:cs="Times New Roman"/>
                <w:color w:val="auto"/>
                <w:highlight w:val="none"/>
              </w:rPr>
              <w:t>工程总承包项目负责人、工程总承包施工负责人或施工负责人</w:t>
            </w:r>
            <w:r>
              <w:rPr>
                <w:rFonts w:hint="eastAsia"/>
                <w:color w:val="auto"/>
                <w:highlight w:val="none"/>
              </w:rPr>
              <w:t>的情形。</w:t>
            </w:r>
          </w:p>
          <w:p>
            <w:pPr>
              <w:pStyle w:val="40"/>
              <w:snapToGrid w:val="0"/>
              <w:spacing w:line="360" w:lineRule="auto"/>
              <w:jc w:val="both"/>
              <w:rPr>
                <w:color w:val="auto"/>
                <w:highlight w:val="none"/>
              </w:rPr>
            </w:pPr>
            <w:r>
              <w:rPr>
                <w:rFonts w:hint="eastAsia"/>
                <w:color w:val="auto"/>
                <w:highlight w:val="none"/>
              </w:rPr>
              <w:t>3.其他：</w:t>
            </w:r>
            <w:r>
              <w:rPr>
                <w:rFonts w:hint="eastAsia"/>
                <w:color w:val="auto"/>
                <w:highlight w:val="none"/>
                <w:u w:val="single"/>
              </w:rPr>
              <w:t xml:space="preserve">  投标人在规定的投标有效期内撤销或修改其投标文件；中标人在收到中标通知书后，无正当理由拒签合同协议书、向招标人提出附加条件或未按招标文件规定提交履约担保 </w:t>
            </w:r>
            <w:r>
              <w:rPr>
                <w:rFonts w:hint="eastAsia"/>
                <w:color w:val="auto"/>
                <w:highlight w:val="none"/>
              </w:rPr>
              <w:t>。</w:t>
            </w:r>
          </w:p>
          <w:p>
            <w:pPr>
              <w:pStyle w:val="40"/>
              <w:snapToGrid w:val="0"/>
              <w:spacing w:line="360" w:lineRule="auto"/>
              <w:jc w:val="both"/>
              <w:rPr>
                <w:color w:val="auto"/>
                <w:highlight w:val="none"/>
              </w:rPr>
            </w:pPr>
            <w:r>
              <w:rPr>
                <w:rFonts w:hint="eastAsia"/>
                <w:color w:val="auto"/>
                <w:highlight w:val="none"/>
              </w:rPr>
              <w:t>注：本招标文件的“投标保证金不予退还”是指：</w:t>
            </w:r>
          </w:p>
          <w:p>
            <w:pPr>
              <w:pStyle w:val="40"/>
              <w:snapToGrid w:val="0"/>
              <w:spacing w:line="360" w:lineRule="auto"/>
              <w:jc w:val="both"/>
              <w:rPr>
                <w:color w:val="auto"/>
                <w:highlight w:val="none"/>
              </w:rPr>
            </w:pPr>
            <w:r>
              <w:rPr>
                <w:rFonts w:hint="eastAsia"/>
                <w:color w:val="auto"/>
                <w:highlight w:val="none"/>
              </w:rPr>
              <w:t>（1）以现金转账形式，转账现金不予退还。</w:t>
            </w:r>
          </w:p>
          <w:p>
            <w:pPr>
              <w:pStyle w:val="40"/>
              <w:snapToGrid w:val="0"/>
              <w:spacing w:line="360" w:lineRule="auto"/>
              <w:jc w:val="both"/>
              <w:rPr>
                <w:color w:val="auto"/>
                <w:spacing w:val="-10"/>
                <w:highlight w:val="none"/>
              </w:rPr>
            </w:pPr>
            <w:r>
              <w:rPr>
                <w:rFonts w:hint="eastAsia"/>
                <w:color w:val="auto"/>
                <w:highlight w:val="none"/>
              </w:rPr>
              <w:t>（2）</w:t>
            </w:r>
            <w:r>
              <w:rPr>
                <w:rFonts w:hint="eastAsia"/>
                <w:color w:val="auto"/>
                <w:spacing w:val="-10"/>
                <w:highlight w:val="none"/>
              </w:rPr>
              <w:t>以银行保函形式，招标人作为受益人向银行提起索赔。</w:t>
            </w:r>
          </w:p>
          <w:p>
            <w:pPr>
              <w:pStyle w:val="40"/>
              <w:snapToGrid w:val="0"/>
              <w:spacing w:line="360" w:lineRule="auto"/>
              <w:jc w:val="both"/>
              <w:rPr>
                <w:color w:val="auto"/>
                <w:highlight w:val="none"/>
              </w:rPr>
            </w:pPr>
            <w:r>
              <w:rPr>
                <w:rFonts w:hint="eastAsia"/>
                <w:color w:val="auto"/>
                <w:highlight w:val="none"/>
              </w:rPr>
              <w:t>（3）以保证保险形式，招标人作为被保险人（受益人）向保险人提起索赔。</w:t>
            </w:r>
          </w:p>
          <w:p>
            <w:pPr>
              <w:pStyle w:val="40"/>
              <w:snapToGrid w:val="0"/>
              <w:spacing w:line="360" w:lineRule="auto"/>
              <w:jc w:val="both"/>
              <w:rPr>
                <w:color w:val="auto"/>
                <w:highlight w:val="none"/>
                <w:lang w:val="en-US"/>
              </w:rPr>
            </w:pPr>
            <w:r>
              <w:rPr>
                <w:rFonts w:hint="eastAsia"/>
                <w:color w:val="auto"/>
                <w:highlight w:val="none"/>
              </w:rPr>
              <w:t>（4）以担保公司担保形式，招标人作为受益人向担保人提起索赔。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3.5</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实质性响应招标文件</w:t>
            </w:r>
          </w:p>
        </w:tc>
        <w:tc>
          <w:tcPr>
            <w:tcW w:w="5954" w:type="dxa"/>
            <w:noWrap w:val="0"/>
            <w:vAlign w:val="center"/>
          </w:tcPr>
          <w:p>
            <w:pPr>
              <w:pStyle w:val="40"/>
              <w:adjustRightInd/>
              <w:spacing w:line="360" w:lineRule="auto"/>
              <w:ind w:right="34" w:rightChars="14"/>
              <w:jc w:val="both"/>
              <w:rPr>
                <w:color w:val="auto"/>
                <w:highlight w:val="none"/>
                <w:lang w:val="en-US"/>
              </w:rPr>
            </w:pPr>
            <w:r>
              <w:rPr>
                <w:rFonts w:hint="eastAsia"/>
                <w:color w:val="auto"/>
                <w:highlight w:val="none"/>
                <w:lang w:val="en-US"/>
              </w:rPr>
              <w:t>1.企业法人营业执照；</w:t>
            </w:r>
          </w:p>
          <w:p>
            <w:pPr>
              <w:pStyle w:val="40"/>
              <w:adjustRightInd/>
              <w:spacing w:line="360" w:lineRule="auto"/>
              <w:ind w:right="34" w:rightChars="14"/>
              <w:jc w:val="both"/>
              <w:rPr>
                <w:color w:val="auto"/>
                <w:highlight w:val="none"/>
                <w:lang w:val="en-US"/>
              </w:rPr>
            </w:pPr>
            <w:r>
              <w:rPr>
                <w:rFonts w:hint="eastAsia"/>
                <w:color w:val="auto"/>
                <w:highlight w:val="none"/>
                <w:lang w:val="en-US"/>
              </w:rPr>
              <w:t>2.法定代表人授权委托书（投标文件委托代理人签字的提供）；</w:t>
            </w:r>
          </w:p>
          <w:p>
            <w:pPr>
              <w:pStyle w:val="40"/>
              <w:adjustRightInd/>
              <w:spacing w:line="360" w:lineRule="auto"/>
              <w:ind w:right="34" w:rightChars="14"/>
              <w:jc w:val="both"/>
              <w:rPr>
                <w:color w:val="auto"/>
                <w:highlight w:val="none"/>
                <w:lang w:val="en-US"/>
              </w:rPr>
            </w:pPr>
            <w:r>
              <w:rPr>
                <w:rFonts w:hint="eastAsia"/>
                <w:color w:val="auto"/>
                <w:highlight w:val="none"/>
                <w:lang w:val="en-US"/>
              </w:rPr>
              <w:t>3.</w:t>
            </w:r>
            <w:r>
              <w:rPr>
                <w:rFonts w:hint="eastAsia"/>
                <w:color w:val="auto"/>
                <w:highlight w:val="none"/>
                <w:lang w:val="en-US"/>
              </w:rPr>
              <w:sym w:font="Wingdings 2" w:char="0052"/>
            </w:r>
            <w:r>
              <w:rPr>
                <w:rFonts w:hint="eastAsia"/>
                <w:color w:val="auto"/>
                <w:highlight w:val="none"/>
                <w:lang w:val="en-US"/>
              </w:rPr>
              <w:t>联合体各方签订的共同投标协议（联合体投标的提供）；</w:t>
            </w:r>
          </w:p>
          <w:p>
            <w:pPr>
              <w:pStyle w:val="40"/>
              <w:adjustRightInd/>
              <w:spacing w:line="360" w:lineRule="auto"/>
              <w:ind w:right="34" w:rightChars="14"/>
              <w:jc w:val="both"/>
              <w:rPr>
                <w:color w:val="auto"/>
                <w:highlight w:val="none"/>
                <w:lang w:val="en-US"/>
              </w:rPr>
            </w:pPr>
            <w:r>
              <w:rPr>
                <w:rFonts w:hint="eastAsia"/>
                <w:color w:val="auto"/>
                <w:highlight w:val="none"/>
                <w:lang w:val="en-US"/>
              </w:rPr>
              <w:t>4.</w:t>
            </w:r>
            <w:r>
              <w:rPr>
                <w:rFonts w:hint="eastAsia"/>
                <w:color w:val="auto"/>
                <w:highlight w:val="none"/>
                <w:lang w:val="en-US"/>
              </w:rPr>
              <w:sym w:font="Wingdings 2" w:char="0052"/>
            </w:r>
            <w:r>
              <w:rPr>
                <w:rFonts w:hint="eastAsia"/>
                <w:color w:val="auto"/>
                <w:highlight w:val="none"/>
                <w:lang w:val="en-US"/>
              </w:rPr>
              <w:t>建设行政部门核发的建筑业企业资质证书；</w:t>
            </w:r>
          </w:p>
          <w:p>
            <w:pPr>
              <w:pStyle w:val="40"/>
              <w:adjustRightInd/>
              <w:spacing w:line="360" w:lineRule="auto"/>
              <w:ind w:right="34" w:rightChars="14"/>
              <w:jc w:val="both"/>
              <w:rPr>
                <w:color w:val="auto"/>
                <w:highlight w:val="none"/>
                <w:lang w:val="en-US"/>
              </w:rPr>
            </w:pPr>
            <w:r>
              <w:rPr>
                <w:rFonts w:hint="eastAsia"/>
                <w:color w:val="auto"/>
                <w:highlight w:val="none"/>
                <w:lang w:val="en-US"/>
              </w:rPr>
              <w:t>5.</w:t>
            </w:r>
            <w:r>
              <w:rPr>
                <w:rFonts w:hint="eastAsia"/>
                <w:color w:val="auto"/>
                <w:highlight w:val="none"/>
                <w:lang w:val="en-US"/>
              </w:rPr>
              <w:sym w:font="Wingdings 2" w:char="0052"/>
            </w:r>
            <w:r>
              <w:rPr>
                <w:rFonts w:hint="eastAsia"/>
                <w:color w:val="auto"/>
                <w:highlight w:val="none"/>
                <w:lang w:val="en-US"/>
              </w:rPr>
              <w:t>企业安全生产许可证；法定代表人、企业负责人、企业分管安全生产的副经理、企业技术负责人“三类人员”A类证书，企业分管安全生产的副经理、企业技术负责人的任命书。（联合体投标的，由联合体牵头人提供）；</w:t>
            </w:r>
          </w:p>
          <w:p>
            <w:pPr>
              <w:pStyle w:val="40"/>
              <w:adjustRightInd/>
              <w:spacing w:line="360" w:lineRule="auto"/>
              <w:ind w:right="34" w:rightChars="14"/>
              <w:jc w:val="both"/>
              <w:rPr>
                <w:color w:val="auto"/>
                <w:highlight w:val="none"/>
                <w:lang w:val="en-US"/>
              </w:rPr>
            </w:pPr>
            <w:r>
              <w:rPr>
                <w:rFonts w:hint="eastAsia"/>
                <w:color w:val="auto"/>
                <w:highlight w:val="none"/>
                <w:lang w:val="en-US"/>
              </w:rPr>
              <w:t>6.</w:t>
            </w:r>
            <w:r>
              <w:rPr>
                <w:rFonts w:hint="eastAsia"/>
                <w:color w:val="auto"/>
                <w:highlight w:val="none"/>
                <w:lang w:val="en-US"/>
              </w:rPr>
              <w:sym w:font="Wingdings 2" w:char="0052"/>
            </w:r>
            <w:r>
              <w:rPr>
                <w:rFonts w:hint="eastAsia"/>
                <w:color w:val="auto"/>
                <w:highlight w:val="none"/>
                <w:lang w:val="en-US"/>
              </w:rPr>
              <w:t>施工负责人“三类人员”B类证书（联合体投标的，施工负责人由联合体牵头人拟派）；</w:t>
            </w:r>
          </w:p>
          <w:p>
            <w:pPr>
              <w:pStyle w:val="40"/>
              <w:adjustRightInd/>
              <w:spacing w:line="360" w:lineRule="auto"/>
              <w:ind w:right="34" w:rightChars="14"/>
              <w:jc w:val="both"/>
              <w:rPr>
                <w:color w:val="auto"/>
                <w:highlight w:val="none"/>
                <w:lang w:val="en-US"/>
              </w:rPr>
            </w:pPr>
            <w:r>
              <w:rPr>
                <w:rFonts w:hint="eastAsia"/>
                <w:color w:val="auto"/>
                <w:highlight w:val="none"/>
                <w:lang w:val="en-US"/>
              </w:rPr>
              <w:t>7.</w:t>
            </w:r>
            <w:r>
              <w:rPr>
                <w:rFonts w:hint="eastAsia"/>
                <w:color w:val="auto"/>
                <w:highlight w:val="none"/>
                <w:lang w:val="en-US"/>
              </w:rPr>
              <w:sym w:font="Wingdings 2" w:char="0052"/>
            </w:r>
            <w:r>
              <w:rPr>
                <w:rFonts w:hint="eastAsia"/>
                <w:color w:val="auto"/>
                <w:highlight w:val="none"/>
                <w:lang w:val="en-US"/>
              </w:rPr>
              <w:t>拟派项目负责人、施工负责人、设计负责人的注册执业资格证书或专业技术职称证书（按招标公告要求提供）；</w:t>
            </w:r>
          </w:p>
          <w:p>
            <w:pPr>
              <w:pStyle w:val="40"/>
              <w:adjustRightInd/>
              <w:spacing w:line="360" w:lineRule="auto"/>
              <w:ind w:right="34" w:rightChars="14"/>
              <w:jc w:val="both"/>
              <w:rPr>
                <w:color w:val="auto"/>
                <w:highlight w:val="none"/>
                <w:lang w:val="en-US"/>
              </w:rPr>
            </w:pPr>
            <w:r>
              <w:rPr>
                <w:rFonts w:hint="eastAsia"/>
                <w:color w:val="auto"/>
                <w:highlight w:val="none"/>
                <w:lang w:val="en-US"/>
              </w:rPr>
              <w:t>8.投标承诺书；</w:t>
            </w:r>
          </w:p>
          <w:p>
            <w:pPr>
              <w:pStyle w:val="40"/>
              <w:adjustRightInd/>
              <w:spacing w:line="360" w:lineRule="auto"/>
              <w:ind w:right="34" w:rightChars="14"/>
              <w:jc w:val="both"/>
              <w:rPr>
                <w:color w:val="auto"/>
                <w:highlight w:val="none"/>
                <w:lang w:val="en-US"/>
              </w:rPr>
            </w:pPr>
            <w:r>
              <w:rPr>
                <w:rFonts w:hint="eastAsia"/>
                <w:color w:val="auto"/>
                <w:highlight w:val="none"/>
                <w:lang w:val="en-US"/>
              </w:rPr>
              <w:t>9.投标保证金</w:t>
            </w:r>
            <w:r>
              <w:rPr>
                <w:rFonts w:hint="eastAsia"/>
                <w:color w:val="auto"/>
                <w:highlight w:val="none"/>
                <w:lang w:val="en-US" w:eastAsia="zh-CN"/>
              </w:rPr>
              <w:t>交纳</w:t>
            </w:r>
            <w:r>
              <w:rPr>
                <w:rFonts w:hint="eastAsia"/>
                <w:color w:val="auto"/>
                <w:highlight w:val="none"/>
                <w:lang w:val="en-US"/>
              </w:rPr>
              <w:t>证明资料（银行转账记录或银行保函或投标保险保单或保证金联保证明或保证金</w:t>
            </w:r>
            <w:r>
              <w:rPr>
                <w:rFonts w:hint="eastAsia" w:ascii="宋体" w:hAnsi="宋体" w:cs="宋体"/>
                <w:color w:val="auto"/>
                <w:highlight w:val="none"/>
                <w:lang w:val="en-US" w:eastAsia="zh-CN"/>
              </w:rPr>
              <w:t>免交</w:t>
            </w:r>
            <w:r>
              <w:rPr>
                <w:rFonts w:hint="eastAsia"/>
                <w:color w:val="auto"/>
                <w:highlight w:val="none"/>
                <w:lang w:val="en-US"/>
              </w:rPr>
              <w:t>证明文件）。</w:t>
            </w:r>
          </w:p>
          <w:p>
            <w:pPr>
              <w:pStyle w:val="40"/>
              <w:adjustRightInd/>
              <w:spacing w:line="360" w:lineRule="auto"/>
              <w:ind w:right="34" w:rightChars="14"/>
              <w:jc w:val="both"/>
              <w:rPr>
                <w:rFonts w:hint="eastAsia"/>
                <w:color w:val="auto"/>
                <w:highlight w:val="none"/>
                <w:lang w:val="en-US"/>
              </w:rPr>
            </w:pPr>
            <w:r>
              <w:rPr>
                <w:rFonts w:hint="eastAsia"/>
                <w:color w:val="auto"/>
                <w:highlight w:val="none"/>
                <w:lang w:val="en-US"/>
              </w:rPr>
              <w:t>10.</w:t>
            </w:r>
            <w:r>
              <w:rPr>
                <w:rFonts w:hint="eastAsia"/>
                <w:color w:val="auto"/>
                <w:highlight w:val="none"/>
                <w:lang w:val="en-US"/>
              </w:rPr>
              <w:sym w:font="Wingdings 2" w:char="0052"/>
            </w:r>
            <w:r>
              <w:rPr>
                <w:rFonts w:hint="eastAsia"/>
                <w:color w:val="auto"/>
                <w:highlight w:val="none"/>
                <w:lang w:val="en-US"/>
              </w:rPr>
              <w:t>专职安全生产管理人员的“三类人员”C类证书（联合体投标的，由联合体牵头人提供）。</w:t>
            </w:r>
          </w:p>
          <w:p>
            <w:pPr>
              <w:pStyle w:val="40"/>
              <w:adjustRightInd/>
              <w:spacing w:line="360" w:lineRule="auto"/>
              <w:ind w:right="34" w:rightChars="14"/>
              <w:jc w:val="both"/>
              <w:rPr>
                <w:rFonts w:hint="eastAsia"/>
                <w:color w:val="auto"/>
                <w:highlight w:val="none"/>
                <w:lang w:val="en-US"/>
              </w:rPr>
            </w:pPr>
            <w:r>
              <w:rPr>
                <w:rFonts w:hint="eastAsia"/>
                <w:color w:val="auto"/>
                <w:highlight w:val="none"/>
                <w:lang w:val="en-US"/>
              </w:rPr>
              <w:t>11.投标人廉洁守信承诺书。</w:t>
            </w:r>
          </w:p>
          <w:p>
            <w:pPr>
              <w:pStyle w:val="40"/>
              <w:adjustRightInd/>
              <w:spacing w:line="360" w:lineRule="auto"/>
              <w:ind w:right="34" w:rightChars="14"/>
              <w:jc w:val="both"/>
              <w:rPr>
                <w:rFonts w:hint="eastAsia"/>
                <w:color w:val="auto"/>
                <w:highlight w:val="none"/>
                <w:lang w:val="en-US"/>
              </w:rPr>
            </w:pPr>
            <w:r>
              <w:rPr>
                <w:rFonts w:hint="eastAsia"/>
                <w:color w:val="auto"/>
                <w:highlight w:val="none"/>
                <w:lang w:val="en-US"/>
              </w:rPr>
              <w:t>12.投标声明书。</w:t>
            </w:r>
          </w:p>
          <w:p>
            <w:pPr>
              <w:pStyle w:val="40"/>
              <w:adjustRightInd/>
              <w:spacing w:line="360" w:lineRule="auto"/>
              <w:ind w:right="34" w:rightChars="14"/>
              <w:jc w:val="both"/>
              <w:rPr>
                <w:rFonts w:hint="eastAsia"/>
                <w:color w:val="auto"/>
                <w:highlight w:val="none"/>
                <w:lang w:val="en-US"/>
              </w:rPr>
            </w:pPr>
            <w:r>
              <w:rPr>
                <w:rFonts w:hint="eastAsia"/>
                <w:color w:val="auto"/>
                <w:highlight w:val="none"/>
                <w:lang w:val="en-US"/>
              </w:rPr>
              <w:t>13.项目管理机构配备情况表</w:t>
            </w:r>
          </w:p>
          <w:p>
            <w:pPr>
              <w:pStyle w:val="40"/>
              <w:adjustRightInd/>
              <w:spacing w:line="360" w:lineRule="auto"/>
              <w:ind w:right="34" w:rightChars="14"/>
              <w:jc w:val="both"/>
              <w:rPr>
                <w:rFonts w:hint="default" w:eastAsia="宋体"/>
                <w:color w:val="auto"/>
                <w:highlight w:val="none"/>
                <w:lang w:val="en-US" w:eastAsia="zh-CN"/>
              </w:rPr>
            </w:pPr>
            <w:r>
              <w:rPr>
                <w:rFonts w:hint="eastAsia"/>
                <w:color w:val="auto"/>
                <w:highlight w:val="none"/>
                <w:lang w:val="en-US" w:eastAsia="zh-CN"/>
              </w:rPr>
              <w:t>14.企业业绩</w:t>
            </w:r>
            <w:r>
              <w:rPr>
                <w:rFonts w:hint="eastAsia"/>
                <w:color w:val="auto"/>
                <w:highlight w:val="none"/>
                <w:lang w:val="en-US"/>
              </w:rPr>
              <w:t>（按招标公告要求提供）</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说明：（1）项目管理机构须按下列要求进行配备（包括但不限于以下人员）：</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项目负责人（即工程总承包项目经理）1人</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联合体投标的，注册在联合体牵头人单位）</w:t>
            </w:r>
            <w:r>
              <w:rPr>
                <w:rFonts w:hint="eastAsia" w:ascii="宋体" w:hAnsi="宋体"/>
                <w:b/>
                <w:color w:val="auto"/>
                <w:szCs w:val="21"/>
                <w:highlight w:val="none"/>
              </w:rPr>
              <w:t>，设计负责人1人，施</w:t>
            </w:r>
            <w:bookmarkStart w:id="303" w:name="_GoBack"/>
            <w:bookmarkEnd w:id="303"/>
            <w:r>
              <w:rPr>
                <w:rFonts w:hint="eastAsia" w:ascii="宋体" w:hAnsi="宋体"/>
                <w:b/>
                <w:color w:val="auto"/>
                <w:szCs w:val="21"/>
                <w:highlight w:val="none"/>
              </w:rPr>
              <w:t>工负责人1人，施工技术负责人1人，建筑设计负责人1人，结构设计负责人1人，给排水设计负责人1人，电气设计负责人（供配电）1人，暖通设计负责人1人，安全负责人1人，土木工程师负责人1人，采购负责人1人，造价负责人1人，施工员不少于3人，质量员（质检员）不少于1人，材料员不少于1人，资料员不少于1人，专职安全生产管理人员不少于3人。</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注：除项目负责人在符合招标要求的前提下可兼任施工负责人外，其余上述人员均一人一岗，不得兼任。本工程拒绝企业法定代表人或企业负责人或技术负责人作为施工负责人参加投标，如确需参加投标的，须经招标人同意，提供招标人书面同意证明材料。</w:t>
            </w:r>
          </w:p>
          <w:p>
            <w:pPr>
              <w:spacing w:line="400" w:lineRule="exact"/>
              <w:rPr>
                <w:rFonts w:hint="eastAsia" w:ascii="宋体" w:hAnsi="宋体" w:cs="宋体"/>
                <w:color w:val="auto"/>
                <w:szCs w:val="21"/>
                <w:highlight w:val="none"/>
              </w:rPr>
            </w:pPr>
            <w:r>
              <w:rPr>
                <w:rFonts w:hint="eastAsia" w:ascii="宋体" w:hAnsi="宋体"/>
                <w:b/>
                <w:color w:val="auto"/>
                <w:szCs w:val="21"/>
                <w:highlight w:val="none"/>
              </w:rPr>
              <w:t>（2）</w:t>
            </w:r>
            <w:r>
              <w:rPr>
                <w:rFonts w:hint="eastAsia" w:ascii="宋体" w:hAnsi="宋体" w:cs="宋体"/>
                <w:color w:val="auto"/>
                <w:szCs w:val="21"/>
                <w:highlight w:val="none"/>
              </w:rPr>
              <w:t>项目管理机构主要人员任职条件</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1)、项目负责人、设计负责人、施工负责人：详见招标公告；</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2)、施工技术负责人：工程类高级</w:t>
            </w:r>
            <w:r>
              <w:rPr>
                <w:rFonts w:hint="eastAsia" w:ascii="宋体" w:hAnsi="宋体"/>
                <w:b/>
                <w:color w:val="auto"/>
                <w:szCs w:val="21"/>
                <w:highlight w:val="none"/>
                <w:lang w:val="en-US" w:eastAsia="zh-CN"/>
              </w:rPr>
              <w:t>工程师</w:t>
            </w:r>
            <w:r>
              <w:rPr>
                <w:rFonts w:hint="eastAsia" w:ascii="宋体" w:hAnsi="宋体"/>
                <w:b/>
                <w:color w:val="auto"/>
                <w:szCs w:val="21"/>
                <w:highlight w:val="none"/>
              </w:rPr>
              <w:t>及以上技术职称（联合体投标的，注册在联合体牵头人单位）；</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3)、建筑设计负责人：一级注册建筑师（联合体投标的,注册在设计单位）；</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4)、结构设计负责人：一级注册结构工程师（联合体投标的,注册在设计单位）；</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5)、给排水设计负责人：注册公用设备工程师（给水排水）（联合体投标的,注册在设计单位）；</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6）、电气设计负责人（供配电）：注册电气工程师（联合体投标的,注册在设计单位）；</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7)、暖通设计负责人：注册公用设备工程师（暖通空调）（联合体投标的,注册在设计单位）；</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8)、土木工程师：注册土木工程师（岩土）执业资格（联合体投标的,注册在设计单位）；</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9)、安全负责人：注册安全工程师（联合体投标的，注册在联合体牵头人单位）；</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1</w:t>
            </w:r>
            <w:r>
              <w:rPr>
                <w:rFonts w:hint="eastAsia" w:ascii="宋体" w:hAnsi="宋体"/>
                <w:b/>
                <w:color w:val="auto"/>
                <w:szCs w:val="21"/>
                <w:highlight w:val="none"/>
                <w:lang w:val="en-US" w:eastAsia="zh-CN"/>
              </w:rPr>
              <w:t>0</w:t>
            </w:r>
            <w:r>
              <w:rPr>
                <w:rFonts w:hint="eastAsia" w:ascii="宋体" w:hAnsi="宋体"/>
                <w:b/>
                <w:color w:val="auto"/>
                <w:szCs w:val="21"/>
                <w:highlight w:val="none"/>
              </w:rPr>
              <w:t>)、采购负责人：工程类中级及以上技术职称；</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1</w:t>
            </w:r>
            <w:r>
              <w:rPr>
                <w:rFonts w:hint="eastAsia" w:ascii="宋体" w:hAnsi="宋体"/>
                <w:b/>
                <w:color w:val="auto"/>
                <w:szCs w:val="21"/>
                <w:highlight w:val="none"/>
                <w:lang w:val="en-US" w:eastAsia="zh-CN"/>
              </w:rPr>
              <w:t>1</w:t>
            </w:r>
            <w:r>
              <w:rPr>
                <w:rFonts w:hint="eastAsia" w:ascii="宋体" w:hAnsi="宋体"/>
                <w:b/>
                <w:color w:val="auto"/>
                <w:szCs w:val="21"/>
                <w:highlight w:val="none"/>
              </w:rPr>
              <w:t>)、造价负责人:一级注册造价工程师（注册在投标人单位；联合体投标的，注册在联合体牵头人单位）；</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1</w:t>
            </w:r>
            <w:r>
              <w:rPr>
                <w:rFonts w:hint="eastAsia" w:ascii="宋体" w:hAnsi="宋体"/>
                <w:b/>
                <w:color w:val="auto"/>
                <w:szCs w:val="21"/>
                <w:highlight w:val="none"/>
                <w:lang w:val="en-US" w:eastAsia="zh-CN"/>
              </w:rPr>
              <w:t>2</w:t>
            </w:r>
            <w:r>
              <w:rPr>
                <w:rFonts w:hint="eastAsia" w:ascii="宋体" w:hAnsi="宋体"/>
                <w:b/>
                <w:color w:val="auto"/>
                <w:szCs w:val="21"/>
                <w:highlight w:val="none"/>
              </w:rPr>
              <w:t>)、专职安全生产管理人员：具备有效安全生产考核C证 。</w:t>
            </w:r>
          </w:p>
          <w:p>
            <w:pPr>
              <w:spacing w:line="400" w:lineRule="exact"/>
              <w:rPr>
                <w:rFonts w:hint="eastAsia" w:ascii="宋体" w:hAnsi="宋体"/>
                <w:b/>
                <w:color w:val="auto"/>
                <w:szCs w:val="21"/>
                <w:highlight w:val="none"/>
              </w:rPr>
            </w:pPr>
            <w:r>
              <w:rPr>
                <w:rFonts w:hint="eastAsia" w:ascii="宋体" w:hAnsi="宋体"/>
                <w:b/>
                <w:color w:val="auto"/>
                <w:szCs w:val="21"/>
                <w:highlight w:val="none"/>
              </w:rPr>
              <w:t>注：以上人员必须满足相应的任职条件，不满足的作无效标处理。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3.6</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是否允许递交备选投标方案</w:t>
            </w:r>
          </w:p>
        </w:tc>
        <w:tc>
          <w:tcPr>
            <w:tcW w:w="5954" w:type="dxa"/>
            <w:noWrap w:val="0"/>
            <w:vAlign w:val="center"/>
          </w:tcPr>
          <w:p>
            <w:pPr>
              <w:pStyle w:val="40"/>
              <w:adjustRightInd/>
              <w:spacing w:line="360" w:lineRule="auto"/>
              <w:ind w:left="108" w:right="34" w:rightChars="14"/>
              <w:jc w:val="both"/>
              <w:rPr>
                <w:color w:val="auto"/>
                <w:highlight w:val="none"/>
              </w:rPr>
            </w:pPr>
            <w:r>
              <w:rPr>
                <w:rFonts w:hint="eastAsia"/>
                <w:color w:val="auto"/>
                <w:highlight w:val="none"/>
              </w:rPr>
              <w:sym w:font="Wingdings 2" w:char="0052"/>
            </w:r>
            <w:r>
              <w:rPr>
                <w:rFonts w:hint="eastAsia"/>
                <w:color w:val="auto"/>
                <w:highlight w:val="none"/>
              </w:rPr>
              <w:t>不允许</w:t>
            </w:r>
          </w:p>
          <w:p>
            <w:pPr>
              <w:pStyle w:val="40"/>
              <w:adjustRightInd/>
              <w:spacing w:line="360" w:lineRule="auto"/>
              <w:ind w:left="108" w:right="34" w:rightChars="14"/>
              <w:jc w:val="both"/>
              <w:rPr>
                <w:color w:val="auto"/>
                <w:highlight w:val="none"/>
              </w:rPr>
            </w:pPr>
            <w:r>
              <w:rPr>
                <w:rFonts w:hint="eastAsia"/>
                <w:color w:val="auto"/>
                <w:highlight w:val="none"/>
              </w:rPr>
              <w:t>□允许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tcBorders>
              <w:bottom w:val="single" w:color="000000" w:sz="8" w:space="0"/>
            </w:tcBorders>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3.7.3</w:t>
            </w:r>
          </w:p>
        </w:tc>
        <w:tc>
          <w:tcPr>
            <w:tcW w:w="1768" w:type="dxa"/>
            <w:tcBorders>
              <w:bottom w:val="single" w:color="000000" w:sz="8" w:space="0"/>
            </w:tcBorders>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电子投标文件盖章要求</w:t>
            </w:r>
          </w:p>
        </w:tc>
        <w:tc>
          <w:tcPr>
            <w:tcW w:w="5954" w:type="dxa"/>
            <w:tcBorders>
              <w:bottom w:val="single" w:color="000000" w:sz="8" w:space="0"/>
            </w:tcBorders>
            <w:noWrap w:val="0"/>
            <w:vAlign w:val="top"/>
          </w:tcPr>
          <w:p>
            <w:pPr>
              <w:pStyle w:val="40"/>
              <w:adjustRightInd/>
              <w:spacing w:line="360" w:lineRule="auto"/>
              <w:jc w:val="both"/>
              <w:rPr>
                <w:color w:val="auto"/>
                <w:highlight w:val="none"/>
                <w:lang w:val="en-US"/>
              </w:rPr>
            </w:pPr>
            <w:r>
              <w:rPr>
                <w:rFonts w:hint="eastAsia"/>
                <w:color w:val="auto"/>
                <w:highlight w:val="none"/>
              </w:rPr>
              <w:t>1.投标文件格式文件要求投标人盖章、法定代表人印章的地方，投标人均应使用CA数字证书加盖投标人的单位电子印章、法定代表人个人电子印章。联合体投标的，除联合体协议书格式之外的仅由联合体牵头人加盖单位电子印章、法定代表人个人电子印章即可</w:t>
            </w:r>
            <w:r>
              <w:rPr>
                <w:rFonts w:hint="eastAsia"/>
                <w:color w:val="auto"/>
                <w:highlight w:val="none"/>
                <w:lang w:val="en-US"/>
              </w:rPr>
              <w:t>；</w:t>
            </w:r>
          </w:p>
          <w:p>
            <w:pPr>
              <w:pStyle w:val="40"/>
              <w:adjustRightInd/>
              <w:spacing w:line="360" w:lineRule="auto"/>
              <w:ind w:right="178" w:rightChars="74" w:firstLine="31" w:firstLineChars="13"/>
              <w:rPr>
                <w:color w:val="auto"/>
                <w:highlight w:val="none"/>
                <w:lang w:val="en-US"/>
              </w:rPr>
            </w:pPr>
            <w:r>
              <w:rPr>
                <w:rFonts w:hint="eastAsia"/>
                <w:color w:val="auto"/>
                <w:highlight w:val="none"/>
              </w:rPr>
              <w:t>2.投标文件所附证书证件、业绩证明文件、投标保证金等证明材料用原件扫描件并加盖投标单位电子印章；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tcBorders>
              <w:bottom w:val="single" w:color="000000" w:sz="8" w:space="0"/>
            </w:tcBorders>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3.7.4</w:t>
            </w:r>
          </w:p>
        </w:tc>
        <w:tc>
          <w:tcPr>
            <w:tcW w:w="1768" w:type="dxa"/>
            <w:tcBorders>
              <w:bottom w:val="single" w:color="000000" w:sz="8" w:space="0"/>
            </w:tcBorders>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投标文件份数</w:t>
            </w:r>
          </w:p>
        </w:tc>
        <w:tc>
          <w:tcPr>
            <w:tcW w:w="5954" w:type="dxa"/>
            <w:tcBorders>
              <w:bottom w:val="single" w:color="000000" w:sz="8" w:space="0"/>
            </w:tcBorders>
            <w:noWrap w:val="0"/>
            <w:vAlign w:val="center"/>
          </w:tcPr>
          <w:p>
            <w:pPr>
              <w:numPr>
                <w:ilvl w:val="0"/>
                <w:numId w:val="0"/>
              </w:numPr>
              <w:rPr>
                <w:color w:val="auto"/>
                <w:highlight w:val="none"/>
              </w:rPr>
            </w:pPr>
            <w:r>
              <w:rPr>
                <w:rFonts w:hint="eastAsia"/>
                <w:color w:val="auto"/>
                <w:highlight w:val="none"/>
                <w:lang w:val="en-US"/>
              </w:rPr>
              <w:t>电子加密投标文件一份</w:t>
            </w:r>
            <w:r>
              <w:rPr>
                <w:rFonts w:hint="eastAsia"/>
                <w:color w:val="auto"/>
                <w:highlight w:val="none"/>
              </w:rPr>
              <w:t>。</w:t>
            </w:r>
          </w:p>
          <w:p>
            <w:pPr>
              <w:numPr>
                <w:ilvl w:val="0"/>
                <w:numId w:val="0"/>
              </w:numPr>
              <w:rPr>
                <w:color w:val="auto"/>
                <w:highlight w:val="none"/>
              </w:rPr>
            </w:pPr>
            <w:r>
              <w:rPr>
                <w:rFonts w:hint="eastAsia"/>
                <w:color w:val="auto"/>
                <w:highlight w:val="none"/>
              </w:rPr>
              <w:t>其他：</w:t>
            </w:r>
            <w:r>
              <w:rPr>
                <w:rFonts w:hint="eastAsia"/>
                <w:color w:val="auto"/>
                <w:highlight w:val="none"/>
                <w:u w:val="single"/>
                <w:lang w:val="en-US"/>
              </w:rPr>
              <w:t xml:space="preserve"> </w:t>
            </w:r>
            <w:r>
              <w:rPr>
                <w:rFonts w:hint="eastAsia"/>
                <w:color w:val="auto"/>
                <w:highlight w:val="none"/>
                <w:u w:val="single"/>
                <w:lang w:val="en-US" w:eastAsia="zh-CN"/>
              </w:rPr>
              <w:t>（1）</w:t>
            </w:r>
            <w:r>
              <w:rPr>
                <w:rFonts w:hint="eastAsia"/>
                <w:color w:val="auto"/>
                <w:highlight w:val="none"/>
                <w:u w:val="single"/>
                <w:lang w:val="en-US"/>
              </w:rPr>
              <w:t xml:space="preserve"> 中标单位在合同签订前向发包人提供纸质投标文件陆份</w:t>
            </w:r>
          </w:p>
          <w:p>
            <w:pPr>
              <w:numPr>
                <w:ilvl w:val="0"/>
                <w:numId w:val="0"/>
              </w:numPr>
              <w:rPr>
                <w:rFonts w:hint="eastAsia" w:ascii="宋体" w:hAnsi="宋体" w:eastAsia="宋体" w:cs="宋体"/>
                <w:i w:val="0"/>
                <w:iCs w:val="0"/>
                <w:color w:val="auto"/>
                <w:sz w:val="24"/>
                <w:szCs w:val="24"/>
                <w:highlight w:val="none"/>
                <w:u w:val="single"/>
                <w:lang w:val="en-US"/>
              </w:rPr>
            </w:pPr>
            <w:r>
              <w:rPr>
                <w:rFonts w:hint="eastAsia" w:ascii="宋体" w:hAnsi="宋体" w:eastAsia="宋体" w:cs="宋体"/>
                <w:i w:val="0"/>
                <w:iCs w:val="0"/>
                <w:color w:val="auto"/>
                <w:sz w:val="24"/>
                <w:szCs w:val="24"/>
                <w:highlight w:val="none"/>
                <w:u w:val="single"/>
                <w:lang w:val="en-US" w:eastAsia="zh-CN"/>
              </w:rPr>
              <w:t>（2）</w:t>
            </w:r>
            <w:r>
              <w:rPr>
                <w:rFonts w:hint="eastAsia" w:ascii="宋体" w:hAnsi="宋体" w:eastAsia="宋体" w:cs="宋体"/>
                <w:i w:val="0"/>
                <w:iCs w:val="0"/>
                <w:color w:val="auto"/>
                <w:sz w:val="24"/>
                <w:szCs w:val="24"/>
                <w:highlight w:val="none"/>
                <w:u w:val="single"/>
                <w:lang w:val="en-US"/>
              </w:rPr>
              <w:t>投标人编制的CA加密电子投标文件，必须是使用新点投标文件制作软件最新版（系统自带更新系统）生成的后缀名为“.HZTF”的CA加密电子投标文件。未按上述要求加密和数字证书认证的投标文件，将被视为无效投标文件。</w:t>
            </w:r>
          </w:p>
          <w:p>
            <w:pPr>
              <w:numPr>
                <w:ilvl w:val="0"/>
                <w:numId w:val="0"/>
              </w:numPr>
              <w:rPr>
                <w:color w:val="auto"/>
                <w:highlight w:val="none"/>
              </w:rPr>
            </w:pPr>
            <w:r>
              <w:rPr>
                <w:rFonts w:hint="eastAsia" w:ascii="宋体" w:hAnsi="宋体" w:eastAsia="宋体"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lang w:val="en-US"/>
              </w:rPr>
              <w:t>注册及标书制作工具：注册及标书制作工具相关下载地址：</w:t>
            </w:r>
            <w:r>
              <w:rPr>
                <w:rFonts w:hint="eastAsia" w:ascii="宋体" w:hAnsi="宋体" w:eastAsia="宋体" w:cs="宋体"/>
                <w:i w:val="0"/>
                <w:iCs w:val="0"/>
                <w:color w:val="auto"/>
                <w:sz w:val="24"/>
                <w:szCs w:val="24"/>
                <w:highlight w:val="none"/>
                <w:u w:val="single"/>
                <w:lang w:val="en-US"/>
              </w:rPr>
              <w:fldChar w:fldCharType="begin"/>
            </w:r>
            <w:r>
              <w:rPr>
                <w:rFonts w:hint="eastAsia" w:ascii="宋体" w:hAnsi="宋体" w:eastAsia="宋体" w:cs="宋体"/>
                <w:i w:val="0"/>
                <w:iCs w:val="0"/>
                <w:color w:val="auto"/>
                <w:sz w:val="24"/>
                <w:szCs w:val="24"/>
                <w:highlight w:val="none"/>
                <w:u w:val="single"/>
                <w:lang w:val="en-US"/>
              </w:rPr>
              <w:instrText xml:space="preserve"> HYPERLINK "http://ggzy.huzhou.gov.cn/HZfront/zlxz_HuZhou/010008/" </w:instrText>
            </w:r>
            <w:r>
              <w:rPr>
                <w:rFonts w:hint="eastAsia" w:ascii="宋体" w:hAnsi="宋体" w:eastAsia="宋体" w:cs="宋体"/>
                <w:i w:val="0"/>
                <w:iCs w:val="0"/>
                <w:color w:val="auto"/>
                <w:sz w:val="24"/>
                <w:szCs w:val="24"/>
                <w:highlight w:val="none"/>
                <w:u w:val="single"/>
                <w:lang w:val="en-US"/>
              </w:rPr>
              <w:fldChar w:fldCharType="separate"/>
            </w:r>
            <w:r>
              <w:rPr>
                <w:rStyle w:val="23"/>
                <w:rFonts w:hint="eastAsia" w:ascii="宋体" w:hAnsi="宋体" w:eastAsia="宋体" w:cs="宋体"/>
                <w:i w:val="0"/>
                <w:iCs w:val="0"/>
                <w:color w:val="auto"/>
                <w:sz w:val="24"/>
                <w:szCs w:val="24"/>
                <w:highlight w:val="none"/>
                <w:lang w:val="en-US"/>
              </w:rPr>
              <w:t>http://ggzy.huzhou.gov.cn/HZfront/zlxz_HuZhou/010008/</w:t>
            </w:r>
            <w:r>
              <w:rPr>
                <w:rFonts w:hint="eastAsia" w:ascii="宋体" w:hAnsi="宋体" w:eastAsia="宋体" w:cs="宋体"/>
                <w:i w:val="0"/>
                <w:iCs w:val="0"/>
                <w:color w:val="auto"/>
                <w:sz w:val="24"/>
                <w:szCs w:val="24"/>
                <w:highlight w:val="none"/>
                <w:u w:val="single"/>
                <w:lang w:val="en-US"/>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988" w:type="dxa"/>
            <w:noWrap w:val="0"/>
            <w:vAlign w:val="center"/>
          </w:tcPr>
          <w:p>
            <w:pPr>
              <w:pStyle w:val="40"/>
              <w:kinsoku w:val="0"/>
              <w:overflowPunct w:val="0"/>
              <w:spacing w:before="107" w:line="360" w:lineRule="auto"/>
              <w:ind w:left="103"/>
              <w:jc w:val="center"/>
              <w:rPr>
                <w:color w:val="auto"/>
                <w:highlight w:val="none"/>
              </w:rPr>
            </w:pPr>
            <w:r>
              <w:rPr>
                <w:color w:val="auto"/>
                <w:highlight w:val="none"/>
              </w:rPr>
              <w:t>4.2.2</w:t>
            </w:r>
          </w:p>
          <w:p>
            <w:pPr>
              <w:pStyle w:val="40"/>
              <w:kinsoku w:val="0"/>
              <w:overflowPunct w:val="0"/>
              <w:spacing w:before="107" w:line="360" w:lineRule="auto"/>
              <w:ind w:left="103"/>
              <w:jc w:val="center"/>
              <w:rPr>
                <w:color w:val="auto"/>
                <w:highlight w:val="none"/>
              </w:rPr>
            </w:pPr>
          </w:p>
        </w:tc>
        <w:tc>
          <w:tcPr>
            <w:tcW w:w="1768" w:type="dxa"/>
            <w:noWrap w:val="0"/>
            <w:vAlign w:val="center"/>
          </w:tcPr>
          <w:p>
            <w:pPr>
              <w:pStyle w:val="40"/>
              <w:kinsoku w:val="0"/>
              <w:overflowPunct w:val="0"/>
              <w:spacing w:before="107" w:line="360" w:lineRule="auto"/>
              <w:jc w:val="center"/>
              <w:rPr>
                <w:color w:val="auto"/>
                <w:highlight w:val="none"/>
              </w:rPr>
            </w:pPr>
            <w:r>
              <w:rPr>
                <w:rFonts w:hint="eastAsia"/>
                <w:color w:val="auto"/>
                <w:highlight w:val="none"/>
              </w:rPr>
              <w:t>电子投标文件上传平台</w:t>
            </w:r>
          </w:p>
        </w:tc>
        <w:tc>
          <w:tcPr>
            <w:tcW w:w="5954" w:type="dxa"/>
            <w:noWrap w:val="0"/>
            <w:vAlign w:val="center"/>
          </w:tcPr>
          <w:p>
            <w:pPr>
              <w:spacing w:line="360" w:lineRule="auto"/>
              <w:jc w:val="both"/>
              <w:rPr>
                <w:rFonts w:ascii="宋体" w:hAnsi="宋体" w:cs="宋体"/>
                <w:color w:val="auto"/>
                <w:highlight w:val="none"/>
              </w:rPr>
            </w:pPr>
            <w:r>
              <w:rPr>
                <w:rFonts w:hint="eastAsia" w:ascii="宋体" w:hAnsi="宋体" w:cs="宋体"/>
                <w:bCs/>
                <w:color w:val="auto"/>
                <w:szCs w:val="21"/>
                <w:highlight w:val="none"/>
              </w:rPr>
              <w:t>登录湖州市公共资源交易系统上传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top"/>
          </w:tcPr>
          <w:p>
            <w:pPr>
              <w:pStyle w:val="40"/>
              <w:kinsoku w:val="0"/>
              <w:overflowPunct w:val="0"/>
              <w:spacing w:before="3" w:line="360" w:lineRule="auto"/>
              <w:rPr>
                <w:color w:val="auto"/>
                <w:highlight w:val="none"/>
              </w:rPr>
            </w:pPr>
          </w:p>
          <w:p>
            <w:pPr>
              <w:pStyle w:val="40"/>
              <w:kinsoku w:val="0"/>
              <w:overflowPunct w:val="0"/>
              <w:spacing w:line="360" w:lineRule="auto"/>
              <w:rPr>
                <w:color w:val="auto"/>
                <w:highlight w:val="none"/>
              </w:rPr>
            </w:pPr>
            <w:r>
              <w:rPr>
                <w:color w:val="auto"/>
                <w:highlight w:val="none"/>
              </w:rPr>
              <w:t>4.2.3</w:t>
            </w:r>
          </w:p>
        </w:tc>
        <w:tc>
          <w:tcPr>
            <w:tcW w:w="1768" w:type="dxa"/>
            <w:noWrap w:val="0"/>
            <w:vAlign w:val="center"/>
          </w:tcPr>
          <w:p>
            <w:pPr>
              <w:pStyle w:val="40"/>
              <w:kinsoku w:val="0"/>
              <w:overflowPunct w:val="0"/>
              <w:spacing w:line="360" w:lineRule="auto"/>
              <w:jc w:val="center"/>
              <w:rPr>
                <w:color w:val="auto"/>
                <w:highlight w:val="none"/>
              </w:rPr>
            </w:pPr>
            <w:r>
              <w:rPr>
                <w:rFonts w:hint="eastAsia"/>
                <w:color w:val="auto"/>
                <w:highlight w:val="none"/>
              </w:rPr>
              <w:t>投标文件</w:t>
            </w:r>
          </w:p>
          <w:p>
            <w:pPr>
              <w:pStyle w:val="40"/>
              <w:kinsoku w:val="0"/>
              <w:overflowPunct w:val="0"/>
              <w:spacing w:line="360" w:lineRule="auto"/>
              <w:jc w:val="center"/>
              <w:rPr>
                <w:color w:val="auto"/>
                <w:highlight w:val="none"/>
              </w:rPr>
            </w:pPr>
            <w:r>
              <w:rPr>
                <w:rFonts w:hint="eastAsia"/>
                <w:color w:val="auto"/>
                <w:highlight w:val="none"/>
              </w:rPr>
              <w:t>是否退还</w:t>
            </w:r>
          </w:p>
        </w:tc>
        <w:tc>
          <w:tcPr>
            <w:tcW w:w="5954" w:type="dxa"/>
            <w:noWrap w:val="0"/>
            <w:vAlign w:val="center"/>
          </w:tcPr>
          <w:p>
            <w:pPr>
              <w:adjustRightInd/>
              <w:spacing w:line="360" w:lineRule="auto"/>
              <w:jc w:val="both"/>
              <w:rPr>
                <w:rFonts w:ascii="宋体" w:hAnsi="宋体" w:cs="宋体"/>
                <w:color w:val="auto"/>
                <w:highlight w:val="none"/>
              </w:rPr>
            </w:pPr>
            <w:r>
              <w:rPr>
                <w:rFonts w:hint="eastAsia" w:ascii="宋体" w:hAnsi="宋体" w:cs="宋体"/>
                <w:color w:val="auto"/>
                <w:highlight w:val="none"/>
              </w:rPr>
              <w:t>投标截止时间止，存在以下情形之一的不予开标，投标文件退还：</w:t>
            </w:r>
          </w:p>
          <w:p>
            <w:pPr>
              <w:adjustRightInd/>
              <w:spacing w:line="360" w:lineRule="auto"/>
              <w:jc w:val="both"/>
              <w:rPr>
                <w:rFonts w:ascii="宋体" w:hAnsi="宋体" w:cs="宋体"/>
                <w:color w:val="auto"/>
                <w:highlight w:val="none"/>
              </w:rPr>
            </w:pPr>
            <w:r>
              <w:rPr>
                <w:rFonts w:hint="eastAsia" w:ascii="宋体" w:hAnsi="宋体" w:cs="宋体"/>
                <w:color w:val="auto"/>
                <w:highlight w:val="none"/>
              </w:rPr>
              <w:t>1.递交投标文件的投标人少于3个的；</w:t>
            </w:r>
          </w:p>
          <w:p>
            <w:pPr>
              <w:spacing w:line="360" w:lineRule="auto"/>
              <w:jc w:val="both"/>
              <w:rPr>
                <w:rFonts w:ascii="宋体" w:hAnsi="宋体" w:cs="宋体"/>
                <w:color w:val="auto"/>
                <w:highlight w:val="none"/>
              </w:rPr>
            </w:pPr>
            <w:r>
              <w:rPr>
                <w:rFonts w:hint="eastAsia" w:ascii="宋体" w:hAnsi="宋体" w:cs="宋体"/>
                <w:color w:val="auto"/>
                <w:highlight w:val="none"/>
              </w:rPr>
              <w:t>2.其他：</w:t>
            </w:r>
            <w:r>
              <w:rPr>
                <w:rFonts w:hint="eastAsia" w:ascii="宋体" w:hAnsi="宋体" w:cs="宋体"/>
                <w:color w:val="auto"/>
                <w:highlight w:val="none"/>
                <w:u w:val="single"/>
              </w:rPr>
              <w:t xml:space="preserve">                </w:t>
            </w:r>
            <w:r>
              <w:rPr>
                <w:rFonts w:hint="eastAsia" w:ascii="宋体" w:hAnsi="宋体" w:cs="宋体"/>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kinsoku w:val="0"/>
              <w:overflowPunct w:val="0"/>
              <w:spacing w:before="3" w:line="360" w:lineRule="exact"/>
              <w:jc w:val="center"/>
              <w:rPr>
                <w:color w:val="auto"/>
                <w:highlight w:val="none"/>
              </w:rPr>
            </w:pPr>
            <w:r>
              <w:rPr>
                <w:rFonts w:hint="eastAsia"/>
                <w:color w:val="auto"/>
                <w:highlight w:val="none"/>
              </w:rPr>
              <w:t>4</w:t>
            </w:r>
            <w:r>
              <w:rPr>
                <w:color w:val="auto"/>
                <w:highlight w:val="none"/>
              </w:rPr>
              <w:t>.2.5</w:t>
            </w:r>
          </w:p>
        </w:tc>
        <w:tc>
          <w:tcPr>
            <w:tcW w:w="1768" w:type="dxa"/>
            <w:noWrap w:val="0"/>
            <w:vAlign w:val="center"/>
          </w:tcPr>
          <w:p>
            <w:pPr>
              <w:spacing w:line="360" w:lineRule="exact"/>
              <w:jc w:val="center"/>
              <w:rPr>
                <w:color w:val="auto"/>
                <w:highlight w:val="none"/>
              </w:rPr>
            </w:pPr>
            <w:r>
              <w:rPr>
                <w:rFonts w:hint="eastAsia"/>
                <w:color w:val="auto"/>
                <w:highlight w:val="none"/>
              </w:rPr>
              <w:t>投标文件的</w:t>
            </w:r>
          </w:p>
          <w:p>
            <w:pPr>
              <w:spacing w:line="360" w:lineRule="exact"/>
              <w:jc w:val="center"/>
              <w:rPr>
                <w:rFonts w:ascii="宋体" w:hAnsi="宋体" w:cs="宋体"/>
                <w:color w:val="auto"/>
                <w:highlight w:val="none"/>
              </w:rPr>
            </w:pPr>
            <w:r>
              <w:rPr>
                <w:rFonts w:hint="eastAsia"/>
                <w:color w:val="auto"/>
                <w:highlight w:val="none"/>
              </w:rPr>
              <w:t>拒收情形</w:t>
            </w:r>
          </w:p>
        </w:tc>
        <w:tc>
          <w:tcPr>
            <w:tcW w:w="5954" w:type="dxa"/>
            <w:noWrap w:val="0"/>
            <w:vAlign w:val="center"/>
          </w:tcPr>
          <w:p>
            <w:pPr>
              <w:snapToGrid w:val="0"/>
              <w:spacing w:line="300" w:lineRule="auto"/>
              <w:jc w:val="both"/>
              <w:rPr>
                <w:rFonts w:ascii="宋体" w:hAnsi="宋体" w:cs="宋体"/>
                <w:color w:val="auto"/>
                <w:highlight w:val="none"/>
              </w:rPr>
            </w:pPr>
            <w:r>
              <w:rPr>
                <w:rFonts w:hint="eastAsia" w:ascii="宋体" w:hAnsi="宋体" w:cs="宋体"/>
                <w:color w:val="auto"/>
                <w:highlight w:val="none"/>
              </w:rPr>
              <w:t>1.投标截止时间后送达（上传）的投标文件、未按招标文件要求上传的；</w:t>
            </w:r>
          </w:p>
          <w:p>
            <w:pPr>
              <w:snapToGrid w:val="0"/>
              <w:spacing w:line="300" w:lineRule="auto"/>
              <w:jc w:val="both"/>
              <w:rPr>
                <w:rFonts w:ascii="宋体" w:hAnsi="宋体" w:cs="宋体"/>
                <w:color w:val="auto"/>
                <w:highlight w:val="none"/>
              </w:rPr>
            </w:pPr>
            <w:r>
              <w:rPr>
                <w:rFonts w:hint="eastAsia" w:ascii="宋体" w:hAnsi="宋体" w:cs="宋体"/>
                <w:color w:val="auto"/>
                <w:spacing w:val="-5"/>
                <w:highlight w:val="none"/>
              </w:rPr>
              <w:t>2.</w:t>
            </w:r>
            <w:r>
              <w:rPr>
                <w:rFonts w:hint="eastAsia" w:ascii="宋体" w:hAnsi="宋体" w:cs="宋体"/>
                <w:color w:val="auto"/>
                <w:highlight w:val="none"/>
              </w:rPr>
              <w:sym w:font="Wingdings 2" w:char="0052"/>
            </w:r>
            <w:r>
              <w:rPr>
                <w:rFonts w:hint="eastAsia" w:ascii="宋体" w:hAnsi="宋体" w:cs="宋体"/>
                <w:color w:val="auto"/>
                <w:spacing w:val="-5"/>
                <w:highlight w:val="none"/>
              </w:rPr>
              <w:t>投标人未按规定加密的投标文件，应当拒收并提示。</w:t>
            </w:r>
            <w:r>
              <w:rPr>
                <w:rFonts w:hint="eastAsia" w:ascii="宋体" w:hAnsi="宋体" w:cs="宋体"/>
                <w:color w:val="auto"/>
                <w:highlight w:val="none"/>
              </w:rPr>
              <w:br w:type="textWrapping"/>
            </w:r>
            <w:r>
              <w:rPr>
                <w:rFonts w:hint="eastAsia" w:ascii="宋体" w:hAnsi="宋体" w:cs="宋体"/>
                <w:color w:val="auto"/>
                <w:highlight w:val="none"/>
              </w:rPr>
              <w:t>3.</w:t>
            </w:r>
            <w:r>
              <w:rPr>
                <w:rFonts w:hint="eastAsia" w:ascii="宋体" w:hAnsi="宋体" w:cs="宋体"/>
                <w:color w:val="auto"/>
                <w:spacing w:val="-5"/>
                <w:highlight w:val="none"/>
              </w:rPr>
              <w:t>存在下列情况之一的，视为拒收：</w:t>
            </w:r>
          </w:p>
          <w:p>
            <w:pPr>
              <w:snapToGrid w:val="0"/>
              <w:spacing w:line="300" w:lineRule="auto"/>
              <w:jc w:val="both"/>
              <w:rPr>
                <w:rFonts w:ascii="宋体" w:hAnsi="宋体" w:cs="宋体"/>
                <w:color w:val="auto"/>
                <w:highlight w:val="none"/>
              </w:rPr>
            </w:pPr>
            <w:r>
              <w:rPr>
                <w:rFonts w:hint="eastAsia" w:ascii="宋体" w:hAnsi="宋体" w:cs="宋体"/>
                <w:color w:val="auto"/>
                <w:highlight w:val="none"/>
              </w:rPr>
              <w:t>（1）电子投标文件无法解密的；</w:t>
            </w:r>
          </w:p>
          <w:p>
            <w:pPr>
              <w:snapToGrid w:val="0"/>
              <w:spacing w:line="300" w:lineRule="auto"/>
              <w:jc w:val="both"/>
              <w:rPr>
                <w:rFonts w:ascii="宋体" w:hAnsi="宋体" w:cs="宋体"/>
                <w:color w:val="auto"/>
                <w:highlight w:val="none"/>
              </w:rPr>
            </w:pPr>
            <w:r>
              <w:rPr>
                <w:rFonts w:hint="eastAsia" w:ascii="宋体" w:hAnsi="宋体" w:cs="宋体"/>
                <w:color w:val="auto"/>
                <w:highlight w:val="none"/>
              </w:rPr>
              <w:t>（2）电子投标文件解密后无法正确读取的；</w:t>
            </w:r>
          </w:p>
          <w:p>
            <w:pPr>
              <w:snapToGrid w:val="0"/>
              <w:spacing w:line="300" w:lineRule="auto"/>
              <w:jc w:val="both"/>
              <w:rPr>
                <w:rFonts w:ascii="宋体" w:hAnsi="宋体" w:cs="宋体"/>
                <w:color w:val="auto"/>
                <w:highlight w:val="none"/>
              </w:rPr>
            </w:pPr>
            <w:r>
              <w:rPr>
                <w:rFonts w:hint="eastAsia" w:ascii="宋体" w:hAnsi="宋体" w:cs="宋体"/>
                <w:color w:val="auto"/>
                <w:highlight w:val="none"/>
              </w:rPr>
              <w:t>（3）电子投标文件无法导入成功的；</w:t>
            </w:r>
          </w:p>
          <w:p>
            <w:pPr>
              <w:snapToGrid w:val="0"/>
              <w:spacing w:line="300" w:lineRule="auto"/>
              <w:jc w:val="both"/>
              <w:rPr>
                <w:rFonts w:ascii="宋体" w:hAnsi="宋体" w:cs="宋体"/>
                <w:color w:val="auto"/>
                <w:highlight w:val="none"/>
              </w:rPr>
            </w:pPr>
            <w:r>
              <w:rPr>
                <w:rFonts w:hint="eastAsia" w:ascii="宋体" w:hAnsi="宋体" w:cs="宋体"/>
                <w:color w:val="auto"/>
                <w:highlight w:val="none"/>
              </w:rPr>
              <w:t>4.□未被邀请的申请人提交的投标文件</w:t>
            </w:r>
          </w:p>
          <w:p>
            <w:pPr>
              <w:spacing w:line="360" w:lineRule="exact"/>
              <w:rPr>
                <w:rFonts w:ascii="宋体" w:hAnsi="宋体" w:cs="宋体"/>
                <w:color w:val="auto"/>
                <w:highlight w:val="none"/>
              </w:rPr>
            </w:pPr>
            <w:r>
              <w:rPr>
                <w:rFonts w:hint="eastAsia" w:ascii="宋体" w:hAnsi="宋体" w:cs="宋体"/>
                <w:color w:val="auto"/>
                <w:highlight w:val="none"/>
              </w:rPr>
              <w:t>5.其他：</w:t>
            </w:r>
            <w:r>
              <w:rPr>
                <w:rFonts w:hint="eastAsia" w:ascii="宋体" w:hAnsi="宋体" w:cs="宋体"/>
                <w:color w:val="auto"/>
                <w:highlight w:val="none"/>
                <w:u w:val="single"/>
              </w:rPr>
              <w:t xml:space="preserve">               </w:t>
            </w:r>
            <w:r>
              <w:rPr>
                <w:rFonts w:hint="eastAsia" w:ascii="宋体" w:hAnsi="宋体" w:cs="宋体"/>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tcBorders>
              <w:top w:val="single" w:color="000000" w:sz="8" w:space="0"/>
            </w:tcBorders>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5.1</w:t>
            </w:r>
          </w:p>
        </w:tc>
        <w:tc>
          <w:tcPr>
            <w:tcW w:w="1768" w:type="dxa"/>
            <w:tcBorders>
              <w:top w:val="single" w:color="000000" w:sz="8" w:space="0"/>
            </w:tcBorders>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开标时间、开标地点、</w:t>
            </w:r>
            <w:r>
              <w:rPr>
                <w:rFonts w:hint="eastAsia"/>
                <w:color w:val="auto"/>
                <w:spacing w:val="-3"/>
                <w:highlight w:val="none"/>
              </w:rPr>
              <w:t>参加开标会议</w:t>
            </w:r>
            <w:r>
              <w:rPr>
                <w:rFonts w:hint="eastAsia"/>
                <w:color w:val="auto"/>
                <w:highlight w:val="none"/>
              </w:rPr>
              <w:t>的要求</w:t>
            </w:r>
          </w:p>
        </w:tc>
        <w:tc>
          <w:tcPr>
            <w:tcW w:w="5954" w:type="dxa"/>
            <w:tcBorders>
              <w:top w:val="single" w:color="000000" w:sz="8" w:space="0"/>
            </w:tcBorders>
            <w:noWrap w:val="0"/>
            <w:vAlign w:val="center"/>
          </w:tcPr>
          <w:p>
            <w:pPr>
              <w:pStyle w:val="40"/>
              <w:adjustRightInd/>
              <w:spacing w:line="360" w:lineRule="auto"/>
              <w:jc w:val="both"/>
              <w:rPr>
                <w:color w:val="auto"/>
                <w:highlight w:val="none"/>
              </w:rPr>
            </w:pPr>
            <w:r>
              <w:rPr>
                <w:rFonts w:hint="eastAsia"/>
                <w:color w:val="auto"/>
                <w:highlight w:val="none"/>
              </w:rPr>
              <w:t>1.开标时间：同投标截止时间。</w:t>
            </w:r>
          </w:p>
          <w:p>
            <w:pPr>
              <w:pStyle w:val="40"/>
              <w:adjustRightInd/>
              <w:spacing w:line="360" w:lineRule="auto"/>
              <w:jc w:val="both"/>
              <w:rPr>
                <w:color w:val="auto"/>
                <w:highlight w:val="none"/>
                <w:shd w:val="clear" w:color="auto" w:fill="FFFFFF"/>
              </w:rPr>
            </w:pPr>
            <w:r>
              <w:rPr>
                <w:rFonts w:hint="eastAsia"/>
                <w:color w:val="auto"/>
                <w:highlight w:val="none"/>
              </w:rPr>
              <w:t>2.开标地点：</w:t>
            </w:r>
            <w:r>
              <w:rPr>
                <w:rFonts w:hint="eastAsia"/>
                <w:color w:val="auto"/>
                <w:highlight w:val="none"/>
                <w:u w:val="single"/>
              </w:rPr>
              <w:t xml:space="preserve">  </w:t>
            </w:r>
            <w:r>
              <w:rPr>
                <w:rFonts w:hint="eastAsia" w:cs="宋体"/>
                <w:i w:val="0"/>
                <w:iCs w:val="0"/>
                <w:color w:val="auto"/>
                <w:sz w:val="24"/>
                <w:szCs w:val="24"/>
                <w:highlight w:val="none"/>
                <w:u w:val="single"/>
                <w:lang w:eastAsia="zh-CN"/>
              </w:rPr>
              <w:t>湖州市公共资源交易中心南太湖新区分中心</w:t>
            </w:r>
            <w:r>
              <w:rPr>
                <w:rFonts w:hint="eastAsia"/>
                <w:color w:val="auto"/>
                <w:highlight w:val="none"/>
                <w:u w:val="single"/>
              </w:rPr>
              <w:t xml:space="preserve">   </w:t>
            </w:r>
            <w:r>
              <w:rPr>
                <w:rFonts w:hint="eastAsia"/>
                <w:color w:val="auto"/>
                <w:highlight w:val="none"/>
              </w:rPr>
              <w:t>。</w:t>
            </w:r>
          </w:p>
          <w:p>
            <w:pPr>
              <w:adjustRightInd/>
              <w:spacing w:line="360" w:lineRule="auto"/>
              <w:jc w:val="both"/>
              <w:rPr>
                <w:rFonts w:ascii="宋体" w:hAnsi="宋体" w:cs="宋体"/>
                <w:color w:val="auto"/>
                <w:highlight w:val="none"/>
                <w:shd w:val="clear" w:color="auto" w:fill="FFFFFF"/>
              </w:rPr>
            </w:pPr>
            <w:r>
              <w:rPr>
                <w:rFonts w:hint="eastAsia" w:ascii="宋体" w:hAnsi="宋体" w:cs="宋体"/>
                <w:color w:val="auto"/>
                <w:highlight w:val="none"/>
                <w:shd w:val="clear" w:color="auto" w:fill="FFFFFF"/>
              </w:rPr>
              <w:t>3.开标平台：</w:t>
            </w:r>
            <w:r>
              <w:rPr>
                <w:rFonts w:hint="eastAsia" w:ascii="宋体" w:hAnsi="宋体" w:eastAsia="宋体" w:cs="宋体"/>
                <w:i w:val="0"/>
                <w:iCs w:val="0"/>
                <w:color w:val="auto"/>
                <w:sz w:val="24"/>
                <w:szCs w:val="24"/>
                <w:highlight w:val="none"/>
              </w:rPr>
              <w:t>湖州市公共资源交易网上远程不见面开标大厅</w:t>
            </w:r>
          </w:p>
          <w:p>
            <w:pPr>
              <w:pStyle w:val="40"/>
              <w:adjustRightInd/>
              <w:spacing w:line="360" w:lineRule="auto"/>
              <w:ind w:right="34" w:rightChars="14"/>
              <w:jc w:val="both"/>
              <w:rPr>
                <w:color w:val="auto"/>
                <w:highlight w:val="none"/>
              </w:rPr>
            </w:pPr>
            <w:r>
              <w:rPr>
                <w:rFonts w:hint="eastAsia"/>
                <w:color w:val="auto"/>
                <w:highlight w:val="none"/>
                <w:shd w:val="clear" w:color="auto" w:fill="FFFFFF"/>
              </w:rPr>
              <w:t>4.</w:t>
            </w:r>
            <w:r>
              <w:rPr>
                <w:rFonts w:hint="eastAsia"/>
                <w:color w:val="auto"/>
                <w:szCs w:val="21"/>
                <w:highlight w:val="none"/>
              </w:rPr>
              <w:t xml:space="preserve"> 网上不见面开标大厅登录方式：湖州市公共资源交易信息网-选择不见面开标大厅登录即可。网址：</w:t>
            </w:r>
            <w:r>
              <w:rPr>
                <w:rFonts w:hint="eastAsia"/>
                <w:color w:val="auto"/>
                <w:highlight w:val="none"/>
              </w:rPr>
              <w:t>http://220.191.216.200:8085/BidOpening/bidopeninghallaction/hall/login</w:t>
            </w:r>
            <w:r>
              <w:rPr>
                <w:rFonts w:hint="eastAsia"/>
                <w:color w:val="auto"/>
                <w:szCs w:val="21"/>
                <w:highlight w:val="none"/>
              </w:rPr>
              <w:t>；</w:t>
            </w:r>
            <w:r>
              <w:rPr>
                <w:rFonts w:hint="eastAsia"/>
                <w:color w:val="auto"/>
                <w:highlight w:val="none"/>
                <w:shd w:val="clear" w:color="auto" w:fill="FFFF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5.2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开标</w:t>
            </w:r>
          </w:p>
        </w:tc>
        <w:tc>
          <w:tcPr>
            <w:tcW w:w="5954" w:type="dxa"/>
            <w:noWrap w:val="0"/>
            <w:vAlign w:val="center"/>
          </w:tcPr>
          <w:p>
            <w:pPr>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主持人按照不见面开标大厅内程序设定顺序进行开标：</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（1）投标截止前30分钟，由招标代理机构登录网上不见面开标大厅系统，做好网上不见面开标准备；</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（2）各投标人（以联合体投标的，是指联合体牵头人）应于投标截止时间前使用加密锁自行登录不见面开标大厅并在线等待招标代理机构人员发出的解密信号；</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（3）投标截止时间，由招标代理机构公布投标人情况、解密要求、在线公布现场监督、见证人员；</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（4）投标人需在系统开启投标文件解密时间后30分钟内对投标文件进行网上在线解密，未在规定时间内完成的，其投标将被拒绝；</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（5）招标人现场解密、投标文件导入、</w:t>
            </w:r>
            <w:r>
              <w:rPr>
                <w:rFonts w:hint="eastAsia" w:ascii="宋体" w:hAnsi="宋体" w:cs="宋体"/>
                <w:b/>
                <w:bCs/>
                <w:color w:val="auto"/>
                <w:highlight w:val="none"/>
              </w:rPr>
              <w:t>X值、Y值</w:t>
            </w:r>
            <w:r>
              <w:rPr>
                <w:rFonts w:hint="eastAsia" w:ascii="宋体" w:hAnsi="宋体" w:cs="宋体"/>
                <w:color w:val="auto"/>
                <w:highlight w:val="none"/>
              </w:rPr>
              <w:t>抽取</w:t>
            </w:r>
            <w:r>
              <w:rPr>
                <w:rFonts w:hint="eastAsia" w:ascii="宋体" w:hAnsi="宋体" w:cs="宋体"/>
                <w:color w:val="auto"/>
                <w:szCs w:val="21"/>
                <w:highlight w:val="none"/>
              </w:rPr>
              <w:t>等全程操作；</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（6）对网上开标过程有异议的，投标人应当直接在线提疑，同时由招标人在线进行回复；</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（7）宣布开标结束。</w:t>
            </w:r>
          </w:p>
          <w:p>
            <w:pPr>
              <w:pStyle w:val="52"/>
              <w:spacing w:line="400" w:lineRule="exact"/>
              <w:ind w:left="0" w:firstLine="0"/>
              <w:rPr>
                <w:rFonts w:hint="eastAsia" w:ascii="宋体" w:hAnsi="宋体"/>
                <w:color w:val="auto"/>
                <w:highlight w:val="none"/>
              </w:rPr>
            </w:pPr>
            <w:r>
              <w:rPr>
                <w:rFonts w:hint="eastAsia" w:ascii="宋体" w:hAnsi="宋体"/>
                <w:color w:val="auto"/>
                <w:szCs w:val="21"/>
                <w:highlight w:val="none"/>
              </w:rPr>
              <w:t>注：在开标过程中招标人及招标代理机构全程操作必须在直播视频中完成，不得随意离开。交易中心见证人员、现场监督人员做好相关工作并签字。</w:t>
            </w:r>
            <w:r>
              <w:rPr>
                <w:rFonts w:hint="eastAsia" w:ascii="宋体" w:hAnsi="宋体"/>
                <w:color w:val="auto"/>
                <w:highlight w:val="none"/>
              </w:rPr>
              <w:t>注：1）在开标过程中招标人及招标代理机构全程操作必须在直播视频中完成，不得随意离开。交易中心见证人员、现场监督人员做好相关工作并签字。</w:t>
            </w:r>
          </w:p>
          <w:p>
            <w:pPr>
              <w:pStyle w:val="52"/>
              <w:spacing w:line="400" w:lineRule="exact"/>
              <w:ind w:left="0" w:firstLine="0"/>
              <w:rPr>
                <w:rFonts w:hint="eastAsia" w:ascii="宋体" w:hAnsi="宋体"/>
                <w:color w:val="auto"/>
                <w:highlight w:val="none"/>
              </w:rPr>
            </w:pPr>
            <w:r>
              <w:rPr>
                <w:rFonts w:hint="eastAsia" w:ascii="宋体" w:hAnsi="宋体"/>
                <w:color w:val="auto"/>
                <w:highlight w:val="none"/>
              </w:rPr>
              <w:t>2）电子交易平台遇网络故障、设备故障、断电等意外情况，导致无法正常开标、招标人无法解密等情形，2小时内能够恢复正常，待恢复正常后继续开标，原定解密时间重新计算，2小时内不能恢复正常由招标人确定另行开标时间；</w:t>
            </w:r>
          </w:p>
          <w:p>
            <w:pPr>
              <w:pStyle w:val="40"/>
              <w:adjustRightInd/>
              <w:spacing w:line="360" w:lineRule="auto"/>
              <w:ind w:right="34" w:rightChars="14"/>
              <w:jc w:val="both"/>
              <w:rPr>
                <w:color w:val="auto"/>
                <w:highlight w:val="none"/>
              </w:rPr>
            </w:pPr>
            <w:r>
              <w:rPr>
                <w:rFonts w:hint="eastAsia"/>
                <w:color w:val="auto"/>
                <w:highlight w:val="none"/>
              </w:rPr>
              <w:t>3）电子交易平台网络不畅导致投标人不能在规定时间内完成解密，招标人相应延长解密时间，超出相应延长解密时间仍然未解密的，视做撤销投标文件。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6.1.1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评标委员会的组建</w:t>
            </w:r>
          </w:p>
        </w:tc>
        <w:tc>
          <w:tcPr>
            <w:tcW w:w="5954" w:type="dxa"/>
            <w:noWrap w:val="0"/>
            <w:vAlign w:val="center"/>
          </w:tcPr>
          <w:p>
            <w:pPr>
              <w:spacing w:line="400" w:lineRule="exact"/>
              <w:ind w:right="-134" w:rightChars="-56"/>
              <w:rPr>
                <w:rFonts w:hint="eastAsia" w:ascii="宋体" w:hAnsi="宋体" w:cs="宋体"/>
                <w:color w:val="auto"/>
                <w:szCs w:val="21"/>
                <w:highlight w:val="none"/>
              </w:rPr>
            </w:pPr>
            <w:r>
              <w:rPr>
                <w:rFonts w:hint="eastAsia" w:ascii="宋体" w:hAnsi="宋体" w:cs="宋体"/>
                <w:color w:val="auto"/>
                <w:szCs w:val="21"/>
                <w:highlight w:val="none"/>
              </w:rPr>
              <w:t>评标委员会构成：评标委员会由招标人代表和有关技术、经济等方面的专家组成，成员</w:t>
            </w:r>
            <w:r>
              <w:rPr>
                <w:rFonts w:hint="eastAsia" w:ascii="宋体" w:hAnsi="宋体" w:cs="宋体"/>
                <w:color w:val="auto"/>
                <w:szCs w:val="21"/>
                <w:highlight w:val="none"/>
                <w:lang w:val="en-US" w:eastAsia="zh-CN"/>
              </w:rPr>
              <w:t>人数</w:t>
            </w:r>
            <w:r>
              <w:rPr>
                <w:rFonts w:hint="eastAsia" w:ascii="宋体" w:hAnsi="宋体" w:cs="宋体"/>
                <w:color w:val="auto"/>
                <w:szCs w:val="21"/>
                <w:highlight w:val="none"/>
              </w:rPr>
              <w:t>为</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人；其中经济、技术类等方面的专家不得少于成员总数的三分之二。招标人</w:t>
            </w:r>
            <w:r>
              <w:rPr>
                <w:rFonts w:hint="eastAsia" w:ascii="宋体" w:hAnsi="宋体" w:cs="宋体"/>
                <w:color w:val="auto"/>
                <w:szCs w:val="21"/>
                <w:highlight w:val="none"/>
                <w:lang w:val="en-US" w:eastAsia="zh-CN"/>
              </w:rPr>
              <w:t>代表3人参与评标</w:t>
            </w:r>
            <w:r>
              <w:rPr>
                <w:rFonts w:hint="eastAsia" w:ascii="宋体" w:hAnsi="宋体" w:cs="宋体"/>
                <w:color w:val="auto"/>
                <w:szCs w:val="21"/>
                <w:highlight w:val="none"/>
              </w:rPr>
              <w:t xml:space="preserve">，但不得作为评委组长。  </w:t>
            </w:r>
          </w:p>
          <w:p>
            <w:pPr>
              <w:pStyle w:val="40"/>
              <w:adjustRightInd/>
              <w:spacing w:line="360" w:lineRule="auto"/>
              <w:ind w:right="34" w:rightChars="14"/>
              <w:jc w:val="both"/>
              <w:rPr>
                <w:color w:val="auto"/>
                <w:highlight w:val="none"/>
              </w:rPr>
            </w:pPr>
            <w:r>
              <w:rPr>
                <w:rFonts w:hint="eastAsia"/>
                <w:color w:val="auto"/>
                <w:szCs w:val="21"/>
                <w:highlight w:val="none"/>
              </w:rPr>
              <w:t>评标专家确定方式：在投标截止时间前24小时内在浙江省综合专家评委库中随机抽取。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lang w:val="en-US"/>
              </w:rPr>
            </w:pPr>
            <w:r>
              <w:rPr>
                <w:rFonts w:hint="eastAsia"/>
                <w:color w:val="auto"/>
                <w:highlight w:val="none"/>
              </w:rPr>
              <w:t>6.3.1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评标方法</w:t>
            </w:r>
          </w:p>
        </w:tc>
        <w:tc>
          <w:tcPr>
            <w:tcW w:w="5954" w:type="dxa"/>
            <w:noWrap w:val="0"/>
            <w:vAlign w:val="center"/>
          </w:tcPr>
          <w:p>
            <w:pPr>
              <w:pStyle w:val="40"/>
              <w:tabs>
                <w:tab w:val="left" w:pos="2309"/>
                <w:tab w:val="left" w:pos="2729"/>
                <w:tab w:val="left" w:pos="3826"/>
              </w:tabs>
              <w:adjustRightInd/>
              <w:spacing w:line="360" w:lineRule="auto"/>
              <w:jc w:val="both"/>
              <w:rPr>
                <w:color w:val="auto"/>
                <w:highlight w:val="none"/>
              </w:rPr>
            </w:pPr>
            <w:r>
              <w:rPr>
                <w:rFonts w:hint="eastAsia"/>
                <w:color w:val="auto"/>
                <w:highlight w:val="none"/>
                <w:lang w:val="en-US"/>
              </w:rPr>
              <w:t>1</w:t>
            </w:r>
            <w:r>
              <w:rPr>
                <w:rFonts w:hint="eastAsia"/>
                <w:color w:val="auto"/>
                <w:highlight w:val="none"/>
              </w:rPr>
              <w:t>.</w:t>
            </w:r>
            <w:r>
              <w:rPr>
                <w:rFonts w:hint="eastAsia"/>
                <w:color w:val="auto"/>
                <w:highlight w:val="none"/>
              </w:rPr>
              <w:sym w:font="Wingdings 2" w:char="0052"/>
            </w:r>
            <w:r>
              <w:rPr>
                <w:rFonts w:hint="eastAsia"/>
                <w:color w:val="auto"/>
                <w:spacing w:val="-6"/>
                <w:highlight w:val="none"/>
              </w:rPr>
              <w:t>综合评估法：技术标评分（≤</w:t>
            </w:r>
            <w:r>
              <w:rPr>
                <w:rFonts w:hint="eastAsia"/>
                <w:color w:val="auto"/>
                <w:spacing w:val="-6"/>
                <w:highlight w:val="none"/>
                <w:lang w:val="en-US"/>
              </w:rPr>
              <w:t>4</w:t>
            </w:r>
            <w:r>
              <w:rPr>
                <w:rFonts w:hint="eastAsia"/>
                <w:color w:val="auto"/>
                <w:spacing w:val="-6"/>
                <w:highlight w:val="none"/>
              </w:rPr>
              <w:t>0分）</w:t>
            </w:r>
            <w:r>
              <w:rPr>
                <w:rFonts w:hint="eastAsia"/>
                <w:color w:val="auto"/>
                <w:highlight w:val="none"/>
                <w:u w:val="single"/>
              </w:rPr>
              <w:t xml:space="preserve"> </w:t>
            </w:r>
            <w:r>
              <w:rPr>
                <w:rFonts w:hint="eastAsia"/>
                <w:color w:val="auto"/>
                <w:highlight w:val="none"/>
                <w:u w:val="single"/>
                <w:lang w:val="en-US" w:eastAsia="zh-CN"/>
              </w:rPr>
              <w:t>40</w:t>
            </w:r>
            <w:r>
              <w:rPr>
                <w:rFonts w:hint="eastAsia"/>
                <w:color w:val="auto"/>
                <w:highlight w:val="none"/>
                <w:u w:val="single"/>
              </w:rPr>
              <w:t xml:space="preserve"> </w:t>
            </w:r>
            <w:r>
              <w:rPr>
                <w:rFonts w:hint="eastAsia"/>
                <w:color w:val="auto"/>
                <w:highlight w:val="none"/>
              </w:rPr>
              <w:t>分，资信标评分（≤</w:t>
            </w:r>
            <w:r>
              <w:rPr>
                <w:rFonts w:hint="eastAsia"/>
                <w:color w:val="auto"/>
                <w:highlight w:val="none"/>
                <w:lang w:val="en-US"/>
              </w:rPr>
              <w:t>1</w:t>
            </w:r>
            <w:r>
              <w:rPr>
                <w:rFonts w:hint="eastAsia"/>
                <w:color w:val="auto"/>
                <w:highlight w:val="none"/>
              </w:rPr>
              <w:t>0分）</w:t>
            </w:r>
            <w:r>
              <w:rPr>
                <w:rFonts w:hint="eastAsia"/>
                <w:color w:val="auto"/>
                <w:highlight w:val="none"/>
                <w:u w:val="single"/>
              </w:rPr>
              <w:t xml:space="preserve"> </w:t>
            </w:r>
            <w:r>
              <w:rPr>
                <w:rFonts w:hint="eastAsia"/>
                <w:color w:val="auto"/>
                <w:highlight w:val="none"/>
                <w:u w:val="single"/>
                <w:lang w:val="en-US" w:eastAsia="zh-CN"/>
              </w:rPr>
              <w:t>10</w:t>
            </w:r>
            <w:r>
              <w:rPr>
                <w:rFonts w:hint="eastAsia"/>
                <w:color w:val="auto"/>
                <w:highlight w:val="none"/>
                <w:u w:val="single"/>
              </w:rPr>
              <w:t xml:space="preserve"> </w:t>
            </w:r>
            <w:r>
              <w:rPr>
                <w:rFonts w:hint="eastAsia"/>
                <w:color w:val="auto"/>
                <w:highlight w:val="none"/>
              </w:rPr>
              <w:t>分，商务标评分（≥</w:t>
            </w:r>
            <w:r>
              <w:rPr>
                <w:rFonts w:hint="eastAsia"/>
                <w:color w:val="auto"/>
                <w:highlight w:val="none"/>
                <w:lang w:val="en-US"/>
              </w:rPr>
              <w:t>5</w:t>
            </w:r>
            <w:r>
              <w:rPr>
                <w:rFonts w:hint="eastAsia"/>
                <w:color w:val="auto"/>
                <w:highlight w:val="none"/>
              </w:rPr>
              <w:t>0分）</w:t>
            </w:r>
            <w:r>
              <w:rPr>
                <w:rFonts w:hint="eastAsia"/>
                <w:color w:val="auto"/>
                <w:highlight w:val="none"/>
                <w:u w:val="single"/>
              </w:rPr>
              <w:t xml:space="preserve"> </w:t>
            </w:r>
            <w:r>
              <w:rPr>
                <w:rFonts w:hint="eastAsia"/>
                <w:color w:val="auto"/>
                <w:highlight w:val="none"/>
                <w:u w:val="single"/>
                <w:lang w:val="en-US" w:eastAsia="zh-CN"/>
              </w:rPr>
              <w:t>50</w:t>
            </w:r>
            <w:r>
              <w:rPr>
                <w:rFonts w:hint="eastAsia"/>
                <w:color w:val="auto"/>
                <w:highlight w:val="none"/>
                <w:u w:val="single"/>
              </w:rPr>
              <w:t xml:space="preserve"> </w:t>
            </w:r>
            <w:r>
              <w:rPr>
                <w:rFonts w:hint="eastAsia"/>
                <w:color w:val="auto"/>
                <w:highlight w:val="none"/>
              </w:rPr>
              <w:t>分。</w:t>
            </w:r>
          </w:p>
          <w:p>
            <w:pPr>
              <w:pStyle w:val="40"/>
              <w:adjustRightInd/>
              <w:spacing w:line="360" w:lineRule="auto"/>
              <w:ind w:right="34" w:rightChars="14"/>
              <w:jc w:val="both"/>
              <w:rPr>
                <w:color w:val="auto"/>
                <w:highlight w:val="none"/>
              </w:rPr>
            </w:pPr>
            <w:r>
              <w:rPr>
                <w:rFonts w:hint="eastAsia"/>
                <w:color w:val="auto"/>
                <w:highlight w:val="none"/>
                <w:lang w:val="en-US"/>
              </w:rPr>
              <w:t>2</w:t>
            </w:r>
            <w:r>
              <w:rPr>
                <w:rFonts w:hint="eastAsia"/>
                <w:color w:val="auto"/>
                <w:highlight w:val="none"/>
              </w:rPr>
              <w:t>.</w:t>
            </w:r>
            <w:r>
              <w:rPr>
                <w:rFonts w:hint="eastAsia"/>
                <w:color w:val="auto"/>
                <w:highlight w:val="none"/>
              </w:rPr>
              <w:sym w:font="Wingdings 2" w:char="00A3"/>
            </w:r>
            <w:r>
              <w:rPr>
                <w:rFonts w:hint="eastAsia"/>
                <w:color w:val="auto"/>
                <w:highlight w:val="none"/>
              </w:rPr>
              <w:t>其他</w:t>
            </w:r>
            <w:r>
              <w:rPr>
                <w:rFonts w:hint="eastAsia"/>
                <w:color w:val="auto"/>
                <w:highlight w:val="none"/>
                <w:u w:val="single"/>
              </w:rPr>
              <w:t xml:space="preserve">                 </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snapToGrid w:val="0"/>
              <w:jc w:val="center"/>
              <w:rPr>
                <w:color w:val="auto"/>
                <w:highlight w:val="none"/>
              </w:rPr>
            </w:pPr>
            <w:r>
              <w:rPr>
                <w:rFonts w:hint="eastAsia"/>
                <w:color w:val="auto"/>
                <w:highlight w:val="none"/>
              </w:rPr>
              <w:t>6.3.2</w:t>
            </w:r>
          </w:p>
        </w:tc>
        <w:tc>
          <w:tcPr>
            <w:tcW w:w="1768" w:type="dxa"/>
            <w:noWrap w:val="0"/>
            <w:vAlign w:val="center"/>
          </w:tcPr>
          <w:p>
            <w:pPr>
              <w:pStyle w:val="40"/>
              <w:snapToGrid w:val="0"/>
              <w:jc w:val="center"/>
              <w:rPr>
                <w:color w:val="auto"/>
                <w:highlight w:val="none"/>
              </w:rPr>
            </w:pPr>
            <w:r>
              <w:rPr>
                <w:rFonts w:ascii="Times New Roman"/>
                <w:color w:val="auto"/>
                <w:highlight w:val="none"/>
              </w:rPr>
              <w:t>评标委员会推荐中标候选人的人数</w:t>
            </w:r>
            <w:r>
              <w:rPr>
                <w:rFonts w:hint="eastAsia" w:ascii="Times New Roman"/>
                <w:color w:val="auto"/>
                <w:highlight w:val="none"/>
              </w:rPr>
              <w:t>和是否排序</w:t>
            </w:r>
          </w:p>
        </w:tc>
        <w:tc>
          <w:tcPr>
            <w:tcW w:w="5954" w:type="dxa"/>
            <w:noWrap w:val="0"/>
            <w:vAlign w:val="center"/>
          </w:tcPr>
          <w:p>
            <w:pPr>
              <w:snapToGrid w:val="0"/>
              <w:spacing w:line="300" w:lineRule="auto"/>
              <w:jc w:val="both"/>
              <w:rPr>
                <w:rFonts w:ascii="宋体" w:hAnsi="宋体" w:cs="宋体"/>
                <w:color w:val="auto"/>
                <w:highlight w:val="none"/>
              </w:rPr>
            </w:pPr>
            <w:r>
              <w:rPr>
                <w:rFonts w:hint="eastAsia" w:ascii="Times New Roman" w:hAnsi="宋体"/>
                <w:color w:val="auto"/>
                <w:highlight w:val="none"/>
              </w:rPr>
              <w:t>按评分标准排序推荐</w:t>
            </w:r>
            <w:r>
              <w:rPr>
                <w:rFonts w:hint="eastAsia" w:ascii="Times New Roman" w:hAnsi="宋体"/>
                <w:color w:val="auto"/>
                <w:highlight w:val="none"/>
                <w:lang w:val="en-US" w:eastAsia="zh-CN"/>
              </w:rPr>
              <w:t>1-</w:t>
            </w:r>
            <w:r>
              <w:rPr>
                <w:rFonts w:hint="eastAsia" w:ascii="Times New Roman" w:hAnsi="宋体"/>
                <w:color w:val="auto"/>
                <w:highlight w:val="none"/>
              </w:rPr>
              <w:t>3人</w:t>
            </w:r>
            <w:r>
              <w:rPr>
                <w:rFonts w:ascii="Times New Roman" w:hAnsi="宋体"/>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7.1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是否授权评标委员会确定中标人</w:t>
            </w:r>
          </w:p>
        </w:tc>
        <w:tc>
          <w:tcPr>
            <w:tcW w:w="5954" w:type="dxa"/>
            <w:noWrap w:val="0"/>
            <w:vAlign w:val="center"/>
          </w:tcPr>
          <w:p>
            <w:pPr>
              <w:pStyle w:val="40"/>
              <w:adjustRightInd/>
              <w:spacing w:line="360" w:lineRule="auto"/>
              <w:jc w:val="both"/>
              <w:rPr>
                <w:color w:val="auto"/>
                <w:highlight w:val="none"/>
              </w:rPr>
            </w:pPr>
            <w:r>
              <w:rPr>
                <w:rFonts w:hint="eastAsia"/>
                <w:color w:val="auto"/>
                <w:highlight w:val="none"/>
              </w:rPr>
              <w:t>□是。</w:t>
            </w:r>
          </w:p>
          <w:p>
            <w:pPr>
              <w:pStyle w:val="40"/>
              <w:adjustRightInd/>
              <w:spacing w:line="360" w:lineRule="auto"/>
              <w:jc w:val="both"/>
              <w:rPr>
                <w:color w:val="auto"/>
                <w:highlight w:val="none"/>
              </w:rPr>
            </w:pPr>
            <w:r>
              <w:rPr>
                <w:rFonts w:hint="eastAsia"/>
                <w:color w:val="auto"/>
                <w:highlight w:val="none"/>
              </w:rPr>
              <w:sym w:font="Wingdings 2" w:char="0052"/>
            </w:r>
            <w:r>
              <w:rPr>
                <w:rFonts w:hint="eastAsia"/>
                <w:color w:val="auto"/>
                <w:highlight w:val="none"/>
              </w:rPr>
              <w:t>否。</w:t>
            </w:r>
            <w:r>
              <w:rPr>
                <w:rFonts w:hint="eastAsia" w:cs="仿宋"/>
                <w:b/>
                <w:color w:val="auto"/>
                <w:szCs w:val="21"/>
                <w:highlight w:val="none"/>
              </w:rPr>
              <w:t>推荐的中标候选人数：1-3名。</w:t>
            </w:r>
          </w:p>
          <w:p>
            <w:pPr>
              <w:pStyle w:val="40"/>
              <w:tabs>
                <w:tab w:val="left" w:pos="3828"/>
              </w:tabs>
              <w:adjustRightInd/>
              <w:spacing w:line="360" w:lineRule="auto"/>
              <w:ind w:right="34" w:rightChars="14"/>
              <w:jc w:val="both"/>
              <w:rPr>
                <w:color w:val="auto"/>
                <w:highlight w:val="none"/>
              </w:rPr>
            </w:pPr>
            <w:r>
              <w:rPr>
                <w:rFonts w:hint="eastAsia"/>
                <w:color w:val="auto"/>
                <w:highlight w:val="none"/>
              </w:rPr>
              <w:t>其他：</w:t>
            </w:r>
            <w:r>
              <w:rPr>
                <w:rFonts w:hint="eastAsia"/>
                <w:color w:val="auto"/>
                <w:highlight w:val="none"/>
                <w:u w:val="single"/>
              </w:rPr>
              <w:t xml:space="preserve">                                  </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lang w:val="en-US"/>
              </w:rPr>
            </w:pPr>
            <w:r>
              <w:rPr>
                <w:rFonts w:hint="eastAsia"/>
                <w:color w:val="auto"/>
                <w:highlight w:val="none"/>
                <w:lang w:val="en-US"/>
              </w:rPr>
              <w:t>7.2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中标候选人公示媒介及期限</w:t>
            </w:r>
          </w:p>
        </w:tc>
        <w:tc>
          <w:tcPr>
            <w:tcW w:w="5954" w:type="dxa"/>
            <w:noWrap w:val="0"/>
            <w:vAlign w:val="center"/>
          </w:tcPr>
          <w:p>
            <w:pPr>
              <w:adjustRightInd/>
              <w:spacing w:line="360" w:lineRule="auto"/>
              <w:jc w:val="both"/>
              <w:rPr>
                <w:rFonts w:ascii="宋体" w:hAnsi="宋体" w:cs="宋体"/>
                <w:color w:val="auto"/>
                <w:highlight w:val="none"/>
              </w:rPr>
            </w:pPr>
            <w:r>
              <w:rPr>
                <w:rFonts w:hint="eastAsia" w:ascii="宋体" w:hAnsi="宋体" w:cs="宋体"/>
                <w:color w:val="auto"/>
                <w:highlight w:val="none"/>
              </w:rPr>
              <w:t>公示媒介：</w:t>
            </w:r>
            <w:r>
              <w:rPr>
                <w:rFonts w:hint="eastAsia" w:ascii="宋体" w:hAnsi="宋体" w:cs="宋体"/>
                <w:color w:val="auto"/>
                <w:highlight w:val="none"/>
                <w:u w:val="single"/>
              </w:rPr>
              <w:t xml:space="preserve">  </w:t>
            </w:r>
            <w:r>
              <w:rPr>
                <w:rFonts w:hint="eastAsia" w:ascii="宋体" w:hAnsi="宋体" w:cs="仿宋"/>
                <w:b/>
                <w:color w:val="auto"/>
                <w:szCs w:val="21"/>
                <w:highlight w:val="none"/>
                <w:u w:val="single"/>
              </w:rPr>
              <w:t>湖州市公共资源交易信息网（http://ggzy.huzhou.gov.cn/hzfront/），浙江省公共资源交易服务平台（http://zjpubservice.zjzwfw.gov.cn/）</w:t>
            </w:r>
          </w:p>
          <w:p>
            <w:pPr>
              <w:pStyle w:val="40"/>
              <w:adjustRightInd/>
              <w:spacing w:line="360" w:lineRule="auto"/>
              <w:ind w:right="34" w:rightChars="14"/>
              <w:jc w:val="both"/>
              <w:rPr>
                <w:color w:val="auto"/>
                <w:highlight w:val="none"/>
              </w:rPr>
            </w:pPr>
            <w:r>
              <w:rPr>
                <w:rFonts w:hint="eastAsia"/>
                <w:color w:val="auto"/>
                <w:spacing w:val="-2"/>
                <w:highlight w:val="none"/>
              </w:rPr>
              <w:t>公示期限：不少于3日。如遇国家法定休假日，应顺延至法定休假日后第一个工作日。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7.</w:t>
            </w:r>
            <w:r>
              <w:rPr>
                <w:rFonts w:hint="eastAsia"/>
                <w:color w:val="auto"/>
                <w:highlight w:val="none"/>
                <w:lang w:val="en-US"/>
              </w:rPr>
              <w:t>4</w:t>
            </w:r>
            <w:r>
              <w:rPr>
                <w:rFonts w:hint="eastAsia"/>
                <w:color w:val="auto"/>
                <w:highlight w:val="none"/>
              </w:rPr>
              <w:t>.1</w:t>
            </w:r>
          </w:p>
        </w:tc>
        <w:tc>
          <w:tcPr>
            <w:tcW w:w="1768" w:type="dxa"/>
            <w:noWrap w:val="0"/>
            <w:vAlign w:val="center"/>
          </w:tcPr>
          <w:p>
            <w:pPr>
              <w:pStyle w:val="40"/>
              <w:adjustRightInd/>
              <w:jc w:val="center"/>
              <w:rPr>
                <w:color w:val="auto"/>
                <w:highlight w:val="none"/>
              </w:rPr>
            </w:pPr>
            <w:r>
              <w:rPr>
                <w:rFonts w:hint="eastAsia"/>
                <w:color w:val="auto"/>
                <w:highlight w:val="none"/>
              </w:rPr>
              <w:t>履约担保</w:t>
            </w:r>
          </w:p>
          <w:p>
            <w:pPr>
              <w:pStyle w:val="40"/>
              <w:adjustRightInd/>
              <w:jc w:val="center"/>
              <w:rPr>
                <w:color w:val="auto"/>
                <w:highlight w:val="none"/>
              </w:rPr>
            </w:pPr>
            <w:r>
              <w:rPr>
                <w:rFonts w:hint="eastAsia"/>
                <w:color w:val="auto"/>
                <w:highlight w:val="none"/>
              </w:rPr>
              <w:t>及工程款支付</w:t>
            </w:r>
          </w:p>
          <w:p>
            <w:pPr>
              <w:pStyle w:val="40"/>
              <w:adjustRightInd/>
              <w:spacing w:line="288" w:lineRule="auto"/>
              <w:ind w:right="178" w:rightChars="74" w:firstLine="31" w:firstLineChars="13"/>
              <w:jc w:val="center"/>
              <w:rPr>
                <w:color w:val="auto"/>
                <w:highlight w:val="none"/>
              </w:rPr>
            </w:pPr>
            <w:r>
              <w:rPr>
                <w:rFonts w:hint="eastAsia"/>
                <w:color w:val="auto"/>
                <w:highlight w:val="none"/>
              </w:rPr>
              <w:t>担保</w:t>
            </w:r>
          </w:p>
        </w:tc>
        <w:tc>
          <w:tcPr>
            <w:tcW w:w="5954" w:type="dxa"/>
            <w:noWrap w:val="0"/>
            <w:vAlign w:val="center"/>
          </w:tcPr>
          <w:p>
            <w:pPr>
              <w:adjustRightInd/>
              <w:spacing w:line="360" w:lineRule="auto"/>
              <w:jc w:val="both"/>
              <w:rPr>
                <w:rFonts w:ascii="宋体" w:hAnsi="宋体" w:cs="宋体"/>
                <w:color w:val="auto"/>
                <w:highlight w:val="none"/>
              </w:rPr>
            </w:pPr>
            <w:r>
              <w:rPr>
                <w:rFonts w:hint="eastAsia" w:ascii="宋体" w:hAnsi="宋体" w:cs="宋体"/>
                <w:color w:val="auto"/>
                <w:highlight w:val="none"/>
              </w:rPr>
              <w:t>履约担保的金额：合同总价的</w:t>
            </w:r>
            <w:r>
              <w:rPr>
                <w:rFonts w:hint="eastAsia" w:ascii="宋体" w:hAnsi="宋体" w:cs="宋体"/>
                <w:color w:val="auto"/>
                <w:highlight w:val="none"/>
                <w:u w:val="single"/>
              </w:rPr>
              <w:t xml:space="preserve">   2    </w:t>
            </w:r>
            <w:r>
              <w:rPr>
                <w:rFonts w:hint="eastAsia" w:ascii="宋体" w:hAnsi="宋体" w:cs="宋体"/>
                <w:color w:val="auto"/>
                <w:highlight w:val="none"/>
              </w:rPr>
              <w:t>%（不得超过2%）。</w:t>
            </w:r>
          </w:p>
          <w:p>
            <w:pPr>
              <w:adjustRightInd/>
              <w:spacing w:line="360" w:lineRule="auto"/>
              <w:jc w:val="both"/>
              <w:rPr>
                <w:rFonts w:ascii="宋体" w:hAnsi="宋体" w:cs="宋体"/>
                <w:color w:val="auto"/>
                <w:highlight w:val="none"/>
              </w:rPr>
            </w:pPr>
            <w:r>
              <w:rPr>
                <w:rFonts w:hint="eastAsia" w:ascii="宋体" w:hAnsi="宋体" w:cs="宋体"/>
                <w:color w:val="auto"/>
                <w:highlight w:val="none"/>
              </w:rPr>
              <w:t>工程款支付担保的金额：与履约担保同比例。</w:t>
            </w:r>
          </w:p>
          <w:p>
            <w:pPr>
              <w:pStyle w:val="40"/>
              <w:adjustRightInd/>
              <w:spacing w:line="360" w:lineRule="auto"/>
              <w:ind w:right="34" w:rightChars="14"/>
              <w:jc w:val="both"/>
              <w:rPr>
                <w:i/>
                <w:color w:val="auto"/>
                <w:highlight w:val="none"/>
              </w:rPr>
            </w:pPr>
            <w:r>
              <w:rPr>
                <w:rFonts w:hint="eastAsia"/>
                <w:color w:val="auto"/>
                <w:highlight w:val="none"/>
              </w:rPr>
              <w:t>履约担保/工程款支付担保的形式：</w:t>
            </w:r>
            <w:bookmarkStart w:id="85" w:name="EB729f8822ed244be9b6cbf8c77e802a6c"/>
            <w:r>
              <w:rPr>
                <w:rFonts w:hint="eastAsia"/>
                <w:color w:val="auto"/>
                <w:highlight w:val="none"/>
              </w:rPr>
              <w:t>现金、支票、汇票、转账、银行保函、融资担保公司保函或者保险机构保证、保险、保单。</w:t>
            </w:r>
            <w:bookmarkEnd w:id="8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lang w:val="en-US"/>
              </w:rPr>
            </w:pPr>
            <w:r>
              <w:rPr>
                <w:rFonts w:hint="eastAsia"/>
                <w:color w:val="auto"/>
                <w:highlight w:val="none"/>
                <w:lang w:val="en-US"/>
              </w:rPr>
              <w:t>8.1</w:t>
            </w:r>
          </w:p>
        </w:tc>
        <w:tc>
          <w:tcPr>
            <w:tcW w:w="1768" w:type="dxa"/>
            <w:noWrap w:val="0"/>
            <w:vAlign w:val="center"/>
          </w:tcPr>
          <w:p>
            <w:pPr>
              <w:pStyle w:val="40"/>
              <w:adjustRightInd/>
              <w:spacing w:line="288" w:lineRule="auto"/>
              <w:ind w:right="178" w:rightChars="74" w:firstLine="31" w:firstLineChars="13"/>
              <w:jc w:val="center"/>
              <w:rPr>
                <w:color w:val="auto"/>
                <w:highlight w:val="none"/>
                <w:lang w:val="en-US"/>
              </w:rPr>
            </w:pPr>
            <w:r>
              <w:rPr>
                <w:rFonts w:hint="eastAsia"/>
                <w:color w:val="auto"/>
                <w:highlight w:val="none"/>
                <w:lang w:val="en-US"/>
              </w:rPr>
              <w:t>重新招标的其他情形</w:t>
            </w:r>
          </w:p>
        </w:tc>
        <w:tc>
          <w:tcPr>
            <w:tcW w:w="5954" w:type="dxa"/>
            <w:noWrap w:val="0"/>
            <w:vAlign w:val="center"/>
          </w:tcPr>
          <w:p>
            <w:pPr>
              <w:adjustRightInd/>
              <w:spacing w:line="360" w:lineRule="auto"/>
              <w:jc w:val="both"/>
              <w:rPr>
                <w:rFonts w:ascii="宋体" w:hAnsi="宋体" w:cs="宋体"/>
                <w:color w:val="auto"/>
                <w:highlight w:val="none"/>
              </w:rPr>
            </w:pPr>
            <w:r>
              <w:rPr>
                <w:rFonts w:hint="eastAsia" w:ascii="宋体" w:hAnsi="宋体" w:cs="宋体"/>
                <w:color w:val="auto"/>
                <w:highlight w:val="none"/>
              </w:rPr>
              <w:t>1.招标投标过程中，因项目发生变更，现有招标资格条件与项目工程规模不符的；</w:t>
            </w:r>
          </w:p>
          <w:p>
            <w:pPr>
              <w:adjustRightInd/>
              <w:spacing w:line="360" w:lineRule="auto"/>
              <w:jc w:val="both"/>
              <w:rPr>
                <w:rFonts w:ascii="宋体" w:hAnsi="宋体" w:cs="宋体"/>
                <w:color w:val="auto"/>
                <w:highlight w:val="none"/>
              </w:rPr>
            </w:pPr>
            <w:r>
              <w:rPr>
                <w:rFonts w:hint="eastAsia" w:ascii="宋体" w:hAnsi="宋体" w:cs="宋体"/>
                <w:color w:val="auto"/>
                <w:highlight w:val="none"/>
              </w:rPr>
              <w:t>2.国有资金占控股或者主导地位的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pPr>
              <w:pStyle w:val="40"/>
              <w:adjustRightInd/>
              <w:spacing w:line="360" w:lineRule="auto"/>
              <w:ind w:right="34" w:rightChars="14"/>
              <w:jc w:val="both"/>
              <w:rPr>
                <w:color w:val="auto"/>
                <w:highlight w:val="none"/>
              </w:rPr>
            </w:pPr>
            <w:r>
              <w:rPr>
                <w:rFonts w:hint="eastAsia"/>
                <w:color w:val="auto"/>
                <w:highlight w:val="none"/>
              </w:rPr>
              <w:t>3.法律法规规定的其他情形。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8.2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不再招标的情形</w:t>
            </w:r>
          </w:p>
        </w:tc>
        <w:tc>
          <w:tcPr>
            <w:tcW w:w="5954" w:type="dxa"/>
            <w:noWrap w:val="0"/>
            <w:vAlign w:val="center"/>
          </w:tcPr>
          <w:p>
            <w:pPr>
              <w:pStyle w:val="40"/>
              <w:adjustRightInd/>
              <w:spacing w:line="360" w:lineRule="auto"/>
              <w:ind w:right="34" w:rightChars="14"/>
              <w:jc w:val="both"/>
              <w:rPr>
                <w:color w:val="auto"/>
                <w:highlight w:val="none"/>
              </w:rPr>
            </w:pPr>
            <w:r>
              <w:rPr>
                <w:rFonts w:hint="eastAsia"/>
                <w:color w:val="auto"/>
                <w:highlight w:val="none"/>
              </w:rPr>
              <w:t>重新招标后投标人仍少于3个的，属于必须审批、核准的工程建设项目，报经原审批、核准部门审批、核准后可以不再进行招标。（其他项目由行政监督部门进行核定）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10.1</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否决投标的情形</w:t>
            </w:r>
          </w:p>
        </w:tc>
        <w:tc>
          <w:tcPr>
            <w:tcW w:w="5954" w:type="dxa"/>
            <w:noWrap w:val="0"/>
            <w:vAlign w:val="center"/>
          </w:tcPr>
          <w:p>
            <w:pPr>
              <w:pStyle w:val="40"/>
              <w:adjustRightInd/>
              <w:spacing w:line="360" w:lineRule="auto"/>
              <w:ind w:right="34" w:rightChars="14"/>
              <w:jc w:val="both"/>
              <w:rPr>
                <w:rFonts w:hint="eastAsia" w:ascii="宋体" w:hAnsi="宋体" w:eastAsia="宋体" w:cs="宋体"/>
                <w:color w:val="auto"/>
                <w:highlight w:val="none"/>
                <w:lang w:val="en-US" w:bidi="ar-SA"/>
              </w:rPr>
            </w:pPr>
            <w:r>
              <w:rPr>
                <w:rFonts w:hint="eastAsia" w:ascii="宋体" w:hAnsi="宋体" w:eastAsia="宋体" w:cs="宋体"/>
                <w:color w:val="auto"/>
                <w:highlight w:val="none"/>
                <w:lang w:val="en-US" w:bidi="ar-SA"/>
              </w:rPr>
              <w:t>1.凡评标委员会拟作出否决投标决定的，应先向投标人进行书面或电话询问核实。未进行询问核实程序的，不得做出否决投标决定，投标人放弃接受询问核实机会的除外。投标人应自行关注评标委员会发出的澄清（网上系统通知或招标人及招标代理的通知）并及时答复，在发出书面或电话通知后30分钟内投标人不参加核实或不予答复的，视为放弃接受询问核实机会。投标人通讯不畅通，导致不能及时联系的，视为放弃接受询问核实机会。注：评标委员会发出的澄清，可以是书面文件，也可以是电话询问。</w:t>
            </w:r>
          </w:p>
          <w:p>
            <w:pPr>
              <w:pStyle w:val="40"/>
              <w:adjustRightInd/>
              <w:spacing w:line="360" w:lineRule="auto"/>
              <w:ind w:right="34" w:rightChars="14"/>
              <w:jc w:val="both"/>
              <w:rPr>
                <w:color w:val="auto"/>
                <w:highlight w:val="none"/>
              </w:rPr>
            </w:pPr>
            <w:r>
              <w:rPr>
                <w:rFonts w:hint="eastAsia"/>
                <w:color w:val="auto"/>
                <w:highlight w:val="none"/>
                <w:lang w:val="en-US" w:bidi="ar-SA"/>
              </w:rPr>
              <w:t>2.投标文件存在以下情形之一的，由评标委员会审核并经过询标程序，</w:t>
            </w:r>
            <w:r>
              <w:rPr>
                <w:rFonts w:hint="eastAsia"/>
                <w:color w:val="auto"/>
                <w:highlight w:val="none"/>
              </w:rPr>
              <w:t>其投标文件将被否决：</w:t>
            </w:r>
          </w:p>
          <w:p>
            <w:pPr>
              <w:pStyle w:val="40"/>
              <w:adjustRightInd/>
              <w:spacing w:line="360" w:lineRule="auto"/>
              <w:ind w:right="34" w:rightChars="14"/>
              <w:jc w:val="both"/>
              <w:rPr>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）符合性内容</w:t>
            </w:r>
          </w:p>
          <w:p>
            <w:pPr>
              <w:pStyle w:val="40"/>
              <w:adjustRightInd/>
              <w:spacing w:line="360" w:lineRule="auto"/>
              <w:ind w:right="34" w:rightChars="14"/>
              <w:jc w:val="both"/>
              <w:rPr>
                <w:color w:val="auto"/>
                <w:highlight w:val="none"/>
              </w:rPr>
            </w:pPr>
            <w:r>
              <w:rPr>
                <w:rFonts w:hint="eastAsia"/>
                <w:color w:val="auto"/>
                <w:highlight w:val="none"/>
              </w:rPr>
              <w:t>①投标人的营业执照、企业资质、项目负责人（含设计负责人、施工负责人）资格、安全生产许可证、业绩条件等条件和标准未满足招标文件实质性响应要求的（以投标人须知前附表第3.5款中“实质性响应招标文件”内容为准）；</w:t>
            </w:r>
          </w:p>
          <w:p>
            <w:pPr>
              <w:pStyle w:val="40"/>
              <w:adjustRightInd/>
              <w:spacing w:line="360" w:lineRule="auto"/>
              <w:ind w:right="34" w:rightChars="14"/>
              <w:jc w:val="both"/>
              <w:rPr>
                <w:color w:val="auto"/>
                <w:highlight w:val="none"/>
              </w:rPr>
            </w:pPr>
            <w:r>
              <w:rPr>
                <w:rFonts w:hint="eastAsia"/>
                <w:color w:val="auto"/>
                <w:highlight w:val="none"/>
              </w:rPr>
              <w:t>②投标文件未按招标文件规定的要求（以投标人须知前附表第3.7.3规定为准）签字或盖章的；</w:t>
            </w:r>
          </w:p>
          <w:p>
            <w:pPr>
              <w:pStyle w:val="40"/>
              <w:adjustRightInd/>
              <w:spacing w:line="360" w:lineRule="auto"/>
              <w:ind w:right="34" w:rightChars="14"/>
              <w:jc w:val="both"/>
              <w:rPr>
                <w:color w:val="auto"/>
                <w:highlight w:val="none"/>
              </w:rPr>
            </w:pPr>
            <w:r>
              <w:rPr>
                <w:rFonts w:hint="eastAsia"/>
                <w:color w:val="auto"/>
                <w:highlight w:val="none"/>
              </w:rPr>
              <w:t>③</w:t>
            </w:r>
            <w:r>
              <w:rPr>
                <w:rFonts w:hint="eastAsia"/>
                <w:color w:val="auto"/>
                <w:highlight w:val="none"/>
                <w:lang w:val="en-US" w:eastAsia="zh-CN"/>
              </w:rPr>
              <w:t>法定代表人</w:t>
            </w:r>
            <w:r>
              <w:rPr>
                <w:rFonts w:hint="eastAsia"/>
                <w:color w:val="auto"/>
                <w:highlight w:val="none"/>
              </w:rPr>
              <w:t>授权委托代理人参加投标或签署书面文件的，委托代理人无有效的授权委托书；</w:t>
            </w:r>
          </w:p>
          <w:p>
            <w:pPr>
              <w:pStyle w:val="40"/>
              <w:adjustRightInd/>
              <w:spacing w:line="360" w:lineRule="auto"/>
              <w:ind w:right="34" w:rightChars="14"/>
              <w:jc w:val="both"/>
              <w:rPr>
                <w:color w:val="auto"/>
                <w:highlight w:val="none"/>
              </w:rPr>
            </w:pPr>
            <w:r>
              <w:rPr>
                <w:rFonts w:hint="eastAsia"/>
                <w:color w:val="auto"/>
                <w:highlight w:val="none"/>
              </w:rPr>
              <w:t>④投标文件载明的项目目标和范围，包括对项目的内容、范围、规模、功能、质量、安全、节约能源、生态环境保护、工期、验收等实质性内容达不到招标文件的要求；</w:t>
            </w:r>
          </w:p>
          <w:p>
            <w:pPr>
              <w:pStyle w:val="40"/>
              <w:adjustRightInd/>
              <w:spacing w:line="360" w:lineRule="auto"/>
              <w:ind w:right="34" w:rightChars="14"/>
              <w:jc w:val="both"/>
              <w:rPr>
                <w:color w:val="auto"/>
                <w:highlight w:val="none"/>
              </w:rPr>
            </w:pPr>
            <w:r>
              <w:rPr>
                <w:rFonts w:hint="eastAsia"/>
                <w:color w:val="auto"/>
                <w:highlight w:val="none"/>
              </w:rPr>
              <w:t>⑤</w:t>
            </w:r>
            <w:r>
              <w:rPr>
                <w:rFonts w:ascii="Times New Roman"/>
                <w:color w:val="auto"/>
                <w:highlight w:val="none"/>
              </w:rPr>
              <w:t>投标人未按照招标文件的要求提交投标保证金的</w:t>
            </w:r>
            <w:r>
              <w:rPr>
                <w:rFonts w:hint="eastAsia"/>
                <w:color w:val="auto"/>
                <w:highlight w:val="none"/>
              </w:rPr>
              <w:t>；</w:t>
            </w:r>
          </w:p>
          <w:p>
            <w:pPr>
              <w:pStyle w:val="40"/>
              <w:adjustRightInd/>
              <w:spacing w:line="360" w:lineRule="auto"/>
              <w:ind w:right="34" w:rightChars="14"/>
              <w:jc w:val="both"/>
              <w:rPr>
                <w:color w:val="auto"/>
                <w:highlight w:val="none"/>
              </w:rPr>
            </w:pPr>
            <w:r>
              <w:rPr>
                <w:rFonts w:hint="eastAsia"/>
                <w:color w:val="auto"/>
                <w:highlight w:val="none"/>
              </w:rPr>
              <w:t>⑥投标人（投标人是联合体的，指联合体各方）存在投标须知</w:t>
            </w:r>
            <w:r>
              <w:rPr>
                <w:rFonts w:ascii="Times New Roman" w:cs="Times New Roman"/>
                <w:color w:val="auto"/>
                <w:highlight w:val="none"/>
              </w:rPr>
              <w:t>第</w:t>
            </w:r>
            <w:r>
              <w:rPr>
                <w:rFonts w:hint="eastAsia"/>
                <w:color w:val="auto"/>
                <w:highlight w:val="none"/>
                <w:lang w:val="en-US"/>
              </w:rPr>
              <w:t>1.4.3项</w:t>
            </w:r>
            <w:r>
              <w:rPr>
                <w:rFonts w:hint="eastAsia"/>
                <w:color w:val="auto"/>
                <w:highlight w:val="none"/>
              </w:rPr>
              <w:t>情形之一的；</w:t>
            </w:r>
          </w:p>
          <w:p>
            <w:pPr>
              <w:pStyle w:val="40"/>
              <w:adjustRightInd/>
              <w:spacing w:line="360" w:lineRule="auto"/>
              <w:ind w:right="34" w:rightChars="14"/>
              <w:jc w:val="both"/>
              <w:rPr>
                <w:color w:val="auto"/>
                <w:highlight w:val="none"/>
              </w:rPr>
            </w:pPr>
            <w:r>
              <w:rPr>
                <w:rFonts w:hint="eastAsia"/>
                <w:color w:val="auto"/>
                <w:highlight w:val="none"/>
              </w:rPr>
              <w:t>⑦投标人存在下列情行的：</w:t>
            </w:r>
          </w:p>
          <w:p>
            <w:pPr>
              <w:pStyle w:val="40"/>
              <w:adjustRightInd/>
              <w:spacing w:line="360" w:lineRule="auto"/>
              <w:ind w:right="34" w:rightChars="14"/>
              <w:jc w:val="both"/>
              <w:rPr>
                <w:color w:val="auto"/>
                <w:highlight w:val="none"/>
                <w:lang w:val="en-US"/>
              </w:rPr>
            </w:pPr>
            <w:r>
              <w:rPr>
                <w:rFonts w:hint="eastAsia"/>
                <w:color w:val="auto"/>
                <w:highlight w:val="none"/>
                <w:lang w:val="en-US"/>
              </w:rPr>
              <w:t>A.</w:t>
            </w:r>
            <w:r>
              <w:rPr>
                <w:rFonts w:hint="eastAsia"/>
                <w:color w:val="auto"/>
                <w:highlight w:val="none"/>
              </w:rPr>
              <w:sym w:font="Wingdings 2" w:char="0052"/>
            </w:r>
            <w:r>
              <w:rPr>
                <w:rFonts w:hint="eastAsia"/>
                <w:color w:val="auto"/>
                <w:highlight w:val="none"/>
              </w:rPr>
              <w:t>投</w:t>
            </w:r>
            <w:r>
              <w:rPr>
                <w:rFonts w:hint="eastAsia"/>
                <w:color w:val="auto"/>
                <w:highlight w:val="none"/>
                <w:lang w:val="en-US"/>
              </w:rPr>
              <w:t>标人或其拟派项目负责人、设计负责人、施工负责人</w:t>
            </w:r>
            <w:r>
              <w:rPr>
                <w:rFonts w:hint="eastAsia"/>
                <w:color w:val="auto"/>
                <w:highlight w:val="none"/>
              </w:rPr>
              <w:t>自</w:t>
            </w:r>
            <w:r>
              <w:rPr>
                <w:rFonts w:hint="eastAsia"/>
                <w:color w:val="auto"/>
                <w:highlight w:val="none"/>
                <w:u w:val="single"/>
                <w:lang w:val="en-US" w:eastAsia="zh-CN"/>
              </w:rPr>
              <w:t>2019</w:t>
            </w:r>
            <w:r>
              <w:rPr>
                <w:rFonts w:hint="eastAsia"/>
                <w:color w:val="auto"/>
                <w:highlight w:val="none"/>
              </w:rPr>
              <w:t>年</w:t>
            </w:r>
            <w:r>
              <w:rPr>
                <w:rFonts w:hint="eastAsia"/>
                <w:color w:val="auto"/>
                <w:highlight w:val="none"/>
                <w:u w:val="single"/>
                <w:lang w:val="en-US" w:eastAsia="zh-CN"/>
              </w:rPr>
              <w:t>7</w:t>
            </w:r>
            <w:r>
              <w:rPr>
                <w:rFonts w:hint="eastAsia"/>
                <w:color w:val="auto"/>
                <w:highlight w:val="none"/>
              </w:rPr>
              <w:t>月</w:t>
            </w:r>
            <w:r>
              <w:rPr>
                <w:rFonts w:hint="eastAsia"/>
                <w:color w:val="auto"/>
                <w:highlight w:val="none"/>
                <w:u w:val="single"/>
                <w:lang w:val="en-US" w:eastAsia="zh-CN"/>
              </w:rPr>
              <w:t>1</w:t>
            </w:r>
            <w:r>
              <w:rPr>
                <w:rFonts w:hint="eastAsia"/>
                <w:color w:val="auto"/>
                <w:highlight w:val="none"/>
              </w:rPr>
              <w:t>日起至投标截止日止，</w:t>
            </w:r>
            <w:r>
              <w:rPr>
                <w:rFonts w:hint="eastAsia"/>
                <w:color w:val="auto"/>
                <w:highlight w:val="none"/>
                <w:lang w:val="en-US"/>
              </w:rPr>
              <w:t>被列为失信被执行人或建筑市场失信黑名单或招标投标失信黑名单之一的；</w:t>
            </w:r>
          </w:p>
          <w:p>
            <w:pPr>
              <w:pStyle w:val="40"/>
              <w:adjustRightInd/>
              <w:spacing w:line="360" w:lineRule="auto"/>
              <w:ind w:right="34" w:rightChars="14"/>
              <w:jc w:val="both"/>
              <w:rPr>
                <w:color w:val="auto"/>
                <w:highlight w:val="none"/>
              </w:rPr>
            </w:pPr>
            <w:r>
              <w:rPr>
                <w:rFonts w:hint="eastAsia"/>
                <w:color w:val="auto"/>
                <w:highlight w:val="none"/>
                <w:lang w:val="en-US"/>
              </w:rPr>
              <w:t>B.</w:t>
            </w:r>
            <w:r>
              <w:rPr>
                <w:rFonts w:hint="eastAsia"/>
                <w:color w:val="auto"/>
                <w:highlight w:val="none"/>
              </w:rPr>
              <w:sym w:font="Wingdings 2" w:char="0052"/>
            </w:r>
            <w:r>
              <w:rPr>
                <w:rFonts w:hint="eastAsia"/>
                <w:color w:val="auto"/>
                <w:highlight w:val="none"/>
              </w:rPr>
              <w:t>投标人及其拟派项目负责人、施工负责人、设计负责人自</w:t>
            </w:r>
            <w:r>
              <w:rPr>
                <w:rFonts w:hint="eastAsia"/>
                <w:color w:val="auto"/>
                <w:highlight w:val="none"/>
                <w:u w:val="single"/>
                <w:lang w:val="en-US" w:eastAsia="zh-CN"/>
              </w:rPr>
              <w:t>2019</w:t>
            </w:r>
            <w:r>
              <w:rPr>
                <w:rFonts w:hint="eastAsia"/>
                <w:color w:val="auto"/>
                <w:highlight w:val="none"/>
              </w:rPr>
              <w:t>年</w:t>
            </w:r>
            <w:r>
              <w:rPr>
                <w:rFonts w:hint="eastAsia"/>
                <w:color w:val="auto"/>
                <w:highlight w:val="none"/>
                <w:u w:val="single"/>
                <w:lang w:val="en-US" w:eastAsia="zh-CN"/>
              </w:rPr>
              <w:t>7</w:t>
            </w:r>
            <w:r>
              <w:rPr>
                <w:rFonts w:hint="eastAsia"/>
                <w:color w:val="auto"/>
                <w:highlight w:val="none"/>
              </w:rPr>
              <w:t>月</w:t>
            </w:r>
            <w:r>
              <w:rPr>
                <w:rFonts w:hint="eastAsia"/>
                <w:color w:val="auto"/>
                <w:highlight w:val="none"/>
                <w:u w:val="single"/>
                <w:lang w:val="en-US" w:eastAsia="zh-CN"/>
              </w:rPr>
              <w:t>1</w:t>
            </w:r>
            <w:r>
              <w:rPr>
                <w:rFonts w:hint="eastAsia"/>
                <w:color w:val="auto"/>
                <w:highlight w:val="none"/>
              </w:rPr>
              <w:t>日起（以法院判决书生效日期为准）至投标截止日止存在行贿犯罪记录（以“中国裁判文书网”为准）。</w:t>
            </w:r>
          </w:p>
          <w:p>
            <w:pPr>
              <w:pStyle w:val="40"/>
              <w:adjustRightInd/>
              <w:spacing w:line="360" w:lineRule="auto"/>
              <w:ind w:right="34" w:rightChars="14"/>
              <w:jc w:val="both"/>
              <w:rPr>
                <w:color w:val="auto"/>
                <w:highlight w:val="none"/>
              </w:rPr>
            </w:pPr>
            <w:r>
              <w:rPr>
                <w:rFonts w:hint="eastAsia"/>
                <w:color w:val="auto"/>
                <w:highlight w:val="none"/>
              </w:rPr>
              <w:t>⑧投标人被有关行政监管部门通报限制投标（指有关行政监管部门通报限制投标人在招标项目所在地进行建筑、市政行业投标）且在限制期内的；</w:t>
            </w:r>
          </w:p>
          <w:p>
            <w:pPr>
              <w:pStyle w:val="40"/>
              <w:adjustRightInd/>
              <w:spacing w:line="360" w:lineRule="auto"/>
              <w:ind w:right="34" w:rightChars="14"/>
              <w:jc w:val="both"/>
              <w:rPr>
                <w:color w:val="auto"/>
                <w:highlight w:val="none"/>
              </w:rPr>
            </w:pPr>
            <w:r>
              <w:rPr>
                <w:rFonts w:hint="eastAsia"/>
                <w:color w:val="auto"/>
                <w:highlight w:val="none"/>
              </w:rPr>
              <w:t>⑨投标人未按照要求对投标文件进行澄清、说明或者补正的，评标委员会可以否决其投标；</w:t>
            </w:r>
          </w:p>
          <w:p>
            <w:pPr>
              <w:pStyle w:val="40"/>
              <w:adjustRightInd/>
              <w:spacing w:line="360" w:lineRule="auto"/>
              <w:ind w:right="34" w:rightChars="14"/>
              <w:jc w:val="both"/>
              <w:rPr>
                <w:color w:val="auto"/>
                <w:highlight w:val="none"/>
              </w:rPr>
            </w:pPr>
            <w:r>
              <w:rPr>
                <w:rFonts w:hint="eastAsia"/>
                <w:color w:val="auto"/>
                <w:highlight w:val="none"/>
              </w:rPr>
              <w:t>⑩拟派项目负责人、施工负责人在投标截止日前在其他在建合同工程上担任工程总承包项目负责人、工程总承包施工负责人或施工负责人的；</w:t>
            </w:r>
          </w:p>
          <w:p>
            <w:pPr>
              <w:pStyle w:val="40"/>
              <w:adjustRightInd/>
              <w:spacing w:line="360" w:lineRule="auto"/>
              <w:ind w:right="34" w:rightChars="14"/>
              <w:jc w:val="both"/>
              <w:rPr>
                <w:color w:val="auto"/>
                <w:highlight w:val="none"/>
              </w:rPr>
            </w:pPr>
            <w:r>
              <w:rPr>
                <w:rFonts w:hint="eastAsia"/>
                <w:color w:val="auto"/>
                <w:highlight w:val="none"/>
              </w:rPr>
              <w:t xml:space="preserve">⑪投标人名称或组织结构与开标时提供的不一致的； </w:t>
            </w:r>
          </w:p>
          <w:p>
            <w:pPr>
              <w:pStyle w:val="40"/>
              <w:adjustRightInd/>
              <w:spacing w:line="360" w:lineRule="auto"/>
              <w:ind w:right="34" w:rightChars="14"/>
              <w:jc w:val="both"/>
              <w:rPr>
                <w:color w:val="auto"/>
                <w:highlight w:val="none"/>
                <w:lang w:val="en-US"/>
              </w:rPr>
            </w:pPr>
            <w:r>
              <w:rPr>
                <w:rFonts w:hint="eastAsia"/>
                <w:color w:val="auto"/>
                <w:highlight w:val="none"/>
              </w:rPr>
              <w:t>⑫组成联合体投标的，投标文件未附联合体各方共同投标协议的</w:t>
            </w:r>
          </w:p>
          <w:p>
            <w:pPr>
              <w:pStyle w:val="40"/>
              <w:adjustRightInd/>
              <w:spacing w:line="360" w:lineRule="auto"/>
              <w:ind w:right="34" w:rightChars="14"/>
              <w:jc w:val="both"/>
              <w:rPr>
                <w:color w:val="auto"/>
                <w:highlight w:val="none"/>
              </w:rPr>
            </w:pPr>
            <w:r>
              <w:rPr>
                <w:rFonts w:hint="eastAsia"/>
                <w:color w:val="auto"/>
                <w:highlight w:val="none"/>
                <w:lang w:val="en-US"/>
              </w:rPr>
              <w:t>⑬</w:t>
            </w:r>
            <w:r>
              <w:rPr>
                <w:rFonts w:hint="eastAsia"/>
                <w:color w:val="auto"/>
                <w:highlight w:val="none"/>
              </w:rPr>
              <w:sym w:font="Wingdings 2" w:char="00A3"/>
            </w:r>
            <w:r>
              <w:rPr>
                <w:rFonts w:hint="eastAsia"/>
                <w:color w:val="auto"/>
                <w:highlight w:val="none"/>
              </w:rPr>
              <w:t>投标人提供的纸质投标文件水印码与电子投标文件不一致的；</w:t>
            </w:r>
          </w:p>
          <w:p>
            <w:pPr>
              <w:pStyle w:val="40"/>
              <w:adjustRightInd/>
              <w:spacing w:line="360" w:lineRule="auto"/>
              <w:ind w:right="34" w:rightChars="14"/>
              <w:jc w:val="both"/>
              <w:rPr>
                <w:color w:val="auto"/>
                <w:highlight w:val="none"/>
              </w:rPr>
            </w:pPr>
            <w:r>
              <w:rPr>
                <w:rFonts w:hint="eastAsia"/>
                <w:color w:val="auto"/>
                <w:highlight w:val="none"/>
              </w:rPr>
              <w:t>⑭评标委员会评标中，发现投标人有下列情形之一的，且经询标澄清投标人无令人信服的理由和可靠证据证明其合理性的，经半数以上成员确认，其投标文件按否决投标处理，不再对其进行评审，也不影响招标工程继续评标。评标结束后，评标委员会应将有串通投标嫌疑的投标文件以及相关评标分析材料及时移交招标投标行政监督部门作进一步的调查处理，即使最终无法认定串通投标行为成立，也不影响对其按否决投标处理的结果。</w:t>
            </w:r>
          </w:p>
          <w:p>
            <w:pPr>
              <w:pStyle w:val="40"/>
              <w:adjustRightInd/>
              <w:spacing w:line="360" w:lineRule="auto"/>
              <w:ind w:right="34" w:rightChars="14"/>
              <w:jc w:val="both"/>
              <w:rPr>
                <w:color w:val="auto"/>
                <w:highlight w:val="none"/>
              </w:rPr>
            </w:pPr>
            <w:r>
              <w:rPr>
                <w:rFonts w:hint="eastAsia"/>
                <w:color w:val="auto"/>
                <w:highlight w:val="none"/>
                <w:lang w:val="en-US"/>
              </w:rPr>
              <w:t>A.</w:t>
            </w:r>
            <w:r>
              <w:rPr>
                <w:rFonts w:hint="eastAsia"/>
                <w:color w:val="auto"/>
                <w:highlight w:val="none"/>
              </w:rPr>
              <w:t>不同投标人的投标文件由同一单位或者个人编制；</w:t>
            </w:r>
          </w:p>
          <w:p>
            <w:pPr>
              <w:pStyle w:val="40"/>
              <w:adjustRightInd/>
              <w:spacing w:line="360" w:lineRule="auto"/>
              <w:ind w:right="34" w:rightChars="14"/>
              <w:jc w:val="both"/>
              <w:rPr>
                <w:color w:val="auto"/>
                <w:highlight w:val="none"/>
              </w:rPr>
            </w:pPr>
            <w:r>
              <w:rPr>
                <w:rFonts w:hint="eastAsia"/>
                <w:color w:val="auto"/>
                <w:highlight w:val="none"/>
                <w:lang w:val="en-US"/>
              </w:rPr>
              <w:t>B.</w:t>
            </w:r>
            <w:r>
              <w:rPr>
                <w:rFonts w:hint="eastAsia"/>
                <w:color w:val="auto"/>
                <w:highlight w:val="none"/>
              </w:rPr>
              <w:t>不同投标人的投标文件的文件检测码或制作码或创建码相同；</w:t>
            </w:r>
          </w:p>
          <w:p>
            <w:pPr>
              <w:pStyle w:val="40"/>
              <w:adjustRightInd/>
              <w:spacing w:line="360" w:lineRule="auto"/>
              <w:ind w:right="34" w:rightChars="14"/>
              <w:jc w:val="both"/>
              <w:rPr>
                <w:color w:val="auto"/>
                <w:highlight w:val="none"/>
              </w:rPr>
            </w:pPr>
            <w:r>
              <w:rPr>
                <w:rFonts w:hint="eastAsia"/>
                <w:color w:val="auto"/>
                <w:highlight w:val="none"/>
                <w:lang w:val="en-US"/>
              </w:rPr>
              <w:t>C.</w:t>
            </w:r>
            <w:r>
              <w:rPr>
                <w:rFonts w:hint="eastAsia"/>
                <w:color w:val="auto"/>
                <w:highlight w:val="none"/>
              </w:rPr>
              <w:t>不同投标人委托同一单位或者个人办理投标事宜；</w:t>
            </w:r>
          </w:p>
          <w:p>
            <w:pPr>
              <w:pStyle w:val="40"/>
              <w:adjustRightInd/>
              <w:spacing w:line="360" w:lineRule="auto"/>
              <w:ind w:right="34" w:rightChars="14"/>
              <w:jc w:val="both"/>
              <w:rPr>
                <w:color w:val="auto"/>
                <w:highlight w:val="none"/>
              </w:rPr>
            </w:pPr>
            <w:r>
              <w:rPr>
                <w:rFonts w:hint="eastAsia"/>
                <w:color w:val="auto"/>
                <w:highlight w:val="none"/>
                <w:lang w:val="en-US"/>
              </w:rPr>
              <w:t>D.</w:t>
            </w:r>
            <w:r>
              <w:rPr>
                <w:rFonts w:hint="eastAsia"/>
                <w:color w:val="auto"/>
                <w:highlight w:val="none"/>
              </w:rPr>
              <w:t>投标文件的编制人接受同一工程招标人委托编制招标文件（含招标控制价），或接受其他投标人委托编制投标文件的；</w:t>
            </w:r>
          </w:p>
          <w:p>
            <w:pPr>
              <w:pStyle w:val="40"/>
              <w:adjustRightInd/>
              <w:spacing w:line="360" w:lineRule="auto"/>
              <w:ind w:right="34" w:rightChars="14"/>
              <w:jc w:val="both"/>
              <w:rPr>
                <w:color w:val="auto"/>
                <w:highlight w:val="none"/>
              </w:rPr>
            </w:pPr>
            <w:r>
              <w:rPr>
                <w:rFonts w:hint="eastAsia"/>
                <w:color w:val="auto"/>
                <w:highlight w:val="none"/>
                <w:lang w:val="en-US"/>
              </w:rPr>
              <w:t>E.</w:t>
            </w:r>
            <w:r>
              <w:rPr>
                <w:rFonts w:hint="eastAsia"/>
                <w:color w:val="auto"/>
                <w:highlight w:val="none"/>
              </w:rPr>
              <w:t>不同投标人从同一投标单位或者同一自然人的IP地址下载招标文件、上传投标文件、购买电子保函或参加投标的人员为同一标段其他投标人的在职人员；</w:t>
            </w:r>
          </w:p>
          <w:p>
            <w:pPr>
              <w:pStyle w:val="40"/>
              <w:adjustRightInd/>
              <w:spacing w:line="360" w:lineRule="auto"/>
              <w:ind w:right="34" w:rightChars="14"/>
              <w:jc w:val="both"/>
              <w:rPr>
                <w:color w:val="auto"/>
                <w:highlight w:val="none"/>
              </w:rPr>
            </w:pPr>
            <w:r>
              <w:rPr>
                <w:rFonts w:hint="eastAsia"/>
                <w:color w:val="auto"/>
                <w:highlight w:val="none"/>
                <w:lang w:val="en-US"/>
              </w:rPr>
              <w:t>F.</w:t>
            </w:r>
            <w:r>
              <w:rPr>
                <w:rFonts w:hint="eastAsia"/>
                <w:color w:val="auto"/>
                <w:highlight w:val="none"/>
              </w:rPr>
              <w:t>不同投标人的投标文件载明的项目管理成员为同一人；</w:t>
            </w:r>
          </w:p>
          <w:p>
            <w:pPr>
              <w:pStyle w:val="40"/>
              <w:adjustRightInd/>
              <w:spacing w:line="360" w:lineRule="auto"/>
              <w:ind w:right="34" w:rightChars="14"/>
              <w:jc w:val="both"/>
              <w:rPr>
                <w:color w:val="auto"/>
                <w:highlight w:val="none"/>
              </w:rPr>
            </w:pPr>
            <w:r>
              <w:rPr>
                <w:rFonts w:hint="eastAsia"/>
                <w:color w:val="auto"/>
                <w:highlight w:val="none"/>
                <w:lang w:val="en-US"/>
              </w:rPr>
              <w:t>G.</w:t>
            </w:r>
            <w:r>
              <w:rPr>
                <w:rFonts w:hint="eastAsia"/>
                <w:color w:val="auto"/>
                <w:highlight w:val="none"/>
              </w:rPr>
              <w:t>不同投标人的投标文件异常一致或者投标报价呈规律性差异；</w:t>
            </w:r>
          </w:p>
          <w:p>
            <w:pPr>
              <w:pStyle w:val="40"/>
              <w:adjustRightInd/>
              <w:spacing w:line="360" w:lineRule="auto"/>
              <w:ind w:right="34" w:rightChars="14"/>
              <w:jc w:val="both"/>
              <w:rPr>
                <w:color w:val="auto"/>
                <w:highlight w:val="none"/>
              </w:rPr>
            </w:pPr>
            <w:r>
              <w:rPr>
                <w:rFonts w:hint="eastAsia"/>
                <w:color w:val="auto"/>
                <w:highlight w:val="none"/>
                <w:lang w:val="en-US"/>
              </w:rPr>
              <w:t>H.</w:t>
            </w:r>
            <w:r>
              <w:rPr>
                <w:rFonts w:hint="eastAsia"/>
                <w:color w:val="auto"/>
                <w:highlight w:val="none"/>
              </w:rPr>
              <w:t>不同投标人的投标文件相互混装；</w:t>
            </w:r>
          </w:p>
          <w:p>
            <w:pPr>
              <w:pStyle w:val="40"/>
              <w:adjustRightInd/>
              <w:spacing w:line="360" w:lineRule="auto"/>
              <w:ind w:right="34" w:rightChars="14"/>
              <w:jc w:val="both"/>
              <w:rPr>
                <w:color w:val="auto"/>
                <w:highlight w:val="none"/>
              </w:rPr>
            </w:pPr>
            <w:r>
              <w:rPr>
                <w:rFonts w:hint="eastAsia"/>
                <w:color w:val="auto"/>
                <w:highlight w:val="none"/>
                <w:lang w:val="en-US"/>
              </w:rPr>
              <w:t>I.</w:t>
            </w:r>
            <w:r>
              <w:rPr>
                <w:rFonts w:hint="eastAsia"/>
                <w:color w:val="auto"/>
                <w:highlight w:val="none"/>
              </w:rPr>
              <w:t>不同投标人的投标保证金从同一单位或者个人的账户转出，或者通过同一单位、个人的账户购买电子保函、担保、保险、银行保函；</w:t>
            </w:r>
          </w:p>
          <w:p>
            <w:pPr>
              <w:pStyle w:val="40"/>
              <w:adjustRightInd/>
              <w:spacing w:line="360" w:lineRule="auto"/>
              <w:ind w:right="34" w:rightChars="14"/>
              <w:jc w:val="both"/>
              <w:rPr>
                <w:color w:val="auto"/>
                <w:highlight w:val="none"/>
              </w:rPr>
            </w:pPr>
            <w:r>
              <w:rPr>
                <w:rFonts w:hint="eastAsia"/>
                <w:color w:val="auto"/>
                <w:highlight w:val="none"/>
                <w:lang w:val="en-US"/>
              </w:rPr>
              <w:t>J.</w:t>
            </w:r>
            <w:r>
              <w:rPr>
                <w:rFonts w:hint="eastAsia"/>
                <w:color w:val="auto"/>
                <w:highlight w:val="none"/>
              </w:rPr>
              <w:t>投标人之间协商投标报价等投标文件的实质性内容；</w:t>
            </w:r>
          </w:p>
          <w:p>
            <w:pPr>
              <w:pStyle w:val="40"/>
              <w:adjustRightInd/>
              <w:spacing w:line="360" w:lineRule="auto"/>
              <w:ind w:right="34" w:rightChars="14"/>
              <w:jc w:val="both"/>
              <w:rPr>
                <w:color w:val="auto"/>
                <w:highlight w:val="none"/>
              </w:rPr>
            </w:pPr>
            <w:r>
              <w:rPr>
                <w:rFonts w:hint="eastAsia"/>
                <w:color w:val="auto"/>
                <w:highlight w:val="none"/>
                <w:lang w:val="en-US"/>
              </w:rPr>
              <w:t>K.</w:t>
            </w:r>
            <w:r>
              <w:rPr>
                <w:rFonts w:hint="eastAsia"/>
                <w:color w:val="auto"/>
                <w:highlight w:val="none"/>
              </w:rPr>
              <w:t>投标人之间约定中标人；</w:t>
            </w:r>
          </w:p>
          <w:p>
            <w:pPr>
              <w:pStyle w:val="40"/>
              <w:adjustRightInd/>
              <w:spacing w:line="360" w:lineRule="auto"/>
              <w:ind w:right="34" w:rightChars="14"/>
              <w:jc w:val="both"/>
              <w:rPr>
                <w:color w:val="auto"/>
                <w:highlight w:val="none"/>
              </w:rPr>
            </w:pPr>
            <w:r>
              <w:rPr>
                <w:rFonts w:hint="eastAsia"/>
                <w:color w:val="auto"/>
                <w:highlight w:val="none"/>
                <w:lang w:val="en-US"/>
              </w:rPr>
              <w:t>L.</w:t>
            </w:r>
            <w:r>
              <w:rPr>
                <w:rFonts w:hint="eastAsia"/>
                <w:color w:val="auto"/>
                <w:highlight w:val="none"/>
              </w:rPr>
              <w:t>投标人之间约定部分投标人放弃投标或者中标；</w:t>
            </w:r>
          </w:p>
          <w:p>
            <w:pPr>
              <w:pStyle w:val="40"/>
              <w:adjustRightInd/>
              <w:spacing w:line="360" w:lineRule="auto"/>
              <w:ind w:right="34" w:rightChars="14"/>
              <w:jc w:val="both"/>
              <w:rPr>
                <w:color w:val="auto"/>
                <w:highlight w:val="none"/>
              </w:rPr>
            </w:pPr>
            <w:r>
              <w:rPr>
                <w:rFonts w:hint="eastAsia"/>
                <w:color w:val="auto"/>
                <w:highlight w:val="none"/>
                <w:lang w:val="en-US"/>
              </w:rPr>
              <w:t>N.</w:t>
            </w:r>
            <w:r>
              <w:rPr>
                <w:rFonts w:hint="eastAsia"/>
                <w:color w:val="auto"/>
                <w:highlight w:val="none"/>
              </w:rPr>
              <w:t>属于同一集团、协会、商会等组织成员的投标人按照该组织要求协同投标；</w:t>
            </w:r>
          </w:p>
          <w:p>
            <w:pPr>
              <w:pStyle w:val="40"/>
              <w:adjustRightInd/>
              <w:spacing w:line="360" w:lineRule="auto"/>
              <w:ind w:right="34" w:rightChars="14"/>
              <w:jc w:val="both"/>
              <w:rPr>
                <w:color w:val="auto"/>
                <w:highlight w:val="none"/>
              </w:rPr>
            </w:pPr>
            <w:r>
              <w:rPr>
                <w:rFonts w:hint="eastAsia"/>
                <w:color w:val="auto"/>
                <w:highlight w:val="none"/>
                <w:lang w:val="en-US"/>
              </w:rPr>
              <w:t>M.</w:t>
            </w:r>
            <w:r>
              <w:rPr>
                <w:rFonts w:hint="eastAsia"/>
                <w:color w:val="auto"/>
                <w:highlight w:val="none"/>
              </w:rPr>
              <w:t>投标人之间为谋取中标或者排斥特定投标人而采取的其他联合行动。</w:t>
            </w:r>
          </w:p>
          <w:p>
            <w:pPr>
              <w:pStyle w:val="40"/>
              <w:adjustRightInd/>
              <w:spacing w:line="360" w:lineRule="auto"/>
              <w:ind w:right="34" w:rightChars="14"/>
              <w:jc w:val="both"/>
              <w:rPr>
                <w:color w:val="auto"/>
                <w:highlight w:val="none"/>
              </w:rPr>
            </w:pPr>
            <w:r>
              <w:rPr>
                <w:rFonts w:hint="eastAsia"/>
                <w:color w:val="auto"/>
                <w:highlight w:val="none"/>
                <w:lang w:val="en-US"/>
              </w:rPr>
              <w:t>⑮</w:t>
            </w:r>
            <w:r>
              <w:rPr>
                <w:rFonts w:hint="eastAsia"/>
                <w:color w:val="auto"/>
                <w:highlight w:val="none"/>
              </w:rPr>
              <w:t>其他：</w:t>
            </w:r>
          </w:p>
          <w:p>
            <w:pPr>
              <w:pStyle w:val="40"/>
              <w:adjustRightInd/>
              <w:spacing w:line="360" w:lineRule="auto"/>
              <w:ind w:right="34" w:rightChars="14"/>
              <w:jc w:val="both"/>
              <w:rPr>
                <w:color w:val="auto"/>
                <w:highlight w:val="none"/>
              </w:rPr>
            </w:pPr>
            <w:r>
              <w:rPr>
                <w:rFonts w:hint="eastAsia"/>
                <w:color w:val="auto"/>
                <w:highlight w:val="none"/>
                <w:lang w:val="en-US"/>
              </w:rPr>
              <w:t>A.</w:t>
            </w:r>
            <w:r>
              <w:rPr>
                <w:rFonts w:hint="eastAsia"/>
                <w:color w:val="auto"/>
                <w:highlight w:val="none"/>
              </w:rPr>
              <w:sym w:font="Wingdings 2" w:char="00A3"/>
            </w:r>
            <w:r>
              <w:rPr>
                <w:rFonts w:hint="eastAsia"/>
                <w:color w:val="auto"/>
                <w:highlight w:val="none"/>
              </w:rPr>
              <w:t>招标文件设置工程业绩作为资格条件的，若通过资格要求的投标人小于</w:t>
            </w:r>
            <w:r>
              <w:rPr>
                <w:rFonts w:hint="eastAsia"/>
                <w:color w:val="auto"/>
                <w:highlight w:val="none"/>
                <w:u w:val="single"/>
              </w:rPr>
              <w:t xml:space="preserve">    </w:t>
            </w:r>
            <w:r>
              <w:rPr>
                <w:rFonts w:hint="eastAsia"/>
                <w:color w:val="auto"/>
                <w:highlight w:val="none"/>
              </w:rPr>
              <w:t>家的</w:t>
            </w:r>
            <w:r>
              <w:rPr>
                <w:rFonts w:hint="eastAsia"/>
                <w:i/>
                <w:iCs/>
                <w:color w:val="auto"/>
                <w:highlight w:val="none"/>
              </w:rPr>
              <w:t>（家数由当地招投标主管部门确定）</w:t>
            </w:r>
            <w:r>
              <w:rPr>
                <w:rFonts w:hint="eastAsia"/>
                <w:color w:val="auto"/>
                <w:highlight w:val="none"/>
              </w:rPr>
              <w:t>，评标委员会应当否决所有投标。</w:t>
            </w:r>
          </w:p>
          <w:p>
            <w:pPr>
              <w:pStyle w:val="40"/>
              <w:adjustRightInd/>
              <w:spacing w:line="360" w:lineRule="auto"/>
              <w:ind w:right="34" w:rightChars="14"/>
              <w:jc w:val="both"/>
              <w:rPr>
                <w:color w:val="auto"/>
                <w:highlight w:val="none"/>
              </w:rPr>
            </w:pPr>
            <w:r>
              <w:rPr>
                <w:rFonts w:hint="eastAsia"/>
                <w:color w:val="auto"/>
                <w:highlight w:val="none"/>
                <w:lang w:val="en-US"/>
              </w:rPr>
              <w:t>B.</w:t>
            </w:r>
            <w:r>
              <w:rPr>
                <w:rFonts w:hint="eastAsia"/>
                <w:color w:val="auto"/>
                <w:highlight w:val="none"/>
              </w:rPr>
              <w:t>法律、法规、规章规定其他应否决投标的情形。</w:t>
            </w:r>
          </w:p>
          <w:p>
            <w:pPr>
              <w:pStyle w:val="17"/>
              <w:snapToGrid w:val="0"/>
              <w:spacing w:line="300" w:lineRule="auto"/>
              <w:jc w:val="both"/>
              <w:rPr>
                <w:rFonts w:ascii="Times New Roman" w:hAnsi="Times New Roman"/>
                <w:color w:val="auto"/>
                <w:highlight w:val="none"/>
              </w:rPr>
            </w:pPr>
            <w:r>
              <w:rPr>
                <w:rFonts w:hint="eastAsia" w:cs="宋体"/>
                <w:color w:val="auto"/>
                <w:highlight w:val="none"/>
              </w:rPr>
              <w:t>C.</w:t>
            </w:r>
            <w:r>
              <w:rPr>
                <w:rFonts w:ascii="Times New Roman"/>
                <w:color w:val="auto"/>
                <w:highlight w:val="none"/>
              </w:rPr>
              <w:t>其他：</w:t>
            </w:r>
            <w:r>
              <w:rPr>
                <w:rFonts w:ascii="Times New Roman" w:hAnsi="Times New Roman"/>
                <w:color w:val="auto"/>
                <w:highlight w:val="none"/>
                <w:u w:val="single"/>
              </w:rPr>
              <w:t xml:space="preserve">                            </w:t>
            </w:r>
            <w:r>
              <w:rPr>
                <w:rFonts w:ascii="Times New Roman"/>
                <w:color w:val="auto"/>
                <w:highlight w:val="none"/>
              </w:rPr>
              <w:t>。</w:t>
            </w:r>
          </w:p>
          <w:p>
            <w:pPr>
              <w:pStyle w:val="40"/>
              <w:adjustRightInd/>
              <w:spacing w:line="360" w:lineRule="auto"/>
              <w:ind w:right="34" w:rightChars="14"/>
              <w:jc w:val="both"/>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）技术性内容</w:t>
            </w:r>
          </w:p>
          <w:p>
            <w:pPr>
              <w:pStyle w:val="40"/>
              <w:adjustRightInd/>
              <w:spacing w:line="360" w:lineRule="auto"/>
              <w:ind w:right="34" w:rightChars="14"/>
              <w:jc w:val="both"/>
              <w:rPr>
                <w:color w:val="auto"/>
                <w:highlight w:val="none"/>
              </w:rPr>
            </w:pPr>
            <w:r>
              <w:rPr>
                <w:rFonts w:hint="eastAsia"/>
                <w:color w:val="auto"/>
                <w:highlight w:val="none"/>
              </w:rPr>
              <w:t>①投标文件的设计深度、技术指标、技术标准、工艺流程等未响应招标文件规定的实质性内容的，具体内容如下：</w:t>
            </w:r>
          </w:p>
          <w:p>
            <w:pPr>
              <w:pStyle w:val="40"/>
              <w:adjustRightInd/>
              <w:spacing w:line="360" w:lineRule="auto"/>
              <w:ind w:right="34" w:rightChars="14"/>
              <w:jc w:val="both"/>
              <w:rPr>
                <w:color w:val="auto"/>
                <w:highlight w:val="none"/>
                <w:u w:val="single"/>
              </w:rPr>
            </w:pPr>
            <w:r>
              <w:rPr>
                <w:rFonts w:hint="eastAsia"/>
                <w:i/>
                <w:iCs/>
                <w:color w:val="auto"/>
                <w:highlight w:val="none"/>
                <w:u w:val="single"/>
              </w:rPr>
              <w:t>（由招标人确定）；</w:t>
            </w:r>
          </w:p>
          <w:p>
            <w:pPr>
              <w:pStyle w:val="40"/>
              <w:adjustRightInd/>
              <w:spacing w:line="360" w:lineRule="auto"/>
              <w:ind w:right="34" w:rightChars="14"/>
              <w:jc w:val="both"/>
              <w:rPr>
                <w:color w:val="auto"/>
                <w:highlight w:val="none"/>
              </w:rPr>
            </w:pPr>
            <w:r>
              <w:rPr>
                <w:rFonts w:hint="eastAsia"/>
                <w:color w:val="auto"/>
                <w:highlight w:val="none"/>
              </w:rPr>
              <w:t>②主要的施工技术方案或安全保障措施不可行的；</w:t>
            </w:r>
          </w:p>
          <w:p>
            <w:pPr>
              <w:pStyle w:val="40"/>
              <w:adjustRightInd/>
              <w:spacing w:line="360" w:lineRule="auto"/>
              <w:ind w:right="34" w:rightChars="14"/>
              <w:jc w:val="both"/>
              <w:rPr>
                <w:color w:val="auto"/>
                <w:highlight w:val="none"/>
              </w:rPr>
            </w:pPr>
            <w:r>
              <w:rPr>
                <w:rFonts w:hint="eastAsia"/>
                <w:color w:val="auto"/>
                <w:highlight w:val="none"/>
              </w:rPr>
              <w:t>③主要施工机械设备不能满足本工程需要的；</w:t>
            </w:r>
          </w:p>
          <w:p>
            <w:pPr>
              <w:pStyle w:val="40"/>
              <w:adjustRightInd/>
              <w:spacing w:line="360" w:lineRule="auto"/>
              <w:ind w:right="34" w:rightChars="14"/>
              <w:jc w:val="both"/>
              <w:rPr>
                <w:color w:val="auto"/>
                <w:highlight w:val="none"/>
              </w:rPr>
            </w:pPr>
            <w:r>
              <w:rPr>
                <w:rFonts w:hint="eastAsia"/>
                <w:color w:val="auto"/>
                <w:highlight w:val="none"/>
              </w:rPr>
              <w:t>④采用的验收标准或主要技术指标达不到国家强制性标准的；</w:t>
            </w:r>
          </w:p>
          <w:p>
            <w:pPr>
              <w:pStyle w:val="40"/>
              <w:adjustRightInd/>
              <w:spacing w:line="360" w:lineRule="auto"/>
              <w:ind w:right="34" w:rightChars="14"/>
              <w:jc w:val="both"/>
              <w:rPr>
                <w:color w:val="auto"/>
                <w:highlight w:val="none"/>
              </w:rPr>
            </w:pPr>
            <w:r>
              <w:rPr>
                <w:rFonts w:hint="eastAsia"/>
                <w:color w:val="auto"/>
                <w:highlight w:val="none"/>
              </w:rPr>
              <w:t>⑤采用的质量安全管理措施不能满足国家强制性标准或要求的；</w:t>
            </w:r>
          </w:p>
          <w:p>
            <w:pPr>
              <w:pStyle w:val="40"/>
              <w:adjustRightInd/>
              <w:spacing w:line="360" w:lineRule="auto"/>
              <w:ind w:right="34" w:rightChars="14"/>
              <w:jc w:val="both"/>
              <w:rPr>
                <w:color w:val="auto"/>
                <w:highlight w:val="none"/>
              </w:rPr>
            </w:pPr>
            <w:r>
              <w:rPr>
                <w:rFonts w:hint="eastAsia"/>
                <w:color w:val="auto"/>
                <w:highlight w:val="none"/>
              </w:rPr>
              <w:t>⑥存在法律、法规、规章规定的其它否决投标情况的；</w:t>
            </w:r>
          </w:p>
          <w:p>
            <w:pPr>
              <w:pStyle w:val="40"/>
              <w:adjustRightInd/>
              <w:spacing w:line="360" w:lineRule="auto"/>
              <w:ind w:right="34" w:rightChars="14"/>
              <w:jc w:val="both"/>
              <w:rPr>
                <w:color w:val="auto"/>
                <w:highlight w:val="none"/>
              </w:rPr>
            </w:pPr>
            <w:r>
              <w:rPr>
                <w:rFonts w:hint="eastAsia"/>
                <w:color w:val="auto"/>
                <w:highlight w:val="none"/>
              </w:rPr>
              <w:t>⑦其他：</w:t>
            </w:r>
            <w:r>
              <w:rPr>
                <w:rFonts w:hint="eastAsia"/>
                <w:color w:val="auto"/>
                <w:highlight w:val="none"/>
                <w:u w:val="single"/>
              </w:rPr>
              <w:t xml:space="preserve">             </w:t>
            </w:r>
            <w:r>
              <w:rPr>
                <w:rFonts w:hint="eastAsia"/>
                <w:color w:val="auto"/>
                <w:highlight w:val="none"/>
              </w:rPr>
              <w:t>。</w:t>
            </w:r>
          </w:p>
          <w:p>
            <w:pPr>
              <w:pStyle w:val="40"/>
              <w:adjustRightInd/>
              <w:spacing w:line="360" w:lineRule="auto"/>
              <w:ind w:right="34" w:rightChars="14"/>
              <w:jc w:val="both"/>
              <w:rPr>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）商务性内容</w:t>
            </w:r>
          </w:p>
          <w:p>
            <w:pPr>
              <w:pStyle w:val="40"/>
              <w:adjustRightInd/>
              <w:spacing w:line="360" w:lineRule="auto"/>
              <w:ind w:right="34" w:rightChars="14"/>
              <w:jc w:val="both"/>
              <w:rPr>
                <w:color w:val="auto"/>
                <w:highlight w:val="none"/>
              </w:rPr>
            </w:pPr>
            <w:r>
              <w:rPr>
                <w:rFonts w:hint="eastAsia"/>
                <w:color w:val="auto"/>
                <w:highlight w:val="none"/>
              </w:rPr>
              <w:t>①投标报价高于最高投标限价总价或</w:t>
            </w:r>
            <w:r>
              <w:rPr>
                <w:rFonts w:hint="eastAsia"/>
                <w:color w:val="auto"/>
                <w:highlight w:val="none"/>
                <w:lang w:val="en-US" w:eastAsia="zh-CN"/>
              </w:rPr>
              <w:t>低于风险控制价的，</w:t>
            </w:r>
            <w:r>
              <w:rPr>
                <w:rFonts w:hint="eastAsia"/>
                <w:color w:val="auto"/>
                <w:highlight w:val="none"/>
              </w:rPr>
              <w:t>分项</w:t>
            </w:r>
            <w:r>
              <w:rPr>
                <w:rFonts w:hint="eastAsia"/>
                <w:color w:val="auto"/>
                <w:highlight w:val="none"/>
                <w:lang w:val="en-US" w:eastAsia="zh-CN"/>
              </w:rPr>
              <w:t>高于</w:t>
            </w:r>
            <w:r>
              <w:rPr>
                <w:rFonts w:hint="eastAsia"/>
                <w:color w:val="auto"/>
                <w:highlight w:val="none"/>
              </w:rPr>
              <w:t>最高</w:t>
            </w:r>
            <w:r>
              <w:rPr>
                <w:rFonts w:hint="eastAsia"/>
                <w:color w:val="auto"/>
                <w:highlight w:val="none"/>
                <w:lang w:val="en-US" w:eastAsia="zh-CN"/>
              </w:rPr>
              <w:t>各分项</w:t>
            </w:r>
            <w:r>
              <w:rPr>
                <w:rFonts w:hint="eastAsia"/>
                <w:color w:val="auto"/>
                <w:highlight w:val="none"/>
              </w:rPr>
              <w:t>投标限价</w:t>
            </w:r>
            <w:r>
              <w:rPr>
                <w:rFonts w:hint="eastAsia"/>
                <w:color w:val="auto"/>
                <w:highlight w:val="none"/>
                <w:lang w:val="en-US" w:eastAsia="zh-CN"/>
              </w:rPr>
              <w:t>的</w:t>
            </w:r>
            <w:r>
              <w:rPr>
                <w:rFonts w:hint="eastAsia"/>
                <w:color w:val="auto"/>
                <w:highlight w:val="none"/>
              </w:rPr>
              <w:t>；</w:t>
            </w:r>
          </w:p>
          <w:p>
            <w:pPr>
              <w:pStyle w:val="40"/>
              <w:adjustRightInd/>
              <w:spacing w:line="360" w:lineRule="auto"/>
              <w:ind w:right="34" w:rightChars="14"/>
              <w:jc w:val="both"/>
              <w:rPr>
                <w:color w:val="auto"/>
                <w:highlight w:val="none"/>
              </w:rPr>
            </w:pPr>
            <w:r>
              <w:rPr>
                <w:rFonts w:hint="eastAsia"/>
                <w:color w:val="auto"/>
                <w:highlight w:val="none"/>
              </w:rPr>
              <w:t>②同一投标人递交两份或多份内容不同的投标文件，或在一份投标文件中对同一招标项目报有两个或多个报价，且未声明哪一个有效，按招标文件规定提交备选投标方案的除外；</w:t>
            </w:r>
          </w:p>
          <w:p>
            <w:pPr>
              <w:pStyle w:val="40"/>
              <w:adjustRightInd/>
              <w:spacing w:line="360" w:lineRule="auto"/>
              <w:ind w:right="34" w:rightChars="14"/>
              <w:jc w:val="both"/>
              <w:rPr>
                <w:color w:val="auto"/>
                <w:highlight w:val="none"/>
              </w:rPr>
            </w:pPr>
            <w:r>
              <w:rPr>
                <w:rFonts w:hint="eastAsia"/>
                <w:color w:val="auto"/>
                <w:highlight w:val="none"/>
              </w:rPr>
              <w:t>③投标文件中投标函或投标承诺书未按要求填写的；</w:t>
            </w:r>
          </w:p>
          <w:p>
            <w:pPr>
              <w:pStyle w:val="40"/>
              <w:adjustRightInd/>
              <w:spacing w:line="360" w:lineRule="auto"/>
              <w:ind w:right="34" w:rightChars="14"/>
              <w:jc w:val="both"/>
              <w:rPr>
                <w:color w:val="auto"/>
                <w:highlight w:val="none"/>
              </w:rPr>
            </w:pPr>
            <w:r>
              <w:rPr>
                <w:rFonts w:hint="eastAsia"/>
                <w:color w:val="auto"/>
                <w:highlight w:val="none"/>
              </w:rPr>
              <w:t>④未按招标文件提供的项目清单进行报价的（根据工程项目的施工组织方案，单独增列的项目除外）；</w:t>
            </w:r>
          </w:p>
          <w:p>
            <w:pPr>
              <w:pStyle w:val="40"/>
              <w:adjustRightInd/>
              <w:spacing w:line="360" w:lineRule="auto"/>
              <w:ind w:right="34" w:rightChars="14"/>
              <w:jc w:val="both"/>
              <w:rPr>
                <w:color w:val="auto"/>
                <w:highlight w:val="none"/>
              </w:rPr>
            </w:pPr>
            <w:r>
              <w:rPr>
                <w:rFonts w:hint="eastAsia"/>
                <w:color w:val="auto"/>
                <w:highlight w:val="none"/>
              </w:rPr>
              <w:t>⑤改变招标文件和项目清单明确的暂列金额或暂估价的；</w:t>
            </w:r>
          </w:p>
          <w:p>
            <w:pPr>
              <w:pStyle w:val="40"/>
              <w:adjustRightInd/>
              <w:spacing w:line="360" w:lineRule="auto"/>
              <w:ind w:right="34" w:rightChars="14"/>
              <w:jc w:val="both"/>
              <w:rPr>
                <w:color w:val="auto"/>
                <w:highlight w:val="none"/>
              </w:rPr>
            </w:pPr>
            <w:r>
              <w:rPr>
                <w:rFonts w:hint="eastAsia"/>
                <w:color w:val="auto"/>
                <w:highlight w:val="none"/>
              </w:rPr>
              <w:t>⑥</w:t>
            </w:r>
            <w:r>
              <w:rPr>
                <w:rFonts w:hint="eastAsia"/>
                <w:color w:val="auto"/>
                <w:highlight w:val="none"/>
              </w:rPr>
              <w:sym w:font="Wingdings 2" w:char="00A3"/>
            </w:r>
            <w:r>
              <w:rPr>
                <w:rFonts w:hint="eastAsia"/>
                <w:color w:val="auto"/>
                <w:highlight w:val="none"/>
              </w:rPr>
              <w:t>通过符合性审查的最低评标价比通过符合性审查的次低评标价低</w:t>
            </w:r>
            <w:r>
              <w:rPr>
                <w:rFonts w:hint="eastAsia"/>
                <w:color w:val="auto"/>
                <w:highlight w:val="none"/>
                <w:u w:val="single"/>
              </w:rPr>
              <w:t xml:space="preserve">  </w:t>
            </w:r>
            <w:r>
              <w:rPr>
                <w:rFonts w:hint="eastAsia"/>
                <w:color w:val="auto"/>
                <w:highlight w:val="none"/>
              </w:rPr>
              <w:t>%</w:t>
            </w:r>
            <w:r>
              <w:rPr>
                <w:rFonts w:hint="eastAsia"/>
                <w:i/>
                <w:iCs/>
                <w:color w:val="auto"/>
                <w:highlight w:val="none"/>
              </w:rPr>
              <w:t>（在5%-10%范围内，由招标人约定）</w:t>
            </w:r>
            <w:r>
              <w:rPr>
                <w:rFonts w:hint="eastAsia"/>
                <w:color w:val="auto"/>
                <w:highlight w:val="none"/>
              </w:rPr>
              <w:t>以上，且投标人对其报价不能充分说明理由，或提供的相关资料无法证明报价不低于其成本价的；</w:t>
            </w:r>
          </w:p>
          <w:p>
            <w:pPr>
              <w:pStyle w:val="40"/>
              <w:adjustRightInd/>
              <w:spacing w:line="360" w:lineRule="auto"/>
              <w:ind w:right="34" w:rightChars="14"/>
              <w:jc w:val="both"/>
              <w:rPr>
                <w:rFonts w:hint="eastAsia"/>
                <w:color w:val="auto"/>
                <w:highlight w:val="none"/>
              </w:rPr>
            </w:pPr>
            <w:r>
              <w:rPr>
                <w:rFonts w:hint="eastAsia"/>
                <w:color w:val="auto"/>
                <w:highlight w:val="none"/>
              </w:rPr>
              <w:t>⑦</w:t>
            </w:r>
            <w:r>
              <w:rPr>
                <w:rFonts w:hint="eastAsia" w:cs="仿宋"/>
                <w:color w:val="auto"/>
                <w:szCs w:val="21"/>
                <w:highlight w:val="none"/>
              </w:rPr>
              <w:t>解密后开标报价与投标文件-投标函中投标总价不一致的</w:t>
            </w:r>
            <w:r>
              <w:rPr>
                <w:rFonts w:hint="eastAsia"/>
                <w:color w:val="auto"/>
                <w:highlight w:val="none"/>
              </w:rPr>
              <w:t>。</w:t>
            </w:r>
          </w:p>
          <w:p>
            <w:pPr>
              <w:pStyle w:val="40"/>
              <w:adjustRightInd/>
              <w:spacing w:line="360" w:lineRule="auto"/>
              <w:ind w:right="34" w:rightChars="14"/>
              <w:jc w:val="both"/>
              <w:rPr>
                <w:rFonts w:hint="eastAsia"/>
                <w:color w:val="auto"/>
                <w:highlight w:val="none"/>
              </w:rPr>
            </w:pPr>
            <w:r>
              <w:rPr>
                <w:rFonts w:hint="eastAsia"/>
                <w:color w:val="auto"/>
                <w:highlight w:val="none"/>
              </w:rPr>
              <w:t>⑧</w:t>
            </w:r>
            <w:r>
              <w:rPr>
                <w:rFonts w:hint="eastAsia" w:cs="仿宋"/>
                <w:color w:val="auto"/>
                <w:szCs w:val="21"/>
                <w:highlight w:val="none"/>
              </w:rPr>
              <w:t>投标报价明细表中的投标总价与投标函中的投标总价不一致的</w:t>
            </w:r>
          </w:p>
          <w:p>
            <w:pPr>
              <w:pStyle w:val="40"/>
              <w:adjustRightInd/>
              <w:spacing w:line="360" w:lineRule="auto"/>
              <w:ind w:right="34" w:rightChars="14"/>
              <w:jc w:val="both"/>
              <w:rPr>
                <w:rFonts w:hint="eastAsia"/>
                <w:color w:val="auto"/>
                <w:highlight w:val="none"/>
              </w:rPr>
            </w:pPr>
            <w:r>
              <w:rPr>
                <w:rFonts w:hint="eastAsia"/>
                <w:color w:val="auto"/>
                <w:highlight w:val="none"/>
              </w:rPr>
              <w:t>⑨</w:t>
            </w:r>
            <w:r>
              <w:rPr>
                <w:rFonts w:hint="eastAsia" w:cs="仿宋"/>
                <w:color w:val="auto"/>
                <w:szCs w:val="21"/>
                <w:highlight w:val="none"/>
              </w:rPr>
              <w:t>投标人在《主要材料选用品牌一览表》中注明的品牌不是设定的推荐品牌的，但未提供相应的证明材料证明其满足设计要求且不低于推荐品牌档次的。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10.2</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异议与投诉</w:t>
            </w:r>
          </w:p>
        </w:tc>
        <w:tc>
          <w:tcPr>
            <w:tcW w:w="5954" w:type="dxa"/>
            <w:noWrap w:val="0"/>
            <w:vAlign w:val="center"/>
          </w:tcPr>
          <w:p>
            <w:pPr>
              <w:pStyle w:val="40"/>
              <w:adjustRightInd/>
              <w:spacing w:line="360" w:lineRule="auto"/>
              <w:ind w:right="34" w:rightChars="14"/>
              <w:jc w:val="both"/>
              <w:rPr>
                <w:b/>
                <w:bCs/>
                <w:color w:val="auto"/>
                <w:highlight w:val="none"/>
              </w:rPr>
            </w:pPr>
            <w:r>
              <w:rPr>
                <w:rFonts w:hint="eastAsia"/>
                <w:b/>
                <w:bCs/>
                <w:color w:val="auto"/>
                <w:highlight w:val="none"/>
                <w:lang w:val="en-US"/>
              </w:rPr>
              <w:t>1.</w:t>
            </w:r>
            <w:r>
              <w:rPr>
                <w:rFonts w:hint="eastAsia"/>
                <w:b/>
                <w:bCs/>
                <w:color w:val="auto"/>
                <w:highlight w:val="none"/>
              </w:rPr>
              <w:t>异议：</w:t>
            </w:r>
          </w:p>
          <w:p>
            <w:pPr>
              <w:pStyle w:val="40"/>
              <w:adjustRightInd/>
              <w:spacing w:line="360" w:lineRule="auto"/>
              <w:ind w:right="34" w:rightChars="14"/>
              <w:jc w:val="both"/>
              <w:rPr>
                <w:color w:val="auto"/>
                <w:highlight w:val="none"/>
              </w:rPr>
            </w:pPr>
            <w:r>
              <w:rPr>
                <w:rFonts w:hint="eastAsia"/>
                <w:color w:val="auto"/>
                <w:highlight w:val="none"/>
              </w:rPr>
              <w:t>（</w:t>
            </w:r>
            <w:r>
              <w:rPr>
                <w:rFonts w:hint="eastAsia"/>
                <w:color w:val="auto"/>
                <w:spacing w:val="4"/>
                <w:highlight w:val="none"/>
                <w:lang w:val="en-US"/>
              </w:rPr>
              <w:t>1</w:t>
            </w:r>
            <w:r>
              <w:rPr>
                <w:rFonts w:hint="eastAsia"/>
                <w:color w:val="auto"/>
                <w:highlight w:val="none"/>
              </w:rPr>
              <w:t>）潜在投标人或者其他利害关系人对招标文件有异议</w:t>
            </w:r>
            <w:r>
              <w:rPr>
                <w:rFonts w:hint="eastAsia"/>
                <w:color w:val="auto"/>
                <w:spacing w:val="-12"/>
                <w:highlight w:val="none"/>
              </w:rPr>
              <w:t>的，应当在投标</w:t>
            </w:r>
            <w:r>
              <w:rPr>
                <w:rFonts w:hint="eastAsia"/>
                <w:color w:val="auto"/>
                <w:highlight w:val="none"/>
              </w:rPr>
              <w:t>截止时间10日前以书面形式向招标人提出。招标人将在收到异议之日起3日内做出书面答复；做出答复前，暂停招标投标活动；</w:t>
            </w:r>
          </w:p>
          <w:p>
            <w:pPr>
              <w:pStyle w:val="40"/>
              <w:adjustRightInd/>
              <w:spacing w:line="360" w:lineRule="auto"/>
              <w:ind w:right="34" w:rightChars="14"/>
              <w:jc w:val="both"/>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投标人认为开标不符合有关规定的，应当在开标现场通过交易中心电子招投标交易平台向招标人提出异议。招标人将当场对异议给予处理或者告知处理的办法。异议和答复应记入开标记录或者制作专门记录以存档备查；</w:t>
            </w:r>
          </w:p>
          <w:p>
            <w:pPr>
              <w:pStyle w:val="40"/>
              <w:adjustRightInd/>
              <w:spacing w:line="360" w:lineRule="auto"/>
              <w:ind w:right="34" w:rightChars="14"/>
              <w:jc w:val="both"/>
              <w:rPr>
                <w:color w:val="auto"/>
                <w:highlight w:val="none"/>
              </w:rPr>
            </w:pPr>
            <w:r>
              <w:rPr>
                <w:rFonts w:hint="eastAsia"/>
                <w:color w:val="auto"/>
                <w:highlight w:val="none"/>
              </w:rPr>
              <w:t>（</w:t>
            </w:r>
            <w:r>
              <w:rPr>
                <w:rFonts w:hint="eastAsia"/>
                <w:color w:val="auto"/>
                <w:spacing w:val="4"/>
                <w:highlight w:val="none"/>
                <w:lang w:val="en-US"/>
              </w:rPr>
              <w:t>3</w:t>
            </w:r>
            <w:r>
              <w:rPr>
                <w:rFonts w:hint="eastAsia"/>
                <w:color w:val="auto"/>
                <w:highlight w:val="none"/>
              </w:rPr>
              <w:t>）投标人及其他利害关系人对评标结果有异议的，应当在中标候选人公示期内以书面形式向招标人提出。招标人将</w:t>
            </w:r>
            <w:r>
              <w:rPr>
                <w:rFonts w:hint="eastAsia"/>
                <w:color w:val="auto"/>
                <w:spacing w:val="-5"/>
                <w:highlight w:val="none"/>
              </w:rPr>
              <w:t>在收到异议之日起</w:t>
            </w:r>
            <w:r>
              <w:rPr>
                <w:rFonts w:hint="eastAsia"/>
                <w:color w:val="auto"/>
                <w:highlight w:val="none"/>
              </w:rPr>
              <w:t>3</w:t>
            </w:r>
            <w:r>
              <w:rPr>
                <w:rFonts w:hint="eastAsia"/>
                <w:color w:val="auto"/>
                <w:spacing w:val="-6"/>
                <w:highlight w:val="none"/>
              </w:rPr>
              <w:t>日</w:t>
            </w:r>
            <w:r>
              <w:rPr>
                <w:rFonts w:hint="eastAsia"/>
                <w:color w:val="auto"/>
                <w:highlight w:val="none"/>
              </w:rPr>
              <w:t>内做出书面答复；做出答复前，暂停招标投标活动。</w:t>
            </w:r>
          </w:p>
          <w:p>
            <w:pPr>
              <w:pStyle w:val="40"/>
              <w:adjustRightInd/>
              <w:spacing w:line="360" w:lineRule="auto"/>
              <w:ind w:right="34" w:rightChars="14"/>
              <w:jc w:val="both"/>
              <w:rPr>
                <w:b/>
                <w:bCs/>
                <w:color w:val="auto"/>
                <w:highlight w:val="none"/>
              </w:rPr>
            </w:pPr>
            <w:r>
              <w:rPr>
                <w:rFonts w:hint="eastAsia"/>
                <w:b/>
                <w:bCs/>
                <w:color w:val="auto"/>
                <w:highlight w:val="none"/>
                <w:lang w:val="en-US"/>
              </w:rPr>
              <w:t>2.</w:t>
            </w:r>
            <w:r>
              <w:rPr>
                <w:rFonts w:hint="eastAsia"/>
                <w:b/>
                <w:bCs/>
                <w:color w:val="auto"/>
                <w:highlight w:val="none"/>
              </w:rPr>
              <w:t>投诉：</w:t>
            </w:r>
          </w:p>
          <w:p>
            <w:pPr>
              <w:pStyle w:val="40"/>
              <w:adjustRightInd/>
              <w:spacing w:line="360" w:lineRule="auto"/>
              <w:ind w:right="34" w:rightChars="14"/>
              <w:jc w:val="both"/>
              <w:rPr>
                <w:color w:val="auto"/>
                <w:highlight w:val="none"/>
              </w:rPr>
            </w:pPr>
            <w:r>
              <w:rPr>
                <w:rFonts w:hint="eastAsia"/>
                <w:color w:val="auto"/>
                <w:spacing w:val="11"/>
                <w:highlight w:val="none"/>
              </w:rPr>
              <w:t>（</w:t>
            </w:r>
            <w:r>
              <w:rPr>
                <w:rFonts w:hint="eastAsia"/>
                <w:color w:val="auto"/>
                <w:spacing w:val="11"/>
                <w:highlight w:val="none"/>
                <w:lang w:val="en-US"/>
              </w:rPr>
              <w:t>1</w:t>
            </w:r>
            <w:r>
              <w:rPr>
                <w:rFonts w:hint="eastAsia"/>
                <w:color w:val="auto"/>
                <w:spacing w:val="11"/>
                <w:highlight w:val="none"/>
              </w:rPr>
              <w:t>）投标</w:t>
            </w:r>
            <w:r>
              <w:rPr>
                <w:rFonts w:hint="eastAsia"/>
                <w:color w:val="auto"/>
                <w:highlight w:val="none"/>
              </w:rPr>
              <w:t>人或者其他利害关系人认为招标投标活动不符合法律、行政法规和招标文件规定的，可以自知道或者应当知道之日起10日内向有关行政监督部门投诉。投诉应当有明确的请求和必要的证明资料，具体要求按国家发改委等11号令《工程建设项目招标投标活动投诉处理办法》（国家发改委等七部委2004年第11号令）规定；</w:t>
            </w:r>
          </w:p>
          <w:p>
            <w:pPr>
              <w:pStyle w:val="40"/>
              <w:adjustRightInd/>
              <w:spacing w:line="360" w:lineRule="auto"/>
              <w:ind w:right="34" w:rightChars="14"/>
              <w:jc w:val="both"/>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）就招标文件、开标和评标结果投诉的，应当先向招标人提出异议，异议答复期不计算在前款规定的期限内；</w:t>
            </w:r>
          </w:p>
          <w:p>
            <w:pPr>
              <w:pStyle w:val="40"/>
              <w:adjustRightInd/>
              <w:spacing w:line="360" w:lineRule="auto"/>
              <w:ind w:right="34" w:rightChars="14"/>
              <w:jc w:val="both"/>
              <w:rPr>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）上述时限最后一日如遇国家法定休假日的，顺延至法定休假日后的第一个工作日；</w:t>
            </w:r>
          </w:p>
          <w:p>
            <w:pPr>
              <w:pStyle w:val="40"/>
              <w:adjustRightInd/>
              <w:spacing w:line="360" w:lineRule="auto"/>
              <w:ind w:right="34" w:rightChars="14"/>
              <w:jc w:val="both"/>
              <w:rPr>
                <w:rFonts w:hint="eastAsia"/>
                <w:color w:val="auto"/>
                <w:highlight w:val="none"/>
              </w:rPr>
            </w:pPr>
            <w:r>
              <w:rPr>
                <w:rFonts w:hint="eastAsia"/>
                <w:color w:val="auto"/>
                <w:highlight w:val="none"/>
              </w:rPr>
              <w:t>（</w:t>
            </w:r>
            <w:r>
              <w:rPr>
                <w:rFonts w:hint="eastAsia"/>
                <w:color w:val="auto"/>
                <w:highlight w:val="none"/>
                <w:lang w:val="en-US"/>
              </w:rPr>
              <w:t>4</w:t>
            </w:r>
            <w:r>
              <w:rPr>
                <w:rFonts w:hint="eastAsia"/>
                <w:color w:val="auto"/>
                <w:highlight w:val="none"/>
              </w:rPr>
              <w:t>）提出投诉的应当知道起始时间界定为：①对招标文件公告资格条件的投诉以下载招标文件的第一日为准；②对除公告资格条件外招标文件其他内容的投诉以招标文件下载最后一日为准；③对开标的投诉以开标时间为准；④对评标结果的投诉以中标候选人公示期的起始时间为准。</w:t>
            </w:r>
          </w:p>
          <w:p>
            <w:pPr>
              <w:pStyle w:val="40"/>
              <w:adjustRightInd/>
              <w:spacing w:line="360" w:lineRule="auto"/>
              <w:ind w:right="34" w:rightChars="14"/>
              <w:jc w:val="both"/>
              <w:rPr>
                <w:rFonts w:hint="eastAsia"/>
                <w:b/>
                <w:bCs/>
                <w:color w:val="auto"/>
                <w:highlight w:val="none"/>
                <w:lang w:val="en-US"/>
              </w:rPr>
            </w:pPr>
            <w:r>
              <w:rPr>
                <w:rFonts w:hint="eastAsia"/>
                <w:b/>
                <w:bCs/>
                <w:color w:val="auto"/>
                <w:highlight w:val="none"/>
                <w:lang w:val="en-US"/>
              </w:rPr>
              <w:t>3.恶意质疑或投诉</w:t>
            </w:r>
          </w:p>
          <w:p>
            <w:pPr>
              <w:pStyle w:val="40"/>
              <w:adjustRightInd/>
              <w:spacing w:line="360" w:lineRule="auto"/>
              <w:ind w:right="34" w:rightChars="14"/>
              <w:jc w:val="both"/>
              <w:rPr>
                <w:b/>
                <w:bCs/>
                <w:color w:val="auto"/>
                <w:highlight w:val="none"/>
              </w:rPr>
            </w:pPr>
            <w:r>
              <w:rPr>
                <w:rFonts w:hint="eastAsia" w:cs="仿宋"/>
                <w:color w:val="auto"/>
                <w:szCs w:val="21"/>
                <w:highlight w:val="none"/>
              </w:rPr>
              <w:t>对招投标过程中, 投标单位出现恶意质疑或投诉行为（如： 捏造事实伪造材料进行投诉、未按要求方式投诉、无实质证据恶意投诉或在网络等媒体上进行失实报道等）的，招标单位所属城市集团有权对该投标单位在城市集团及下属子公司所属项目的投标中业主评价分按零分处理，情节恶劣的有权拒绝该投标单位在城市集团及下属子公司所属项目中的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10.3</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定标</w:t>
            </w:r>
          </w:p>
        </w:tc>
        <w:tc>
          <w:tcPr>
            <w:tcW w:w="5954" w:type="dxa"/>
            <w:noWrap w:val="0"/>
            <w:vAlign w:val="center"/>
          </w:tcPr>
          <w:p>
            <w:pPr>
              <w:pStyle w:val="40"/>
              <w:adjustRightInd/>
              <w:spacing w:line="360" w:lineRule="auto"/>
              <w:ind w:right="34" w:rightChars="14"/>
              <w:jc w:val="both"/>
              <w:rPr>
                <w:color w:val="auto"/>
                <w:highlight w:val="none"/>
              </w:rPr>
            </w:pPr>
            <w:r>
              <w:rPr>
                <w:rFonts w:hint="eastAsia"/>
                <w:color w:val="auto"/>
                <w:highlight w:val="none"/>
                <w:lang w:val="en-US"/>
              </w:rPr>
              <w:t>1.</w:t>
            </w:r>
            <w:r>
              <w:rPr>
                <w:rFonts w:hint="eastAsia"/>
                <w:color w:val="auto"/>
                <w:highlight w:val="none"/>
              </w:rPr>
              <w:t>招标人定标前，将查询拟中标人及拟派项目负责人、施工负责人及设计负责人自</w:t>
            </w:r>
            <w:r>
              <w:rPr>
                <w:rFonts w:hint="eastAsia"/>
                <w:color w:val="auto"/>
                <w:highlight w:val="none"/>
                <w:u w:val="single"/>
                <w:lang w:val="en-US" w:eastAsia="zh-CN"/>
              </w:rPr>
              <w:t>2019</w:t>
            </w:r>
            <w:r>
              <w:rPr>
                <w:rFonts w:hint="eastAsia"/>
                <w:color w:val="auto"/>
                <w:highlight w:val="none"/>
              </w:rPr>
              <w:t>年</w:t>
            </w:r>
            <w:r>
              <w:rPr>
                <w:rFonts w:hint="eastAsia"/>
                <w:color w:val="auto"/>
                <w:highlight w:val="none"/>
                <w:u w:val="single"/>
                <w:lang w:val="en-US" w:eastAsia="zh-CN"/>
              </w:rPr>
              <w:t>7</w:t>
            </w:r>
            <w:r>
              <w:rPr>
                <w:rFonts w:hint="eastAsia"/>
                <w:color w:val="auto"/>
                <w:highlight w:val="none"/>
              </w:rPr>
              <w:t>月</w:t>
            </w:r>
            <w:r>
              <w:rPr>
                <w:rFonts w:hint="eastAsia"/>
                <w:color w:val="auto"/>
                <w:highlight w:val="none"/>
                <w:u w:val="single"/>
                <w:lang w:val="en-US" w:eastAsia="zh-CN"/>
              </w:rPr>
              <w:t>1</w:t>
            </w:r>
            <w:r>
              <w:rPr>
                <w:rFonts w:hint="eastAsia"/>
                <w:color w:val="auto"/>
                <w:highlight w:val="none"/>
              </w:rPr>
              <w:t>日起至投标截止日的行贿犯罪记录（以中国裁判文书网查询结果为准）。</w:t>
            </w:r>
          </w:p>
          <w:p>
            <w:pPr>
              <w:pStyle w:val="40"/>
              <w:adjustRightInd/>
              <w:spacing w:line="360" w:lineRule="auto"/>
              <w:ind w:left="108" w:right="34" w:rightChars="14" w:firstLine="480"/>
              <w:jc w:val="both"/>
              <w:rPr>
                <w:color w:val="auto"/>
                <w:highlight w:val="none"/>
              </w:rPr>
            </w:pPr>
            <w:r>
              <w:rPr>
                <w:rFonts w:hint="eastAsia"/>
                <w:color w:val="auto"/>
                <w:highlight w:val="none"/>
              </w:rPr>
              <w:t>有行贿犯罪记录的，取消其中标资格，招标人将按照评标委员会提出的中标候选人名单排序依次确定其他中标候选人为中标人或重新招标。</w:t>
            </w:r>
          </w:p>
          <w:p>
            <w:pPr>
              <w:pStyle w:val="40"/>
              <w:adjustRightInd/>
              <w:spacing w:line="360" w:lineRule="auto"/>
              <w:ind w:right="34" w:rightChars="14"/>
              <w:jc w:val="both"/>
              <w:rPr>
                <w:color w:val="auto"/>
                <w:highlight w:val="none"/>
              </w:rPr>
            </w:pPr>
            <w:r>
              <w:rPr>
                <w:rFonts w:hint="eastAsia"/>
                <w:color w:val="auto"/>
                <w:highlight w:val="none"/>
                <w:lang w:val="en-US"/>
              </w:rPr>
              <w:t>2.</w:t>
            </w:r>
            <w:r>
              <w:rPr>
                <w:rFonts w:hint="eastAsia"/>
                <w:color w:val="auto"/>
                <w:highlight w:val="none"/>
              </w:rPr>
              <w:t>招标人将在评标委员会推荐的中标候选人中确定排名</w:t>
            </w:r>
            <w:r>
              <w:rPr>
                <w:rFonts w:hint="eastAsia"/>
                <w:color w:val="auto"/>
                <w:spacing w:val="-4"/>
                <w:highlight w:val="none"/>
              </w:rPr>
              <w:t>第一的中标候选人为中标人。排名第一的中标候选人放弃中标、</w:t>
            </w:r>
            <w:r>
              <w:rPr>
                <w:rFonts w:hint="eastAsia"/>
                <w:color w:val="auto"/>
                <w:highlight w:val="none"/>
              </w:rPr>
              <w:t>因不可抗力不能履行合同、不按照招标文件要求提交履约保证金，或者被查实存在影响中标结果的违法行为等情形，不符合中标条件的，招标人将按照评标委员会提出的中标候选人名单排序依次确定其他中标候选人为中标人或重新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10.4</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在建合同工程的认定及变更证明</w:t>
            </w:r>
          </w:p>
        </w:tc>
        <w:tc>
          <w:tcPr>
            <w:tcW w:w="5954" w:type="dxa"/>
            <w:noWrap w:val="0"/>
            <w:vAlign w:val="center"/>
          </w:tcPr>
          <w:p>
            <w:pPr>
              <w:pStyle w:val="40"/>
              <w:adjustRightInd/>
              <w:spacing w:line="360" w:lineRule="auto"/>
              <w:jc w:val="both"/>
              <w:rPr>
                <w:color w:val="auto"/>
                <w:highlight w:val="none"/>
              </w:rPr>
            </w:pPr>
            <w:r>
              <w:rPr>
                <w:rFonts w:hint="eastAsia"/>
                <w:color w:val="auto"/>
                <w:highlight w:val="none"/>
                <w:lang w:val="en-US"/>
              </w:rPr>
              <w:t>1</w:t>
            </w:r>
            <w:r>
              <w:rPr>
                <w:rFonts w:hint="eastAsia"/>
                <w:color w:val="auto"/>
                <w:highlight w:val="none"/>
              </w:rPr>
              <w:t>.对项目负责人和施工负责人“有在建合同工程”的认定标准：</w:t>
            </w:r>
          </w:p>
          <w:p>
            <w:pPr>
              <w:pStyle w:val="40"/>
              <w:adjustRightInd/>
              <w:spacing w:line="360" w:lineRule="auto"/>
              <w:jc w:val="both"/>
              <w:rPr>
                <w:color w:val="auto"/>
                <w:highlight w:val="none"/>
              </w:rPr>
            </w:pPr>
            <w:r>
              <w:rPr>
                <w:rFonts w:hint="eastAsia"/>
                <w:color w:val="auto"/>
                <w:highlight w:val="none"/>
              </w:rPr>
              <w:t>（1）拟派项目负责人和施工负责人在投标截止时间尚有在其他在建合同工程中担任工程总承包项目负责人、工程总承包施工负责人或施工负责人的情形为“有在建合同工程”。</w:t>
            </w:r>
          </w:p>
          <w:p>
            <w:pPr>
              <w:pStyle w:val="40"/>
              <w:adjustRightInd/>
              <w:spacing w:line="360" w:lineRule="auto"/>
              <w:jc w:val="both"/>
              <w:rPr>
                <w:color w:val="auto"/>
                <w:highlight w:val="none"/>
              </w:rPr>
            </w:pPr>
            <w:r>
              <w:rPr>
                <w:rFonts w:hint="eastAsia"/>
                <w:color w:val="auto"/>
                <w:highlight w:val="none"/>
              </w:rPr>
              <w:t>（2）其他工程项目，包括在中华人民共和国境内所有建设工程，不受地域、行业和投资性质的限制。</w:t>
            </w:r>
          </w:p>
          <w:p>
            <w:pPr>
              <w:pStyle w:val="40"/>
              <w:adjustRightInd/>
              <w:spacing w:line="360" w:lineRule="auto"/>
              <w:jc w:val="both"/>
              <w:rPr>
                <w:color w:val="auto"/>
                <w:highlight w:val="none"/>
              </w:rPr>
            </w:pPr>
            <w:r>
              <w:rPr>
                <w:rFonts w:hint="eastAsia"/>
                <w:color w:val="auto"/>
                <w:highlight w:val="none"/>
              </w:rPr>
              <w:t>（3）在建合同工程的时间界定：在建合同工程的开始时间为合同工程中标通知书发出日期，或者不通过招标方式的则以合同签订日期为开始时间，结束时间为该合同工程验收合格或合同解除日期）。</w:t>
            </w:r>
          </w:p>
          <w:p>
            <w:pPr>
              <w:pStyle w:val="40"/>
              <w:adjustRightInd/>
              <w:spacing w:line="360" w:lineRule="auto"/>
              <w:jc w:val="both"/>
              <w:rPr>
                <w:color w:val="auto"/>
                <w:highlight w:val="none"/>
              </w:rPr>
            </w:pPr>
            <w:r>
              <w:rPr>
                <w:rFonts w:hint="eastAsia"/>
                <w:color w:val="auto"/>
                <w:highlight w:val="none"/>
              </w:rPr>
              <w:t>以下情形视为“有在建合同工程”：</w:t>
            </w:r>
          </w:p>
          <w:p>
            <w:pPr>
              <w:pStyle w:val="40"/>
              <w:adjustRightInd/>
              <w:spacing w:line="360" w:lineRule="auto"/>
              <w:jc w:val="both"/>
              <w:rPr>
                <w:color w:val="auto"/>
                <w:highlight w:val="none"/>
              </w:rPr>
            </w:pPr>
            <w:r>
              <w:rPr>
                <w:rFonts w:hint="eastAsia"/>
                <w:color w:val="auto"/>
                <w:highlight w:val="none"/>
              </w:rPr>
              <w:t>（1）合同协议书尚未签订的，中标通知书中载明的项目负责人；</w:t>
            </w:r>
          </w:p>
          <w:p>
            <w:pPr>
              <w:pStyle w:val="40"/>
              <w:adjustRightInd/>
              <w:spacing w:line="360" w:lineRule="auto"/>
              <w:jc w:val="both"/>
              <w:rPr>
                <w:color w:val="auto"/>
                <w:spacing w:val="-15"/>
                <w:highlight w:val="none"/>
              </w:rPr>
            </w:pPr>
            <w:r>
              <w:rPr>
                <w:rFonts w:hint="eastAsia"/>
                <w:color w:val="auto"/>
                <w:highlight w:val="none"/>
              </w:rPr>
              <w:t>（2）</w:t>
            </w:r>
            <w:r>
              <w:rPr>
                <w:rFonts w:hint="eastAsia"/>
                <w:color w:val="auto"/>
                <w:spacing w:val="-15"/>
                <w:highlight w:val="none"/>
              </w:rPr>
              <w:t>合同协议书已经签订，合同协议书中明确的项目负责人；</w:t>
            </w:r>
          </w:p>
          <w:p>
            <w:pPr>
              <w:pStyle w:val="40"/>
              <w:adjustRightInd/>
              <w:spacing w:line="360" w:lineRule="auto"/>
              <w:jc w:val="both"/>
              <w:rPr>
                <w:color w:val="auto"/>
                <w:highlight w:val="none"/>
              </w:rPr>
            </w:pPr>
            <w:r>
              <w:rPr>
                <w:rFonts w:hint="eastAsia"/>
                <w:color w:val="auto"/>
                <w:highlight w:val="none"/>
              </w:rPr>
              <w:t>（3）项目负责人和施工负责人发生更换的，以现任项目负责人和施工负责人视为有“在建合同工程”。</w:t>
            </w:r>
          </w:p>
          <w:p>
            <w:pPr>
              <w:pStyle w:val="40"/>
              <w:adjustRightInd/>
              <w:spacing w:line="360" w:lineRule="auto"/>
              <w:jc w:val="both"/>
              <w:rPr>
                <w:color w:val="auto"/>
                <w:highlight w:val="none"/>
              </w:rPr>
            </w:pPr>
            <w:r>
              <w:rPr>
                <w:rFonts w:hint="eastAsia"/>
                <w:color w:val="auto"/>
                <w:highlight w:val="none"/>
              </w:rPr>
              <w:t>2.在建项目的项目负责人和施工负责人办理更换后，投标时需提供的资料：</w:t>
            </w:r>
          </w:p>
          <w:p>
            <w:pPr>
              <w:pStyle w:val="40"/>
              <w:adjustRightInd/>
              <w:spacing w:line="360" w:lineRule="auto"/>
              <w:jc w:val="both"/>
              <w:rPr>
                <w:color w:val="auto"/>
                <w:highlight w:val="none"/>
              </w:rPr>
            </w:pPr>
            <w:r>
              <w:rPr>
                <w:rFonts w:hint="eastAsia"/>
                <w:color w:val="auto"/>
                <w:highlight w:val="none"/>
              </w:rPr>
              <w:t>（1）项目业主同意更换的证明；</w:t>
            </w:r>
          </w:p>
          <w:p>
            <w:pPr>
              <w:pStyle w:val="40"/>
              <w:adjustRightInd/>
              <w:spacing w:line="360" w:lineRule="auto"/>
              <w:jc w:val="both"/>
              <w:rPr>
                <w:color w:val="auto"/>
                <w:highlight w:val="none"/>
              </w:rPr>
            </w:pPr>
            <w:r>
              <w:rPr>
                <w:rFonts w:hint="eastAsia"/>
                <w:color w:val="auto"/>
                <w:highlight w:val="none"/>
              </w:rPr>
              <w:t>（2）原项目负责人和施工负责人在建项目信息有备案在建设主管部门的，应提供建设主管部门同意更换的证明或网上变更信息扫描件；</w:t>
            </w:r>
          </w:p>
          <w:p>
            <w:pPr>
              <w:pStyle w:val="40"/>
              <w:adjustRightInd/>
              <w:spacing w:line="360" w:lineRule="auto"/>
              <w:jc w:val="both"/>
              <w:rPr>
                <w:color w:val="auto"/>
                <w:highlight w:val="none"/>
              </w:rPr>
            </w:pPr>
            <w:r>
              <w:rPr>
                <w:rFonts w:hint="eastAsia"/>
                <w:color w:val="auto"/>
                <w:highlight w:val="none"/>
              </w:rPr>
              <w:t>3.在建合同工程和人员信息可参照全国和浙江省建筑市场监管与诚信信息平台发布的信息。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rPr>
            </w:pPr>
            <w:r>
              <w:rPr>
                <w:rFonts w:hint="eastAsia"/>
                <w:color w:val="auto"/>
                <w:highlight w:val="none"/>
              </w:rPr>
              <w:t>10.5</w:t>
            </w:r>
          </w:p>
        </w:tc>
        <w:tc>
          <w:tcPr>
            <w:tcW w:w="1768" w:type="dxa"/>
            <w:noWrap w:val="0"/>
            <w:vAlign w:val="center"/>
          </w:tcPr>
          <w:p>
            <w:pPr>
              <w:pStyle w:val="40"/>
              <w:adjustRightInd/>
              <w:spacing w:line="288" w:lineRule="auto"/>
              <w:ind w:right="178" w:rightChars="74" w:firstLine="31" w:firstLineChars="13"/>
              <w:jc w:val="center"/>
              <w:rPr>
                <w:color w:val="auto"/>
                <w:highlight w:val="none"/>
              </w:rPr>
            </w:pPr>
            <w:r>
              <w:rPr>
                <w:rFonts w:hint="eastAsia"/>
                <w:color w:val="auto"/>
                <w:highlight w:val="none"/>
              </w:rPr>
              <w:t>特殊说明</w:t>
            </w:r>
          </w:p>
        </w:tc>
        <w:tc>
          <w:tcPr>
            <w:tcW w:w="5954" w:type="dxa"/>
            <w:noWrap w:val="0"/>
            <w:vAlign w:val="center"/>
          </w:tcPr>
          <w:p>
            <w:pPr>
              <w:pStyle w:val="40"/>
              <w:numPr>
                <w:ilvl w:val="0"/>
                <w:numId w:val="5"/>
              </w:numPr>
              <w:adjustRightInd/>
              <w:spacing w:line="360" w:lineRule="auto"/>
              <w:ind w:right="34" w:rightChars="14"/>
              <w:jc w:val="both"/>
              <w:rPr>
                <w:color w:val="auto"/>
                <w:highlight w:val="none"/>
              </w:rPr>
            </w:pPr>
            <w:r>
              <w:rPr>
                <w:rFonts w:hint="eastAsia"/>
                <w:color w:val="auto"/>
                <w:highlight w:val="none"/>
              </w:rPr>
              <w:t>投标人投标函与投标函附录不一致的，以投标人投标函为准。</w:t>
            </w:r>
          </w:p>
          <w:p>
            <w:pPr>
              <w:pStyle w:val="40"/>
              <w:numPr>
                <w:ilvl w:val="0"/>
                <w:numId w:val="5"/>
              </w:numPr>
              <w:adjustRightInd/>
              <w:spacing w:line="360" w:lineRule="auto"/>
              <w:ind w:right="34" w:rightChars="14"/>
              <w:jc w:val="both"/>
              <w:rPr>
                <w:color w:val="auto"/>
                <w:highlight w:val="none"/>
              </w:rPr>
            </w:pPr>
            <w:r>
              <w:rPr>
                <w:rFonts w:hint="eastAsia"/>
                <w:color w:val="auto"/>
                <w:highlight w:val="none"/>
              </w:rPr>
              <w:t>其他：</w:t>
            </w:r>
            <w:r>
              <w:rPr>
                <w:rFonts w:hint="eastAsia"/>
                <w:color w:val="auto"/>
                <w:highlight w:val="none"/>
                <w:u w:val="single"/>
              </w:rPr>
              <w:t xml:space="preserve">                       </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noWrap w:val="0"/>
            <w:vAlign w:val="center"/>
          </w:tcPr>
          <w:p>
            <w:pPr>
              <w:pStyle w:val="40"/>
              <w:tabs>
                <w:tab w:val="left" w:pos="1100"/>
              </w:tabs>
              <w:adjustRightInd/>
              <w:spacing w:line="288" w:lineRule="auto"/>
              <w:ind w:left="10" w:right="125" w:rightChars="52" w:hanging="10"/>
              <w:jc w:val="center"/>
              <w:rPr>
                <w:color w:val="auto"/>
                <w:highlight w:val="none"/>
                <w:lang w:val="en-US"/>
              </w:rPr>
            </w:pPr>
            <w:bookmarkStart w:id="86" w:name="第二节_投标人须知"/>
            <w:bookmarkEnd w:id="86"/>
            <w:r>
              <w:rPr>
                <w:rFonts w:hint="eastAsia"/>
                <w:color w:val="auto"/>
                <w:highlight w:val="none"/>
                <w:lang w:val="en-US"/>
              </w:rPr>
              <w:t>10.6</w:t>
            </w:r>
          </w:p>
        </w:tc>
        <w:tc>
          <w:tcPr>
            <w:tcW w:w="1768" w:type="dxa"/>
            <w:noWrap w:val="0"/>
            <w:vAlign w:val="center"/>
          </w:tcPr>
          <w:p>
            <w:pPr>
              <w:pStyle w:val="40"/>
              <w:adjustRightInd/>
              <w:spacing w:line="288" w:lineRule="auto"/>
              <w:ind w:right="178" w:rightChars="74" w:firstLine="31" w:firstLineChars="13"/>
              <w:jc w:val="center"/>
              <w:rPr>
                <w:color w:val="auto"/>
                <w:highlight w:val="none"/>
                <w:lang w:val="en-US"/>
              </w:rPr>
            </w:pPr>
            <w:r>
              <w:rPr>
                <w:rFonts w:hint="eastAsia"/>
                <w:color w:val="auto"/>
                <w:highlight w:val="none"/>
                <w:lang w:val="en-US"/>
              </w:rPr>
              <w:t>其他</w:t>
            </w:r>
          </w:p>
        </w:tc>
        <w:tc>
          <w:tcPr>
            <w:tcW w:w="5954" w:type="dxa"/>
            <w:noWrap w:val="0"/>
            <w:vAlign w:val="center"/>
          </w:tcPr>
          <w:p>
            <w:pPr>
              <w:tabs>
                <w:tab w:val="left" w:pos="9360"/>
              </w:tabs>
              <w:adjustRightInd/>
              <w:spacing w:line="360" w:lineRule="auto"/>
              <w:jc w:val="both"/>
              <w:rPr>
                <w:rFonts w:ascii="宋体" w:hAnsi="宋体" w:cs="宋体"/>
                <w:iCs/>
                <w:color w:val="auto"/>
                <w:highlight w:val="none"/>
              </w:rPr>
            </w:pPr>
            <w:r>
              <w:rPr>
                <w:rFonts w:hint="eastAsia" w:ascii="宋体" w:hAnsi="宋体" w:cs="宋体"/>
                <w:iCs/>
                <w:color w:val="auto"/>
                <w:highlight w:val="none"/>
              </w:rPr>
              <w:t>1.本前附表是投标人须知正文内容的补充和细化，应当与正文内容一致。如本前附表与正文内容表述不一，以本前附表为准。</w:t>
            </w:r>
          </w:p>
          <w:p>
            <w:pPr>
              <w:tabs>
                <w:tab w:val="left" w:pos="9360"/>
              </w:tabs>
              <w:adjustRightInd/>
              <w:spacing w:line="360" w:lineRule="auto"/>
              <w:jc w:val="both"/>
              <w:rPr>
                <w:rFonts w:ascii="宋体" w:hAnsi="宋体" w:cs="宋体"/>
                <w:iCs/>
                <w:color w:val="auto"/>
                <w:highlight w:val="none"/>
              </w:rPr>
            </w:pPr>
            <w:r>
              <w:rPr>
                <w:rFonts w:hint="eastAsia" w:ascii="宋体" w:hAnsi="宋体" w:cs="宋体"/>
                <w:iCs/>
                <w:color w:val="auto"/>
                <w:highlight w:val="none"/>
              </w:rPr>
              <w:t>2.</w:t>
            </w:r>
            <w:r>
              <w:rPr>
                <w:rFonts w:hint="eastAsia" w:ascii="宋体" w:hAnsi="宋体" w:cs="宋体"/>
                <w:color w:val="auto"/>
                <w:highlight w:val="none"/>
              </w:rPr>
              <w:t>价款结算方式</w:t>
            </w:r>
            <w:r>
              <w:rPr>
                <w:rFonts w:hint="eastAsia" w:ascii="宋体" w:hAnsi="宋体" w:cs="宋体"/>
                <w:iCs/>
                <w:color w:val="auto"/>
                <w:highlight w:val="none"/>
              </w:rPr>
              <w:t>：</w:t>
            </w:r>
          </w:p>
          <w:p>
            <w:pPr>
              <w:tabs>
                <w:tab w:val="left" w:pos="9360"/>
              </w:tabs>
              <w:adjustRightInd/>
              <w:spacing w:line="360" w:lineRule="auto"/>
              <w:jc w:val="both"/>
              <w:rPr>
                <w:rFonts w:ascii="宋体" w:hAnsi="宋体" w:cs="宋体"/>
                <w:color w:val="auto"/>
                <w:highlight w:val="none"/>
              </w:rPr>
            </w:pPr>
            <w:r>
              <w:rPr>
                <w:rFonts w:hint="eastAsia" w:ascii="宋体" w:hAnsi="宋体" w:cs="宋体"/>
                <w:color w:val="auto"/>
                <w:highlight w:val="none"/>
              </w:rPr>
              <w:sym w:font="Wingdings 2" w:char="0052"/>
            </w:r>
            <w:r>
              <w:rPr>
                <w:rFonts w:hint="eastAsia" w:ascii="宋体" w:hAnsi="宋体" w:cs="宋体"/>
                <w:color w:val="auto"/>
                <w:highlight w:val="none"/>
              </w:rPr>
              <w:t>竣工后一次性结算</w:t>
            </w:r>
          </w:p>
          <w:p>
            <w:pPr>
              <w:tabs>
                <w:tab w:val="left" w:pos="9360"/>
              </w:tabs>
              <w:adjustRightInd/>
              <w:spacing w:line="360" w:lineRule="auto"/>
              <w:jc w:val="both"/>
              <w:rPr>
                <w:rFonts w:ascii="宋体" w:hAnsi="宋体" w:cs="宋体"/>
                <w:color w:val="auto"/>
                <w:highlight w:val="none"/>
              </w:rPr>
            </w:pPr>
            <w:r>
              <w:rPr>
                <w:rFonts w:hint="eastAsia" w:ascii="宋体" w:hAnsi="宋体" w:cs="宋体"/>
                <w:color w:val="auto"/>
                <w:highlight w:val="none"/>
              </w:rPr>
              <w:t>□施工过程分段结算</w:t>
            </w:r>
          </w:p>
          <w:p>
            <w:pPr>
              <w:tabs>
                <w:tab w:val="left" w:pos="9360"/>
              </w:tabs>
              <w:adjustRightInd/>
              <w:spacing w:line="360" w:lineRule="auto"/>
              <w:jc w:val="both"/>
              <w:rPr>
                <w:rFonts w:ascii="宋体" w:hAnsi="宋体" w:cs="宋体"/>
                <w:color w:val="auto"/>
                <w:highlight w:val="none"/>
              </w:rPr>
            </w:pPr>
            <w:r>
              <w:rPr>
                <w:rFonts w:hint="eastAsia" w:ascii="宋体" w:hAnsi="宋体" w:cs="宋体"/>
                <w:color w:val="auto"/>
                <w:highlight w:val="none"/>
              </w:rPr>
              <w:t>3.农民工工资保证金：</w:t>
            </w:r>
            <w:r>
              <w:rPr>
                <w:rFonts w:hint="eastAsia" w:ascii="宋体" w:hAnsi="宋体" w:cs="仿宋"/>
                <w:color w:val="auto"/>
                <w:szCs w:val="21"/>
                <w:highlight w:val="none"/>
              </w:rPr>
              <w:t>中标人在签订合同前须交纳《湖州市劳动工资支付应急保障金》，具体办理事项可咨询湖州市住房和城乡建设局办理，联系电话：0572-2053887。</w:t>
            </w:r>
          </w:p>
          <w:p>
            <w:pPr>
              <w:tabs>
                <w:tab w:val="left" w:pos="9360"/>
              </w:tabs>
              <w:adjustRightInd/>
              <w:spacing w:line="360" w:lineRule="auto"/>
              <w:jc w:val="both"/>
              <w:rPr>
                <w:rFonts w:ascii="宋体" w:hAnsi="宋体" w:cs="宋体"/>
                <w:color w:val="auto"/>
                <w:highlight w:val="none"/>
              </w:rPr>
            </w:pPr>
            <w:r>
              <w:rPr>
                <w:rFonts w:hint="eastAsia" w:ascii="宋体" w:hAnsi="宋体" w:cs="宋体"/>
                <w:color w:val="auto"/>
                <w:highlight w:val="none"/>
              </w:rPr>
              <w:t>4.投标人存在撤销投标文件和无正当理由放弃中标、不与招标人签订书面合同等情形或被行政部门查实存在违法行为，招标人重新招标的，招标人可以拒绝投标人再次投标该项目。</w:t>
            </w:r>
          </w:p>
          <w:p>
            <w:pPr>
              <w:pStyle w:val="46"/>
              <w:adjustRightInd/>
              <w:spacing w:line="360" w:lineRule="auto"/>
              <w:ind w:firstLine="0" w:firstLineChars="0"/>
              <w:jc w:val="both"/>
              <w:rPr>
                <w:rFonts w:ascii="宋体" w:hAnsi="宋体" w:cs="宋体"/>
                <w:color w:val="auto"/>
                <w:highlight w:val="none"/>
              </w:rPr>
            </w:pPr>
            <w:r>
              <w:rPr>
                <w:rFonts w:hint="eastAsia" w:ascii="宋体" w:hAnsi="宋体" w:cs="宋体"/>
                <w:color w:val="auto"/>
                <w:highlight w:val="none"/>
              </w:rPr>
              <w:t>5.中标单位如为未办理进浙备案的省外企业，须在获得中标通知书后签订合同前办理进浙备案相关手续。</w:t>
            </w:r>
          </w:p>
          <w:p>
            <w:pPr>
              <w:pStyle w:val="46"/>
              <w:adjustRightInd/>
              <w:spacing w:line="360" w:lineRule="auto"/>
              <w:ind w:firstLine="0" w:firstLineChars="0"/>
              <w:jc w:val="both"/>
              <w:rPr>
                <w:rFonts w:ascii="宋体" w:hAnsi="宋体" w:cs="宋体"/>
                <w:color w:val="auto"/>
                <w:highlight w:val="none"/>
              </w:rPr>
            </w:pPr>
            <w:r>
              <w:rPr>
                <w:rFonts w:hint="eastAsia" w:ascii="宋体" w:hAnsi="宋体" w:cs="宋体"/>
                <w:color w:val="auto"/>
                <w:highlight w:val="none"/>
              </w:rPr>
              <w:t>6.招标人要求中标人提供履约担保的，招标人也应当同时向中标人提供工程款支付担保。</w:t>
            </w:r>
          </w:p>
          <w:p>
            <w:pPr>
              <w:pStyle w:val="40"/>
              <w:adjustRightInd/>
              <w:spacing w:line="360" w:lineRule="auto"/>
              <w:jc w:val="both"/>
              <w:rPr>
                <w:i/>
                <w:iCs/>
                <w:color w:val="auto"/>
                <w:highlight w:val="none"/>
                <w:u w:val="single"/>
                <w:lang w:val="en-US"/>
              </w:rPr>
            </w:pPr>
            <w:r>
              <w:rPr>
                <w:rFonts w:hint="eastAsia"/>
                <w:color w:val="auto"/>
                <w:highlight w:val="none"/>
                <w:lang w:val="en-US"/>
              </w:rPr>
              <w:t>7.</w:t>
            </w:r>
            <w:r>
              <w:rPr>
                <w:rFonts w:hint="eastAsia"/>
                <w:color w:val="auto"/>
                <w:highlight w:val="none"/>
              </w:rPr>
              <w:t>其他：</w:t>
            </w:r>
            <w:r>
              <w:rPr>
                <w:rFonts w:hint="eastAsia"/>
                <w:color w:val="auto"/>
                <w:highlight w:val="none"/>
                <w:u w:val="single"/>
              </w:rPr>
              <w:t xml:space="preserve">                       </w:t>
            </w:r>
            <w:r>
              <w:rPr>
                <w:rFonts w:hint="eastAsia"/>
                <w:color w:val="auto"/>
                <w:highlight w:val="none"/>
              </w:rPr>
              <w:t>。</w:t>
            </w:r>
          </w:p>
        </w:tc>
      </w:tr>
    </w:tbl>
    <w:p>
      <w:pPr>
        <w:rPr>
          <w:rFonts w:ascii="宋体" w:hAnsi="宋体" w:cs="宋体"/>
          <w:b/>
          <w:color w:val="auto"/>
          <w:sz w:val="28"/>
          <w:highlight w:val="none"/>
        </w:rPr>
      </w:pPr>
      <w:bookmarkStart w:id="87" w:name="_bookmark3"/>
      <w:bookmarkEnd w:id="87"/>
    </w:p>
    <w:p>
      <w:pPr>
        <w:pStyle w:val="17"/>
        <w:rPr>
          <w:color w:val="auto"/>
          <w:highlight w:val="none"/>
        </w:rPr>
      </w:pPr>
      <w:r>
        <w:rPr>
          <w:color w:val="auto"/>
          <w:highlight w:val="none"/>
        </w:rPr>
        <w:br w:type="page"/>
      </w:r>
    </w:p>
    <w:p>
      <w:pPr>
        <w:tabs>
          <w:tab w:val="left" w:pos="1100"/>
        </w:tabs>
        <w:spacing w:before="105"/>
        <w:ind w:right="-53" w:rightChars="-22"/>
        <w:jc w:val="center"/>
        <w:outlineLvl w:val="1"/>
        <w:rPr>
          <w:rFonts w:ascii="宋体" w:hAnsi="宋体" w:cs="宋体"/>
          <w:b/>
          <w:color w:val="auto"/>
          <w:sz w:val="28"/>
          <w:highlight w:val="none"/>
        </w:rPr>
      </w:pPr>
      <w:bookmarkStart w:id="88" w:name="_Toc14962"/>
      <w:r>
        <w:rPr>
          <w:rFonts w:hint="eastAsia" w:ascii="宋体" w:hAnsi="宋体" w:cs="宋体"/>
          <w:b/>
          <w:color w:val="auto"/>
          <w:sz w:val="28"/>
          <w:highlight w:val="none"/>
        </w:rPr>
        <w:t>第二节 投标人须知</w:t>
      </w:r>
      <w:bookmarkEnd w:id="88"/>
    </w:p>
    <w:p>
      <w:pPr>
        <w:pStyle w:val="8"/>
        <w:keepNext w:val="0"/>
        <w:keepLines w:val="0"/>
        <w:numPr>
          <w:ilvl w:val="0"/>
          <w:numId w:val="6"/>
        </w:numPr>
        <w:tabs>
          <w:tab w:val="left" w:pos="1100"/>
          <w:tab w:val="left" w:pos="1629"/>
        </w:tabs>
        <w:adjustRightInd/>
        <w:spacing w:before="0" w:after="0" w:line="360" w:lineRule="auto"/>
        <w:ind w:left="19" w:leftChars="8" w:right="-53" w:rightChars="-22" w:firstLine="361" w:firstLineChars="150"/>
        <w:outlineLvl w:val="2"/>
        <w:rPr>
          <w:rFonts w:ascii="宋体" w:hAnsi="宋体" w:eastAsia="宋体" w:cs="宋体"/>
          <w:color w:val="auto"/>
          <w:sz w:val="24"/>
          <w:szCs w:val="24"/>
          <w:highlight w:val="none"/>
        </w:rPr>
      </w:pPr>
      <w:bookmarkStart w:id="89" w:name="_bookmark4"/>
      <w:bookmarkEnd w:id="89"/>
      <w:bookmarkStart w:id="90" w:name="_Toc31077"/>
      <w:r>
        <w:rPr>
          <w:rFonts w:hint="eastAsia" w:ascii="宋体" w:hAnsi="宋体" w:eastAsia="宋体" w:cs="宋体"/>
          <w:color w:val="auto"/>
          <w:sz w:val="24"/>
          <w:szCs w:val="24"/>
          <w:highlight w:val="none"/>
        </w:rPr>
        <w:t>总则</w:t>
      </w:r>
      <w:bookmarkEnd w:id="90"/>
    </w:p>
    <w:p>
      <w:pPr>
        <w:pStyle w:val="46"/>
        <w:numPr>
          <w:ilvl w:val="1"/>
          <w:numId w:val="6"/>
        </w:numPr>
        <w:tabs>
          <w:tab w:val="left" w:pos="1100"/>
          <w:tab w:val="left" w:pos="1760"/>
        </w:tabs>
        <w:adjustRightInd/>
        <w:spacing w:line="360" w:lineRule="auto"/>
        <w:ind w:left="19" w:leftChars="8" w:right="-53" w:rightChars="-22" w:firstLine="361" w:firstLineChars="150"/>
        <w:rPr>
          <w:rFonts w:ascii="宋体" w:hAnsi="宋体" w:cs="宋体"/>
          <w:b/>
          <w:color w:val="auto"/>
          <w:highlight w:val="none"/>
        </w:rPr>
      </w:pPr>
      <w:r>
        <w:rPr>
          <w:rFonts w:hint="eastAsia" w:ascii="宋体" w:hAnsi="宋体" w:cs="宋体"/>
          <w:b/>
          <w:color w:val="auto"/>
          <w:highlight w:val="none"/>
        </w:rPr>
        <w:t>项目概况</w:t>
      </w:r>
    </w:p>
    <w:p>
      <w:pPr>
        <w:pStyle w:val="46"/>
        <w:numPr>
          <w:ilvl w:val="2"/>
          <w:numId w:val="6"/>
        </w:numPr>
        <w:tabs>
          <w:tab w:val="left" w:pos="1100"/>
          <w:tab w:val="left" w:pos="1929"/>
        </w:tabs>
        <w:adjustRightInd/>
        <w:spacing w:line="360" w:lineRule="auto"/>
        <w:ind w:left="19" w:leftChars="8" w:right="-53" w:rightChars="-22" w:firstLine="330" w:firstLineChars="150"/>
        <w:rPr>
          <w:rFonts w:ascii="宋体" w:hAnsi="宋体" w:cs="宋体"/>
          <w:color w:val="auto"/>
          <w:highlight w:val="none"/>
        </w:rPr>
      </w:pPr>
      <w:r>
        <w:rPr>
          <w:rFonts w:hint="eastAsia" w:ascii="宋体" w:hAnsi="宋体" w:cs="宋体"/>
          <w:color w:val="auto"/>
          <w:spacing w:val="-10"/>
          <w:highlight w:val="none"/>
        </w:rPr>
        <w:t>根据《中华人民共和国招标投标法》等有关法律、法规和规章的规定，本</w:t>
      </w:r>
      <w:r>
        <w:rPr>
          <w:rFonts w:hint="eastAsia" w:ascii="宋体" w:hAnsi="宋体" w:cs="宋体"/>
          <w:color w:val="auto"/>
          <w:highlight w:val="none"/>
        </w:rPr>
        <w:t>招标项目已具备招标条件，现对该项目设计、采购、施工进行工程总承包招标。</w:t>
      </w:r>
    </w:p>
    <w:p>
      <w:pPr>
        <w:pStyle w:val="46"/>
        <w:numPr>
          <w:ilvl w:val="2"/>
          <w:numId w:val="6"/>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本招标项目招标人：见投标人须知前附表。</w:t>
      </w:r>
    </w:p>
    <w:p>
      <w:pPr>
        <w:pStyle w:val="46"/>
        <w:numPr>
          <w:ilvl w:val="2"/>
          <w:numId w:val="6"/>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本标段招标代理机构：见投标人须知前附表。</w:t>
      </w:r>
    </w:p>
    <w:p>
      <w:pPr>
        <w:pStyle w:val="46"/>
        <w:numPr>
          <w:ilvl w:val="2"/>
          <w:numId w:val="6"/>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本招标项目名称：见投标人须知前附表。</w:t>
      </w:r>
    </w:p>
    <w:p>
      <w:pPr>
        <w:pStyle w:val="46"/>
        <w:numPr>
          <w:ilvl w:val="2"/>
          <w:numId w:val="6"/>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本标段建设地点：见投标人须知前附表。</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资金来源和落实情况</w:t>
      </w:r>
    </w:p>
    <w:p>
      <w:pPr>
        <w:pStyle w:val="46"/>
        <w:numPr>
          <w:ilvl w:val="2"/>
          <w:numId w:val="6"/>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本招标项目的资金来源及比例：见投标人须知前附表。</w:t>
      </w:r>
    </w:p>
    <w:p>
      <w:pPr>
        <w:pStyle w:val="46"/>
        <w:numPr>
          <w:ilvl w:val="2"/>
          <w:numId w:val="6"/>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本招标项目的资金落实情况：见投标人须知前附表。</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58" w:firstLineChars="150"/>
        <w:rPr>
          <w:rFonts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招标范围、计划工期和质量标准</w:t>
      </w:r>
    </w:p>
    <w:p>
      <w:pPr>
        <w:pStyle w:val="46"/>
        <w:numPr>
          <w:ilvl w:val="2"/>
          <w:numId w:val="6"/>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本次招标范围：见投标人须知前附表。</w:t>
      </w:r>
    </w:p>
    <w:p>
      <w:pPr>
        <w:pStyle w:val="46"/>
        <w:numPr>
          <w:ilvl w:val="2"/>
          <w:numId w:val="6"/>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本标段的计划工期：见投标人须知前附表。</w:t>
      </w:r>
    </w:p>
    <w:p>
      <w:pPr>
        <w:pStyle w:val="46"/>
        <w:numPr>
          <w:ilvl w:val="2"/>
          <w:numId w:val="6"/>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质量标准：见投标人须知前附表。</w:t>
      </w:r>
    </w:p>
    <w:p>
      <w:pPr>
        <w:pStyle w:val="8"/>
        <w:keepNext w:val="0"/>
        <w:keepLines w:val="0"/>
        <w:numPr>
          <w:ilvl w:val="1"/>
          <w:numId w:val="7"/>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91" w:name="1.4_投标人资格要求（适用于已进行资格预审的）"/>
      <w:bookmarkEnd w:id="91"/>
      <w:bookmarkStart w:id="92" w:name="1.4_投标人资格要求（适用于未进行资格预审的）"/>
      <w:bookmarkEnd w:id="92"/>
      <w:r>
        <w:rPr>
          <w:rFonts w:hint="eastAsia" w:ascii="宋体" w:hAnsi="宋体" w:eastAsia="宋体" w:cs="宋体"/>
          <w:color w:val="auto"/>
          <w:sz w:val="24"/>
          <w:szCs w:val="24"/>
          <w:highlight w:val="none"/>
        </w:rPr>
        <w:t>投标人资格要求</w:t>
      </w:r>
    </w:p>
    <w:p>
      <w:pPr>
        <w:pStyle w:val="46"/>
        <w:numPr>
          <w:ilvl w:val="2"/>
          <w:numId w:val="7"/>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投标人应具备承担本招标项目资质条件、能力和信誉。</w:t>
      </w:r>
    </w:p>
    <w:p>
      <w:pPr>
        <w:pStyle w:val="46"/>
        <w:numPr>
          <w:ilvl w:val="0"/>
          <w:numId w:val="8"/>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资质要求：见投标人须知前附表；</w:t>
      </w:r>
    </w:p>
    <w:p>
      <w:pPr>
        <w:pStyle w:val="46"/>
        <w:numPr>
          <w:ilvl w:val="0"/>
          <w:numId w:val="8"/>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财务要求：见投标人须知前附表；</w:t>
      </w:r>
    </w:p>
    <w:p>
      <w:pPr>
        <w:pStyle w:val="46"/>
        <w:numPr>
          <w:ilvl w:val="0"/>
          <w:numId w:val="8"/>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业绩要求：见投标人须知前附表；</w:t>
      </w:r>
    </w:p>
    <w:p>
      <w:pPr>
        <w:pStyle w:val="46"/>
        <w:numPr>
          <w:ilvl w:val="0"/>
          <w:numId w:val="8"/>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信誉要求：见投标人须知前附表；</w:t>
      </w:r>
    </w:p>
    <w:p>
      <w:pPr>
        <w:pStyle w:val="46"/>
        <w:numPr>
          <w:ilvl w:val="0"/>
          <w:numId w:val="8"/>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项目负责人的资格要求：具体要求见投标人须知前附表；</w:t>
      </w:r>
    </w:p>
    <w:p>
      <w:pPr>
        <w:pStyle w:val="46"/>
        <w:numPr>
          <w:ilvl w:val="0"/>
          <w:numId w:val="8"/>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设计负责人的资格要求：具体要求见投标人须知前附表；</w:t>
      </w:r>
    </w:p>
    <w:p>
      <w:pPr>
        <w:pStyle w:val="46"/>
        <w:numPr>
          <w:ilvl w:val="0"/>
          <w:numId w:val="8"/>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施工负责人的资格要求：具体要求见投标人须知前附表；</w:t>
      </w:r>
    </w:p>
    <w:p>
      <w:pPr>
        <w:pStyle w:val="46"/>
        <w:numPr>
          <w:ilvl w:val="2"/>
          <w:numId w:val="7"/>
        </w:numPr>
        <w:tabs>
          <w:tab w:val="left" w:pos="1100"/>
          <w:tab w:val="left" w:pos="1992"/>
        </w:tabs>
        <w:adjustRightInd/>
        <w:spacing w:line="360" w:lineRule="auto"/>
        <w:ind w:left="19" w:leftChars="8" w:right="-53" w:rightChars="-22" w:firstLine="354" w:firstLineChars="150"/>
        <w:rPr>
          <w:rFonts w:ascii="宋体" w:hAnsi="宋体" w:cs="宋体"/>
          <w:color w:val="auto"/>
          <w:highlight w:val="none"/>
        </w:rPr>
      </w:pPr>
      <w:r>
        <w:rPr>
          <w:rFonts w:hint="eastAsia" w:ascii="宋体" w:hAnsi="宋体" w:cs="宋体"/>
          <w:color w:val="auto"/>
          <w:spacing w:val="-2"/>
          <w:highlight w:val="none"/>
        </w:rPr>
        <w:t>投标人须知前附表规定接受联合体投标的，除应符合本章第</w:t>
      </w:r>
      <w:r>
        <w:rPr>
          <w:rFonts w:hint="eastAsia" w:ascii="宋体" w:hAnsi="宋体" w:cs="宋体"/>
          <w:color w:val="auto"/>
          <w:highlight w:val="none"/>
        </w:rPr>
        <w:t>1.4.1</w:t>
      </w:r>
      <w:r>
        <w:rPr>
          <w:rFonts w:hint="eastAsia" w:ascii="宋体" w:hAnsi="宋体" w:cs="宋体"/>
          <w:color w:val="auto"/>
          <w:spacing w:val="-14"/>
          <w:highlight w:val="none"/>
        </w:rPr>
        <w:t>和投标人须知前附表的要求外，还应遵守以下规定：</w:t>
      </w:r>
    </w:p>
    <w:p>
      <w:pPr>
        <w:pStyle w:val="46"/>
        <w:numPr>
          <w:ilvl w:val="0"/>
          <w:numId w:val="9"/>
        </w:numPr>
        <w:tabs>
          <w:tab w:val="left" w:pos="1100"/>
          <w:tab w:val="left" w:pos="1888"/>
        </w:tabs>
        <w:adjustRightInd/>
        <w:spacing w:line="360" w:lineRule="auto"/>
        <w:ind w:left="19" w:leftChars="8" w:right="-53" w:rightChars="-22" w:firstLine="369" w:firstLineChars="150"/>
        <w:rPr>
          <w:rFonts w:ascii="宋体" w:hAnsi="宋体" w:cs="宋体"/>
          <w:color w:val="auto"/>
          <w:spacing w:val="3"/>
          <w:highlight w:val="none"/>
        </w:rPr>
      </w:pPr>
      <w:r>
        <w:rPr>
          <w:rFonts w:hint="eastAsia" w:ascii="宋体" w:hAnsi="宋体" w:cs="宋体"/>
          <w:color w:val="auto"/>
          <w:spacing w:val="3"/>
          <w:highlight w:val="none"/>
        </w:rPr>
        <w:t>联合体各方应按招标文件提供的格式签订联合体协议书，明确联合体牵头人和各方的权利义务，并承诺就中标项目向招标人承担连带责任；</w:t>
      </w:r>
    </w:p>
    <w:p>
      <w:pPr>
        <w:pStyle w:val="46"/>
        <w:numPr>
          <w:ilvl w:val="0"/>
          <w:numId w:val="9"/>
        </w:numPr>
        <w:tabs>
          <w:tab w:val="left" w:pos="1100"/>
          <w:tab w:val="left" w:pos="1888"/>
        </w:tabs>
        <w:adjustRightInd/>
        <w:spacing w:line="360" w:lineRule="auto"/>
        <w:ind w:left="19" w:leftChars="8" w:right="-53" w:rightChars="-22" w:firstLine="369" w:firstLineChars="150"/>
        <w:rPr>
          <w:rFonts w:ascii="宋体" w:hAnsi="宋体" w:cs="宋体"/>
          <w:color w:val="auto"/>
          <w:spacing w:val="3"/>
          <w:highlight w:val="none"/>
        </w:rPr>
      </w:pPr>
      <w:r>
        <w:rPr>
          <w:rFonts w:hint="eastAsia" w:ascii="宋体" w:hAnsi="宋体" w:cs="宋体"/>
          <w:color w:val="auto"/>
          <w:spacing w:val="3"/>
          <w:highlight w:val="none"/>
        </w:rPr>
        <w:t>联合体的各专业资质等级，根据共同投标协议约定的专业分工，分别按照承担相应专业工作的资质等级较低的单位确定；不同专业单位组成的联合体，按照联合体协议分工所承担的专业工作对应各自的专业资质及其业绩认定。</w:t>
      </w:r>
    </w:p>
    <w:p>
      <w:pPr>
        <w:pStyle w:val="46"/>
        <w:numPr>
          <w:ilvl w:val="0"/>
          <w:numId w:val="9"/>
        </w:numPr>
        <w:tabs>
          <w:tab w:val="left" w:pos="1100"/>
          <w:tab w:val="left" w:pos="1888"/>
        </w:tabs>
        <w:adjustRightInd/>
        <w:spacing w:line="360" w:lineRule="auto"/>
        <w:ind w:left="19" w:leftChars="8" w:right="-53" w:rightChars="-22" w:firstLine="369" w:firstLineChars="150"/>
        <w:rPr>
          <w:rFonts w:ascii="宋体" w:hAnsi="宋体" w:cs="宋体"/>
          <w:color w:val="auto"/>
          <w:highlight w:val="none"/>
        </w:rPr>
      </w:pPr>
      <w:r>
        <w:rPr>
          <w:rFonts w:hint="eastAsia" w:ascii="宋体" w:hAnsi="宋体" w:cs="宋体"/>
          <w:color w:val="auto"/>
          <w:spacing w:val="3"/>
          <w:highlight w:val="none"/>
        </w:rPr>
        <w:t>联合体各方不得再以自己名义单独或参加其他联合体在本招标项目中投标。</w:t>
      </w:r>
    </w:p>
    <w:p>
      <w:pPr>
        <w:pStyle w:val="46"/>
        <w:numPr>
          <w:ilvl w:val="2"/>
          <w:numId w:val="7"/>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投标人（投标人是联合体的，指联合体各方）不得存在下列情形之一：</w:t>
      </w:r>
    </w:p>
    <w:p>
      <w:pPr>
        <w:pStyle w:val="46"/>
        <w:numPr>
          <w:ilvl w:val="0"/>
          <w:numId w:val="10"/>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为招标人不具有独立法人资格的附属机构（单位）；</w:t>
      </w:r>
    </w:p>
    <w:p>
      <w:pPr>
        <w:pStyle w:val="46"/>
        <w:numPr>
          <w:ilvl w:val="0"/>
          <w:numId w:val="10"/>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Ansi="Times New Roman"/>
          <w:color w:val="auto"/>
          <w:highlight w:val="none"/>
        </w:rPr>
        <w:t>为</w:t>
      </w:r>
      <w:r>
        <w:rPr>
          <w:rFonts w:hAnsi="Times New Roman"/>
          <w:color w:val="auto"/>
          <w:spacing w:val="-5"/>
          <w:highlight w:val="none"/>
        </w:rPr>
        <w:t>与招标人存在利害关系可能影响招标公正性的法人、其他组织或者个人</w:t>
      </w:r>
      <w:r>
        <w:rPr>
          <w:rFonts w:hint="eastAsia" w:hAnsi="Times New Roman"/>
          <w:color w:val="auto"/>
          <w:spacing w:val="-5"/>
          <w:highlight w:val="none"/>
        </w:rPr>
        <w:t>；</w:t>
      </w:r>
    </w:p>
    <w:p>
      <w:pPr>
        <w:pStyle w:val="46"/>
        <w:numPr>
          <w:ilvl w:val="0"/>
          <w:numId w:val="10"/>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Ansi="Times New Roman"/>
          <w:color w:val="auto"/>
          <w:highlight w:val="none"/>
        </w:rPr>
        <w:t>不同投标人的单位负责人为同一人或者互相存在控股、管理关系的</w:t>
      </w:r>
    </w:p>
    <w:p>
      <w:pPr>
        <w:pStyle w:val="46"/>
        <w:numPr>
          <w:ilvl w:val="0"/>
          <w:numId w:val="10"/>
        </w:numPr>
        <w:tabs>
          <w:tab w:val="left" w:pos="1100"/>
          <w:tab w:val="left" w:pos="1870"/>
        </w:tabs>
        <w:adjustRightInd/>
        <w:spacing w:line="360" w:lineRule="auto"/>
        <w:ind w:left="19" w:leftChars="8" w:right="-53" w:rightChars="-22" w:firstLine="351" w:firstLineChars="150"/>
        <w:rPr>
          <w:rFonts w:ascii="宋体" w:hAnsi="宋体" w:cs="宋体"/>
          <w:color w:val="auto"/>
          <w:highlight w:val="none"/>
        </w:rPr>
      </w:pPr>
      <w:r>
        <w:rPr>
          <w:rFonts w:hint="eastAsia" w:ascii="宋体" w:hAnsi="宋体" w:cs="宋体"/>
          <w:color w:val="auto"/>
          <w:spacing w:val="-3"/>
          <w:highlight w:val="none"/>
        </w:rPr>
        <w:t>为</w:t>
      </w:r>
      <w:r>
        <w:rPr>
          <w:rFonts w:hint="eastAsia" w:ascii="宋体" w:hAnsi="宋体" w:cs="宋体"/>
          <w:color w:val="auto"/>
          <w:highlight w:val="none"/>
        </w:rPr>
        <w:t>本标段</w:t>
      </w:r>
      <w:r>
        <w:rPr>
          <w:rFonts w:hint="eastAsia" w:ascii="宋体" w:hAnsi="宋体" w:cs="宋体"/>
          <w:color w:val="auto"/>
          <w:spacing w:val="-3"/>
          <w:highlight w:val="none"/>
        </w:rPr>
        <w:t>前期工作提供咨询服务的，但已公开项目建议书、可行性研究</w:t>
      </w:r>
      <w:r>
        <w:rPr>
          <w:rFonts w:hint="eastAsia" w:ascii="宋体" w:hAnsi="宋体" w:cs="宋体"/>
          <w:color w:val="auto"/>
          <w:highlight w:val="none"/>
        </w:rPr>
        <w:t>报告及初步设计文件的可研、勘察设计编制单位除外；</w:t>
      </w:r>
    </w:p>
    <w:p>
      <w:pPr>
        <w:pStyle w:val="46"/>
        <w:numPr>
          <w:ilvl w:val="0"/>
          <w:numId w:val="10"/>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为本标段的监理人；</w:t>
      </w:r>
    </w:p>
    <w:p>
      <w:pPr>
        <w:pStyle w:val="46"/>
        <w:numPr>
          <w:ilvl w:val="0"/>
          <w:numId w:val="10"/>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为本标段的代建人；</w:t>
      </w:r>
    </w:p>
    <w:p>
      <w:pPr>
        <w:pStyle w:val="46"/>
        <w:numPr>
          <w:ilvl w:val="0"/>
          <w:numId w:val="10"/>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为本标段提供招标代理服务的；</w:t>
      </w:r>
    </w:p>
    <w:p>
      <w:pPr>
        <w:pStyle w:val="46"/>
        <w:numPr>
          <w:ilvl w:val="0"/>
          <w:numId w:val="10"/>
        </w:numPr>
        <w:tabs>
          <w:tab w:val="left" w:pos="1100"/>
          <w:tab w:val="left" w:pos="199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与本标段的监理人或代建人或招标代理机构同为一个法定代表人的；</w:t>
      </w:r>
    </w:p>
    <w:p>
      <w:pPr>
        <w:pStyle w:val="46"/>
        <w:numPr>
          <w:ilvl w:val="0"/>
          <w:numId w:val="10"/>
        </w:numPr>
        <w:tabs>
          <w:tab w:val="left" w:pos="1100"/>
          <w:tab w:val="left" w:pos="199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与本标段的监理人或代建人或招标代理机构相互控股或参股的；</w:t>
      </w:r>
    </w:p>
    <w:p>
      <w:pPr>
        <w:pStyle w:val="46"/>
        <w:numPr>
          <w:ilvl w:val="0"/>
          <w:numId w:val="10"/>
        </w:numPr>
        <w:tabs>
          <w:tab w:val="left" w:pos="1100"/>
          <w:tab w:val="left" w:pos="199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与本标段的监理人或代建人或招标代理机构相互任职或工作的。</w:t>
      </w:r>
    </w:p>
    <w:p>
      <w:pPr>
        <w:pStyle w:val="46"/>
        <w:numPr>
          <w:ilvl w:val="0"/>
          <w:numId w:val="10"/>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被责令停产停业、暂扣或者吊销许可证、暂扣或者吊销执照的；</w:t>
      </w:r>
    </w:p>
    <w:p>
      <w:pPr>
        <w:pStyle w:val="46"/>
        <w:numPr>
          <w:ilvl w:val="0"/>
          <w:numId w:val="10"/>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进入清算程序，或被宣告破产的；</w:t>
      </w:r>
    </w:p>
    <w:p>
      <w:pPr>
        <w:pStyle w:val="46"/>
        <w:numPr>
          <w:ilvl w:val="0"/>
          <w:numId w:val="10"/>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被依法暂停或取消投标资格的；</w:t>
      </w:r>
    </w:p>
    <w:p>
      <w:pPr>
        <w:pStyle w:val="46"/>
        <w:numPr>
          <w:ilvl w:val="0"/>
          <w:numId w:val="10"/>
        </w:numPr>
        <w:tabs>
          <w:tab w:val="left" w:pos="1100"/>
          <w:tab w:val="left" w:pos="1990"/>
        </w:tabs>
        <w:adjustRightInd/>
        <w:spacing w:line="360" w:lineRule="auto"/>
        <w:ind w:left="19" w:leftChars="8" w:right="-53" w:rightChars="-22" w:firstLine="360" w:firstLineChars="150"/>
        <w:rPr>
          <w:rFonts w:ascii="宋体" w:hAnsi="宋体" w:cs="宋体"/>
          <w:color w:val="auto"/>
          <w:highlight w:val="none"/>
        </w:rPr>
      </w:pPr>
      <w:r>
        <w:rPr>
          <w:color w:val="auto"/>
          <w:highlight w:val="none"/>
        </w:rPr>
        <w:t>法律法规或投标人须知前附表规定的其他情形</w:t>
      </w:r>
      <w:r>
        <w:rPr>
          <w:rFonts w:hint="eastAsia"/>
          <w:color w:val="auto"/>
          <w:highlight w:val="none"/>
        </w:rPr>
        <w:t>。</w:t>
      </w:r>
    </w:p>
    <w:p>
      <w:pPr>
        <w:pStyle w:val="8"/>
        <w:keepNext w:val="0"/>
        <w:keepLines w:val="0"/>
        <w:numPr>
          <w:ilvl w:val="1"/>
          <w:numId w:val="7"/>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费用承担和设计成果补偿</w:t>
      </w:r>
    </w:p>
    <w:p>
      <w:pPr>
        <w:pStyle w:val="46"/>
        <w:numPr>
          <w:ilvl w:val="2"/>
          <w:numId w:val="7"/>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投标人准备和参加投标活动发生的费用自理。</w:t>
      </w:r>
    </w:p>
    <w:p>
      <w:pPr>
        <w:pStyle w:val="46"/>
        <w:numPr>
          <w:ilvl w:val="2"/>
          <w:numId w:val="7"/>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招标人对符合招标文件规定的未中标人的设计成果进行补偿的，按投标人须知前附表规定给予补偿。</w:t>
      </w:r>
    </w:p>
    <w:p>
      <w:pPr>
        <w:pStyle w:val="8"/>
        <w:keepNext w:val="0"/>
        <w:keepLines w:val="0"/>
        <w:numPr>
          <w:ilvl w:val="1"/>
          <w:numId w:val="7"/>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93" w:name="1.6_保密"/>
      <w:bookmarkEnd w:id="93"/>
      <w:r>
        <w:rPr>
          <w:rFonts w:hint="eastAsia" w:ascii="宋体" w:hAnsi="宋体" w:eastAsia="宋体" w:cs="宋体"/>
          <w:color w:val="auto"/>
          <w:sz w:val="24"/>
          <w:szCs w:val="24"/>
          <w:highlight w:val="none"/>
        </w:rPr>
        <w:t>保密</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参与招标投标活动的各方应对招标文件和投标文件中的商业和技术等秘密保密，否则应承担相应的法律责任。</w:t>
      </w:r>
    </w:p>
    <w:p>
      <w:pPr>
        <w:pStyle w:val="8"/>
        <w:keepNext w:val="0"/>
        <w:keepLines w:val="0"/>
        <w:numPr>
          <w:ilvl w:val="1"/>
          <w:numId w:val="7"/>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94" w:name="1.7_语言文字"/>
      <w:bookmarkEnd w:id="94"/>
      <w:r>
        <w:rPr>
          <w:rFonts w:hint="eastAsia" w:ascii="宋体" w:hAnsi="宋体" w:eastAsia="宋体" w:cs="宋体"/>
          <w:color w:val="auto"/>
          <w:sz w:val="24"/>
          <w:szCs w:val="24"/>
          <w:highlight w:val="none"/>
        </w:rPr>
        <w:t>语言文字</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除专用术语外，与招标投标有关的语言均使用中文。必要时专用术语应附有中文注释。</w:t>
      </w:r>
    </w:p>
    <w:p>
      <w:pPr>
        <w:pStyle w:val="8"/>
        <w:keepNext w:val="0"/>
        <w:keepLines w:val="0"/>
        <w:numPr>
          <w:ilvl w:val="1"/>
          <w:numId w:val="7"/>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计量单位</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所有计量均采用中华人民共和国法定计量单位。</w:t>
      </w:r>
    </w:p>
    <w:p>
      <w:pPr>
        <w:pStyle w:val="8"/>
        <w:keepNext w:val="0"/>
        <w:keepLines w:val="0"/>
        <w:numPr>
          <w:ilvl w:val="1"/>
          <w:numId w:val="7"/>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95" w:name="1.9_踏勘现场"/>
      <w:bookmarkEnd w:id="95"/>
      <w:r>
        <w:rPr>
          <w:rFonts w:hint="eastAsia" w:ascii="宋体" w:hAnsi="宋体" w:eastAsia="宋体" w:cs="宋体"/>
          <w:color w:val="auto"/>
          <w:sz w:val="24"/>
          <w:szCs w:val="24"/>
          <w:highlight w:val="none"/>
        </w:rPr>
        <w:t>踏勘现场</w:t>
      </w:r>
    </w:p>
    <w:p>
      <w:pPr>
        <w:pStyle w:val="46"/>
        <w:numPr>
          <w:ilvl w:val="2"/>
          <w:numId w:val="7"/>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投标人须知前附表规定组织踏勘现场的，招标人按投标人须知前附表规定的时间、地点组织投标人踏勘项目现场。</w:t>
      </w:r>
    </w:p>
    <w:p>
      <w:pPr>
        <w:pStyle w:val="46"/>
        <w:numPr>
          <w:ilvl w:val="2"/>
          <w:numId w:val="7"/>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投标人踏勘现场发生的费用自理。</w:t>
      </w:r>
    </w:p>
    <w:p>
      <w:pPr>
        <w:pStyle w:val="46"/>
        <w:numPr>
          <w:ilvl w:val="2"/>
          <w:numId w:val="7"/>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除招标人的原因外，投标人在踏勘现场中所发生的人员伤亡和财产损失自行负责。</w:t>
      </w:r>
    </w:p>
    <w:p>
      <w:pPr>
        <w:pStyle w:val="46"/>
        <w:numPr>
          <w:ilvl w:val="2"/>
          <w:numId w:val="7"/>
        </w:numPr>
        <w:tabs>
          <w:tab w:val="left" w:pos="1100"/>
          <w:tab w:val="left" w:pos="198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招标人在踏勘现场中介绍的工程场地和相关的周边环境情况，供投标人在编制投标文件时参考，招标人不对投标人据此做出的判断和决策负责。</w:t>
      </w:r>
    </w:p>
    <w:p>
      <w:pPr>
        <w:pStyle w:val="8"/>
        <w:keepNext w:val="0"/>
        <w:keepLines w:val="0"/>
        <w:numPr>
          <w:ilvl w:val="1"/>
          <w:numId w:val="7"/>
        </w:numPr>
        <w:tabs>
          <w:tab w:val="left" w:pos="1100"/>
          <w:tab w:val="left" w:pos="1872"/>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96" w:name="1.10_投标预备会"/>
      <w:bookmarkEnd w:id="96"/>
      <w:r>
        <w:rPr>
          <w:rFonts w:hint="eastAsia" w:ascii="宋体" w:hAnsi="宋体" w:eastAsia="宋体" w:cs="宋体"/>
          <w:color w:val="auto"/>
          <w:sz w:val="24"/>
          <w:szCs w:val="24"/>
          <w:highlight w:val="none"/>
        </w:rPr>
        <w:t>投标预备会</w:t>
      </w:r>
    </w:p>
    <w:p>
      <w:pPr>
        <w:pStyle w:val="46"/>
        <w:numPr>
          <w:ilvl w:val="2"/>
          <w:numId w:val="7"/>
        </w:numPr>
        <w:tabs>
          <w:tab w:val="left" w:pos="1100"/>
          <w:tab w:val="left" w:pos="2109"/>
        </w:tabs>
        <w:adjustRightInd/>
        <w:spacing w:line="360" w:lineRule="auto"/>
        <w:ind w:left="19" w:leftChars="8" w:right="-53" w:rightChars="-22" w:firstLine="351" w:firstLineChars="150"/>
        <w:rPr>
          <w:rFonts w:ascii="宋体" w:hAnsi="宋体" w:cs="宋体"/>
          <w:color w:val="auto"/>
          <w:highlight w:val="none"/>
        </w:rPr>
      </w:pPr>
      <w:r>
        <w:rPr>
          <w:rFonts w:hint="eastAsia" w:ascii="宋体" w:hAnsi="宋体" w:cs="宋体"/>
          <w:color w:val="auto"/>
          <w:spacing w:val="-3"/>
          <w:highlight w:val="none"/>
        </w:rPr>
        <w:t>投标人须知前附表规定召开投标预备会的，招标人按投标人须知前附表</w:t>
      </w:r>
      <w:r>
        <w:rPr>
          <w:rFonts w:hint="eastAsia" w:ascii="宋体" w:hAnsi="宋体" w:cs="宋体"/>
          <w:color w:val="auto"/>
          <w:highlight w:val="none"/>
        </w:rPr>
        <w:t>规定的时间和地点召开投标预备会，澄清投标人提出的问题。</w:t>
      </w:r>
    </w:p>
    <w:p>
      <w:pPr>
        <w:pStyle w:val="46"/>
        <w:numPr>
          <w:ilvl w:val="2"/>
          <w:numId w:val="7"/>
        </w:numPr>
        <w:tabs>
          <w:tab w:val="left" w:pos="1100"/>
          <w:tab w:val="left" w:pos="2109"/>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投标人提出问题的截止时间、上传疑问方式：见投标人须知前附表。</w:t>
      </w:r>
    </w:p>
    <w:p>
      <w:pPr>
        <w:pStyle w:val="46"/>
        <w:numPr>
          <w:ilvl w:val="2"/>
          <w:numId w:val="7"/>
        </w:numPr>
        <w:tabs>
          <w:tab w:val="left" w:pos="1100"/>
          <w:tab w:val="left" w:pos="2109"/>
        </w:tabs>
        <w:adjustRightInd/>
        <w:spacing w:line="360" w:lineRule="auto"/>
        <w:ind w:left="19" w:leftChars="8" w:right="-53" w:rightChars="-22" w:firstLine="321" w:firstLineChars="150"/>
        <w:rPr>
          <w:rFonts w:ascii="宋体" w:hAnsi="宋体" w:cs="宋体"/>
          <w:color w:val="auto"/>
          <w:highlight w:val="none"/>
        </w:rPr>
      </w:pPr>
      <w:r>
        <w:rPr>
          <w:rFonts w:hint="eastAsia" w:ascii="宋体" w:hAnsi="宋体" w:cs="宋体"/>
          <w:color w:val="auto"/>
          <w:spacing w:val="-13"/>
          <w:highlight w:val="none"/>
        </w:rPr>
        <w:t>招标文件的澄清、补充、修改的时间及下载网址：见投标人须知前附表。</w:t>
      </w:r>
    </w:p>
    <w:p>
      <w:pPr>
        <w:pStyle w:val="8"/>
        <w:keepNext w:val="0"/>
        <w:keepLines w:val="0"/>
        <w:numPr>
          <w:ilvl w:val="1"/>
          <w:numId w:val="7"/>
        </w:numPr>
        <w:tabs>
          <w:tab w:val="left" w:pos="1100"/>
          <w:tab w:val="left" w:pos="1872"/>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97" w:name="1.11_分包"/>
      <w:bookmarkEnd w:id="97"/>
      <w:r>
        <w:rPr>
          <w:rFonts w:hint="eastAsia" w:ascii="宋体" w:hAnsi="宋体" w:eastAsia="宋体" w:cs="宋体"/>
          <w:color w:val="auto"/>
          <w:sz w:val="24"/>
          <w:szCs w:val="24"/>
          <w:highlight w:val="none"/>
        </w:rPr>
        <w:t>分包</w:t>
      </w:r>
    </w:p>
    <w:p>
      <w:pPr>
        <w:pStyle w:val="3"/>
        <w:tabs>
          <w:tab w:val="left" w:pos="1100"/>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投标人拟在中标后将中标项目的部分非主体、非关键性工作进行分包的，应符合投标人须知前附表规定的分包内容、分包金额和接受分包的第三人资质要求等限制性条件。</w:t>
      </w:r>
    </w:p>
    <w:p>
      <w:pPr>
        <w:pStyle w:val="8"/>
        <w:keepNext w:val="0"/>
        <w:keepLines w:val="0"/>
        <w:numPr>
          <w:ilvl w:val="1"/>
          <w:numId w:val="7"/>
        </w:numPr>
        <w:tabs>
          <w:tab w:val="left" w:pos="1100"/>
          <w:tab w:val="left" w:pos="1872"/>
        </w:tabs>
        <w:adjustRightInd/>
        <w:spacing w:before="0" w:after="0" w:line="360" w:lineRule="auto"/>
        <w:ind w:left="19" w:leftChars="8" w:right="-53" w:rightChars="-22" w:firstLine="361" w:firstLineChars="150"/>
        <w:jc w:val="both"/>
        <w:rPr>
          <w:rFonts w:ascii="宋体" w:hAnsi="宋体" w:eastAsia="宋体" w:cs="宋体"/>
          <w:color w:val="auto"/>
          <w:sz w:val="24"/>
          <w:szCs w:val="24"/>
          <w:highlight w:val="none"/>
        </w:rPr>
      </w:pPr>
      <w:bookmarkStart w:id="98" w:name="1.12_偏离"/>
      <w:bookmarkEnd w:id="98"/>
      <w:r>
        <w:rPr>
          <w:rFonts w:hint="eastAsia" w:ascii="宋体" w:hAnsi="宋体" w:eastAsia="宋体" w:cs="宋体"/>
          <w:color w:val="auto"/>
          <w:sz w:val="24"/>
          <w:szCs w:val="24"/>
          <w:highlight w:val="none"/>
        </w:rPr>
        <w:t>偏离</w:t>
      </w:r>
    </w:p>
    <w:p>
      <w:pPr>
        <w:pStyle w:val="3"/>
        <w:numPr>
          <w:ilvl w:val="2"/>
          <w:numId w:val="11"/>
        </w:numPr>
        <w:kinsoku w:val="0"/>
        <w:spacing w:line="360" w:lineRule="auto"/>
        <w:ind w:left="0" w:firstLine="480" w:firstLineChars="200"/>
        <w:rPr>
          <w:rFonts w:ascii="宋体" w:hAnsi="宋体" w:cs="宋体"/>
          <w:color w:val="auto"/>
          <w:spacing w:val="-1"/>
          <w:highlight w:val="none"/>
        </w:rPr>
      </w:pPr>
      <w:r>
        <w:rPr>
          <w:rFonts w:hint="eastAsia" w:ascii="宋体" w:hAnsi="宋体" w:cs="宋体"/>
          <w:color w:val="auto"/>
          <w:highlight w:val="none"/>
        </w:rPr>
        <w:t>投标文件应当对招标文件的实质性要求和条件做出满足性或更有利于招标人的响应，否则，投标人的投标将被否决。实质性要求和条件见投标人须知前附表。</w:t>
      </w:r>
    </w:p>
    <w:p>
      <w:pPr>
        <w:pStyle w:val="3"/>
        <w:numPr>
          <w:ilvl w:val="2"/>
          <w:numId w:val="11"/>
        </w:numPr>
        <w:kinsoku w:val="0"/>
        <w:spacing w:line="360" w:lineRule="auto"/>
        <w:ind w:left="0" w:firstLine="480" w:firstLineChars="200"/>
        <w:rPr>
          <w:rFonts w:ascii="宋体" w:hAnsi="宋体" w:cs="宋体"/>
          <w:color w:val="auto"/>
          <w:highlight w:val="none"/>
        </w:rPr>
      </w:pPr>
      <w:r>
        <w:rPr>
          <w:rFonts w:hint="eastAsia" w:ascii="宋体" w:hAnsi="宋体" w:cs="宋体"/>
          <w:color w:val="auto"/>
          <w:highlight w:val="none"/>
        </w:rPr>
        <w:t>投标人须知前附表允许投标文件偏差招标文件某些要求的，偏离应当符合招标文件规定的偏差范围和幅度。投标人应响应评标委员会要求，对存在的细微偏差在评标结束前予以补正。拒不补正的，在详细评审时可以细微偏差作不利于该投标人的量化。</w:t>
      </w:r>
    </w:p>
    <w:p>
      <w:pPr>
        <w:pStyle w:val="8"/>
        <w:keepNext w:val="0"/>
        <w:keepLines w:val="0"/>
        <w:numPr>
          <w:ilvl w:val="0"/>
          <w:numId w:val="6"/>
        </w:numPr>
        <w:tabs>
          <w:tab w:val="left" w:pos="1100"/>
          <w:tab w:val="left" w:pos="1629"/>
        </w:tabs>
        <w:adjustRightInd/>
        <w:spacing w:before="0" w:after="0" w:line="360" w:lineRule="auto"/>
        <w:ind w:left="19" w:leftChars="8" w:right="-53" w:rightChars="-22" w:firstLine="361" w:firstLineChars="150"/>
        <w:outlineLvl w:val="2"/>
        <w:rPr>
          <w:rFonts w:ascii="宋体" w:hAnsi="宋体" w:eastAsia="宋体" w:cs="宋体"/>
          <w:color w:val="auto"/>
          <w:sz w:val="24"/>
          <w:szCs w:val="24"/>
          <w:highlight w:val="none"/>
        </w:rPr>
      </w:pPr>
      <w:bookmarkStart w:id="99" w:name="2._招标文件"/>
      <w:bookmarkEnd w:id="99"/>
      <w:bookmarkStart w:id="100" w:name="_bookmark5"/>
      <w:bookmarkEnd w:id="100"/>
      <w:bookmarkStart w:id="101" w:name="_Toc10282"/>
      <w:r>
        <w:rPr>
          <w:rFonts w:hint="eastAsia" w:ascii="宋体" w:hAnsi="宋体" w:eastAsia="宋体" w:cs="宋体"/>
          <w:color w:val="auto"/>
          <w:sz w:val="24"/>
          <w:szCs w:val="24"/>
          <w:highlight w:val="none"/>
        </w:rPr>
        <w:t>招标文件</w:t>
      </w:r>
      <w:bookmarkEnd w:id="101"/>
    </w:p>
    <w:p>
      <w:pPr>
        <w:pStyle w:val="46"/>
        <w:numPr>
          <w:ilvl w:val="1"/>
          <w:numId w:val="6"/>
        </w:numPr>
        <w:tabs>
          <w:tab w:val="left" w:pos="1100"/>
          <w:tab w:val="left" w:pos="1760"/>
        </w:tabs>
        <w:adjustRightInd/>
        <w:spacing w:line="360" w:lineRule="auto"/>
        <w:ind w:left="19" w:leftChars="8" w:right="-53" w:rightChars="-22" w:firstLine="361" w:firstLineChars="150"/>
        <w:rPr>
          <w:rFonts w:ascii="宋体" w:hAnsi="宋体" w:cs="宋体"/>
          <w:color w:val="auto"/>
          <w:highlight w:val="none"/>
        </w:rPr>
      </w:pPr>
      <w:bookmarkStart w:id="102" w:name="2.1_招标文件的组成"/>
      <w:bookmarkEnd w:id="102"/>
      <w:r>
        <w:rPr>
          <w:rFonts w:hint="eastAsia" w:ascii="宋体" w:hAnsi="宋体" w:cs="宋体"/>
          <w:b/>
          <w:color w:val="auto"/>
          <w:highlight w:val="none"/>
        </w:rPr>
        <w:t>招标文件的组成</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本招标文件包括：</w:t>
      </w:r>
    </w:p>
    <w:p>
      <w:pPr>
        <w:pStyle w:val="46"/>
        <w:numPr>
          <w:ilvl w:val="0"/>
          <w:numId w:val="12"/>
        </w:numPr>
        <w:tabs>
          <w:tab w:val="left" w:pos="1100"/>
          <w:tab w:val="left" w:pos="1798"/>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招标公告；</w:t>
      </w:r>
    </w:p>
    <w:p>
      <w:pPr>
        <w:pStyle w:val="46"/>
        <w:numPr>
          <w:ilvl w:val="0"/>
          <w:numId w:val="12"/>
        </w:numPr>
        <w:tabs>
          <w:tab w:val="left" w:pos="1100"/>
          <w:tab w:val="left" w:pos="1798"/>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投标人须知；</w:t>
      </w:r>
    </w:p>
    <w:p>
      <w:pPr>
        <w:pStyle w:val="46"/>
        <w:numPr>
          <w:ilvl w:val="0"/>
          <w:numId w:val="12"/>
        </w:numPr>
        <w:tabs>
          <w:tab w:val="left" w:pos="1100"/>
          <w:tab w:val="left" w:pos="1798"/>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评标办法；</w:t>
      </w:r>
    </w:p>
    <w:p>
      <w:pPr>
        <w:pStyle w:val="46"/>
        <w:numPr>
          <w:ilvl w:val="0"/>
          <w:numId w:val="12"/>
        </w:numPr>
        <w:tabs>
          <w:tab w:val="left" w:pos="1100"/>
          <w:tab w:val="left" w:pos="1798"/>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合同条款及格式；</w:t>
      </w:r>
    </w:p>
    <w:p>
      <w:pPr>
        <w:pStyle w:val="46"/>
        <w:numPr>
          <w:ilvl w:val="0"/>
          <w:numId w:val="12"/>
        </w:numPr>
        <w:tabs>
          <w:tab w:val="left" w:pos="1100"/>
          <w:tab w:val="left" w:pos="1798"/>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发包人要求；</w:t>
      </w:r>
    </w:p>
    <w:p>
      <w:pPr>
        <w:pStyle w:val="46"/>
        <w:numPr>
          <w:ilvl w:val="0"/>
          <w:numId w:val="12"/>
        </w:numPr>
        <w:tabs>
          <w:tab w:val="left" w:pos="1100"/>
          <w:tab w:val="left" w:pos="1798"/>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发包人提供的资料和条件；</w:t>
      </w:r>
    </w:p>
    <w:p>
      <w:pPr>
        <w:pStyle w:val="46"/>
        <w:numPr>
          <w:ilvl w:val="0"/>
          <w:numId w:val="12"/>
        </w:numPr>
        <w:tabs>
          <w:tab w:val="left" w:pos="1100"/>
          <w:tab w:val="left" w:pos="1798"/>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投标文件格式。</w:t>
      </w:r>
    </w:p>
    <w:p>
      <w:pPr>
        <w:pStyle w:val="3"/>
        <w:tabs>
          <w:tab w:val="left" w:pos="1100"/>
        </w:tabs>
        <w:adjustRightInd/>
        <w:spacing w:line="360" w:lineRule="auto"/>
        <w:ind w:left="19" w:leftChars="8" w:right="-53" w:rightChars="-22" w:firstLine="333" w:firstLineChars="150"/>
        <w:jc w:val="both"/>
        <w:rPr>
          <w:rFonts w:ascii="宋体" w:hAnsi="宋体" w:cs="宋体"/>
          <w:color w:val="auto"/>
          <w:highlight w:val="none"/>
        </w:rPr>
      </w:pPr>
      <w:r>
        <w:rPr>
          <w:rFonts w:hint="eastAsia" w:ascii="宋体" w:hAnsi="宋体" w:cs="宋体"/>
          <w:color w:val="auto"/>
          <w:spacing w:val="-9"/>
          <w:highlight w:val="none"/>
        </w:rPr>
        <w:t>根据本章第</w:t>
      </w:r>
      <w:r>
        <w:rPr>
          <w:rFonts w:hint="eastAsia" w:ascii="宋体" w:hAnsi="宋体" w:cs="宋体"/>
          <w:color w:val="auto"/>
          <w:highlight w:val="none"/>
        </w:rPr>
        <w:t>1.10</w:t>
      </w:r>
      <w:r>
        <w:rPr>
          <w:rFonts w:hint="eastAsia" w:ascii="宋体" w:hAnsi="宋体" w:cs="宋体"/>
          <w:color w:val="auto"/>
          <w:spacing w:val="-23"/>
          <w:highlight w:val="none"/>
        </w:rPr>
        <w:t>和第</w:t>
      </w:r>
      <w:r>
        <w:rPr>
          <w:rFonts w:hint="eastAsia" w:ascii="宋体" w:hAnsi="宋体" w:cs="宋体"/>
          <w:color w:val="auto"/>
          <w:highlight w:val="none"/>
        </w:rPr>
        <w:t>2.2</w:t>
      </w:r>
      <w:r>
        <w:rPr>
          <w:rFonts w:hint="eastAsia" w:ascii="宋体" w:hAnsi="宋体" w:cs="宋体"/>
          <w:color w:val="auto"/>
          <w:spacing w:val="-9"/>
          <w:highlight w:val="none"/>
        </w:rPr>
        <w:t>对招标文件所作的澄清、修改，构成</w:t>
      </w:r>
      <w:r>
        <w:rPr>
          <w:rFonts w:hint="eastAsia" w:ascii="宋体" w:hAnsi="宋体" w:cs="宋体"/>
          <w:color w:val="auto"/>
          <w:highlight w:val="none"/>
        </w:rPr>
        <w:t>招标文件的组成部分。招标文件、招标文件的澄清或修改等在同一内容的表述上不一致时，以最后发出的书面文件为准。</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103" w:name="2.2_招标文件的澄清和修改"/>
      <w:bookmarkEnd w:id="103"/>
      <w:r>
        <w:rPr>
          <w:rFonts w:hint="eastAsia" w:ascii="宋体" w:hAnsi="宋体" w:eastAsia="宋体" w:cs="宋体"/>
          <w:color w:val="auto"/>
          <w:sz w:val="24"/>
          <w:szCs w:val="24"/>
          <w:highlight w:val="none"/>
        </w:rPr>
        <w:t>招标文件的澄清和修改</w:t>
      </w:r>
    </w:p>
    <w:p>
      <w:pPr>
        <w:pStyle w:val="46"/>
        <w:numPr>
          <w:ilvl w:val="2"/>
          <w:numId w:val="6"/>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投标人应仔细阅读和检查招标文件的全部内容。如发现缺页或附件不全，应及时向招标人提出，以便补齐。如有疑问，应在投标人须知前附表第1.10.2规定的时间和方法，要求招标人对招标文件予以澄清。</w:t>
      </w:r>
    </w:p>
    <w:p>
      <w:pPr>
        <w:pStyle w:val="46"/>
        <w:numPr>
          <w:ilvl w:val="2"/>
          <w:numId w:val="6"/>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招标文件的澄清、修改可能影响投标文件编制的，招标人将在投标人须</w:t>
      </w:r>
      <w:r>
        <w:rPr>
          <w:rFonts w:hint="eastAsia" w:ascii="宋体" w:hAnsi="宋体" w:cs="宋体"/>
          <w:color w:val="auto"/>
          <w:spacing w:val="-5"/>
          <w:highlight w:val="none"/>
        </w:rPr>
        <w:t>知前附表规定的投标截止时间</w:t>
      </w:r>
      <w:r>
        <w:rPr>
          <w:rFonts w:hint="eastAsia" w:ascii="宋体" w:hAnsi="宋体" w:cs="宋体"/>
          <w:color w:val="auto"/>
          <w:highlight w:val="none"/>
        </w:rPr>
        <w:t>15</w:t>
      </w:r>
      <w:r>
        <w:rPr>
          <w:rFonts w:hint="eastAsia" w:ascii="宋体" w:hAnsi="宋体" w:cs="宋体"/>
          <w:color w:val="auto"/>
          <w:spacing w:val="-11"/>
          <w:highlight w:val="none"/>
        </w:rPr>
        <w:t>日前通过</w:t>
      </w:r>
      <w:r>
        <w:rPr>
          <w:rFonts w:hint="eastAsia" w:ascii="宋体" w:hAnsi="宋体" w:cs="宋体"/>
          <w:i/>
          <w:iCs/>
          <w:color w:val="auto"/>
          <w:highlight w:val="none"/>
          <w:u w:val="single"/>
        </w:rPr>
        <w:t>湖州市公共资源交易信息网</w:t>
      </w:r>
      <w:r>
        <w:rPr>
          <w:rFonts w:hint="eastAsia" w:ascii="宋体" w:hAnsi="宋体" w:cs="宋体"/>
          <w:color w:val="auto"/>
          <w:highlight w:val="none"/>
        </w:rPr>
        <w:t>进行发布，但不指明澄清问题的来源。如果澄清发出</w:t>
      </w:r>
      <w:r>
        <w:rPr>
          <w:rFonts w:hint="eastAsia" w:ascii="宋体" w:hAnsi="宋体" w:cs="宋体"/>
          <w:color w:val="auto"/>
          <w:spacing w:val="-5"/>
          <w:highlight w:val="none"/>
        </w:rPr>
        <w:t>的时间距投标截止时间不足</w:t>
      </w:r>
      <w:r>
        <w:rPr>
          <w:rFonts w:hint="eastAsia" w:ascii="宋体" w:hAnsi="宋体" w:cs="宋体"/>
          <w:color w:val="auto"/>
          <w:highlight w:val="none"/>
        </w:rPr>
        <w:t>15</w:t>
      </w:r>
      <w:r>
        <w:rPr>
          <w:rFonts w:hint="eastAsia" w:ascii="宋体" w:hAnsi="宋体" w:cs="宋体"/>
          <w:color w:val="auto"/>
          <w:spacing w:val="-8"/>
          <w:highlight w:val="none"/>
        </w:rPr>
        <w:t>日，相应延长投标截止时间。</w:t>
      </w:r>
    </w:p>
    <w:p>
      <w:pPr>
        <w:spacing w:line="400" w:lineRule="exact"/>
        <w:ind w:firstLine="472" w:firstLineChars="200"/>
        <w:rPr>
          <w:rFonts w:hint="eastAsia" w:ascii="宋体" w:hAnsi="宋体" w:cs="宋体"/>
          <w:color w:val="auto"/>
          <w:spacing w:val="-2"/>
          <w:highlight w:val="none"/>
        </w:rPr>
      </w:pPr>
      <w:r>
        <w:rPr>
          <w:rFonts w:hint="eastAsia" w:ascii="宋体" w:hAnsi="宋体" w:cs="宋体"/>
          <w:color w:val="auto"/>
          <w:spacing w:val="-2"/>
          <w:highlight w:val="none"/>
        </w:rPr>
        <w:t>2.2.3投标人确认收到招标文件澄清和修改内容的时间：见投标人须知前附表。</w:t>
      </w:r>
    </w:p>
    <w:p>
      <w:pPr>
        <w:spacing w:line="400" w:lineRule="exact"/>
        <w:ind w:firstLine="482" w:firstLineChars="200"/>
        <w:rPr>
          <w:rFonts w:ascii="宋体" w:hAnsi="宋体" w:cs="宋体"/>
          <w:color w:val="auto"/>
          <w:highlight w:val="none"/>
        </w:rPr>
      </w:pPr>
      <w:r>
        <w:rPr>
          <w:rFonts w:hint="eastAsia" w:ascii="宋体" w:hAnsi="宋体" w:cs="宋体"/>
          <w:b/>
          <w:color w:val="auto"/>
          <w:highlight w:val="none"/>
        </w:rPr>
        <w:t>2.2.4本项目（仅指电子招投标）若发布了澄清文件（指招标文件补疑内容），投标人必须选择澄清文件进行投标文件制作，否则其投标文件将无法上传。</w:t>
      </w:r>
    </w:p>
    <w:p>
      <w:pPr>
        <w:pStyle w:val="8"/>
        <w:keepNext w:val="0"/>
        <w:keepLines w:val="0"/>
        <w:numPr>
          <w:ilvl w:val="0"/>
          <w:numId w:val="6"/>
        </w:numPr>
        <w:tabs>
          <w:tab w:val="left" w:pos="1100"/>
          <w:tab w:val="left" w:pos="1629"/>
        </w:tabs>
        <w:adjustRightInd/>
        <w:spacing w:before="0" w:after="0" w:line="360" w:lineRule="auto"/>
        <w:ind w:left="19" w:leftChars="8" w:right="-53" w:rightChars="-22" w:firstLine="361" w:firstLineChars="150"/>
        <w:outlineLvl w:val="2"/>
        <w:rPr>
          <w:rFonts w:ascii="宋体" w:hAnsi="宋体" w:eastAsia="宋体" w:cs="宋体"/>
          <w:color w:val="auto"/>
          <w:sz w:val="24"/>
          <w:szCs w:val="24"/>
          <w:highlight w:val="none"/>
        </w:rPr>
      </w:pPr>
      <w:bookmarkStart w:id="104" w:name="_bookmark6"/>
      <w:bookmarkEnd w:id="104"/>
      <w:bookmarkStart w:id="105" w:name="3._投标文件"/>
      <w:bookmarkEnd w:id="105"/>
      <w:bookmarkStart w:id="106" w:name="_Toc1331"/>
      <w:r>
        <w:rPr>
          <w:rFonts w:hint="eastAsia" w:ascii="宋体" w:hAnsi="宋体" w:eastAsia="宋体" w:cs="宋体"/>
          <w:color w:val="auto"/>
          <w:sz w:val="24"/>
          <w:szCs w:val="24"/>
          <w:highlight w:val="none"/>
        </w:rPr>
        <w:t>投标文件</w:t>
      </w:r>
      <w:bookmarkEnd w:id="106"/>
    </w:p>
    <w:p>
      <w:pPr>
        <w:pStyle w:val="46"/>
        <w:numPr>
          <w:ilvl w:val="1"/>
          <w:numId w:val="6"/>
        </w:numPr>
        <w:tabs>
          <w:tab w:val="left" w:pos="1100"/>
          <w:tab w:val="left" w:pos="1760"/>
        </w:tabs>
        <w:adjustRightInd/>
        <w:spacing w:line="360" w:lineRule="auto"/>
        <w:ind w:left="19" w:leftChars="8" w:right="-53" w:rightChars="-22" w:firstLine="361" w:firstLineChars="150"/>
        <w:rPr>
          <w:rFonts w:ascii="宋体" w:hAnsi="宋体" w:cs="宋体"/>
          <w:b/>
          <w:color w:val="auto"/>
          <w:highlight w:val="none"/>
        </w:rPr>
      </w:pPr>
      <w:bookmarkStart w:id="107" w:name="3.1_投标文件的组成"/>
      <w:bookmarkEnd w:id="107"/>
      <w:r>
        <w:rPr>
          <w:rFonts w:hint="eastAsia" w:ascii="宋体" w:hAnsi="宋体" w:cs="宋体"/>
          <w:b/>
          <w:color w:val="auto"/>
          <w:highlight w:val="none"/>
        </w:rPr>
        <w:t>投标文件的组成</w:t>
      </w:r>
    </w:p>
    <w:p>
      <w:pPr>
        <w:pStyle w:val="46"/>
        <w:tabs>
          <w:tab w:val="left" w:pos="1100"/>
          <w:tab w:val="left" w:pos="1989"/>
        </w:tabs>
        <w:adjustRightInd/>
        <w:spacing w:line="360" w:lineRule="auto"/>
        <w:ind w:right="-53" w:rightChars="-22" w:firstLine="470"/>
        <w:rPr>
          <w:rFonts w:hint="eastAsia" w:ascii="宋体" w:hAnsi="宋体" w:cs="宋体"/>
          <w:color w:val="auto"/>
          <w:spacing w:val="-3"/>
          <w:highlight w:val="none"/>
        </w:rPr>
      </w:pPr>
      <w:r>
        <w:rPr>
          <w:rFonts w:hint="eastAsia" w:ascii="宋体" w:hAnsi="宋体" w:cs="宋体"/>
          <w:b/>
          <w:bCs/>
          <w:color w:val="auto"/>
          <w:spacing w:val="-3"/>
          <w:highlight w:val="none"/>
        </w:rPr>
        <w:t>3.1.1资格文件</w:t>
      </w:r>
    </w:p>
    <w:p>
      <w:pPr>
        <w:spacing w:line="400" w:lineRule="exact"/>
        <w:ind w:firstLine="420"/>
        <w:rPr>
          <w:rFonts w:hint="eastAsia" w:ascii="宋体" w:hAnsi="宋体" w:cs="仿宋"/>
          <w:b/>
          <w:bCs/>
          <w:color w:val="auto"/>
          <w:szCs w:val="21"/>
          <w:highlight w:val="none"/>
        </w:rPr>
      </w:pPr>
      <w:r>
        <w:rPr>
          <w:rFonts w:hint="eastAsia" w:ascii="宋体" w:hAnsi="宋体" w:cs="仿宋"/>
          <w:color w:val="auto"/>
          <w:szCs w:val="21"/>
          <w:highlight w:val="none"/>
        </w:rPr>
        <w:t>3.1.1.1投标声明书；</w:t>
      </w:r>
      <w:r>
        <w:rPr>
          <w:rFonts w:hint="eastAsia" w:ascii="宋体" w:hAnsi="宋体" w:cs="仿宋"/>
          <w:b/>
          <w:bCs/>
          <w:color w:val="auto"/>
          <w:szCs w:val="21"/>
          <w:highlight w:val="none"/>
        </w:rPr>
        <w:t>（联合体投标的，联合体牵头人和成员均需提供）</w:t>
      </w:r>
    </w:p>
    <w:p>
      <w:pPr>
        <w:spacing w:line="400" w:lineRule="exact"/>
        <w:ind w:firstLine="420"/>
        <w:rPr>
          <w:rFonts w:hint="eastAsia" w:ascii="宋体" w:hAnsi="宋体" w:cs="仿宋"/>
          <w:b/>
          <w:bCs/>
          <w:color w:val="auto"/>
          <w:szCs w:val="21"/>
          <w:highlight w:val="none"/>
        </w:rPr>
      </w:pPr>
      <w:r>
        <w:rPr>
          <w:rFonts w:hint="eastAsia" w:ascii="宋体" w:hAnsi="宋体" w:cs="仿宋"/>
          <w:color w:val="auto"/>
          <w:szCs w:val="21"/>
          <w:highlight w:val="none"/>
        </w:rPr>
        <w:t>3.1.1.2企业概况；</w:t>
      </w:r>
      <w:r>
        <w:rPr>
          <w:rFonts w:hint="eastAsia" w:ascii="宋体" w:hAnsi="宋体" w:cs="仿宋"/>
          <w:b/>
          <w:bCs/>
          <w:color w:val="auto"/>
          <w:szCs w:val="21"/>
          <w:highlight w:val="none"/>
        </w:rPr>
        <w:t>（联合体投标的，联合体牵头人和成员均需提供）</w:t>
      </w:r>
    </w:p>
    <w:p>
      <w:pPr>
        <w:spacing w:line="400" w:lineRule="exact"/>
        <w:ind w:firstLine="420"/>
        <w:rPr>
          <w:rFonts w:hint="eastAsia" w:ascii="宋体" w:hAnsi="宋体" w:cs="仿宋"/>
          <w:b/>
          <w:bCs/>
          <w:color w:val="auto"/>
          <w:szCs w:val="21"/>
          <w:highlight w:val="none"/>
        </w:rPr>
      </w:pPr>
      <w:r>
        <w:rPr>
          <w:rFonts w:hint="eastAsia" w:ascii="宋体" w:hAnsi="宋体" w:cs="仿宋"/>
          <w:color w:val="auto"/>
          <w:szCs w:val="21"/>
          <w:highlight w:val="none"/>
        </w:rPr>
        <w:t>3.1.1.3法定代表人身份证明书</w:t>
      </w:r>
      <w:r>
        <w:rPr>
          <w:rFonts w:hint="eastAsia" w:ascii="宋体" w:hAnsi="宋体" w:cs="仿宋"/>
          <w:b/>
          <w:bCs/>
          <w:color w:val="auto"/>
          <w:szCs w:val="21"/>
          <w:highlight w:val="none"/>
        </w:rPr>
        <w:t>；（联合体投标的，联合体牵头人和成员均需提供）</w:t>
      </w:r>
    </w:p>
    <w:p>
      <w:pPr>
        <w:spacing w:line="400" w:lineRule="exact"/>
        <w:ind w:firstLine="420"/>
        <w:rPr>
          <w:rFonts w:hint="eastAsia" w:ascii="宋体" w:hAnsi="宋体" w:cs="仿宋"/>
          <w:b/>
          <w:bCs/>
          <w:color w:val="auto"/>
          <w:szCs w:val="21"/>
          <w:highlight w:val="none"/>
        </w:rPr>
      </w:pPr>
      <w:r>
        <w:rPr>
          <w:rFonts w:hint="eastAsia" w:ascii="宋体" w:hAnsi="宋体" w:cs="仿宋"/>
          <w:color w:val="auto"/>
          <w:szCs w:val="21"/>
          <w:highlight w:val="none"/>
        </w:rPr>
        <w:t>3.1.1.4代理人授权委托书</w:t>
      </w:r>
      <w:r>
        <w:rPr>
          <w:rFonts w:hint="eastAsia" w:ascii="宋体" w:hAnsi="宋体" w:cs="仿宋"/>
          <w:b/>
          <w:bCs/>
          <w:color w:val="auto"/>
          <w:szCs w:val="21"/>
          <w:highlight w:val="none"/>
        </w:rPr>
        <w:t>；（联合体投标的，代理人由联合体牵头人委派）</w:t>
      </w:r>
    </w:p>
    <w:p>
      <w:pPr>
        <w:spacing w:line="400" w:lineRule="exact"/>
        <w:ind w:firstLine="420"/>
        <w:rPr>
          <w:rFonts w:hint="eastAsia" w:ascii="宋体" w:hAnsi="宋体" w:cs="仿宋"/>
          <w:b/>
          <w:bCs/>
          <w:color w:val="auto"/>
          <w:szCs w:val="21"/>
          <w:highlight w:val="none"/>
        </w:rPr>
      </w:pPr>
      <w:r>
        <w:rPr>
          <w:rFonts w:hint="eastAsia" w:ascii="宋体" w:hAnsi="宋体" w:cs="仿宋"/>
          <w:color w:val="auto"/>
          <w:szCs w:val="21"/>
          <w:highlight w:val="none"/>
        </w:rPr>
        <w:t>3.1.1.5代理人社保证明；</w:t>
      </w:r>
    </w:p>
    <w:p>
      <w:pPr>
        <w:spacing w:line="400" w:lineRule="exact"/>
        <w:ind w:firstLine="420"/>
        <w:rPr>
          <w:rFonts w:hint="eastAsia" w:ascii="宋体" w:hAnsi="宋体" w:cs="仿宋"/>
          <w:b/>
          <w:bCs/>
          <w:color w:val="auto"/>
          <w:szCs w:val="21"/>
          <w:highlight w:val="none"/>
        </w:rPr>
      </w:pPr>
      <w:r>
        <w:rPr>
          <w:rFonts w:hint="eastAsia" w:ascii="宋体" w:hAnsi="宋体" w:cs="仿宋"/>
          <w:color w:val="auto"/>
          <w:szCs w:val="21"/>
          <w:highlight w:val="none"/>
        </w:rPr>
        <w:t>3.1.1.6投标人企业营业执照；</w:t>
      </w:r>
      <w:r>
        <w:rPr>
          <w:rFonts w:hint="eastAsia" w:ascii="宋体" w:hAnsi="宋体" w:cs="仿宋"/>
          <w:b/>
          <w:bCs/>
          <w:color w:val="auto"/>
          <w:szCs w:val="21"/>
          <w:highlight w:val="none"/>
        </w:rPr>
        <w:t>（联合体投标的，联合体牵头人和成员均需提供）</w:t>
      </w:r>
    </w:p>
    <w:p>
      <w:pPr>
        <w:spacing w:line="400" w:lineRule="exact"/>
        <w:ind w:firstLine="420"/>
        <w:rPr>
          <w:rFonts w:hint="eastAsia" w:ascii="宋体" w:hAnsi="宋体" w:cs="仿宋"/>
          <w:color w:val="auto"/>
          <w:szCs w:val="21"/>
          <w:highlight w:val="none"/>
        </w:rPr>
      </w:pPr>
      <w:r>
        <w:rPr>
          <w:rFonts w:hint="eastAsia" w:ascii="宋体" w:hAnsi="宋体" w:cs="仿宋"/>
          <w:color w:val="auto"/>
          <w:szCs w:val="21"/>
          <w:highlight w:val="none"/>
        </w:rPr>
        <w:t>3.1.1.7投标人施工资质证书及企业安全生产许可证；</w:t>
      </w:r>
      <w:r>
        <w:rPr>
          <w:rFonts w:hint="eastAsia" w:ascii="宋体" w:hAnsi="宋体" w:cs="仿宋"/>
          <w:b/>
          <w:bCs/>
          <w:color w:val="auto"/>
          <w:szCs w:val="21"/>
          <w:highlight w:val="none"/>
        </w:rPr>
        <w:t>（须符合投标人资格条件要求。联合体投标的，由联合体牵头人提供）</w:t>
      </w:r>
    </w:p>
    <w:p>
      <w:pPr>
        <w:spacing w:line="400" w:lineRule="exact"/>
        <w:ind w:firstLine="420"/>
        <w:rPr>
          <w:rFonts w:hint="eastAsia" w:ascii="宋体" w:hAnsi="宋体" w:cs="仿宋"/>
          <w:color w:val="auto"/>
          <w:szCs w:val="21"/>
          <w:highlight w:val="none"/>
        </w:rPr>
      </w:pPr>
      <w:r>
        <w:rPr>
          <w:rFonts w:hint="eastAsia" w:ascii="宋体" w:hAnsi="宋体" w:cs="仿宋"/>
          <w:color w:val="auto"/>
          <w:szCs w:val="21"/>
          <w:highlight w:val="none"/>
        </w:rPr>
        <w:t>3.1.1.8投标人设计资质证书；</w:t>
      </w:r>
      <w:r>
        <w:rPr>
          <w:rFonts w:hint="eastAsia" w:ascii="宋体" w:hAnsi="宋体" w:cs="仿宋"/>
          <w:b/>
          <w:bCs/>
          <w:color w:val="auto"/>
          <w:szCs w:val="21"/>
          <w:highlight w:val="none"/>
        </w:rPr>
        <w:t>（须符合投标人资格条件要求。联合体投标的，由联合体成员提供）</w:t>
      </w:r>
    </w:p>
    <w:p>
      <w:pPr>
        <w:spacing w:line="400" w:lineRule="exact"/>
        <w:ind w:firstLine="480" w:firstLineChars="200"/>
        <w:rPr>
          <w:rFonts w:hint="default" w:ascii="宋体" w:hAnsi="宋体" w:eastAsia="宋体" w:cs="仿宋"/>
          <w:color w:val="auto"/>
          <w:szCs w:val="21"/>
          <w:highlight w:val="none"/>
          <w:lang w:val="en-US" w:eastAsia="zh-CN"/>
        </w:rPr>
      </w:pPr>
      <w:r>
        <w:rPr>
          <w:rFonts w:hint="eastAsia" w:ascii="宋体" w:hAnsi="宋体" w:cs="仿宋"/>
          <w:color w:val="auto"/>
          <w:szCs w:val="21"/>
          <w:highlight w:val="none"/>
        </w:rPr>
        <w:t>3.1.1.9</w:t>
      </w:r>
      <w:r>
        <w:rPr>
          <w:rFonts w:hint="eastAsia" w:ascii="宋体" w:hAnsi="宋体" w:cs="仿宋"/>
          <w:color w:val="auto"/>
          <w:szCs w:val="21"/>
          <w:highlight w:val="none"/>
          <w:lang w:val="en-US" w:eastAsia="zh-CN"/>
        </w:rPr>
        <w:t>投标人企业业绩；（</w:t>
      </w:r>
      <w:r>
        <w:rPr>
          <w:rFonts w:hint="eastAsia" w:ascii="宋体" w:hAnsi="宋体" w:cs="仿宋"/>
          <w:b/>
          <w:bCs/>
          <w:color w:val="auto"/>
          <w:szCs w:val="21"/>
          <w:highlight w:val="none"/>
        </w:rPr>
        <w:t>联合体投标的，由联合体牵头人提供）</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lang w:val="en-US" w:eastAsia="zh-CN"/>
        </w:rPr>
        <w:t>3.1.1.10</w:t>
      </w:r>
      <w:r>
        <w:rPr>
          <w:rFonts w:hint="eastAsia" w:ascii="宋体" w:hAnsi="宋体" w:cs="仿宋"/>
          <w:color w:val="auto"/>
          <w:szCs w:val="21"/>
          <w:highlight w:val="none"/>
        </w:rPr>
        <w:t>参加投标的项目负责人的注册证书（</w:t>
      </w:r>
      <w:r>
        <w:rPr>
          <w:rFonts w:hint="eastAsia" w:ascii="宋体" w:hAnsi="宋体" w:cs="仿宋"/>
          <w:b/>
          <w:bCs/>
          <w:color w:val="auto"/>
          <w:szCs w:val="21"/>
          <w:highlight w:val="none"/>
        </w:rPr>
        <w:t>须符合项目负责人资格条件要求）</w:t>
      </w:r>
      <w:r>
        <w:rPr>
          <w:rFonts w:hint="eastAsia" w:ascii="宋体" w:hAnsi="宋体" w:cs="仿宋"/>
          <w:color w:val="auto"/>
          <w:szCs w:val="21"/>
          <w:highlight w:val="none"/>
        </w:rPr>
        <w:t>及社保证明；</w:t>
      </w:r>
    </w:p>
    <w:p>
      <w:pPr>
        <w:spacing w:line="400" w:lineRule="exact"/>
        <w:ind w:left="480" w:leftChars="200"/>
        <w:rPr>
          <w:rFonts w:hint="eastAsia" w:ascii="宋体" w:hAnsi="宋体" w:cs="仿宋"/>
          <w:color w:val="auto"/>
          <w:szCs w:val="21"/>
          <w:highlight w:val="none"/>
        </w:rPr>
      </w:pPr>
      <w:r>
        <w:rPr>
          <w:rFonts w:hint="eastAsia" w:ascii="宋体" w:hAnsi="宋体" w:cs="仿宋"/>
          <w:color w:val="auto"/>
          <w:szCs w:val="21"/>
          <w:highlight w:val="none"/>
        </w:rPr>
        <w:t>3.1.1.1</w:t>
      </w:r>
      <w:r>
        <w:rPr>
          <w:rFonts w:hint="eastAsia" w:ascii="宋体" w:hAnsi="宋体" w:cs="仿宋"/>
          <w:color w:val="auto"/>
          <w:szCs w:val="21"/>
          <w:highlight w:val="none"/>
          <w:lang w:val="en-US" w:eastAsia="zh-CN"/>
        </w:rPr>
        <w:t>1</w:t>
      </w:r>
      <w:r>
        <w:rPr>
          <w:rFonts w:hint="eastAsia" w:ascii="宋体" w:hAnsi="宋体" w:cs="仿宋"/>
          <w:color w:val="auto"/>
          <w:szCs w:val="21"/>
          <w:highlight w:val="none"/>
        </w:rPr>
        <w:t>拟参加投标的项目负责人简历表；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3.1.1.1</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拟参加投标的设计负责人注册证书（</w:t>
      </w:r>
      <w:r>
        <w:rPr>
          <w:rFonts w:hint="eastAsia" w:ascii="宋体" w:hAnsi="宋体" w:cs="仿宋"/>
          <w:b/>
          <w:bCs/>
          <w:color w:val="auto"/>
          <w:szCs w:val="21"/>
          <w:highlight w:val="none"/>
        </w:rPr>
        <w:t>须符合项目负责人资格条件要求）及</w:t>
      </w:r>
      <w:r>
        <w:rPr>
          <w:rFonts w:hint="eastAsia" w:ascii="宋体" w:hAnsi="宋体" w:cs="仿宋"/>
          <w:color w:val="auto"/>
          <w:szCs w:val="21"/>
          <w:highlight w:val="none"/>
        </w:rPr>
        <w:t xml:space="preserve">社保证明； </w:t>
      </w:r>
    </w:p>
    <w:p>
      <w:pPr>
        <w:spacing w:line="400" w:lineRule="exact"/>
        <w:ind w:left="480" w:leftChars="200"/>
        <w:rPr>
          <w:rFonts w:hint="eastAsia" w:ascii="宋体" w:hAnsi="宋体" w:cs="仿宋"/>
          <w:color w:val="auto"/>
          <w:szCs w:val="21"/>
          <w:highlight w:val="none"/>
        </w:rPr>
      </w:pPr>
      <w:r>
        <w:rPr>
          <w:rFonts w:hint="eastAsia" w:ascii="宋体" w:hAnsi="宋体" w:cs="仿宋"/>
          <w:color w:val="auto"/>
          <w:szCs w:val="21"/>
          <w:highlight w:val="none"/>
        </w:rPr>
        <w:t>3.1.1.1</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rPr>
        <w:t>拟参加投标的设计负责人简历表；</w:t>
      </w:r>
    </w:p>
    <w:p>
      <w:pPr>
        <w:spacing w:line="400" w:lineRule="exact"/>
        <w:ind w:firstLine="480" w:firstLineChars="200"/>
        <w:rPr>
          <w:rFonts w:ascii="宋体" w:hAnsi="宋体" w:cs="仿宋"/>
          <w:b/>
          <w:bCs/>
          <w:color w:val="auto"/>
          <w:szCs w:val="21"/>
          <w:highlight w:val="none"/>
        </w:rPr>
      </w:pPr>
      <w:r>
        <w:rPr>
          <w:rFonts w:hint="eastAsia" w:ascii="宋体" w:hAnsi="宋体" w:cs="仿宋"/>
          <w:color w:val="auto"/>
          <w:szCs w:val="21"/>
          <w:highlight w:val="none"/>
        </w:rPr>
        <w:t>3.1.1.1</w:t>
      </w:r>
      <w:r>
        <w:rPr>
          <w:rFonts w:hint="eastAsia" w:ascii="宋体" w:hAnsi="宋体" w:cs="仿宋"/>
          <w:color w:val="auto"/>
          <w:szCs w:val="21"/>
          <w:highlight w:val="none"/>
          <w:lang w:val="en-US" w:eastAsia="zh-CN"/>
        </w:rPr>
        <w:t>4</w:t>
      </w:r>
      <w:r>
        <w:rPr>
          <w:rFonts w:hint="eastAsia" w:ascii="宋体" w:hAnsi="宋体" w:cs="仿宋"/>
          <w:color w:val="auto"/>
          <w:szCs w:val="21"/>
          <w:highlight w:val="none"/>
        </w:rPr>
        <w:t>拟参加投标的施工负责人的注册证书（</w:t>
      </w:r>
      <w:r>
        <w:rPr>
          <w:rFonts w:hint="eastAsia" w:ascii="宋体" w:hAnsi="宋体" w:cs="仿宋"/>
          <w:b/>
          <w:bCs/>
          <w:color w:val="auto"/>
          <w:szCs w:val="21"/>
          <w:highlight w:val="none"/>
        </w:rPr>
        <w:t>须符合项目负责人资格条件要求）</w:t>
      </w:r>
      <w:r>
        <w:rPr>
          <w:rFonts w:hint="eastAsia" w:ascii="宋体" w:hAnsi="宋体" w:cs="仿宋"/>
          <w:color w:val="auto"/>
          <w:szCs w:val="21"/>
          <w:highlight w:val="none"/>
        </w:rPr>
        <w:t>、B证及社保证明；</w:t>
      </w:r>
      <w:r>
        <w:rPr>
          <w:rFonts w:hint="eastAsia" w:ascii="宋体" w:hAnsi="宋体" w:cs="仿宋"/>
          <w:b/>
          <w:bCs/>
          <w:color w:val="auto"/>
          <w:szCs w:val="21"/>
          <w:highlight w:val="none"/>
        </w:rPr>
        <w:t xml:space="preserve"> </w:t>
      </w:r>
    </w:p>
    <w:p>
      <w:pPr>
        <w:spacing w:line="400" w:lineRule="exact"/>
        <w:ind w:firstLine="420"/>
        <w:rPr>
          <w:rFonts w:hint="eastAsia" w:ascii="宋体" w:hAnsi="宋体" w:cs="仿宋"/>
          <w:color w:val="auto"/>
          <w:szCs w:val="21"/>
          <w:highlight w:val="none"/>
        </w:rPr>
      </w:pPr>
      <w:r>
        <w:rPr>
          <w:rFonts w:hint="eastAsia" w:ascii="宋体" w:hAnsi="宋体" w:cs="仿宋"/>
          <w:color w:val="auto"/>
          <w:szCs w:val="21"/>
          <w:highlight w:val="none"/>
        </w:rPr>
        <w:t>3.1.1.1</w:t>
      </w:r>
      <w:r>
        <w:rPr>
          <w:rFonts w:hint="eastAsia" w:ascii="宋体" w:hAnsi="宋体" w:cs="仿宋"/>
          <w:color w:val="auto"/>
          <w:szCs w:val="21"/>
          <w:highlight w:val="none"/>
          <w:lang w:val="en-US" w:eastAsia="zh-CN"/>
        </w:rPr>
        <w:t>5</w:t>
      </w:r>
      <w:r>
        <w:rPr>
          <w:rFonts w:hint="eastAsia" w:ascii="宋体" w:hAnsi="宋体" w:cs="仿宋"/>
          <w:color w:val="auto"/>
          <w:szCs w:val="21"/>
          <w:highlight w:val="none"/>
        </w:rPr>
        <w:t>拟参加投标的施工负责人简历表；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3.1.1.1</w:t>
      </w:r>
      <w:r>
        <w:rPr>
          <w:rFonts w:hint="eastAsia" w:ascii="宋体" w:hAnsi="宋体" w:cs="仿宋"/>
          <w:color w:val="auto"/>
          <w:szCs w:val="21"/>
          <w:highlight w:val="none"/>
          <w:lang w:val="en-US" w:eastAsia="zh-CN"/>
        </w:rPr>
        <w:t>6</w:t>
      </w:r>
      <w:r>
        <w:rPr>
          <w:rFonts w:hint="eastAsia" w:ascii="宋体" w:hAnsi="宋体" w:cs="仿宋"/>
          <w:color w:val="auto"/>
          <w:szCs w:val="21"/>
          <w:highlight w:val="none"/>
        </w:rPr>
        <w:t>承诺书；</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3.1.1.1</w:t>
      </w:r>
      <w:r>
        <w:rPr>
          <w:rFonts w:hint="eastAsia" w:ascii="宋体" w:hAnsi="宋体" w:cs="仿宋"/>
          <w:color w:val="auto"/>
          <w:szCs w:val="21"/>
          <w:highlight w:val="none"/>
          <w:lang w:val="en-US" w:eastAsia="zh-CN"/>
        </w:rPr>
        <w:t>7</w:t>
      </w:r>
      <w:r>
        <w:rPr>
          <w:rFonts w:hint="eastAsia" w:ascii="宋体" w:hAnsi="宋体" w:cs="仿宋"/>
          <w:color w:val="auto"/>
          <w:szCs w:val="21"/>
          <w:highlight w:val="none"/>
        </w:rPr>
        <w:t>项目管理机构配备情况表（按投标人须知前附表第3.5条要求配备，同时提供人员相应证书及社保证明）；</w:t>
      </w:r>
    </w:p>
    <w:p>
      <w:pPr>
        <w:spacing w:line="400" w:lineRule="exact"/>
        <w:ind w:left="480" w:leftChars="200"/>
        <w:rPr>
          <w:rFonts w:ascii="宋体" w:hAnsi="宋体" w:cs="仿宋"/>
          <w:color w:val="auto"/>
          <w:szCs w:val="21"/>
          <w:highlight w:val="none"/>
        </w:rPr>
      </w:pPr>
      <w:r>
        <w:rPr>
          <w:rFonts w:hint="eastAsia" w:ascii="宋体" w:hAnsi="宋体" w:cs="仿宋"/>
          <w:color w:val="auto"/>
          <w:szCs w:val="21"/>
          <w:highlight w:val="none"/>
        </w:rPr>
        <w:t>3.1.1.1</w:t>
      </w:r>
      <w:r>
        <w:rPr>
          <w:rFonts w:hint="eastAsia" w:ascii="宋体" w:hAnsi="宋体" w:cs="仿宋"/>
          <w:color w:val="auto"/>
          <w:szCs w:val="21"/>
          <w:highlight w:val="none"/>
          <w:lang w:val="en-US" w:eastAsia="zh-CN"/>
        </w:rPr>
        <w:t>8</w:t>
      </w:r>
      <w:r>
        <w:rPr>
          <w:rFonts w:hint="eastAsia" w:ascii="宋体" w:hAnsi="宋体" w:cs="仿宋"/>
          <w:color w:val="auto"/>
          <w:szCs w:val="21"/>
          <w:highlight w:val="none"/>
        </w:rPr>
        <w:t>技术负责人简历表；</w:t>
      </w:r>
    </w:p>
    <w:p>
      <w:pPr>
        <w:spacing w:line="400" w:lineRule="exact"/>
        <w:ind w:firstLine="420"/>
        <w:rPr>
          <w:rFonts w:hint="eastAsia" w:ascii="宋体" w:hAnsi="宋体" w:cs="仿宋"/>
          <w:color w:val="auto"/>
          <w:szCs w:val="21"/>
          <w:highlight w:val="none"/>
          <w:lang w:val="en-US" w:eastAsia="zh-CN"/>
        </w:rPr>
      </w:pPr>
      <w:r>
        <w:rPr>
          <w:rFonts w:hint="eastAsia" w:ascii="宋体" w:hAnsi="宋体" w:cs="仿宋"/>
          <w:color w:val="auto"/>
          <w:szCs w:val="21"/>
          <w:highlight w:val="none"/>
        </w:rPr>
        <w:t>3.1.1.1</w:t>
      </w:r>
      <w:r>
        <w:rPr>
          <w:rFonts w:hint="eastAsia" w:ascii="宋体" w:hAnsi="宋体" w:cs="仿宋"/>
          <w:color w:val="auto"/>
          <w:szCs w:val="21"/>
          <w:highlight w:val="none"/>
          <w:lang w:val="en-US" w:eastAsia="zh-CN"/>
        </w:rPr>
        <w:t>9</w:t>
      </w:r>
      <w:r>
        <w:rPr>
          <w:rFonts w:hint="eastAsia" w:ascii="宋体" w:hAnsi="宋体" w:eastAsia="宋体" w:cs="宋体"/>
          <w:i w:val="0"/>
          <w:iCs w:val="0"/>
          <w:color w:val="auto"/>
          <w:sz w:val="24"/>
          <w:szCs w:val="24"/>
          <w:highlight w:val="none"/>
        </w:rPr>
        <w:t>投标人及拟派项目负责人(总监)信用信息情况表；</w:t>
      </w:r>
      <w:r>
        <w:rPr>
          <w:rFonts w:hint="eastAsia" w:ascii="宋体" w:hAnsi="宋体" w:eastAsia="宋体" w:cs="宋体"/>
          <w:b/>
          <w:bCs/>
          <w:i w:val="0"/>
          <w:iCs w:val="0"/>
          <w:color w:val="auto"/>
          <w:sz w:val="24"/>
          <w:szCs w:val="24"/>
          <w:highlight w:val="none"/>
        </w:rPr>
        <w:t>（联合体投标的，联合体牵头人和成员均需提供。</w:t>
      </w:r>
      <w:r>
        <w:rPr>
          <w:rFonts w:hint="eastAsia" w:ascii="宋体" w:hAnsi="宋体" w:eastAsia="宋体" w:cs="宋体"/>
          <w:b/>
          <w:bCs/>
          <w:i w:val="0"/>
          <w:iCs w:val="0"/>
          <w:color w:val="auto"/>
          <w:sz w:val="24"/>
          <w:szCs w:val="24"/>
          <w:highlight w:val="none"/>
          <w:lang w:val="en-US" w:eastAsia="zh-CN"/>
        </w:rPr>
        <w:t>项目负责人、</w:t>
      </w:r>
      <w:r>
        <w:rPr>
          <w:rFonts w:hint="eastAsia" w:ascii="宋体" w:hAnsi="宋体" w:eastAsia="宋体" w:cs="宋体"/>
          <w:b/>
          <w:i w:val="0"/>
          <w:iCs w:val="0"/>
          <w:color w:val="auto"/>
          <w:sz w:val="24"/>
          <w:szCs w:val="24"/>
          <w:highlight w:val="none"/>
        </w:rPr>
        <w:t>施工项目负责人、设计项目负责人分别填写</w:t>
      </w:r>
      <w:r>
        <w:rPr>
          <w:rFonts w:hint="eastAsia" w:ascii="宋体" w:hAnsi="宋体" w:eastAsia="宋体" w:cs="宋体"/>
          <w:b/>
          <w:bCs/>
          <w:i w:val="0"/>
          <w:iCs w:val="0"/>
          <w:color w:val="auto"/>
          <w:sz w:val="24"/>
          <w:szCs w:val="24"/>
          <w:highlight w:val="none"/>
        </w:rPr>
        <w:t>）</w:t>
      </w:r>
    </w:p>
    <w:p>
      <w:pPr>
        <w:spacing w:line="400" w:lineRule="exact"/>
        <w:ind w:firstLine="420"/>
        <w:rPr>
          <w:rFonts w:hint="eastAsia" w:ascii="宋体" w:hAnsi="宋体" w:cs="仿宋"/>
          <w:color w:val="auto"/>
          <w:szCs w:val="21"/>
          <w:highlight w:val="none"/>
        </w:rPr>
      </w:pPr>
      <w:r>
        <w:rPr>
          <w:rFonts w:hint="eastAsia" w:ascii="宋体" w:hAnsi="宋体" w:cs="仿宋"/>
          <w:color w:val="auto"/>
          <w:szCs w:val="21"/>
          <w:highlight w:val="none"/>
          <w:lang w:val="en-US" w:eastAsia="zh-CN"/>
        </w:rPr>
        <w:t>3.1.1.20</w:t>
      </w:r>
      <w:r>
        <w:rPr>
          <w:rFonts w:hint="eastAsia" w:ascii="宋体" w:hAnsi="宋体" w:cs="仿宋"/>
          <w:color w:val="auto"/>
          <w:szCs w:val="21"/>
          <w:highlight w:val="none"/>
        </w:rPr>
        <w:t>本工程投标保证金；。</w:t>
      </w:r>
    </w:p>
    <w:p>
      <w:pPr>
        <w:spacing w:line="400" w:lineRule="exact"/>
        <w:ind w:firstLine="420"/>
        <w:rPr>
          <w:rFonts w:hint="eastAsia" w:ascii="宋体" w:hAnsi="宋体" w:cs="仿宋"/>
          <w:b/>
          <w:bCs/>
          <w:color w:val="auto"/>
          <w:szCs w:val="21"/>
          <w:highlight w:val="none"/>
        </w:rPr>
      </w:pPr>
      <w:r>
        <w:rPr>
          <w:rFonts w:hint="eastAsia" w:ascii="宋体" w:hAnsi="宋体" w:cs="仿宋"/>
          <w:color w:val="auto"/>
          <w:szCs w:val="21"/>
          <w:highlight w:val="none"/>
          <w:lang w:val="en-US" w:eastAsia="zh-CN"/>
        </w:rPr>
        <w:t>3.1.1.21</w:t>
      </w:r>
      <w:r>
        <w:rPr>
          <w:rFonts w:hint="eastAsia" w:ascii="宋体" w:hAnsi="宋体" w:cs="仿宋"/>
          <w:color w:val="auto"/>
          <w:szCs w:val="21"/>
          <w:highlight w:val="none"/>
        </w:rPr>
        <w:t>基本账户证明（开户许可证或银行基本存款账户开户信息）；（若基本账户涉及到银行升级等情况导致账号不一致的，需提供证明资料，并由开户银行盖章生效，否则以无效标处理）；</w:t>
      </w:r>
      <w:r>
        <w:rPr>
          <w:rFonts w:hint="eastAsia" w:ascii="宋体" w:hAnsi="宋体" w:cs="仿宋"/>
          <w:b/>
          <w:bCs/>
          <w:color w:val="auto"/>
          <w:szCs w:val="21"/>
          <w:highlight w:val="none"/>
        </w:rPr>
        <w:t>（联合体投标的，联合体牵头人提供。符合招标文件规定的保证金免缴政策的，此项内容不可不提供）</w:t>
      </w:r>
    </w:p>
    <w:p>
      <w:pPr>
        <w:spacing w:line="400" w:lineRule="exact"/>
        <w:ind w:firstLine="420"/>
        <w:rPr>
          <w:rFonts w:hint="eastAsia" w:ascii="宋体" w:hAnsi="宋体" w:cs="仿宋"/>
          <w:color w:val="auto"/>
          <w:szCs w:val="21"/>
          <w:highlight w:val="none"/>
        </w:rPr>
      </w:pPr>
      <w:r>
        <w:rPr>
          <w:rFonts w:hint="eastAsia" w:ascii="宋体" w:hAnsi="宋体" w:cs="仿宋"/>
          <w:color w:val="auto"/>
          <w:szCs w:val="21"/>
          <w:highlight w:val="none"/>
        </w:rPr>
        <w:t>3.1.1.2</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联合体协议书（</w:t>
      </w:r>
      <w:r>
        <w:rPr>
          <w:rFonts w:hint="eastAsia" w:ascii="宋体" w:hAnsi="宋体" w:cs="仿宋"/>
          <w:b/>
          <w:bCs/>
          <w:color w:val="auto"/>
          <w:szCs w:val="21"/>
          <w:highlight w:val="none"/>
        </w:rPr>
        <w:t>联合体投标的须提供</w:t>
      </w:r>
      <w:r>
        <w:rPr>
          <w:rFonts w:hint="eastAsia" w:ascii="宋体" w:hAnsi="宋体" w:cs="仿宋"/>
          <w:color w:val="auto"/>
          <w:szCs w:val="21"/>
          <w:highlight w:val="none"/>
        </w:rPr>
        <w:t>）；</w:t>
      </w:r>
    </w:p>
    <w:p>
      <w:pPr>
        <w:spacing w:line="400" w:lineRule="exact"/>
        <w:ind w:firstLine="420"/>
        <w:rPr>
          <w:rFonts w:hint="eastAsia" w:ascii="宋体" w:hAnsi="宋体" w:cs="仿宋"/>
          <w:b/>
          <w:bCs/>
          <w:color w:val="auto"/>
          <w:szCs w:val="21"/>
          <w:highlight w:val="none"/>
        </w:rPr>
      </w:pPr>
      <w:r>
        <w:rPr>
          <w:rFonts w:hint="eastAsia" w:ascii="宋体" w:hAnsi="宋体" w:cs="仿宋"/>
          <w:color w:val="auto"/>
          <w:szCs w:val="21"/>
          <w:highlight w:val="none"/>
        </w:rPr>
        <w:t>3.1.1.2</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rPr>
        <w:t>投标人廉洁守信承诺书；</w:t>
      </w:r>
      <w:r>
        <w:rPr>
          <w:rFonts w:hint="eastAsia" w:ascii="宋体" w:hAnsi="宋体" w:cs="仿宋"/>
          <w:b/>
          <w:bCs/>
          <w:color w:val="auto"/>
          <w:szCs w:val="21"/>
          <w:highlight w:val="none"/>
        </w:rPr>
        <w:t>（联合体投标的，联合体牵头人和成员均需提供）</w:t>
      </w:r>
    </w:p>
    <w:p>
      <w:pPr>
        <w:spacing w:line="400" w:lineRule="exact"/>
        <w:ind w:firstLine="420"/>
        <w:rPr>
          <w:rFonts w:hint="eastAsia" w:ascii="宋体" w:hAnsi="宋体" w:cs="仿宋"/>
          <w:color w:val="auto"/>
          <w:szCs w:val="21"/>
          <w:highlight w:val="none"/>
        </w:rPr>
      </w:pPr>
      <w:r>
        <w:rPr>
          <w:rFonts w:hint="eastAsia" w:ascii="宋体" w:hAnsi="宋体" w:cs="仿宋"/>
          <w:color w:val="auto"/>
          <w:szCs w:val="21"/>
          <w:highlight w:val="none"/>
        </w:rPr>
        <w:t>3.1.1.2</w:t>
      </w:r>
      <w:r>
        <w:rPr>
          <w:rFonts w:hint="eastAsia" w:ascii="宋体" w:hAnsi="宋体" w:cs="仿宋"/>
          <w:color w:val="auto"/>
          <w:szCs w:val="21"/>
          <w:highlight w:val="none"/>
          <w:lang w:val="en-US" w:eastAsia="zh-CN"/>
        </w:rPr>
        <w:t>4</w:t>
      </w:r>
      <w:r>
        <w:rPr>
          <w:rFonts w:hint="eastAsia" w:ascii="宋体" w:hAnsi="宋体" w:cs="仿宋"/>
          <w:color w:val="auto"/>
          <w:szCs w:val="21"/>
          <w:highlight w:val="none"/>
        </w:rPr>
        <w:t>投标人认为需要提供的其他内容。</w:t>
      </w:r>
    </w:p>
    <w:p>
      <w:pPr>
        <w:spacing w:line="400" w:lineRule="exact"/>
        <w:ind w:firstLine="420"/>
        <w:rPr>
          <w:rFonts w:hint="eastAsia" w:ascii="宋体" w:hAnsi="宋体" w:cs="仿宋"/>
          <w:b/>
          <w:color w:val="auto"/>
          <w:highlight w:val="none"/>
        </w:rPr>
      </w:pPr>
      <w:r>
        <w:rPr>
          <w:rFonts w:hint="eastAsia" w:ascii="宋体" w:hAnsi="宋体" w:cs="仿宋"/>
          <w:b/>
          <w:color w:val="auto"/>
          <w:highlight w:val="none"/>
        </w:rPr>
        <w:t>注：1）社保证明是指社保机构出具的由投标人本单位或其分公司为其缴纳的近3个月中任何1个月的社保证明，也可通过网上社保查询系统进行打印。</w:t>
      </w:r>
    </w:p>
    <w:p>
      <w:pPr>
        <w:spacing w:line="400" w:lineRule="exact"/>
        <w:ind w:firstLine="420"/>
        <w:rPr>
          <w:rFonts w:hint="eastAsia" w:ascii="宋体" w:hAnsi="宋体" w:cs="仿宋"/>
          <w:b/>
          <w:bCs/>
          <w:color w:val="auto"/>
          <w:szCs w:val="21"/>
          <w:highlight w:val="none"/>
        </w:rPr>
      </w:pPr>
      <w:r>
        <w:rPr>
          <w:rFonts w:hint="eastAsia" w:ascii="宋体" w:hAnsi="宋体" w:cs="仿宋"/>
          <w:b/>
          <w:bCs/>
          <w:color w:val="auto"/>
          <w:szCs w:val="21"/>
          <w:highlight w:val="none"/>
        </w:rPr>
        <w:t>2）本项目接受有效合法的电子证书【其中</w:t>
      </w:r>
      <w:r>
        <w:rPr>
          <w:rFonts w:hint="eastAsia" w:ascii="宋体" w:hAnsi="宋体" w:cs="仿宋"/>
          <w:b/>
          <w:bCs/>
          <w:color w:val="auto"/>
          <w:szCs w:val="21"/>
          <w:highlight w:val="none"/>
          <w:lang w:val="en-US" w:eastAsia="zh-CN"/>
        </w:rPr>
        <w:t>一级</w:t>
      </w:r>
      <w:r>
        <w:rPr>
          <w:rFonts w:hint="eastAsia" w:ascii="宋体" w:hAnsi="宋体" w:cs="仿宋"/>
          <w:b/>
          <w:bCs/>
          <w:color w:val="auto"/>
          <w:szCs w:val="21"/>
          <w:highlight w:val="none"/>
        </w:rPr>
        <w:t>注册建筑师和一级建造师必须使用电子注册证书，打印电子证书后（电子证书须确保在使用时限内），应在个人签名处手写本人签名，未手写签名或与签名图像笔迹不一致的，该电子证书无效】。</w:t>
      </w:r>
    </w:p>
    <w:p>
      <w:pPr>
        <w:pStyle w:val="46"/>
        <w:tabs>
          <w:tab w:val="left" w:pos="1100"/>
          <w:tab w:val="left" w:pos="1989"/>
        </w:tabs>
        <w:adjustRightInd/>
        <w:spacing w:line="360" w:lineRule="auto"/>
        <w:ind w:right="-53" w:rightChars="-22" w:firstLine="470"/>
        <w:rPr>
          <w:rFonts w:hint="eastAsia" w:ascii="宋体" w:hAnsi="宋体" w:cs="宋体"/>
          <w:b/>
          <w:bCs/>
          <w:color w:val="auto"/>
          <w:spacing w:val="-3"/>
          <w:highlight w:val="none"/>
        </w:rPr>
      </w:pPr>
      <w:r>
        <w:rPr>
          <w:rFonts w:hint="eastAsia" w:ascii="宋体" w:hAnsi="宋体" w:cs="宋体"/>
          <w:b/>
          <w:bCs/>
          <w:color w:val="auto"/>
          <w:spacing w:val="-3"/>
          <w:highlight w:val="none"/>
        </w:rPr>
        <w:t>3.1.2技术资信文件</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3.1.2.1总体项目管理方案</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（1）项目概述</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（2）项目组织设计、组织机构</w:t>
      </w:r>
      <w:r>
        <w:rPr>
          <w:rFonts w:hint="eastAsia" w:ascii="宋体" w:hAnsi="宋体" w:cs="宋体"/>
          <w:color w:val="auto"/>
          <w:spacing w:val="-3"/>
          <w:highlight w:val="none"/>
          <w:lang w:eastAsia="zh-CN"/>
        </w:rPr>
        <w:t>、</w:t>
      </w:r>
      <w:r>
        <w:rPr>
          <w:rFonts w:hint="eastAsia" w:ascii="宋体" w:hAnsi="宋体" w:cs="宋体"/>
          <w:color w:val="auto"/>
          <w:spacing w:val="-3"/>
          <w:highlight w:val="none"/>
        </w:rPr>
        <w:t>目标分解、项目情况分析</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（3）建设工程项目管理，具体包括专项管理、综合集成、采购和试运行等</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3.1.2.2设计方案</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（1）</w:t>
      </w:r>
      <w:r>
        <w:rPr>
          <w:rFonts w:hint="eastAsia" w:ascii="宋体" w:hAnsi="宋体" w:cs="宋体"/>
          <w:color w:val="auto"/>
          <w:spacing w:val="-3"/>
          <w:highlight w:val="none"/>
          <w:lang w:val="en-US" w:eastAsia="zh-CN"/>
        </w:rPr>
        <w:t>方案设计（或</w:t>
      </w:r>
      <w:r>
        <w:rPr>
          <w:rFonts w:hint="eastAsia" w:ascii="宋体" w:hAnsi="宋体" w:cs="宋体"/>
          <w:color w:val="auto"/>
          <w:spacing w:val="-3"/>
          <w:highlight w:val="none"/>
        </w:rPr>
        <w:t>初步设计</w:t>
      </w:r>
      <w:r>
        <w:rPr>
          <w:rFonts w:hint="eastAsia" w:ascii="宋体" w:hAnsi="宋体" w:cs="宋体"/>
          <w:color w:val="auto"/>
          <w:spacing w:val="-3"/>
          <w:highlight w:val="none"/>
          <w:lang w:eastAsia="zh-CN"/>
        </w:rPr>
        <w:t>）</w:t>
      </w:r>
      <w:r>
        <w:rPr>
          <w:rFonts w:hint="eastAsia" w:ascii="宋体" w:hAnsi="宋体" w:cs="宋体"/>
          <w:color w:val="auto"/>
          <w:spacing w:val="-3"/>
          <w:highlight w:val="none"/>
          <w:lang w:val="en-US" w:eastAsia="zh-CN"/>
        </w:rPr>
        <w:t>的</w:t>
      </w:r>
      <w:r>
        <w:rPr>
          <w:rFonts w:hint="eastAsia" w:ascii="宋体" w:hAnsi="宋体" w:cs="宋体"/>
          <w:color w:val="auto"/>
          <w:spacing w:val="-3"/>
          <w:highlight w:val="none"/>
        </w:rPr>
        <w:t>优化</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（2）工程经济的合理性分析、评价</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（3）设计管理机构的构成和设计力量的配备</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（4）设计组织方案及各阶段计划进度安排</w:t>
      </w:r>
    </w:p>
    <w:p>
      <w:pPr>
        <w:pStyle w:val="46"/>
        <w:tabs>
          <w:tab w:val="left" w:pos="1100"/>
          <w:tab w:val="left" w:pos="1989"/>
        </w:tabs>
        <w:adjustRightInd/>
        <w:spacing w:line="360" w:lineRule="auto"/>
        <w:ind w:right="-53" w:rightChars="-22" w:firstLine="468"/>
        <w:rPr>
          <w:rFonts w:hint="eastAsia" w:ascii="宋体" w:hAnsi="宋体" w:cs="宋体"/>
          <w:color w:val="auto"/>
          <w:spacing w:val="-3"/>
          <w:highlight w:val="none"/>
        </w:rPr>
      </w:pPr>
      <w:r>
        <w:rPr>
          <w:rFonts w:hint="eastAsia" w:ascii="宋体" w:hAnsi="宋体" w:cs="宋体"/>
          <w:color w:val="auto"/>
          <w:spacing w:val="-3"/>
          <w:highlight w:val="none"/>
        </w:rPr>
        <w:t>（5）施工图设计质量控制措施</w:t>
      </w:r>
    </w:p>
    <w:p>
      <w:pPr>
        <w:pStyle w:val="46"/>
        <w:tabs>
          <w:tab w:val="left" w:pos="1100"/>
          <w:tab w:val="left" w:pos="1989"/>
        </w:tabs>
        <w:adjustRightInd/>
        <w:spacing w:line="360" w:lineRule="auto"/>
        <w:ind w:right="-53" w:rightChars="-22" w:firstLine="468"/>
        <w:rPr>
          <w:rFonts w:hint="default" w:ascii="宋体" w:hAnsi="宋体" w:eastAsia="宋体" w:cs="宋体"/>
          <w:color w:val="auto"/>
          <w:spacing w:val="-3"/>
          <w:highlight w:val="none"/>
          <w:lang w:val="en-US" w:eastAsia="zh-CN"/>
        </w:rPr>
      </w:pPr>
      <w:r>
        <w:rPr>
          <w:rFonts w:hint="eastAsia" w:ascii="宋体" w:hAnsi="宋体" w:cs="宋体"/>
          <w:color w:val="auto"/>
          <w:spacing w:val="-3"/>
          <w:highlight w:val="none"/>
          <w:lang w:eastAsia="zh-CN"/>
        </w:rPr>
        <w:t>（</w:t>
      </w:r>
      <w:r>
        <w:rPr>
          <w:rFonts w:hint="eastAsia" w:ascii="宋体" w:hAnsi="宋体" w:cs="宋体"/>
          <w:color w:val="auto"/>
          <w:spacing w:val="-3"/>
          <w:highlight w:val="none"/>
          <w:lang w:val="en-US" w:eastAsia="zh-CN"/>
        </w:rPr>
        <w:t>6）新型技术应用服务措施</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3.1.2.3采购方案</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（1）物资采购、进度</w:t>
      </w:r>
      <w:r>
        <w:rPr>
          <w:rFonts w:hint="eastAsia" w:ascii="宋体" w:hAnsi="宋体" w:cs="宋体"/>
          <w:color w:val="auto"/>
          <w:spacing w:val="-3"/>
          <w:highlight w:val="none"/>
          <w:lang w:eastAsia="zh-CN"/>
        </w:rPr>
        <w:t>、</w:t>
      </w:r>
      <w:r>
        <w:rPr>
          <w:rFonts w:hint="eastAsia" w:ascii="宋体" w:hAnsi="宋体" w:cs="宋体"/>
          <w:color w:val="auto"/>
          <w:spacing w:val="-3"/>
          <w:highlight w:val="none"/>
        </w:rPr>
        <w:t>分包工作</w:t>
      </w:r>
      <w:r>
        <w:rPr>
          <w:rFonts w:hint="eastAsia" w:ascii="宋体" w:hAnsi="宋体" w:cs="宋体"/>
          <w:color w:val="auto"/>
          <w:spacing w:val="-3"/>
          <w:highlight w:val="none"/>
          <w:lang w:eastAsia="zh-CN"/>
        </w:rPr>
        <w:t>、</w:t>
      </w:r>
      <w:r>
        <w:rPr>
          <w:rFonts w:hint="eastAsia" w:ascii="宋体" w:hAnsi="宋体" w:cs="宋体"/>
          <w:color w:val="auto"/>
          <w:spacing w:val="-3"/>
          <w:highlight w:val="none"/>
        </w:rPr>
        <w:t>质量控制措施的总体安排与资源配置</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（2）分包商进度、质量和安全文明的管理措施及违约处理</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3.1.2.4施工总承包方案</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（1）项目重点难点分析</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（2）工程施工管理</w:t>
      </w:r>
    </w:p>
    <w:p>
      <w:pPr>
        <w:pStyle w:val="46"/>
        <w:tabs>
          <w:tab w:val="left" w:pos="1100"/>
          <w:tab w:val="left" w:pos="1989"/>
        </w:tabs>
        <w:adjustRightInd/>
        <w:spacing w:line="360" w:lineRule="auto"/>
        <w:ind w:right="-53" w:rightChars="-22" w:firstLine="480"/>
        <w:rPr>
          <w:rFonts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1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①</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工程施工进度控制和管理(工程投入的施工机械设备情况，主要施工机械进场计划，劳动力安排计划，施工进度计划网络图）</w:t>
      </w:r>
    </w:p>
    <w:p>
      <w:pPr>
        <w:pStyle w:val="46"/>
        <w:tabs>
          <w:tab w:val="left" w:pos="1100"/>
          <w:tab w:val="left" w:pos="1989"/>
        </w:tabs>
        <w:adjustRightInd/>
        <w:spacing w:line="360" w:lineRule="auto"/>
        <w:ind w:right="-53" w:rightChars="-22" w:firstLine="480"/>
        <w:rPr>
          <w:rFonts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2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②</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工程施工质量管理；</w:t>
      </w:r>
    </w:p>
    <w:p>
      <w:pPr>
        <w:pStyle w:val="46"/>
        <w:tabs>
          <w:tab w:val="left" w:pos="1100"/>
          <w:tab w:val="left" w:pos="1989"/>
        </w:tabs>
        <w:adjustRightInd/>
        <w:spacing w:line="360" w:lineRule="auto"/>
        <w:ind w:right="-53" w:rightChars="-22" w:firstLine="480"/>
        <w:rPr>
          <w:rFonts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3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③</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工程施工安全文明管理；</w:t>
      </w:r>
    </w:p>
    <w:p>
      <w:pPr>
        <w:pStyle w:val="46"/>
        <w:tabs>
          <w:tab w:val="left" w:pos="1100"/>
          <w:tab w:val="left" w:pos="1989"/>
        </w:tabs>
        <w:adjustRightInd/>
        <w:spacing w:line="360" w:lineRule="auto"/>
        <w:ind w:right="-53" w:rightChars="-22" w:firstLine="480"/>
        <w:rPr>
          <w:rFonts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4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④</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关键技术方案；</w:t>
      </w:r>
    </w:p>
    <w:p>
      <w:pPr>
        <w:pStyle w:val="46"/>
        <w:tabs>
          <w:tab w:val="left" w:pos="1100"/>
          <w:tab w:val="left" w:pos="1989"/>
        </w:tabs>
        <w:adjustRightInd/>
        <w:spacing w:line="360" w:lineRule="auto"/>
        <w:ind w:right="-53" w:rightChars="-22" w:firstLine="480"/>
        <w:rPr>
          <w:rFonts w:ascii="宋体" w:hAnsi="宋体" w:cs="宋体"/>
          <w:color w:val="auto"/>
          <w:spacing w:val="-3"/>
          <w:highlight w:val="none"/>
        </w:rPr>
      </w:pPr>
      <w:r>
        <w:rPr>
          <w:rFonts w:hint="eastAsia" w:ascii="宋体" w:hAnsi="宋体" w:cs="宋体"/>
          <w:color w:val="auto"/>
          <w:spacing w:val="-3"/>
          <w:highlight w:val="none"/>
          <w:lang w:eastAsia="zh-CN"/>
        </w:rPr>
        <w:t>（</w:t>
      </w:r>
      <w:r>
        <w:rPr>
          <w:rFonts w:hint="eastAsia" w:ascii="宋体" w:hAnsi="宋体" w:cs="宋体"/>
          <w:color w:val="auto"/>
          <w:spacing w:val="-3"/>
          <w:highlight w:val="none"/>
          <w:lang w:val="en-US" w:eastAsia="zh-CN"/>
        </w:rPr>
        <w:t>3）</w:t>
      </w:r>
      <w:r>
        <w:rPr>
          <w:rFonts w:hint="eastAsia" w:ascii="宋体" w:hAnsi="宋体" w:cs="宋体"/>
          <w:color w:val="auto"/>
          <w:spacing w:val="-3"/>
          <w:highlight w:val="none"/>
        </w:rPr>
        <w:t>外部协调管理；</w:t>
      </w:r>
    </w:p>
    <w:p>
      <w:pPr>
        <w:pStyle w:val="46"/>
        <w:tabs>
          <w:tab w:val="left" w:pos="1100"/>
          <w:tab w:val="left" w:pos="1989"/>
        </w:tabs>
        <w:adjustRightInd/>
        <w:spacing w:line="360" w:lineRule="auto"/>
        <w:ind w:right="-53" w:rightChars="-22" w:firstLine="480"/>
        <w:rPr>
          <w:rFonts w:ascii="宋体" w:hAnsi="宋体" w:cs="宋体"/>
          <w:color w:val="auto"/>
          <w:spacing w:val="-3"/>
          <w:highlight w:val="none"/>
        </w:rPr>
      </w:pPr>
      <w:r>
        <w:rPr>
          <w:rFonts w:hint="eastAsia" w:ascii="宋体" w:hAnsi="宋体" w:cs="宋体"/>
          <w:color w:val="auto"/>
          <w:spacing w:val="-3"/>
          <w:highlight w:val="none"/>
          <w:lang w:eastAsia="zh-CN"/>
        </w:rPr>
        <w:t>（</w:t>
      </w:r>
      <w:r>
        <w:rPr>
          <w:rFonts w:hint="eastAsia" w:ascii="宋体" w:hAnsi="宋体" w:cs="宋体"/>
          <w:color w:val="auto"/>
          <w:spacing w:val="-3"/>
          <w:highlight w:val="none"/>
          <w:lang w:val="en-US" w:eastAsia="zh-CN"/>
        </w:rPr>
        <w:t>4）</w:t>
      </w:r>
      <w:r>
        <w:rPr>
          <w:rFonts w:hint="eastAsia" w:ascii="宋体" w:hAnsi="宋体" w:cs="宋体"/>
          <w:color w:val="auto"/>
          <w:spacing w:val="-3"/>
          <w:highlight w:val="none"/>
        </w:rPr>
        <w:t>工程竣工验收、结算、移交。</w:t>
      </w:r>
    </w:p>
    <w:p>
      <w:pPr>
        <w:pStyle w:val="46"/>
        <w:tabs>
          <w:tab w:val="left" w:pos="1100"/>
          <w:tab w:val="left" w:pos="1989"/>
        </w:tabs>
        <w:adjustRightInd/>
        <w:spacing w:line="360" w:lineRule="auto"/>
        <w:ind w:right="-53" w:rightChars="-22" w:firstLine="468"/>
        <w:rPr>
          <w:rFonts w:hint="eastAsia" w:ascii="宋体" w:hAnsi="宋体" w:cs="宋体"/>
          <w:color w:val="auto"/>
          <w:spacing w:val="-3"/>
          <w:highlight w:val="none"/>
          <w:lang w:val="en-US" w:eastAsia="zh-CN"/>
        </w:rPr>
      </w:pPr>
      <w:r>
        <w:rPr>
          <w:rFonts w:hint="eastAsia" w:ascii="宋体" w:hAnsi="宋体" w:cs="宋体"/>
          <w:color w:val="auto"/>
          <w:spacing w:val="-3"/>
          <w:highlight w:val="none"/>
          <w:lang w:val="en-US" w:eastAsia="zh-CN"/>
        </w:rPr>
        <w:t>3.1.2.5类似工程业绩</w:t>
      </w:r>
    </w:p>
    <w:p>
      <w:pPr>
        <w:pStyle w:val="46"/>
        <w:tabs>
          <w:tab w:val="left" w:pos="1100"/>
          <w:tab w:val="left" w:pos="1989"/>
        </w:tabs>
        <w:adjustRightInd/>
        <w:spacing w:line="360" w:lineRule="auto"/>
        <w:ind w:right="-53" w:rightChars="-22" w:firstLine="468"/>
        <w:rPr>
          <w:rFonts w:hint="eastAsia" w:ascii="宋体" w:hAnsi="宋体" w:cs="宋体"/>
          <w:color w:val="auto"/>
          <w:spacing w:val="-3"/>
          <w:highlight w:val="none"/>
          <w:lang w:val="en-US" w:eastAsia="zh-CN"/>
        </w:rPr>
      </w:pPr>
      <w:r>
        <w:rPr>
          <w:rFonts w:hint="eastAsia" w:ascii="宋体" w:hAnsi="宋体" w:cs="宋体"/>
          <w:color w:val="auto"/>
          <w:spacing w:val="-3"/>
          <w:highlight w:val="none"/>
          <w:lang w:val="en-US" w:eastAsia="zh-CN"/>
        </w:rPr>
        <w:t>3.1.2.6项目负责人实力</w:t>
      </w:r>
    </w:p>
    <w:p>
      <w:pPr>
        <w:pStyle w:val="46"/>
        <w:tabs>
          <w:tab w:val="left" w:pos="1100"/>
          <w:tab w:val="left" w:pos="1989"/>
        </w:tabs>
        <w:adjustRightInd/>
        <w:spacing w:line="360" w:lineRule="auto"/>
        <w:ind w:right="-53" w:rightChars="-22" w:firstLine="468"/>
        <w:rPr>
          <w:rFonts w:hint="eastAsia" w:ascii="宋体" w:hAnsi="宋体" w:cs="宋体"/>
          <w:color w:val="auto"/>
          <w:spacing w:val="-3"/>
          <w:highlight w:val="none"/>
          <w:lang w:val="en-US" w:eastAsia="zh-CN"/>
        </w:rPr>
      </w:pPr>
      <w:r>
        <w:rPr>
          <w:rFonts w:hint="eastAsia" w:ascii="宋体" w:hAnsi="宋体" w:cs="宋体"/>
          <w:color w:val="auto"/>
          <w:spacing w:val="-3"/>
          <w:highlight w:val="none"/>
          <w:lang w:val="en-US" w:eastAsia="zh-CN"/>
        </w:rPr>
        <w:t>3.1.2.7信用评分</w:t>
      </w:r>
    </w:p>
    <w:p>
      <w:pPr>
        <w:pStyle w:val="46"/>
        <w:tabs>
          <w:tab w:val="left" w:pos="1100"/>
          <w:tab w:val="left" w:pos="1989"/>
        </w:tabs>
        <w:adjustRightInd/>
        <w:spacing w:line="360" w:lineRule="auto"/>
        <w:ind w:right="-53" w:rightChars="-22" w:firstLine="468"/>
        <w:rPr>
          <w:rFonts w:hint="eastAsia" w:ascii="宋体" w:hAnsi="宋体" w:cs="宋体"/>
          <w:color w:val="auto"/>
          <w:spacing w:val="-3"/>
          <w:highlight w:val="none"/>
          <w:lang w:val="en-US" w:eastAsia="zh-CN"/>
        </w:rPr>
      </w:pPr>
      <w:r>
        <w:rPr>
          <w:rFonts w:hint="eastAsia" w:ascii="宋体" w:hAnsi="宋体" w:cs="宋体"/>
          <w:color w:val="auto"/>
          <w:spacing w:val="-3"/>
          <w:highlight w:val="none"/>
          <w:lang w:val="en-US" w:eastAsia="zh-CN"/>
        </w:rPr>
        <w:t>3.1.2.8项目负责人及项目管理班子人员能力</w:t>
      </w:r>
    </w:p>
    <w:p>
      <w:pPr>
        <w:pStyle w:val="46"/>
        <w:tabs>
          <w:tab w:val="left" w:pos="1100"/>
          <w:tab w:val="left" w:pos="1989"/>
        </w:tabs>
        <w:adjustRightInd/>
        <w:spacing w:line="360" w:lineRule="auto"/>
        <w:ind w:right="-53" w:rightChars="-22" w:firstLine="468"/>
        <w:rPr>
          <w:rFonts w:hint="default" w:ascii="宋体" w:hAnsi="宋体" w:cs="宋体"/>
          <w:color w:val="auto"/>
          <w:spacing w:val="-3"/>
          <w:highlight w:val="none"/>
          <w:lang w:val="en-US" w:eastAsia="zh-CN"/>
        </w:rPr>
      </w:pPr>
      <w:r>
        <w:rPr>
          <w:rFonts w:hint="eastAsia" w:ascii="宋体" w:hAnsi="宋体" w:cs="宋体"/>
          <w:color w:val="auto"/>
          <w:spacing w:val="-3"/>
          <w:highlight w:val="none"/>
          <w:lang w:val="en-US" w:eastAsia="zh-CN"/>
        </w:rPr>
        <w:t>3.1.2.9企业荣誉</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3.1.2.</w:t>
      </w:r>
      <w:r>
        <w:rPr>
          <w:rFonts w:hint="eastAsia" w:ascii="宋体" w:hAnsi="宋体" w:cs="宋体"/>
          <w:color w:val="auto"/>
          <w:spacing w:val="-3"/>
          <w:highlight w:val="none"/>
          <w:lang w:val="en-US" w:eastAsia="zh-CN"/>
        </w:rPr>
        <w:t>10</w:t>
      </w:r>
      <w:r>
        <w:rPr>
          <w:rFonts w:hint="eastAsia" w:ascii="宋体" w:hAnsi="宋体" w:cs="宋体"/>
          <w:color w:val="auto"/>
          <w:spacing w:val="-3"/>
          <w:highlight w:val="none"/>
        </w:rPr>
        <w:t>拟分包项目名称和分包商情况。</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3.1.2.</w:t>
      </w:r>
      <w:r>
        <w:rPr>
          <w:rFonts w:hint="eastAsia" w:ascii="宋体" w:hAnsi="宋体" w:cs="宋体"/>
          <w:color w:val="auto"/>
          <w:spacing w:val="-3"/>
          <w:highlight w:val="none"/>
          <w:lang w:val="en-US" w:eastAsia="zh-CN"/>
        </w:rPr>
        <w:t>11</w:t>
      </w:r>
      <w:r>
        <w:rPr>
          <w:rFonts w:hint="eastAsia" w:ascii="宋体" w:hAnsi="宋体" w:cs="宋体"/>
          <w:color w:val="auto"/>
          <w:spacing w:val="-3"/>
          <w:highlight w:val="none"/>
        </w:rPr>
        <w:t>招标人要求提交的其他资料(详见投标须知前附表)。</w:t>
      </w:r>
    </w:p>
    <w:p>
      <w:pPr>
        <w:pStyle w:val="46"/>
        <w:tabs>
          <w:tab w:val="left" w:pos="1100"/>
          <w:tab w:val="left" w:pos="1989"/>
        </w:tabs>
        <w:adjustRightInd/>
        <w:spacing w:line="360" w:lineRule="auto"/>
        <w:ind w:right="-53" w:rightChars="-22" w:firstLine="470"/>
        <w:rPr>
          <w:rFonts w:hint="eastAsia" w:ascii="宋体" w:hAnsi="宋体" w:cs="宋体"/>
          <w:b/>
          <w:bCs/>
          <w:color w:val="auto"/>
          <w:spacing w:val="-3"/>
          <w:highlight w:val="none"/>
        </w:rPr>
      </w:pPr>
      <w:r>
        <w:rPr>
          <w:rFonts w:hint="eastAsia" w:ascii="宋体" w:hAnsi="宋体" w:cs="宋体"/>
          <w:b/>
          <w:bCs/>
          <w:color w:val="auto"/>
          <w:spacing w:val="-3"/>
          <w:highlight w:val="none"/>
        </w:rPr>
        <w:t>3.1.3商务标文件</w:t>
      </w:r>
    </w:p>
    <w:p>
      <w:pPr>
        <w:spacing w:line="40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3.1.3.1投标函；</w:t>
      </w:r>
    </w:p>
    <w:p>
      <w:pPr>
        <w:spacing w:line="40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3.1.3.2</w:t>
      </w:r>
      <w:r>
        <w:rPr>
          <w:rFonts w:hint="eastAsia" w:ascii="宋体" w:hAnsi="宋体" w:eastAsia="宋体" w:cs="宋体"/>
          <w:i w:val="0"/>
          <w:iCs w:val="0"/>
          <w:color w:val="auto"/>
          <w:sz w:val="24"/>
          <w:szCs w:val="24"/>
          <w:highlight w:val="none"/>
        </w:rPr>
        <w:t>投标函附录</w:t>
      </w:r>
      <w:r>
        <w:rPr>
          <w:rFonts w:hint="eastAsia" w:ascii="宋体" w:hAnsi="宋体" w:cs="宋体"/>
          <w:color w:val="auto"/>
          <w:szCs w:val="21"/>
          <w:highlight w:val="none"/>
        </w:rPr>
        <w:t>；</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zCs w:val="21"/>
          <w:highlight w:val="none"/>
        </w:rPr>
        <w:t>3.1.3.</w:t>
      </w:r>
      <w:r>
        <w:rPr>
          <w:rFonts w:hint="eastAsia" w:ascii="宋体" w:hAnsi="宋体" w:cs="宋体"/>
          <w:color w:val="auto"/>
          <w:szCs w:val="21"/>
          <w:highlight w:val="none"/>
          <w:lang w:val="en-US" w:eastAsia="zh-CN"/>
        </w:rPr>
        <w:t>3</w:t>
      </w:r>
      <w:r>
        <w:rPr>
          <w:rFonts w:hint="eastAsia" w:ascii="宋体" w:hAnsi="宋体" w:cs="宋体"/>
          <w:color w:val="auto"/>
          <w:spacing w:val="-3"/>
          <w:highlight w:val="none"/>
        </w:rPr>
        <w:t>工程总承包项目清单及计价表</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（1）工程总承包费用汇总表；</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（2）工程总承包项目工程设计费清单及计价表；</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（3）工程总承包项目设备购置费清单及计价表；</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（4）工程总承包项目建筑安装工程费清单及计价表；</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（5）工程总承包其他费清单及计价表；</w:t>
      </w:r>
    </w:p>
    <w:p>
      <w:pPr>
        <w:spacing w:line="400" w:lineRule="exact"/>
        <w:ind w:firstLine="468" w:firstLineChars="200"/>
        <w:rPr>
          <w:rFonts w:hint="eastAsia" w:ascii="宋体" w:hAnsi="宋体" w:cs="宋体"/>
          <w:color w:val="auto"/>
          <w:szCs w:val="21"/>
          <w:highlight w:val="none"/>
        </w:rPr>
      </w:pPr>
      <w:r>
        <w:rPr>
          <w:rFonts w:hint="eastAsia" w:ascii="宋体" w:hAnsi="宋体" w:cs="宋体"/>
          <w:color w:val="auto"/>
          <w:spacing w:val="-3"/>
          <w:highlight w:val="none"/>
        </w:rPr>
        <w:t>（6）工程总承包项目建筑安装工程费项目清单及计价表。</w:t>
      </w:r>
      <w:r>
        <w:rPr>
          <w:rFonts w:hint="eastAsia" w:ascii="宋体" w:hAnsi="宋体" w:cs="宋体"/>
          <w:color w:val="auto"/>
          <w:szCs w:val="21"/>
          <w:highlight w:val="none"/>
        </w:rPr>
        <w:t>；</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3.1.3.4</w:t>
      </w:r>
      <w:r>
        <w:rPr>
          <w:rFonts w:hint="eastAsia" w:ascii="宋体" w:hAnsi="宋体" w:cs="仿宋"/>
          <w:color w:val="auto"/>
          <w:szCs w:val="21"/>
          <w:highlight w:val="none"/>
        </w:rPr>
        <w:t>主要材料选用品牌一览表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3.1.3.5报价需要的其他资料（招标人要求提供的或投标人认为需要提供的其它商务资料）。</w:t>
      </w:r>
    </w:p>
    <w:p>
      <w:pPr>
        <w:spacing w:line="400" w:lineRule="exact"/>
        <w:ind w:firstLine="482" w:firstLineChars="200"/>
        <w:rPr>
          <w:rFonts w:hint="eastAsia" w:ascii="宋体" w:hAnsi="宋体" w:cs="宋体"/>
          <w:b/>
          <w:bCs/>
          <w:color w:val="auto"/>
          <w:highlight w:val="none"/>
        </w:rPr>
      </w:pPr>
      <w:r>
        <w:rPr>
          <w:rFonts w:hint="eastAsia" w:ascii="宋体" w:hAnsi="宋体" w:cs="宋体"/>
          <w:b/>
          <w:bCs/>
          <w:color w:val="auto"/>
          <w:highlight w:val="none"/>
        </w:rPr>
        <w:t>注：</w:t>
      </w:r>
      <w:r>
        <w:rPr>
          <w:rFonts w:hint="eastAsia" w:ascii="宋体" w:hAnsi="宋体" w:cs="宋体"/>
          <w:b/>
          <w:color w:val="auto"/>
          <w:szCs w:val="21"/>
          <w:highlight w:val="none"/>
        </w:rPr>
        <w:t>以上</w:t>
      </w:r>
      <w:r>
        <w:rPr>
          <w:rFonts w:hint="eastAsia" w:ascii="宋体" w:hAnsi="宋体" w:cs="宋体"/>
          <w:b/>
          <w:bCs/>
          <w:color w:val="auto"/>
          <w:highlight w:val="none"/>
        </w:rPr>
        <w:t>资格文件、技术文件、商务文件</w:t>
      </w:r>
      <w:r>
        <w:rPr>
          <w:rFonts w:hint="eastAsia" w:ascii="宋体" w:hAnsi="宋体" w:cs="宋体"/>
          <w:b/>
          <w:color w:val="auto"/>
          <w:szCs w:val="21"/>
          <w:highlight w:val="none"/>
        </w:rPr>
        <w:t>由投标人扫描件上传或从湖州市电子招投标平台上获取，上传至系统设置的模块中，或在系统设置的模块中进行编辑。投标人必须确保提供的内容清晰，届时若无法辨认的，由此造成的后果由投标人自行承担。</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108" w:name="3.2_投标报价"/>
      <w:bookmarkEnd w:id="108"/>
      <w:r>
        <w:rPr>
          <w:rFonts w:hint="eastAsia" w:ascii="宋体" w:hAnsi="宋体" w:eastAsia="宋体" w:cs="宋体"/>
          <w:color w:val="auto"/>
          <w:sz w:val="24"/>
          <w:szCs w:val="24"/>
          <w:highlight w:val="none"/>
        </w:rPr>
        <w:t>投标报价</w:t>
      </w:r>
    </w:p>
    <w:p>
      <w:pPr>
        <w:pStyle w:val="46"/>
        <w:tabs>
          <w:tab w:val="left" w:pos="1100"/>
          <w:tab w:val="left" w:pos="1989"/>
        </w:tabs>
        <w:adjustRightInd/>
        <w:spacing w:line="360" w:lineRule="auto"/>
        <w:ind w:right="-53" w:rightChars="-22" w:firstLine="480"/>
        <w:rPr>
          <w:rFonts w:ascii="宋体" w:hAnsi="宋体" w:cs="宋体"/>
          <w:color w:val="auto"/>
          <w:highlight w:val="none"/>
        </w:rPr>
      </w:pPr>
      <w:r>
        <w:rPr>
          <w:rFonts w:hint="eastAsia" w:ascii="宋体" w:hAnsi="宋体" w:cs="宋体"/>
          <w:color w:val="auto"/>
          <w:highlight w:val="none"/>
        </w:rPr>
        <w:t>3.2.1投标人应按第七章“投标文件格式”的要求填写价格清单。</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3.2.2投标人应充分了解施工场地的位置、周边环境、道路、装卸、保管、安装限制以及影响投标报价的其他要素。投标人根据投标设计，结合市场情况进行投标报价。</w:t>
      </w:r>
    </w:p>
    <w:p>
      <w:pPr>
        <w:pStyle w:val="46"/>
        <w:tabs>
          <w:tab w:val="left" w:pos="1100"/>
          <w:tab w:val="left" w:pos="1989"/>
        </w:tabs>
        <w:adjustRightInd/>
        <w:spacing w:line="360" w:lineRule="auto"/>
        <w:ind w:right="-53" w:rightChars="-22" w:firstLine="468"/>
        <w:rPr>
          <w:rFonts w:ascii="宋体" w:hAnsi="宋体" w:cs="宋体"/>
          <w:color w:val="auto"/>
          <w:spacing w:val="-3"/>
          <w:highlight w:val="none"/>
        </w:rPr>
      </w:pPr>
      <w:r>
        <w:rPr>
          <w:rFonts w:hint="eastAsia" w:ascii="宋体" w:hAnsi="宋体" w:cs="宋体"/>
          <w:color w:val="auto"/>
          <w:spacing w:val="-3"/>
          <w:highlight w:val="none"/>
        </w:rPr>
        <w:t>3.2.3投标人在投标截止时间前修改投标函中的投标报价总额，应同时修改投标文件“价格清单”中的相应报价，投标报价总额为各分项金额之和。此修改须符合本章第4.3的有关要求。</w:t>
      </w:r>
    </w:p>
    <w:p>
      <w:pPr>
        <w:pStyle w:val="46"/>
        <w:tabs>
          <w:tab w:val="left" w:pos="1100"/>
          <w:tab w:val="left" w:pos="1989"/>
        </w:tabs>
        <w:adjustRightInd/>
        <w:spacing w:line="360" w:lineRule="auto"/>
        <w:ind w:right="-53" w:rightChars="-22" w:firstLine="464"/>
        <w:rPr>
          <w:rFonts w:ascii="宋体" w:hAnsi="宋体" w:cs="宋体"/>
          <w:color w:val="auto"/>
          <w:highlight w:val="none"/>
        </w:rPr>
      </w:pPr>
      <w:r>
        <w:rPr>
          <w:rFonts w:hint="eastAsia" w:ascii="宋体" w:hAnsi="宋体" w:cs="宋体"/>
          <w:color w:val="auto"/>
          <w:spacing w:val="-4"/>
          <w:highlight w:val="none"/>
        </w:rPr>
        <w:t>3.2.4招标人设有最高投标限价的，投标人的投标报价不得超过最高投标限价</w:t>
      </w:r>
      <w:r>
        <w:rPr>
          <w:rFonts w:hint="eastAsia" w:ascii="宋体" w:hAnsi="宋体" w:cs="宋体"/>
          <w:color w:val="auto"/>
          <w:spacing w:val="-4"/>
          <w:highlight w:val="none"/>
          <w:lang w:val="en-US" w:eastAsia="zh-CN"/>
        </w:rPr>
        <w:t>或低于风险控制价</w:t>
      </w:r>
      <w:r>
        <w:rPr>
          <w:rFonts w:hint="eastAsia" w:ascii="宋体" w:hAnsi="宋体" w:cs="宋体"/>
          <w:color w:val="auto"/>
          <w:spacing w:val="-4"/>
          <w:highlight w:val="none"/>
        </w:rPr>
        <w:t>，</w:t>
      </w:r>
      <w:r>
        <w:rPr>
          <w:rFonts w:hint="eastAsia" w:ascii="宋体" w:hAnsi="宋体" w:cs="宋体"/>
          <w:color w:val="auto"/>
          <w:highlight w:val="none"/>
        </w:rPr>
        <w:t>最高投标限价或其计算方法见投标人须知前附表。</w:t>
      </w:r>
    </w:p>
    <w:p>
      <w:pPr>
        <w:pStyle w:val="46"/>
        <w:tabs>
          <w:tab w:val="left" w:pos="1100"/>
          <w:tab w:val="left" w:pos="1989"/>
        </w:tabs>
        <w:adjustRightInd/>
        <w:spacing w:line="360" w:lineRule="auto"/>
        <w:ind w:right="-53" w:rightChars="-22" w:firstLine="464"/>
        <w:rPr>
          <w:rFonts w:ascii="宋体" w:hAnsi="宋体" w:cs="宋体"/>
          <w:color w:val="auto"/>
          <w:spacing w:val="-4"/>
          <w:highlight w:val="none"/>
        </w:rPr>
      </w:pPr>
      <w:r>
        <w:rPr>
          <w:rFonts w:hint="eastAsia" w:ascii="宋体" w:hAnsi="宋体" w:cs="宋体"/>
          <w:color w:val="auto"/>
          <w:spacing w:val="-4"/>
          <w:highlight w:val="none"/>
        </w:rPr>
        <w:t>3.2.5投标报价的其他要求见投标人须知前附表。</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109" w:name="3.3_投标有效期"/>
      <w:bookmarkEnd w:id="109"/>
      <w:r>
        <w:rPr>
          <w:rFonts w:hint="eastAsia" w:ascii="宋体" w:hAnsi="宋体" w:eastAsia="宋体" w:cs="宋体"/>
          <w:color w:val="auto"/>
          <w:sz w:val="24"/>
          <w:szCs w:val="24"/>
          <w:highlight w:val="none"/>
        </w:rPr>
        <w:t>投标有效期</w:t>
      </w:r>
    </w:p>
    <w:p>
      <w:pPr>
        <w:pStyle w:val="46"/>
        <w:numPr>
          <w:ilvl w:val="2"/>
          <w:numId w:val="6"/>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在投标人须知前附表规定的投标有效期内，投标人不得要求撤销或修改其投标文件。</w:t>
      </w:r>
    </w:p>
    <w:p>
      <w:pPr>
        <w:pStyle w:val="46"/>
        <w:numPr>
          <w:ilvl w:val="2"/>
          <w:numId w:val="6"/>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在投标有效期内，投标人撤销投标文件的，应承担招标文件和法律规定的责任。</w:t>
      </w:r>
    </w:p>
    <w:p>
      <w:pPr>
        <w:pStyle w:val="46"/>
        <w:numPr>
          <w:ilvl w:val="2"/>
          <w:numId w:val="6"/>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出现特殊情况需要延长投标有效期的，招标人通过湖州市公共资源交易信息网通知所有投标人延长投标有效期。投标人同意延长的，应相应延长其投标保证金的有效期，但不得要求或被允许修改或撤销其投标文件；投标人拒绝延长的，其投标失效，但投标人有权收回其投标保证金及银行同期存款利息。</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jc w:val="both"/>
        <w:rPr>
          <w:rFonts w:ascii="宋体" w:hAnsi="宋体" w:eastAsia="宋体" w:cs="宋体"/>
          <w:color w:val="auto"/>
          <w:sz w:val="24"/>
          <w:szCs w:val="24"/>
          <w:highlight w:val="none"/>
        </w:rPr>
      </w:pPr>
      <w:bookmarkStart w:id="110" w:name="3.4_投标保证金"/>
      <w:bookmarkEnd w:id="110"/>
      <w:r>
        <w:rPr>
          <w:rFonts w:hint="eastAsia" w:ascii="宋体" w:hAnsi="宋体" w:eastAsia="宋体" w:cs="宋体"/>
          <w:color w:val="auto"/>
          <w:sz w:val="24"/>
          <w:szCs w:val="24"/>
          <w:highlight w:val="none"/>
        </w:rPr>
        <w:t>投标保证金</w:t>
      </w:r>
    </w:p>
    <w:p>
      <w:pPr>
        <w:widowControl/>
        <w:snapToGrid w:val="0"/>
        <w:spacing w:line="400" w:lineRule="exact"/>
        <w:ind w:firstLine="480" w:firstLineChars="200"/>
        <w:rPr>
          <w:rFonts w:hint="eastAsia" w:ascii="宋体" w:hAnsi="宋体" w:cs="宋体"/>
          <w:color w:val="auto"/>
          <w:highlight w:val="none"/>
        </w:rPr>
      </w:pPr>
      <w:r>
        <w:rPr>
          <w:rFonts w:hint="eastAsia" w:ascii="宋体" w:hAnsi="宋体" w:cs="宋体"/>
          <w:color w:val="auto"/>
          <w:highlight w:val="none"/>
        </w:rPr>
        <w:t>3.4.1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pPr>
        <w:widowControl/>
        <w:snapToGrid w:val="0"/>
        <w:spacing w:line="400" w:lineRule="exact"/>
        <w:ind w:firstLine="480" w:firstLineChars="200"/>
        <w:rPr>
          <w:rFonts w:hint="eastAsia" w:ascii="宋体" w:hAnsi="宋体" w:cs="宋体"/>
          <w:color w:val="auto"/>
          <w:highlight w:val="none"/>
        </w:rPr>
      </w:pPr>
      <w:r>
        <w:rPr>
          <w:rFonts w:hint="eastAsia" w:ascii="宋体" w:hAnsi="宋体" w:cs="宋体"/>
          <w:color w:val="auto"/>
          <w:highlight w:val="none"/>
        </w:rPr>
        <w:t>①网银或电汇形式：投标保证金必须从投标人的银行基本账户中转出，汇入投标人须知前附表3.4.1规定的账户中，必须确保在投标文件提交截止时间前到</w:t>
      </w:r>
      <w:r>
        <w:rPr>
          <w:rFonts w:hint="eastAsia" w:ascii="宋体" w:hAnsi="宋体" w:cs="宋体"/>
          <w:color w:val="auto"/>
          <w:highlight w:val="none"/>
          <w:lang w:eastAsia="zh-CN"/>
        </w:rPr>
        <w:t>账</w:t>
      </w:r>
      <w:r>
        <w:rPr>
          <w:rFonts w:hint="eastAsia" w:ascii="宋体" w:hAnsi="宋体" w:cs="宋体"/>
          <w:color w:val="auto"/>
          <w:highlight w:val="none"/>
        </w:rPr>
        <w:t>。如实际到</w:t>
      </w:r>
      <w:r>
        <w:rPr>
          <w:rFonts w:hint="eastAsia" w:ascii="宋体" w:hAnsi="宋体" w:cs="宋体"/>
          <w:color w:val="auto"/>
          <w:highlight w:val="none"/>
          <w:lang w:eastAsia="zh-CN"/>
        </w:rPr>
        <w:t>账</w:t>
      </w:r>
      <w:r>
        <w:rPr>
          <w:rFonts w:hint="eastAsia" w:ascii="宋体" w:hAnsi="宋体" w:cs="宋体"/>
          <w:color w:val="auto"/>
          <w:highlight w:val="none"/>
        </w:rPr>
        <w:t>时间与关联时间不一致，以实际到</w:t>
      </w:r>
      <w:r>
        <w:rPr>
          <w:rFonts w:hint="eastAsia" w:ascii="宋体" w:hAnsi="宋体" w:cs="宋体"/>
          <w:color w:val="auto"/>
          <w:highlight w:val="none"/>
          <w:lang w:eastAsia="zh-CN"/>
        </w:rPr>
        <w:t>账</w:t>
      </w:r>
      <w:r>
        <w:rPr>
          <w:rFonts w:hint="eastAsia" w:ascii="宋体" w:hAnsi="宋体" w:cs="宋体"/>
          <w:color w:val="auto"/>
          <w:highlight w:val="none"/>
        </w:rPr>
        <w:t>时间为准。</w:t>
      </w:r>
    </w:p>
    <w:p>
      <w:pPr>
        <w:spacing w:line="400" w:lineRule="exact"/>
        <w:ind w:firstLine="480" w:firstLineChars="200"/>
        <w:rPr>
          <w:rFonts w:hint="eastAsia" w:ascii="宋体" w:hAnsi="宋体" w:cs="宋体"/>
          <w:color w:val="auto"/>
          <w:highlight w:val="none"/>
        </w:rPr>
      </w:pPr>
      <w:r>
        <w:rPr>
          <w:rFonts w:hint="eastAsia" w:ascii="宋体" w:hAnsi="宋体" w:cs="宋体"/>
          <w:color w:val="auto"/>
          <w:highlight w:val="none"/>
        </w:rPr>
        <w:t>②电子保函：应在指定电子保单平台内申请投标保证金保险，承保金额须大于或等于本项目投标保证金金额。电子保函生成流程：投标人登录湖州市公共资源信息网→交易主体登录→“业务查询”模块点击“保单信息查看”→点击进入电子保函平台（或直接复制保单网址打开）→使用本单位CA锁登录平台→选择电子保函出具机构→点击“我要申请”并选择要投保的项目→确认收费标准并填写经办人相关信息→确认投标电子保函信息→签订协议并加盖电子公章→使用企业基本账户支付相关费用→电子保函生成并推送至交易平台（如有需要可下载PDF电子版）→电子保函信息（其中被保人须为招标人）可查看确认已发放的保单。</w:t>
      </w:r>
    </w:p>
    <w:p>
      <w:pPr>
        <w:spacing w:line="400" w:lineRule="exact"/>
        <w:ind w:firstLine="480" w:firstLineChars="200"/>
        <w:rPr>
          <w:rFonts w:hint="eastAsia" w:ascii="宋体" w:hAnsi="宋体" w:cs="宋体"/>
          <w:color w:val="auto"/>
          <w:highlight w:val="none"/>
        </w:rPr>
      </w:pPr>
      <w:r>
        <w:rPr>
          <w:rFonts w:hint="eastAsia" w:ascii="宋体" w:hAnsi="宋体" w:cs="宋体"/>
          <w:color w:val="auto"/>
          <w:highlight w:val="none"/>
        </w:rPr>
        <w:t>投标保证金除投标人须知前附表3.4.1规定外，必须与本项目进行关联，如实际到</w:t>
      </w:r>
      <w:r>
        <w:rPr>
          <w:rFonts w:hint="eastAsia" w:ascii="宋体" w:hAnsi="宋体" w:cs="宋体"/>
          <w:color w:val="auto"/>
          <w:highlight w:val="none"/>
          <w:lang w:eastAsia="zh-CN"/>
        </w:rPr>
        <w:t>账</w:t>
      </w:r>
      <w:r>
        <w:rPr>
          <w:rFonts w:hint="eastAsia" w:ascii="宋体" w:hAnsi="宋体" w:cs="宋体"/>
          <w:color w:val="auto"/>
          <w:highlight w:val="none"/>
        </w:rPr>
        <w:t>时间与关联时间不一致，以实际到</w:t>
      </w:r>
      <w:r>
        <w:rPr>
          <w:rFonts w:hint="eastAsia" w:ascii="宋体" w:hAnsi="宋体" w:cs="宋体"/>
          <w:color w:val="auto"/>
          <w:highlight w:val="none"/>
          <w:lang w:eastAsia="zh-CN"/>
        </w:rPr>
        <w:t>账</w:t>
      </w:r>
      <w:r>
        <w:rPr>
          <w:rFonts w:hint="eastAsia" w:ascii="宋体" w:hAnsi="宋体" w:cs="宋体"/>
          <w:color w:val="auto"/>
          <w:highlight w:val="none"/>
        </w:rPr>
        <w:t>时间为准。如为联合体投标的应由联合体牵头人提交投标保证金。</w:t>
      </w:r>
      <w:r>
        <w:rPr>
          <w:rFonts w:hint="eastAsia" w:ascii="宋体" w:hAnsi="宋体" w:cs="宋体"/>
          <w:color w:val="auto"/>
          <w:szCs w:val="21"/>
          <w:highlight w:val="none"/>
        </w:rPr>
        <w:t>联合体任意一方符合投标保证金</w:t>
      </w:r>
      <w:r>
        <w:rPr>
          <w:rFonts w:hint="eastAsia" w:ascii="宋体" w:hAnsi="宋体" w:cs="宋体"/>
          <w:color w:val="auto"/>
          <w:szCs w:val="21"/>
          <w:highlight w:val="none"/>
          <w:lang w:val="en-US" w:eastAsia="zh-CN"/>
        </w:rPr>
        <w:t>免交</w:t>
      </w:r>
      <w:r>
        <w:rPr>
          <w:rFonts w:hint="eastAsia" w:ascii="宋体" w:hAnsi="宋体" w:cs="宋体"/>
          <w:color w:val="auto"/>
          <w:szCs w:val="21"/>
          <w:highlight w:val="none"/>
        </w:rPr>
        <w:t>政策的，均可</w:t>
      </w:r>
      <w:r>
        <w:rPr>
          <w:rFonts w:hint="eastAsia" w:ascii="宋体" w:hAnsi="宋体" w:cs="宋体"/>
          <w:color w:val="auto"/>
          <w:szCs w:val="21"/>
          <w:highlight w:val="none"/>
          <w:lang w:val="en-US" w:eastAsia="zh-CN"/>
        </w:rPr>
        <w:t>免交</w:t>
      </w:r>
      <w:r>
        <w:rPr>
          <w:rFonts w:hint="eastAsia" w:ascii="宋体" w:hAnsi="宋体" w:cs="宋体"/>
          <w:color w:val="auto"/>
          <w:szCs w:val="21"/>
          <w:highlight w:val="none"/>
        </w:rPr>
        <w:t>本项目的投标保证金。</w:t>
      </w:r>
    </w:p>
    <w:p>
      <w:pPr>
        <w:spacing w:line="400" w:lineRule="exact"/>
        <w:ind w:firstLine="480" w:firstLineChars="200"/>
        <w:rPr>
          <w:rFonts w:ascii="宋体" w:hAnsi="宋体" w:cs="宋体"/>
          <w:color w:val="auto"/>
          <w:highlight w:val="none"/>
        </w:rPr>
      </w:pPr>
      <w:r>
        <w:rPr>
          <w:rFonts w:hint="eastAsia" w:ascii="宋体" w:hAnsi="宋体" w:cs="宋体"/>
          <w:color w:val="auto"/>
          <w:highlight w:val="none"/>
        </w:rPr>
        <w:t>③投标保证金</w:t>
      </w:r>
      <w:r>
        <w:rPr>
          <w:rFonts w:hint="eastAsia" w:ascii="宋体" w:hAnsi="宋体" w:cs="宋体"/>
          <w:color w:val="auto"/>
          <w:szCs w:val="21"/>
          <w:highlight w:val="none"/>
          <w:lang w:val="en-US" w:eastAsia="zh-CN"/>
        </w:rPr>
        <w:t>免交</w:t>
      </w:r>
      <w:r>
        <w:rPr>
          <w:rFonts w:hint="eastAsia" w:ascii="宋体" w:hAnsi="宋体" w:cs="宋体"/>
          <w:color w:val="auto"/>
          <w:highlight w:val="none"/>
        </w:rPr>
        <w:t>政策：根据省建设厅等11个部门《关于在全省工程建设领域改革保证金制度的通知》（浙建〔2020〕7号）、《湖州市住房和城乡建设局关于印发全市工程建设领域保证金制度改革实施意见的通知》（湖建发〔2020〕44号）。投标人获得湖</w:t>
      </w:r>
      <w:r>
        <w:rPr>
          <w:rFonts w:hint="eastAsia" w:ascii="宋体" w:hAnsi="宋体" w:cs="仿宋"/>
          <w:color w:val="auto"/>
          <w:szCs w:val="21"/>
          <w:highlight w:val="none"/>
        </w:rPr>
        <w:t>州市住房和城乡建设局关于公布2021年度第一轮全市建筑施工企业信用评价</w:t>
      </w:r>
      <w:r>
        <w:rPr>
          <w:rFonts w:hint="eastAsia" w:ascii="宋体" w:hAnsi="宋体" w:cs="宋体"/>
          <w:color w:val="auto"/>
          <w:highlight w:val="none"/>
        </w:rPr>
        <w:t>AAA级的（不分专业类别，有一项达到AAA级的)，即可</w:t>
      </w:r>
      <w:r>
        <w:rPr>
          <w:rFonts w:hint="eastAsia" w:ascii="宋体" w:hAnsi="宋体" w:cs="宋体"/>
          <w:color w:val="auto"/>
          <w:szCs w:val="21"/>
          <w:highlight w:val="none"/>
          <w:lang w:val="en-US" w:eastAsia="zh-CN"/>
        </w:rPr>
        <w:t>免交</w:t>
      </w:r>
      <w:r>
        <w:rPr>
          <w:rFonts w:hint="eastAsia" w:ascii="宋体" w:hAnsi="宋体" w:cs="宋体"/>
          <w:color w:val="auto"/>
          <w:highlight w:val="none"/>
        </w:rPr>
        <w:t>本项目的投标保证金。针对AAA级企业</w:t>
      </w:r>
      <w:r>
        <w:rPr>
          <w:rFonts w:hint="eastAsia" w:ascii="宋体" w:hAnsi="宋体" w:cs="宋体"/>
          <w:color w:val="auto"/>
          <w:szCs w:val="21"/>
          <w:highlight w:val="none"/>
          <w:lang w:val="en-US" w:eastAsia="zh-CN"/>
        </w:rPr>
        <w:t>免交</w:t>
      </w:r>
      <w:r>
        <w:rPr>
          <w:rFonts w:hint="eastAsia" w:ascii="宋体" w:hAnsi="宋体" w:cs="宋体"/>
          <w:color w:val="auto"/>
          <w:highlight w:val="none"/>
        </w:rPr>
        <w:t>保证金的不需要关联，只须提供相关AAA证明文件即可。</w:t>
      </w:r>
    </w:p>
    <w:p>
      <w:pPr>
        <w:spacing w:line="400" w:lineRule="exact"/>
        <w:ind w:firstLine="480" w:firstLineChars="200"/>
        <w:rPr>
          <w:rFonts w:hint="eastAsia" w:ascii="宋体" w:hAnsi="宋体" w:cs="宋体"/>
          <w:color w:val="auto"/>
          <w:highlight w:val="none"/>
        </w:rPr>
      </w:pPr>
      <w:r>
        <w:rPr>
          <w:rFonts w:hint="eastAsia" w:ascii="宋体" w:hAnsi="宋体" w:cs="宋体"/>
          <w:color w:val="auto"/>
          <w:highlight w:val="none"/>
        </w:rPr>
        <w:t>3.4.2投标人不按本章第3.4.1要求提交投标保证金的，其投标文件作否决投标处理。</w:t>
      </w:r>
    </w:p>
    <w:p>
      <w:pPr>
        <w:spacing w:line="400" w:lineRule="exact"/>
        <w:ind w:firstLine="480" w:firstLineChars="200"/>
        <w:rPr>
          <w:rFonts w:hint="eastAsia" w:ascii="宋体" w:hAnsi="宋体" w:cs="宋体"/>
          <w:color w:val="auto"/>
          <w:highlight w:val="none"/>
        </w:rPr>
      </w:pPr>
      <w:r>
        <w:rPr>
          <w:rFonts w:hint="eastAsia" w:ascii="宋体" w:hAnsi="宋体" w:cs="宋体"/>
          <w:color w:val="auto"/>
          <w:highlight w:val="none"/>
        </w:rPr>
        <w:t>3.4.3招标人在与中标人签订合同后5日内，向未中标的投标人和中标人退还投标保证金。采用现金转账（网银或电汇）</w:t>
      </w:r>
      <w:r>
        <w:rPr>
          <w:rFonts w:hint="eastAsia" w:ascii="宋体" w:hAnsi="宋体" w:cs="宋体"/>
          <w:color w:val="auto"/>
          <w:highlight w:val="none"/>
          <w:lang w:val="en-US" w:eastAsia="zh-CN"/>
        </w:rPr>
        <w:t>交纳</w:t>
      </w:r>
      <w:r>
        <w:rPr>
          <w:rFonts w:hint="eastAsia" w:ascii="宋体" w:hAnsi="宋体" w:cs="宋体"/>
          <w:color w:val="auto"/>
          <w:highlight w:val="none"/>
        </w:rPr>
        <w:t>投标保证金的，支付银行同期存款利息。</w:t>
      </w:r>
    </w:p>
    <w:p>
      <w:pPr>
        <w:pStyle w:val="8"/>
        <w:keepNext w:val="0"/>
        <w:keepLines w:val="0"/>
        <w:numPr>
          <w:ilvl w:val="1"/>
          <w:numId w:val="13"/>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111" w:name="3.5_资格审查资料（适用于已进行资格预审的）"/>
      <w:bookmarkEnd w:id="111"/>
      <w:bookmarkStart w:id="112" w:name="3.5_资格审查资料（适用于未进行资格预审的）"/>
      <w:bookmarkEnd w:id="112"/>
      <w:r>
        <w:rPr>
          <w:rFonts w:hint="eastAsia" w:ascii="宋体" w:hAnsi="宋体" w:eastAsia="宋体" w:cs="宋体"/>
          <w:color w:val="auto"/>
          <w:sz w:val="24"/>
          <w:szCs w:val="24"/>
          <w:highlight w:val="none"/>
        </w:rPr>
        <w:t>资格审查资料</w:t>
      </w:r>
    </w:p>
    <w:p>
      <w:pPr>
        <w:spacing w:line="360" w:lineRule="auto"/>
        <w:ind w:firstLine="684" w:firstLineChars="300"/>
        <w:rPr>
          <w:rFonts w:ascii="宋体" w:hAnsi="宋体" w:cs="宋体"/>
          <w:color w:val="auto"/>
          <w:spacing w:val="-6"/>
          <w:highlight w:val="none"/>
        </w:rPr>
      </w:pPr>
      <w:r>
        <w:rPr>
          <w:rFonts w:hint="eastAsia" w:ascii="宋体" w:hAnsi="宋体" w:cs="宋体"/>
          <w:color w:val="auto"/>
          <w:spacing w:val="-6"/>
          <w:highlight w:val="none"/>
        </w:rPr>
        <w:t>见本章3.1规定及评标办法。</w:t>
      </w:r>
    </w:p>
    <w:p>
      <w:pPr>
        <w:pStyle w:val="8"/>
        <w:keepNext w:val="0"/>
        <w:keepLines w:val="0"/>
        <w:numPr>
          <w:ilvl w:val="1"/>
          <w:numId w:val="13"/>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备选投标方案</w:t>
      </w:r>
    </w:p>
    <w:p>
      <w:pPr>
        <w:pStyle w:val="3"/>
        <w:tabs>
          <w:tab w:val="left" w:pos="1100"/>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8"/>
        <w:keepNext w:val="0"/>
        <w:keepLines w:val="0"/>
        <w:numPr>
          <w:ilvl w:val="1"/>
          <w:numId w:val="13"/>
        </w:numPr>
        <w:tabs>
          <w:tab w:val="left" w:pos="1100"/>
          <w:tab w:val="left" w:pos="1760"/>
        </w:tabs>
        <w:adjustRightInd/>
        <w:spacing w:before="0" w:after="0" w:line="360" w:lineRule="auto"/>
        <w:ind w:left="19" w:leftChars="8" w:right="-53" w:rightChars="-22" w:firstLine="361" w:firstLineChars="150"/>
        <w:jc w:val="both"/>
        <w:rPr>
          <w:rFonts w:ascii="宋体" w:hAnsi="宋体" w:eastAsia="宋体" w:cs="宋体"/>
          <w:color w:val="auto"/>
          <w:sz w:val="24"/>
          <w:szCs w:val="24"/>
          <w:highlight w:val="none"/>
        </w:rPr>
      </w:pPr>
      <w:bookmarkStart w:id="113" w:name="3.7_投标文件的编制"/>
      <w:bookmarkEnd w:id="113"/>
      <w:r>
        <w:rPr>
          <w:rFonts w:hint="eastAsia" w:ascii="宋体" w:hAnsi="宋体" w:eastAsia="宋体" w:cs="宋体"/>
          <w:color w:val="auto"/>
          <w:sz w:val="24"/>
          <w:szCs w:val="24"/>
          <w:highlight w:val="none"/>
        </w:rPr>
        <w:t>投标文件的编制</w:t>
      </w:r>
    </w:p>
    <w:p>
      <w:pPr>
        <w:pStyle w:val="46"/>
        <w:numPr>
          <w:ilvl w:val="2"/>
          <w:numId w:val="13"/>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投标文件应按第七章“投标文件格式”进行编写，如有必要，可以增加附页，作为投标文件的组成部分。其中，投标函附录在满足招标文件实质性要求的基础上，可以提出比招标文件要求更有利于招标人的承诺。</w:t>
      </w:r>
    </w:p>
    <w:p>
      <w:pPr>
        <w:pStyle w:val="46"/>
        <w:numPr>
          <w:ilvl w:val="2"/>
          <w:numId w:val="13"/>
        </w:numPr>
        <w:tabs>
          <w:tab w:val="left" w:pos="1100"/>
          <w:tab w:val="left" w:pos="1989"/>
        </w:tabs>
        <w:adjustRightInd/>
        <w:spacing w:line="360" w:lineRule="auto"/>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投标文件应当对招标文件有关招标范围、投标有效期、工期、质量标准等实质性内容做出响应。</w:t>
      </w:r>
    </w:p>
    <w:p>
      <w:pPr>
        <w:pStyle w:val="46"/>
        <w:numPr>
          <w:ilvl w:val="2"/>
          <w:numId w:val="13"/>
        </w:numPr>
        <w:tabs>
          <w:tab w:val="left" w:pos="1100"/>
          <w:tab w:val="left" w:pos="1989"/>
        </w:tabs>
        <w:adjustRightInd/>
        <w:spacing w:line="360" w:lineRule="auto"/>
        <w:ind w:left="19" w:leftChars="8" w:right="-53" w:rightChars="-22" w:firstLine="360" w:firstLineChars="150"/>
        <w:jc w:val="both"/>
        <w:rPr>
          <w:rFonts w:hint="eastAsia" w:ascii="宋体" w:hAnsi="宋体" w:cs="宋体"/>
          <w:color w:val="auto"/>
          <w:highlight w:val="none"/>
        </w:rPr>
      </w:pPr>
      <w:bookmarkStart w:id="114" w:name="_bookmark7"/>
      <w:bookmarkEnd w:id="114"/>
      <w:r>
        <w:rPr>
          <w:rFonts w:hint="eastAsia" w:ascii="宋体" w:hAnsi="宋体" w:cs="宋体"/>
          <w:color w:val="auto"/>
          <w:highlight w:val="none"/>
        </w:rPr>
        <w:t>CA加密电子投标文件应由投标单位（联合体投标的，指联合体牵头人）进行电子签章盖章确认。</w:t>
      </w:r>
    </w:p>
    <w:p>
      <w:pPr>
        <w:pStyle w:val="46"/>
        <w:numPr>
          <w:ilvl w:val="2"/>
          <w:numId w:val="13"/>
        </w:numPr>
        <w:tabs>
          <w:tab w:val="left" w:pos="1100"/>
          <w:tab w:val="left" w:pos="1989"/>
        </w:tabs>
        <w:adjustRightInd/>
        <w:spacing w:line="360" w:lineRule="auto"/>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投标人编制的CA加密电子投标文件，必须是使用新点投标文件制作软件最新版（系统自带更新系统）生成的后缀名为“.HZTF”的CA加密电子投标文件。未按上述要求加密和数字证书认证的投标文件，将被视为无效投标文件。</w:t>
      </w:r>
    </w:p>
    <w:p>
      <w:pPr>
        <w:pStyle w:val="46"/>
        <w:numPr>
          <w:ilvl w:val="2"/>
          <w:numId w:val="13"/>
        </w:numPr>
        <w:tabs>
          <w:tab w:val="left" w:pos="1100"/>
          <w:tab w:val="left" w:pos="1989"/>
        </w:tabs>
        <w:adjustRightInd/>
        <w:spacing w:line="360" w:lineRule="auto"/>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注册及标书制作工具</w:t>
      </w:r>
    </w:p>
    <w:p>
      <w:pPr>
        <w:pStyle w:val="46"/>
        <w:numPr>
          <w:ilvl w:val="2"/>
          <w:numId w:val="13"/>
        </w:numPr>
        <w:tabs>
          <w:tab w:val="left" w:pos="1100"/>
          <w:tab w:val="left" w:pos="1989"/>
        </w:tabs>
        <w:adjustRightInd/>
        <w:spacing w:line="360" w:lineRule="auto"/>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相关下载地址：</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"http://ggzy.huzhou.gov.cn/HZfront/zlxz_HuZhou/010008/" </w:instrText>
      </w:r>
      <w:r>
        <w:rPr>
          <w:rFonts w:hint="eastAsia" w:ascii="宋体" w:hAnsi="宋体" w:cs="宋体"/>
          <w:color w:val="auto"/>
          <w:highlight w:val="none"/>
        </w:rPr>
        <w:fldChar w:fldCharType="separate"/>
      </w:r>
      <w:r>
        <w:rPr>
          <w:rFonts w:hint="eastAsia" w:ascii="宋体" w:hAnsi="宋体" w:cs="宋体"/>
          <w:color w:val="auto"/>
          <w:highlight w:val="none"/>
        </w:rPr>
        <w:t>http://ggzy.huzhou.gov.cn/HZfront/zlxz_HuZhou/010008/</w:t>
      </w:r>
      <w:r>
        <w:rPr>
          <w:rFonts w:hint="eastAsia" w:ascii="宋体" w:hAnsi="宋体" w:cs="宋体"/>
          <w:color w:val="auto"/>
          <w:highlight w:val="none"/>
        </w:rPr>
        <w:fldChar w:fldCharType="end"/>
      </w:r>
    </w:p>
    <w:p>
      <w:pPr>
        <w:pStyle w:val="46"/>
        <w:numPr>
          <w:ilvl w:val="2"/>
          <w:numId w:val="13"/>
        </w:numPr>
        <w:tabs>
          <w:tab w:val="left" w:pos="1100"/>
          <w:tab w:val="left" w:pos="1989"/>
        </w:tabs>
        <w:adjustRightInd/>
        <w:spacing w:line="360" w:lineRule="auto"/>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电子投标流程如下：</w:t>
      </w:r>
    </w:p>
    <w:p>
      <w:pPr>
        <w:pStyle w:val="46"/>
        <w:numPr>
          <w:ilvl w:val="2"/>
          <w:numId w:val="13"/>
        </w:numPr>
        <w:tabs>
          <w:tab w:val="left" w:pos="1100"/>
          <w:tab w:val="left" w:pos="1989"/>
        </w:tabs>
        <w:adjustRightInd/>
        <w:spacing w:line="360" w:lineRule="auto"/>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交易主体登录→下载招标文件、招标清单（如果有答疑澄清文件，需要下载答疑澄清文件进行制作）→使用电子投标文件制作工具制作投标文件→将制作好的投标报价导入投标文件→系统完善投标信息（网上递交投标保证金并确保与本工程关联；使用电子保函的请在“保函信息查看”中确认已发放）→上传投标文件→点击“模拟解密”按钮→提示解密成功。</w:t>
      </w:r>
    </w:p>
    <w:p>
      <w:pPr>
        <w:pStyle w:val="8"/>
        <w:keepNext w:val="0"/>
        <w:keepLines w:val="0"/>
        <w:numPr>
          <w:ilvl w:val="0"/>
          <w:numId w:val="6"/>
        </w:numPr>
        <w:tabs>
          <w:tab w:val="left" w:pos="1100"/>
          <w:tab w:val="left" w:pos="1629"/>
        </w:tabs>
        <w:adjustRightInd/>
        <w:spacing w:before="0" w:after="0" w:line="360" w:lineRule="auto"/>
        <w:ind w:left="19" w:leftChars="8" w:right="-53" w:rightChars="-22" w:firstLine="361" w:firstLineChars="150"/>
        <w:outlineLvl w:val="2"/>
        <w:rPr>
          <w:rFonts w:ascii="宋体" w:hAnsi="宋体" w:eastAsia="宋体" w:cs="宋体"/>
          <w:color w:val="auto"/>
          <w:sz w:val="24"/>
          <w:szCs w:val="24"/>
          <w:highlight w:val="none"/>
        </w:rPr>
      </w:pPr>
      <w:bookmarkStart w:id="115" w:name="_Toc28030"/>
      <w:r>
        <w:rPr>
          <w:rFonts w:hint="eastAsia" w:ascii="宋体" w:hAnsi="宋体" w:eastAsia="宋体" w:cs="宋体"/>
          <w:color w:val="auto"/>
          <w:sz w:val="24"/>
          <w:szCs w:val="24"/>
          <w:highlight w:val="none"/>
        </w:rPr>
        <w:t>投标</w:t>
      </w:r>
      <w:bookmarkEnd w:id="115"/>
    </w:p>
    <w:p>
      <w:pPr>
        <w:pStyle w:val="8"/>
        <w:keepNext w:val="0"/>
        <w:keepLines w:val="0"/>
        <w:tabs>
          <w:tab w:val="left" w:pos="1100"/>
          <w:tab w:val="left" w:pos="1629"/>
        </w:tabs>
        <w:adjustRightInd/>
        <w:spacing w:before="0" w:after="0" w:line="360" w:lineRule="auto"/>
        <w:ind w:left="379" w:leftChars="158" w:right="-53" w:rightChars="-22"/>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4.1投标文件的递交</w:t>
      </w:r>
    </w:p>
    <w:p>
      <w:pPr>
        <w:spacing w:line="400" w:lineRule="exact"/>
        <w:ind w:firstLine="480" w:firstLineChars="200"/>
        <w:rPr>
          <w:rFonts w:hint="eastAsia" w:ascii="宋体" w:hAnsi="宋体" w:cs="宋体"/>
          <w:color w:val="auto"/>
          <w:highlight w:val="none"/>
        </w:rPr>
      </w:pPr>
      <w:r>
        <w:rPr>
          <w:rFonts w:hint="eastAsia" w:ascii="宋体" w:hAnsi="宋体" w:cs="宋体"/>
          <w:color w:val="auto"/>
          <w:highlight w:val="none"/>
        </w:rPr>
        <w:t>4.1.1投标人应在规定的投标截止时间前递交投标文件。投标人应在投标截止时间前登录湖州市公共资源交易系统上的投标文件递交模块上传CA加密后的电子投标文件；</w:t>
      </w:r>
    </w:p>
    <w:p>
      <w:pPr>
        <w:pStyle w:val="8"/>
        <w:keepNext w:val="0"/>
        <w:keepLines w:val="0"/>
        <w:tabs>
          <w:tab w:val="left" w:pos="1100"/>
          <w:tab w:val="left" w:pos="1629"/>
        </w:tabs>
        <w:adjustRightInd/>
        <w:spacing w:before="0" w:after="0" w:line="360" w:lineRule="auto"/>
        <w:ind w:left="379" w:leftChars="158" w:right="-53" w:rightChars="-22"/>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4.1.2除投标人须知前附表另有规定外，投标人所递交的投标文件不予退还。</w:t>
      </w:r>
    </w:p>
    <w:p>
      <w:pPr>
        <w:pStyle w:val="8"/>
        <w:keepNext w:val="0"/>
        <w:keepLines w:val="0"/>
        <w:tabs>
          <w:tab w:val="left" w:pos="1100"/>
          <w:tab w:val="left" w:pos="1629"/>
        </w:tabs>
        <w:adjustRightInd/>
        <w:spacing w:before="0" w:after="0" w:line="360" w:lineRule="auto"/>
        <w:ind w:left="379" w:leftChars="158" w:right="-53" w:rightChars="-22"/>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4.2投标文件的拒收情形：见投标须知前附表。</w:t>
      </w:r>
    </w:p>
    <w:p>
      <w:pPr>
        <w:pStyle w:val="8"/>
        <w:keepNext w:val="0"/>
        <w:keepLines w:val="0"/>
        <w:tabs>
          <w:tab w:val="left" w:pos="1100"/>
          <w:tab w:val="left" w:pos="1629"/>
        </w:tabs>
        <w:adjustRightInd/>
        <w:spacing w:before="0" w:after="0" w:line="360" w:lineRule="auto"/>
        <w:ind w:left="379" w:leftChars="158" w:right="-53" w:rightChars="-22"/>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4.3投标文件的修改与撤回</w:t>
      </w:r>
    </w:p>
    <w:p>
      <w:pPr>
        <w:pStyle w:val="8"/>
        <w:keepNext w:val="0"/>
        <w:keepLines w:val="0"/>
        <w:tabs>
          <w:tab w:val="left" w:pos="1100"/>
          <w:tab w:val="left" w:pos="1629"/>
        </w:tabs>
        <w:adjustRightInd/>
        <w:spacing w:before="0" w:after="0" w:line="360" w:lineRule="auto"/>
        <w:ind w:right="-53" w:rightChars="-22" w:firstLine="480" w:firstLineChars="200"/>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4.3.1在规定的投标截止时间前，投标人可以修改或撤回已递交的投标文件。</w:t>
      </w:r>
    </w:p>
    <w:p>
      <w:pPr>
        <w:pStyle w:val="8"/>
        <w:keepNext w:val="0"/>
        <w:keepLines w:val="0"/>
        <w:tabs>
          <w:tab w:val="left" w:pos="1100"/>
          <w:tab w:val="left" w:pos="1629"/>
        </w:tabs>
        <w:adjustRightInd/>
        <w:spacing w:before="0" w:after="0" w:line="360" w:lineRule="auto"/>
        <w:ind w:right="-53" w:rightChars="-22" w:firstLine="480" w:firstLineChars="200"/>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4.3.2投标人撤回投标文件的，招标人自收到投标人书面撤回通知之日起5日内退还已收取的投标担保。</w:t>
      </w:r>
    </w:p>
    <w:p>
      <w:pPr>
        <w:pStyle w:val="8"/>
        <w:keepNext w:val="0"/>
        <w:keepLines w:val="0"/>
        <w:tabs>
          <w:tab w:val="left" w:pos="1100"/>
          <w:tab w:val="left" w:pos="1629"/>
        </w:tabs>
        <w:adjustRightInd/>
        <w:spacing w:before="0" w:after="0" w:line="360" w:lineRule="auto"/>
        <w:ind w:right="-53" w:rightChars="-22" w:firstLine="480" w:firstLineChars="200"/>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4.3.3修改的内容为投标文件的组成部分。修改的投标文件应按照本章第3条、第4条的规定进行编制、密封、标记和递交，并标明“修改”字样。</w:t>
      </w:r>
    </w:p>
    <w:p>
      <w:pPr>
        <w:pStyle w:val="8"/>
        <w:keepNext w:val="0"/>
        <w:keepLines w:val="0"/>
        <w:numPr>
          <w:ilvl w:val="0"/>
          <w:numId w:val="6"/>
        </w:numPr>
        <w:tabs>
          <w:tab w:val="left" w:pos="1100"/>
          <w:tab w:val="left" w:pos="1629"/>
        </w:tabs>
        <w:adjustRightInd/>
        <w:spacing w:before="0" w:after="0" w:line="360" w:lineRule="auto"/>
        <w:ind w:left="19" w:leftChars="8" w:right="-53" w:rightChars="-22" w:firstLine="361" w:firstLineChars="150"/>
        <w:outlineLvl w:val="2"/>
        <w:rPr>
          <w:rFonts w:ascii="宋体" w:hAnsi="宋体" w:eastAsia="宋体" w:cs="宋体"/>
          <w:color w:val="auto"/>
          <w:sz w:val="24"/>
          <w:szCs w:val="24"/>
          <w:highlight w:val="none"/>
        </w:rPr>
      </w:pPr>
      <w:bookmarkStart w:id="116" w:name="_bookmark8"/>
      <w:bookmarkEnd w:id="116"/>
      <w:bookmarkStart w:id="117" w:name="_Toc17430"/>
      <w:r>
        <w:rPr>
          <w:rFonts w:hint="eastAsia" w:ascii="宋体" w:hAnsi="宋体" w:eastAsia="宋体" w:cs="宋体"/>
          <w:color w:val="auto"/>
          <w:sz w:val="24"/>
          <w:szCs w:val="24"/>
          <w:highlight w:val="none"/>
        </w:rPr>
        <w:t>开标</w:t>
      </w:r>
      <w:bookmarkEnd w:id="117"/>
    </w:p>
    <w:p>
      <w:pPr>
        <w:pStyle w:val="46"/>
        <w:numPr>
          <w:ilvl w:val="1"/>
          <w:numId w:val="6"/>
        </w:numPr>
        <w:tabs>
          <w:tab w:val="left" w:pos="1100"/>
          <w:tab w:val="left" w:pos="1760"/>
        </w:tabs>
        <w:adjustRightInd/>
        <w:spacing w:line="360" w:lineRule="auto"/>
        <w:ind w:left="19" w:leftChars="8" w:right="-53" w:rightChars="-22" w:firstLine="361" w:firstLineChars="150"/>
        <w:rPr>
          <w:rFonts w:ascii="宋体" w:hAnsi="宋体" w:cs="宋体"/>
          <w:b/>
          <w:color w:val="auto"/>
          <w:highlight w:val="none"/>
        </w:rPr>
      </w:pPr>
      <w:r>
        <w:rPr>
          <w:rFonts w:hint="eastAsia" w:ascii="宋体" w:hAnsi="宋体" w:cs="宋体"/>
          <w:b/>
          <w:color w:val="auto"/>
          <w:highlight w:val="none"/>
        </w:rPr>
        <w:t>开标时间和地点</w:t>
      </w:r>
    </w:p>
    <w:p>
      <w:pPr>
        <w:spacing w:line="400" w:lineRule="exact"/>
        <w:ind w:firstLine="410" w:firstLineChars="171"/>
        <w:rPr>
          <w:rFonts w:ascii="宋体" w:hAnsi="宋体" w:cs="宋体"/>
          <w:color w:val="auto"/>
          <w:highlight w:val="none"/>
        </w:rPr>
      </w:pPr>
      <w:r>
        <w:rPr>
          <w:rFonts w:hint="eastAsia" w:ascii="宋体" w:hAnsi="宋体" w:cs="宋体"/>
          <w:color w:val="auto"/>
          <w:highlight w:val="none"/>
        </w:rPr>
        <w:t>招标人在招标文件规定的投标截止时间（开标时间）和投标人须知前附表规定的地点和要求公开开标。本项目采用远程不见面方式开标，所有投标人应在投标截止时间前登录网上开标大厅参加开标。</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118" w:name="5.2_开标程序"/>
      <w:bookmarkEnd w:id="118"/>
      <w:r>
        <w:rPr>
          <w:rFonts w:hint="eastAsia" w:ascii="宋体" w:hAnsi="宋体" w:eastAsia="宋体" w:cs="宋体"/>
          <w:color w:val="auto"/>
          <w:sz w:val="24"/>
          <w:szCs w:val="24"/>
          <w:highlight w:val="none"/>
        </w:rPr>
        <w:t>开标程序</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开标程序：见投标人须知前附表。</w:t>
      </w:r>
    </w:p>
    <w:p>
      <w:pPr>
        <w:pStyle w:val="8"/>
        <w:keepNext w:val="0"/>
        <w:keepLines w:val="0"/>
        <w:numPr>
          <w:ilvl w:val="0"/>
          <w:numId w:val="6"/>
        </w:numPr>
        <w:tabs>
          <w:tab w:val="left" w:pos="1100"/>
          <w:tab w:val="left" w:pos="1629"/>
        </w:tabs>
        <w:adjustRightInd/>
        <w:spacing w:before="0" w:after="0" w:line="360" w:lineRule="auto"/>
        <w:ind w:left="19" w:leftChars="8" w:right="-53" w:rightChars="-22" w:firstLine="361" w:firstLineChars="150"/>
        <w:outlineLvl w:val="2"/>
        <w:rPr>
          <w:rFonts w:ascii="宋体" w:hAnsi="宋体" w:eastAsia="宋体" w:cs="宋体"/>
          <w:color w:val="auto"/>
          <w:sz w:val="24"/>
          <w:szCs w:val="24"/>
          <w:highlight w:val="none"/>
        </w:rPr>
      </w:pPr>
      <w:bookmarkStart w:id="119" w:name="_bookmark9"/>
      <w:bookmarkEnd w:id="119"/>
      <w:bookmarkStart w:id="120" w:name="_Toc10453"/>
      <w:r>
        <w:rPr>
          <w:rFonts w:hint="eastAsia" w:ascii="宋体" w:hAnsi="宋体" w:eastAsia="宋体" w:cs="宋体"/>
          <w:color w:val="auto"/>
          <w:sz w:val="24"/>
          <w:szCs w:val="24"/>
          <w:highlight w:val="none"/>
        </w:rPr>
        <w:t>评标</w:t>
      </w:r>
      <w:bookmarkEnd w:id="120"/>
    </w:p>
    <w:p>
      <w:pPr>
        <w:pStyle w:val="46"/>
        <w:numPr>
          <w:ilvl w:val="1"/>
          <w:numId w:val="6"/>
        </w:numPr>
        <w:tabs>
          <w:tab w:val="left" w:pos="1100"/>
          <w:tab w:val="left" w:pos="1760"/>
        </w:tabs>
        <w:adjustRightInd/>
        <w:spacing w:line="360" w:lineRule="auto"/>
        <w:ind w:left="19" w:leftChars="8" w:right="-53" w:rightChars="-22" w:firstLine="361" w:firstLineChars="150"/>
        <w:rPr>
          <w:rFonts w:ascii="宋体" w:hAnsi="宋体" w:cs="宋体"/>
          <w:b/>
          <w:color w:val="auto"/>
          <w:highlight w:val="none"/>
        </w:rPr>
      </w:pPr>
      <w:r>
        <w:rPr>
          <w:rFonts w:hint="eastAsia" w:ascii="宋体" w:hAnsi="宋体" w:cs="宋体"/>
          <w:b/>
          <w:color w:val="auto"/>
          <w:highlight w:val="none"/>
        </w:rPr>
        <w:t>评标委员会</w:t>
      </w:r>
    </w:p>
    <w:p>
      <w:pPr>
        <w:pStyle w:val="46"/>
        <w:numPr>
          <w:ilvl w:val="2"/>
          <w:numId w:val="6"/>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评标由招标人依法组建的评标委员会负责。组建方式见投标人须知前附表。</w:t>
      </w:r>
    </w:p>
    <w:p>
      <w:pPr>
        <w:pStyle w:val="46"/>
        <w:numPr>
          <w:ilvl w:val="2"/>
          <w:numId w:val="6"/>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评标委员会成员有下列情形之一的，应当回避：</w:t>
      </w:r>
    </w:p>
    <w:p>
      <w:pPr>
        <w:pStyle w:val="46"/>
        <w:numPr>
          <w:ilvl w:val="0"/>
          <w:numId w:val="14"/>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投标人或投标人主要负责人的近亲属；</w:t>
      </w:r>
    </w:p>
    <w:p>
      <w:pPr>
        <w:pStyle w:val="46"/>
        <w:numPr>
          <w:ilvl w:val="0"/>
          <w:numId w:val="14"/>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项目主管部门或者行政监督部门的人员；</w:t>
      </w:r>
    </w:p>
    <w:p>
      <w:pPr>
        <w:pStyle w:val="46"/>
        <w:numPr>
          <w:ilvl w:val="0"/>
          <w:numId w:val="14"/>
        </w:numPr>
        <w:tabs>
          <w:tab w:val="left" w:pos="1100"/>
          <w:tab w:val="left" w:pos="187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与投标人有经济利益关系，可能影响对投标公正评审的；</w:t>
      </w:r>
    </w:p>
    <w:p>
      <w:pPr>
        <w:pStyle w:val="46"/>
        <w:numPr>
          <w:ilvl w:val="0"/>
          <w:numId w:val="14"/>
        </w:numPr>
        <w:tabs>
          <w:tab w:val="left" w:pos="1100"/>
          <w:tab w:val="left" w:pos="1870"/>
        </w:tabs>
        <w:adjustRightInd/>
        <w:spacing w:line="360" w:lineRule="auto"/>
        <w:ind w:left="19" w:leftChars="8" w:right="-53" w:rightChars="-22" w:firstLine="348" w:firstLineChars="150"/>
        <w:rPr>
          <w:rFonts w:ascii="宋体" w:hAnsi="宋体" w:cs="宋体"/>
          <w:color w:val="auto"/>
          <w:highlight w:val="none"/>
        </w:rPr>
      </w:pPr>
      <w:r>
        <w:rPr>
          <w:rFonts w:hint="eastAsia" w:ascii="宋体" w:hAnsi="宋体" w:cs="宋体"/>
          <w:color w:val="auto"/>
          <w:spacing w:val="-4"/>
          <w:highlight w:val="none"/>
        </w:rPr>
        <w:t>曾因在招标、评标以及其他与招标投标有关活动中从事违法行为而受过行</w:t>
      </w:r>
      <w:r>
        <w:rPr>
          <w:rFonts w:hint="eastAsia" w:ascii="宋体" w:hAnsi="宋体" w:cs="宋体"/>
          <w:color w:val="auto"/>
          <w:highlight w:val="none"/>
        </w:rPr>
        <w:t>政处罚或刑事处罚的；</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评标原则</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评标活动遵循公平、公正、科学和择优的原则。</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p>
    <w:p>
      <w:pPr>
        <w:pStyle w:val="3"/>
        <w:tabs>
          <w:tab w:val="left" w:pos="1100"/>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6.3.1评标委员会按照第三章“评标办法”规定的方法、评审因素、标准和程序对投标文件进行评审。第三章“评标办法”没有规定的方法、评审因素和标准，不作为评标依据。</w:t>
      </w:r>
    </w:p>
    <w:p>
      <w:pPr>
        <w:pStyle w:val="2"/>
        <w:ind w:firstLine="480" w:firstLineChars="200"/>
        <w:rPr>
          <w:color w:val="auto"/>
          <w:highlight w:val="none"/>
        </w:rPr>
      </w:pPr>
      <w:r>
        <w:rPr>
          <w:rFonts w:hint="eastAsia" w:ascii="宋体" w:hAnsi="宋体" w:cs="宋体"/>
          <w:color w:val="auto"/>
          <w:sz w:val="24"/>
          <w:szCs w:val="24"/>
          <w:highlight w:val="none"/>
        </w:rPr>
        <w:t>6.3.2评标委员会推荐中标候选人的人数和是否排序见投标人须知前附表。</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中标候选人公示</w:t>
      </w:r>
    </w:p>
    <w:p>
      <w:pPr>
        <w:pStyle w:val="3"/>
        <w:tabs>
          <w:tab w:val="left" w:pos="1100"/>
        </w:tabs>
        <w:adjustRightInd/>
        <w:spacing w:line="360" w:lineRule="auto"/>
        <w:ind w:left="19" w:leftChars="8" w:right="-53" w:rightChars="-22" w:firstLine="348" w:firstLineChars="150"/>
        <w:jc w:val="both"/>
        <w:rPr>
          <w:rFonts w:ascii="宋体" w:hAnsi="宋体" w:cs="宋体"/>
          <w:color w:val="auto"/>
          <w:highlight w:val="none"/>
        </w:rPr>
      </w:pPr>
      <w:r>
        <w:rPr>
          <w:rFonts w:hint="eastAsia" w:ascii="宋体" w:hAnsi="宋体" w:cs="宋体"/>
          <w:color w:val="auto"/>
          <w:spacing w:val="-4"/>
          <w:highlight w:val="none"/>
        </w:rPr>
        <w:t>招标人自收到评标报告之日起</w:t>
      </w:r>
      <w:r>
        <w:rPr>
          <w:rFonts w:hint="eastAsia" w:ascii="宋体" w:hAnsi="宋体" w:cs="宋体"/>
          <w:color w:val="auto"/>
          <w:highlight w:val="none"/>
        </w:rPr>
        <w:t>3</w:t>
      </w:r>
      <w:r>
        <w:rPr>
          <w:rFonts w:hint="eastAsia" w:ascii="宋体" w:hAnsi="宋体" w:cs="宋体"/>
          <w:color w:val="auto"/>
          <w:spacing w:val="-10"/>
          <w:highlight w:val="none"/>
        </w:rPr>
        <w:t>日内公示中标候选人，公示期不少于</w:t>
      </w:r>
      <w:r>
        <w:rPr>
          <w:rFonts w:hint="eastAsia" w:ascii="宋体" w:hAnsi="宋体" w:cs="宋体"/>
          <w:color w:val="auto"/>
          <w:highlight w:val="none"/>
        </w:rPr>
        <w:t>3</w:t>
      </w:r>
      <w:r>
        <w:rPr>
          <w:rFonts w:hint="eastAsia" w:ascii="宋体" w:hAnsi="宋体" w:cs="宋体"/>
          <w:color w:val="auto"/>
          <w:spacing w:val="-12"/>
          <w:highlight w:val="none"/>
        </w:rPr>
        <w:t>日，公示媒介详见投标人须知前附表。</w:t>
      </w:r>
    </w:p>
    <w:p>
      <w:pPr>
        <w:pStyle w:val="8"/>
        <w:keepNext w:val="0"/>
        <w:keepLines w:val="0"/>
        <w:numPr>
          <w:ilvl w:val="0"/>
          <w:numId w:val="6"/>
        </w:numPr>
        <w:tabs>
          <w:tab w:val="left" w:pos="1100"/>
          <w:tab w:val="left" w:pos="1629"/>
        </w:tabs>
        <w:adjustRightInd/>
        <w:spacing w:before="0" w:after="0" w:line="360" w:lineRule="auto"/>
        <w:ind w:left="19" w:leftChars="8" w:right="-53" w:rightChars="-22" w:firstLine="361" w:firstLineChars="150"/>
        <w:jc w:val="both"/>
        <w:outlineLvl w:val="2"/>
        <w:rPr>
          <w:rFonts w:ascii="宋体" w:hAnsi="宋体" w:eastAsia="宋体" w:cs="宋体"/>
          <w:color w:val="auto"/>
          <w:sz w:val="24"/>
          <w:szCs w:val="24"/>
          <w:highlight w:val="none"/>
        </w:rPr>
      </w:pPr>
      <w:bookmarkStart w:id="121" w:name="_bookmark10"/>
      <w:bookmarkEnd w:id="121"/>
      <w:bookmarkStart w:id="122" w:name="_Toc15417"/>
      <w:r>
        <w:rPr>
          <w:rFonts w:hint="eastAsia" w:ascii="宋体" w:hAnsi="宋体" w:eastAsia="宋体" w:cs="宋体"/>
          <w:color w:val="auto"/>
          <w:sz w:val="24"/>
          <w:szCs w:val="24"/>
          <w:highlight w:val="none"/>
        </w:rPr>
        <w:t>合同授予</w:t>
      </w:r>
      <w:bookmarkEnd w:id="122"/>
    </w:p>
    <w:p>
      <w:pPr>
        <w:pStyle w:val="46"/>
        <w:numPr>
          <w:ilvl w:val="1"/>
          <w:numId w:val="6"/>
        </w:numPr>
        <w:tabs>
          <w:tab w:val="left" w:pos="1100"/>
          <w:tab w:val="left" w:pos="1760"/>
        </w:tabs>
        <w:adjustRightInd/>
        <w:spacing w:line="360" w:lineRule="auto"/>
        <w:ind w:left="19" w:leftChars="8" w:right="-53" w:rightChars="-22" w:firstLine="361" w:firstLineChars="150"/>
        <w:jc w:val="both"/>
        <w:rPr>
          <w:rFonts w:ascii="宋体" w:hAnsi="宋体" w:cs="宋体"/>
          <w:b/>
          <w:color w:val="auto"/>
          <w:highlight w:val="none"/>
        </w:rPr>
      </w:pPr>
      <w:r>
        <w:rPr>
          <w:rFonts w:hint="eastAsia" w:ascii="宋体" w:hAnsi="宋体" w:cs="宋体"/>
          <w:b/>
          <w:color w:val="auto"/>
          <w:highlight w:val="none"/>
        </w:rPr>
        <w:t>定标方式</w:t>
      </w:r>
    </w:p>
    <w:p>
      <w:pPr>
        <w:pStyle w:val="3"/>
        <w:tabs>
          <w:tab w:val="left" w:pos="1100"/>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招标人依据评标委员会推荐的中标候选人确定排名第一的中标候选人为中标人，投标人须知前附表规定采用其他方式确定中标人的除外。</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w:t>
      </w:r>
    </w:p>
    <w:p>
      <w:pPr>
        <w:pStyle w:val="3"/>
        <w:tabs>
          <w:tab w:val="left" w:pos="1100"/>
        </w:tabs>
        <w:adjustRightInd/>
        <w:spacing w:line="360" w:lineRule="auto"/>
        <w:ind w:left="19" w:leftChars="8" w:right="-53" w:rightChars="-22" w:firstLine="336" w:firstLineChars="150"/>
        <w:jc w:val="both"/>
        <w:rPr>
          <w:rFonts w:ascii="宋体" w:hAnsi="宋体" w:cs="宋体"/>
          <w:color w:val="auto"/>
          <w:highlight w:val="none"/>
        </w:rPr>
      </w:pPr>
      <w:r>
        <w:rPr>
          <w:rFonts w:hint="eastAsia" w:ascii="宋体" w:hAnsi="宋体" w:cs="宋体"/>
          <w:color w:val="auto"/>
          <w:spacing w:val="-8"/>
          <w:highlight w:val="none"/>
        </w:rPr>
        <w:t>在本章第</w:t>
      </w:r>
      <w:r>
        <w:rPr>
          <w:rFonts w:hint="eastAsia" w:ascii="宋体" w:hAnsi="宋体" w:cs="宋体"/>
          <w:color w:val="auto"/>
          <w:highlight w:val="none"/>
        </w:rPr>
        <w:t>3.3</w:t>
      </w:r>
      <w:r>
        <w:rPr>
          <w:rFonts w:hint="eastAsia" w:ascii="宋体" w:hAnsi="宋体" w:cs="宋体"/>
          <w:color w:val="auto"/>
          <w:spacing w:val="-5"/>
          <w:highlight w:val="none"/>
        </w:rPr>
        <w:t>款规定的投标有效期内，通过</w:t>
      </w:r>
      <w:r>
        <w:rPr>
          <w:rFonts w:hint="eastAsia" w:ascii="宋体" w:hAnsi="宋体" w:cs="宋体"/>
          <w:color w:val="auto"/>
          <w:highlight w:val="none"/>
          <w:u w:val="single"/>
        </w:rPr>
        <w:t>交易中心电子招投标交易平台</w:t>
      </w:r>
      <w:r>
        <w:rPr>
          <w:rFonts w:hint="eastAsia" w:ascii="宋体" w:hAnsi="宋体" w:cs="宋体"/>
          <w:color w:val="auto"/>
          <w:spacing w:val="-5"/>
          <w:highlight w:val="none"/>
        </w:rPr>
        <w:t>制作并发放中标通知书，同时将中标结果通知未中标的投标人。</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jc w:val="both"/>
        <w:rPr>
          <w:rFonts w:ascii="宋体" w:hAnsi="宋体" w:eastAsia="宋体" w:cs="宋体"/>
          <w:color w:val="auto"/>
          <w:sz w:val="24"/>
          <w:szCs w:val="24"/>
          <w:highlight w:val="none"/>
        </w:rPr>
      </w:pPr>
      <w:bookmarkStart w:id="123" w:name="7.3_履约担保"/>
      <w:bookmarkEnd w:id="123"/>
      <w:r>
        <w:rPr>
          <w:rFonts w:hint="eastAsia" w:ascii="宋体" w:hAnsi="宋体" w:eastAsia="宋体" w:cs="宋体"/>
          <w:color w:val="auto"/>
          <w:sz w:val="24"/>
          <w:szCs w:val="24"/>
          <w:highlight w:val="none"/>
        </w:rPr>
        <w:t>履约担保</w:t>
      </w:r>
    </w:p>
    <w:p>
      <w:pPr>
        <w:pStyle w:val="46"/>
        <w:numPr>
          <w:ilvl w:val="2"/>
          <w:numId w:val="6"/>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在签订合同前，中标人应按投标人须知前附表规定的金额、形式向招标人提交履约保证金，并应符合招标文件第四章“合同条款及格式”规定的履约保证金要求。联合体中标的，其履约保证金由牵头人递交。招标人要求中标人提供履约担保的，招标人也应当同时向中标人提供工程款支付担保。</w:t>
      </w:r>
    </w:p>
    <w:p>
      <w:pPr>
        <w:pStyle w:val="46"/>
        <w:numPr>
          <w:ilvl w:val="2"/>
          <w:numId w:val="6"/>
        </w:numPr>
        <w:tabs>
          <w:tab w:val="left" w:pos="1100"/>
          <w:tab w:val="left" w:pos="1989"/>
        </w:tabs>
        <w:adjustRightInd/>
        <w:spacing w:line="360" w:lineRule="auto"/>
        <w:ind w:left="19" w:leftChars="8" w:right="-53" w:rightChars="-22" w:firstLine="342" w:firstLineChars="150"/>
        <w:jc w:val="both"/>
        <w:rPr>
          <w:rFonts w:ascii="宋体" w:hAnsi="宋体" w:cs="宋体"/>
          <w:color w:val="auto"/>
          <w:highlight w:val="none"/>
        </w:rPr>
      </w:pPr>
      <w:r>
        <w:rPr>
          <w:rFonts w:hint="eastAsia" w:ascii="宋体" w:hAnsi="宋体" w:cs="宋体"/>
          <w:color w:val="auto"/>
          <w:spacing w:val="-6"/>
          <w:highlight w:val="none"/>
        </w:rPr>
        <w:t>中标人不能按本章第</w:t>
      </w:r>
      <w:r>
        <w:rPr>
          <w:rFonts w:hint="eastAsia" w:ascii="宋体" w:hAnsi="宋体" w:cs="宋体"/>
          <w:color w:val="auto"/>
          <w:highlight w:val="none"/>
        </w:rPr>
        <w:t>7.3.1</w:t>
      </w:r>
      <w:r>
        <w:rPr>
          <w:rFonts w:hint="eastAsia" w:ascii="宋体" w:hAnsi="宋体" w:cs="宋体"/>
          <w:color w:val="auto"/>
          <w:spacing w:val="-1"/>
          <w:highlight w:val="none"/>
        </w:rPr>
        <w:t>要求提交履约保证金的，视为放弃中标，</w:t>
      </w:r>
      <w:r>
        <w:rPr>
          <w:rFonts w:hint="eastAsia" w:ascii="宋体" w:hAnsi="宋体" w:cs="宋体"/>
          <w:color w:val="auto"/>
          <w:highlight w:val="none"/>
        </w:rPr>
        <w:t>其投标保证金不予退还，给招标人造成的损失超过投标保证金数额的，中标人还应当对超过部分予以赔偿。</w:t>
      </w:r>
    </w:p>
    <w:p>
      <w:pPr>
        <w:pStyle w:val="8"/>
        <w:keepNext w:val="0"/>
        <w:keepLines w:val="0"/>
        <w:numPr>
          <w:ilvl w:val="1"/>
          <w:numId w:val="6"/>
        </w:numPr>
        <w:tabs>
          <w:tab w:val="left" w:pos="1100"/>
          <w:tab w:val="left" w:pos="1760"/>
        </w:tabs>
        <w:adjustRightInd/>
        <w:spacing w:before="0" w:after="0" w:line="360" w:lineRule="auto"/>
        <w:ind w:left="19" w:leftChars="8" w:right="-53" w:rightChars="-22" w:firstLine="361" w:firstLineChars="150"/>
        <w:jc w:val="both"/>
        <w:rPr>
          <w:rFonts w:ascii="宋体" w:hAnsi="宋体" w:eastAsia="宋体" w:cs="宋体"/>
          <w:color w:val="auto"/>
          <w:sz w:val="24"/>
          <w:szCs w:val="24"/>
          <w:highlight w:val="none"/>
        </w:rPr>
      </w:pPr>
      <w:bookmarkStart w:id="124" w:name="7.4_签订合同"/>
      <w:bookmarkEnd w:id="124"/>
      <w:r>
        <w:rPr>
          <w:rFonts w:hint="eastAsia" w:ascii="宋体" w:hAnsi="宋体" w:eastAsia="宋体" w:cs="宋体"/>
          <w:color w:val="auto"/>
          <w:sz w:val="24"/>
          <w:szCs w:val="24"/>
          <w:highlight w:val="none"/>
        </w:rPr>
        <w:t>签订合同</w:t>
      </w:r>
    </w:p>
    <w:p>
      <w:pPr>
        <w:pStyle w:val="46"/>
        <w:numPr>
          <w:ilvl w:val="2"/>
          <w:numId w:val="6"/>
        </w:numPr>
        <w:tabs>
          <w:tab w:val="left" w:pos="1100"/>
          <w:tab w:val="left" w:pos="1989"/>
        </w:tabs>
        <w:adjustRightInd/>
        <w:spacing w:line="360" w:lineRule="auto"/>
        <w:ind w:left="19" w:leftChars="8" w:right="-53" w:rightChars="-22" w:firstLine="351" w:firstLineChars="150"/>
        <w:jc w:val="both"/>
        <w:rPr>
          <w:rFonts w:ascii="宋体" w:hAnsi="宋体" w:cs="宋体"/>
          <w:color w:val="auto"/>
          <w:highlight w:val="none"/>
        </w:rPr>
      </w:pPr>
      <w:r>
        <w:rPr>
          <w:rFonts w:hint="eastAsia" w:ascii="宋体" w:hAnsi="宋体" w:cs="宋体"/>
          <w:color w:val="auto"/>
          <w:spacing w:val="-3"/>
          <w:highlight w:val="none"/>
        </w:rPr>
        <w:t>招标人和中标人应当自中标通知书发出之日起</w:t>
      </w:r>
      <w:r>
        <w:rPr>
          <w:rFonts w:hint="eastAsia" w:ascii="宋体" w:hAnsi="宋体" w:cs="宋体"/>
          <w:color w:val="auto"/>
          <w:highlight w:val="none"/>
        </w:rPr>
        <w:t>30</w:t>
      </w:r>
      <w:r>
        <w:rPr>
          <w:rFonts w:hint="eastAsia" w:ascii="宋体" w:hAnsi="宋体" w:cs="宋体"/>
          <w:color w:val="auto"/>
          <w:spacing w:val="-12"/>
          <w:highlight w:val="none"/>
        </w:rPr>
        <w:t>日内，根据招标</w:t>
      </w:r>
      <w:r>
        <w:rPr>
          <w:rFonts w:hint="eastAsia" w:ascii="宋体" w:hAnsi="宋体" w:cs="宋体"/>
          <w:color w:val="auto"/>
          <w:highlight w:val="none"/>
        </w:rPr>
        <w:t>文件和中标人的投标文件订立合同。中标人无正当理由拒签合同的或在签订合同时向招标人提出附加条件的，招标人取消其中标资格，其投标保证金不予退还；给招标人造成的损失超过投标保证金数额的，中标人还应当对超过部分予以赔偿。</w:t>
      </w:r>
    </w:p>
    <w:p>
      <w:pPr>
        <w:pStyle w:val="46"/>
        <w:numPr>
          <w:ilvl w:val="2"/>
          <w:numId w:val="6"/>
        </w:numPr>
        <w:tabs>
          <w:tab w:val="left" w:pos="1100"/>
          <w:tab w:val="left" w:pos="1989"/>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发出中标通知书后，招标人无正当理由拒签合同的，招标人向中标人退还投标保证金及银行同期存款利息；给中标人造成损失的，还应当赔偿损失。</w:t>
      </w:r>
      <w:bookmarkStart w:id="125" w:name="8．重新招标和不再招标"/>
      <w:bookmarkEnd w:id="125"/>
    </w:p>
    <w:p>
      <w:pPr>
        <w:tabs>
          <w:tab w:val="left" w:pos="1100"/>
        </w:tabs>
        <w:adjustRightInd/>
        <w:spacing w:line="360" w:lineRule="auto"/>
        <w:ind w:left="19" w:leftChars="8" w:right="-53" w:rightChars="-22" w:firstLine="361" w:firstLineChars="150"/>
        <w:outlineLvl w:val="2"/>
        <w:rPr>
          <w:rFonts w:ascii="宋体" w:hAnsi="宋体" w:cs="宋体"/>
          <w:b/>
          <w:color w:val="auto"/>
          <w:highlight w:val="none"/>
        </w:rPr>
      </w:pPr>
      <w:bookmarkStart w:id="126" w:name="_Toc2969"/>
      <w:r>
        <w:rPr>
          <w:rFonts w:hint="eastAsia" w:ascii="宋体" w:hAnsi="宋体" w:cs="宋体"/>
          <w:b/>
          <w:color w:val="auto"/>
          <w:highlight w:val="none"/>
        </w:rPr>
        <w:t>8．重新招标和不再招标</w:t>
      </w:r>
      <w:bookmarkEnd w:id="126"/>
    </w:p>
    <w:p>
      <w:pPr>
        <w:pStyle w:val="8"/>
        <w:keepNext w:val="0"/>
        <w:keepLines w:val="0"/>
        <w:numPr>
          <w:ilvl w:val="1"/>
          <w:numId w:val="15"/>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127" w:name="8.1_重新招标"/>
      <w:bookmarkEnd w:id="127"/>
      <w:r>
        <w:rPr>
          <w:rFonts w:hint="eastAsia" w:ascii="宋体" w:hAnsi="宋体" w:eastAsia="宋体" w:cs="宋体"/>
          <w:color w:val="auto"/>
          <w:sz w:val="24"/>
          <w:szCs w:val="24"/>
          <w:highlight w:val="none"/>
        </w:rPr>
        <w:t>重新招标</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有下列情形之一的，招标人将重新招标：</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(l）投标截止时间止，投标人少于3个的；</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(2）经评标委员会评审后否决所有投标的；</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(3）其他情形：详见投标人须知前附表。</w:t>
      </w:r>
    </w:p>
    <w:p>
      <w:pPr>
        <w:pStyle w:val="8"/>
        <w:keepNext w:val="0"/>
        <w:keepLines w:val="0"/>
        <w:numPr>
          <w:ilvl w:val="1"/>
          <w:numId w:val="15"/>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bookmarkStart w:id="128" w:name="8.2_不再招标"/>
      <w:bookmarkEnd w:id="128"/>
      <w:r>
        <w:rPr>
          <w:rFonts w:hint="eastAsia" w:ascii="宋体" w:hAnsi="宋体" w:eastAsia="宋体" w:cs="宋体"/>
          <w:color w:val="auto"/>
          <w:sz w:val="24"/>
          <w:szCs w:val="24"/>
          <w:highlight w:val="none"/>
        </w:rPr>
        <w:t>不再招标</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重新招标后投标人仍少于3个或者所有投标被否决的，属于必须审批或核准的工程建设项目，经原审批或核准部门批准后不再进行招标。</w:t>
      </w:r>
    </w:p>
    <w:p>
      <w:pPr>
        <w:pStyle w:val="8"/>
        <w:keepNext w:val="0"/>
        <w:keepLines w:val="0"/>
        <w:numPr>
          <w:ilvl w:val="0"/>
          <w:numId w:val="16"/>
        </w:numPr>
        <w:tabs>
          <w:tab w:val="left" w:pos="1100"/>
          <w:tab w:val="left" w:pos="1629"/>
        </w:tabs>
        <w:adjustRightInd/>
        <w:spacing w:before="0" w:after="0" w:line="360" w:lineRule="auto"/>
        <w:ind w:left="19" w:leftChars="8" w:right="-53" w:rightChars="-22" w:firstLine="361" w:firstLineChars="150"/>
        <w:outlineLvl w:val="2"/>
        <w:rPr>
          <w:rFonts w:ascii="宋体" w:hAnsi="宋体" w:eastAsia="宋体" w:cs="宋体"/>
          <w:color w:val="auto"/>
          <w:sz w:val="24"/>
          <w:szCs w:val="24"/>
          <w:highlight w:val="none"/>
        </w:rPr>
      </w:pPr>
      <w:bookmarkStart w:id="129" w:name="_bookmark11"/>
      <w:bookmarkEnd w:id="129"/>
      <w:bookmarkStart w:id="130" w:name="_Toc21888"/>
      <w:r>
        <w:rPr>
          <w:rFonts w:hint="eastAsia" w:ascii="宋体" w:hAnsi="宋体" w:eastAsia="宋体" w:cs="宋体"/>
          <w:color w:val="auto"/>
          <w:sz w:val="24"/>
          <w:szCs w:val="24"/>
          <w:highlight w:val="none"/>
        </w:rPr>
        <w:t>纪律和监督</w:t>
      </w:r>
      <w:bookmarkEnd w:id="130"/>
    </w:p>
    <w:p>
      <w:pPr>
        <w:pStyle w:val="46"/>
        <w:numPr>
          <w:ilvl w:val="1"/>
          <w:numId w:val="16"/>
        </w:numPr>
        <w:tabs>
          <w:tab w:val="left" w:pos="1100"/>
          <w:tab w:val="left" w:pos="1760"/>
        </w:tabs>
        <w:adjustRightInd/>
        <w:spacing w:line="360" w:lineRule="auto"/>
        <w:ind w:left="19" w:leftChars="8" w:right="-53" w:rightChars="-22" w:firstLine="361" w:firstLineChars="150"/>
        <w:rPr>
          <w:rFonts w:ascii="宋体" w:hAnsi="宋体" w:cs="宋体"/>
          <w:b/>
          <w:color w:val="auto"/>
          <w:highlight w:val="none"/>
        </w:rPr>
      </w:pPr>
      <w:r>
        <w:rPr>
          <w:rFonts w:hint="eastAsia" w:ascii="宋体" w:hAnsi="宋体" w:cs="宋体"/>
          <w:b/>
          <w:color w:val="auto"/>
          <w:highlight w:val="none"/>
        </w:rPr>
        <w:t>对招标人的纪律要求</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招标人不得泄露招标投标活动中应当保密的情况和资料，不得与投标人串通损害国家利益、社会公共利益或者他人合法权益。</w:t>
      </w:r>
    </w:p>
    <w:p>
      <w:pPr>
        <w:pStyle w:val="8"/>
        <w:keepNext w:val="0"/>
        <w:keepLines w:val="0"/>
        <w:numPr>
          <w:ilvl w:val="1"/>
          <w:numId w:val="16"/>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对投标人的纪律要求</w:t>
      </w:r>
    </w:p>
    <w:p>
      <w:pPr>
        <w:pStyle w:val="3"/>
        <w:tabs>
          <w:tab w:val="left" w:pos="1100"/>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8"/>
        <w:keepNext w:val="0"/>
        <w:keepLines w:val="0"/>
        <w:numPr>
          <w:ilvl w:val="1"/>
          <w:numId w:val="16"/>
        </w:numPr>
        <w:tabs>
          <w:tab w:val="left" w:pos="1100"/>
          <w:tab w:val="left" w:pos="1760"/>
        </w:tabs>
        <w:adjustRightInd/>
        <w:spacing w:before="0" w:after="0" w:line="360" w:lineRule="auto"/>
        <w:ind w:left="19" w:leftChars="8" w:right="-53" w:rightChars="-22" w:firstLine="361" w:firstLineChars="15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对评标委员会成员的纪律要求</w:t>
      </w:r>
    </w:p>
    <w:p>
      <w:pPr>
        <w:pStyle w:val="3"/>
        <w:tabs>
          <w:tab w:val="left" w:pos="1100"/>
        </w:tabs>
        <w:adjustRightInd/>
        <w:spacing w:line="360" w:lineRule="auto"/>
        <w:ind w:left="19" w:leftChars="8" w:right="-53" w:rightChars="-22" w:firstLine="360" w:firstLineChars="150"/>
        <w:rPr>
          <w:rFonts w:ascii="宋体" w:hAnsi="宋体" w:cs="宋体"/>
          <w:color w:val="auto"/>
          <w:highlight w:val="none"/>
        </w:rPr>
      </w:pPr>
      <w:r>
        <w:rPr>
          <w:rFonts w:hint="eastAsia" w:ascii="宋体" w:hAnsi="宋体" w:cs="宋体"/>
          <w:color w:val="auto"/>
          <w:highlight w:val="none"/>
        </w:rPr>
        <w:t>评标委员会成员不得收受他人的财物或者其他好处，不得向他人透露对投标文</w:t>
      </w:r>
      <w:r>
        <w:rPr>
          <w:rFonts w:hint="eastAsia" w:ascii="宋体" w:hAnsi="宋体" w:cs="宋体"/>
          <w:color w:val="auto"/>
          <w:spacing w:val="-5"/>
          <w:highlight w:val="none"/>
        </w:rPr>
        <w:t>件的评审和比较、中标候选人的推荐情况以及评标有关的其他情况。在评标活动中，</w:t>
      </w:r>
      <w:r>
        <w:rPr>
          <w:rFonts w:hint="eastAsia" w:ascii="宋体" w:hAnsi="宋体" w:cs="宋体"/>
          <w:color w:val="auto"/>
          <w:highlight w:val="none"/>
        </w:rPr>
        <w:t>评标委员会成员应当客观、公正地履行职责，遵守职业道德，不得擅离职守，影响评标程序正常进行，不得使用第三章“评标办法”没有规定的评审因素和标准进行评标。</w:t>
      </w:r>
    </w:p>
    <w:p>
      <w:pPr>
        <w:pStyle w:val="8"/>
        <w:keepNext w:val="0"/>
        <w:keepLines w:val="0"/>
        <w:numPr>
          <w:ilvl w:val="1"/>
          <w:numId w:val="16"/>
        </w:numPr>
        <w:tabs>
          <w:tab w:val="left" w:pos="1100"/>
          <w:tab w:val="left" w:pos="1760"/>
        </w:tabs>
        <w:adjustRightInd/>
        <w:spacing w:before="0" w:after="0" w:line="360" w:lineRule="auto"/>
        <w:ind w:left="19" w:leftChars="8" w:right="-53" w:rightChars="-22" w:firstLine="361" w:firstLineChars="1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对与评标活动有关的工作人员的纪律要求</w:t>
      </w:r>
    </w:p>
    <w:p>
      <w:pPr>
        <w:pStyle w:val="3"/>
        <w:tabs>
          <w:tab w:val="left" w:pos="1100"/>
        </w:tabs>
        <w:adjustRightInd/>
        <w:spacing w:line="360" w:lineRule="auto"/>
        <w:ind w:left="19" w:leftChars="8" w:right="-53" w:rightChars="-22" w:firstLine="360" w:firstLineChars="150"/>
        <w:jc w:val="both"/>
        <w:rPr>
          <w:rFonts w:ascii="宋体" w:hAnsi="宋体" w:cs="宋体"/>
          <w:color w:val="auto"/>
          <w:highlight w:val="none"/>
        </w:rPr>
      </w:pPr>
      <w:r>
        <w:rPr>
          <w:rFonts w:hint="eastAsia" w:ascii="宋体" w:hAnsi="宋体" w:cs="宋体"/>
          <w:color w:val="auto"/>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pStyle w:val="8"/>
        <w:keepNext w:val="0"/>
        <w:keepLines w:val="0"/>
        <w:numPr>
          <w:ilvl w:val="0"/>
          <w:numId w:val="16"/>
        </w:numPr>
        <w:tabs>
          <w:tab w:val="left" w:pos="1100"/>
          <w:tab w:val="left" w:pos="1633"/>
        </w:tabs>
        <w:adjustRightInd/>
        <w:spacing w:before="0" w:after="0" w:line="360" w:lineRule="auto"/>
        <w:ind w:left="19" w:leftChars="8" w:right="-53" w:rightChars="-22" w:firstLine="361" w:firstLineChars="150"/>
        <w:outlineLvl w:val="2"/>
        <w:rPr>
          <w:rFonts w:ascii="宋体" w:hAnsi="宋体" w:eastAsia="宋体" w:cs="宋体"/>
          <w:color w:val="auto"/>
          <w:sz w:val="24"/>
          <w:szCs w:val="24"/>
          <w:highlight w:val="none"/>
        </w:rPr>
      </w:pPr>
      <w:bookmarkStart w:id="131" w:name="_bookmark12"/>
      <w:bookmarkEnd w:id="131"/>
      <w:bookmarkStart w:id="132" w:name="_Toc4518"/>
      <w:r>
        <w:rPr>
          <w:rFonts w:hint="eastAsia" w:ascii="宋体" w:hAnsi="宋体" w:eastAsia="宋体" w:cs="宋体"/>
          <w:color w:val="auto"/>
          <w:sz w:val="24"/>
          <w:szCs w:val="24"/>
          <w:highlight w:val="none"/>
        </w:rPr>
        <w:t>需要补充的其他内容</w:t>
      </w:r>
      <w:bookmarkEnd w:id="132"/>
    </w:p>
    <w:p>
      <w:pPr>
        <w:spacing w:line="440" w:lineRule="exact"/>
        <w:ind w:firstLine="480" w:firstLineChars="200"/>
        <w:rPr>
          <w:rFonts w:hint="eastAsia" w:ascii="宋体" w:hAnsi="宋体" w:cs="仿宋"/>
          <w:color w:val="auto"/>
          <w:szCs w:val="21"/>
          <w:highlight w:val="none"/>
        </w:rPr>
      </w:pPr>
      <w:bookmarkStart w:id="133" w:name="_Toc29891"/>
      <w:r>
        <w:rPr>
          <w:rFonts w:hint="eastAsia" w:ascii="宋体" w:hAnsi="宋体" w:cs="仿宋"/>
          <w:color w:val="auto"/>
          <w:szCs w:val="21"/>
          <w:highlight w:val="none"/>
        </w:rPr>
        <w:t>10.1承包人在投标阶段应充分考虑安全防护、卫生环保、文明施工、防汛、防冰雪、台风等各类恶劣气候因素，政策性、环境干扰或不可抗力事件等因素造成的人工、材料、机械设备等的停工、窝工、二次进场或多次进场等费用，并</w:t>
      </w:r>
      <w:r>
        <w:rPr>
          <w:rFonts w:hint="eastAsia" w:ascii="宋体" w:hAnsi="宋体" w:cs="仿宋"/>
          <w:color w:val="auto"/>
          <w:highlight w:val="none"/>
        </w:rPr>
        <w:t>结合现场实际情况充分考虑材料二次搬运的费用，上述费用</w:t>
      </w:r>
      <w:r>
        <w:rPr>
          <w:rFonts w:hint="eastAsia" w:ascii="宋体" w:hAnsi="宋体" w:cs="仿宋"/>
          <w:color w:val="auto"/>
          <w:szCs w:val="21"/>
          <w:highlight w:val="none"/>
        </w:rPr>
        <w:t>均由承包人自行承担，发包人不再支付与此相关的任何费用，亦不承担与此相关的责任</w:t>
      </w:r>
      <w:r>
        <w:rPr>
          <w:rFonts w:hint="eastAsia" w:ascii="宋体" w:hAnsi="宋体" w:cs="仿宋"/>
          <w:color w:val="auto"/>
          <w:highlight w:val="none"/>
        </w:rPr>
        <w:t>。</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承包人在投标前应进行工程现场踏勘，充分了解、熟悉工程现场地上、地下等相关情况，分析可能影响工程施工的各种因素，在施工方案及施工组织设计中，充分考虑好各种施工组织措施及施工技术措施。施工过程中出现的与相关单位、个人的矛盾、纠纷及索赔等，均由承包人自行负责处理。上述各项内容所涉及的相关各项费用由承包人自行承担，一旦中标进场施工后，不得因现场场地、施工条件等客观因素向发包人提出相关补偿与索赔。</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10.3在节假日及发包人认为必要的期间内，需对工程现场及周边环境卫生有一定的要求，承包人应服从并按要求完成任务，相应的费用由承包人承担，发生后不再单独计价。在整个施工期间，遇到政府指令要求暂停施工的情况（如重大社会活动、重大体育赛事、重要考试、城市管理相关重要检查等），承包人必须按照政府相关部门的要求停止施工，连续停工时间超过8小时的，发包人同意相应顺延工期，但发包人不承担该类停工可能涉及的成本及费用增加（政府主管部门发文明确由发包人承担费用的除外）。在整个施工期间，因节假日、重大社会活动、重大体育赛事、城市管理相关重要检查、领导视察、行业内相关检查等情况，需要承包人对施工现场及外围环境进行整理、清扫、美化的，承包人必须无条件服从政府相关部门、发包人、监理单位的管理与安排，在限定时间内完成相关工作，如未按时完成的，发包人有权指定其他施工单位完成相关工作，所涉及的相关费用由承包人承担。</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10.4承包人须在发包人要求的开工日期及时组织机械、人员进场施工，各工作面平行施工；承包人需要对人员组织、机械投入、资金保障、原材料组织等认为必要的各种保障措施进行全面考虑。</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10.5承包人应在投标前仔细踏看工程现场及周边环境，调查熟悉工程现场位置、外围道路状况、交通限制等情况，充分考虑环境保护、安全围护、交通运输、施工干扰、装安全标志、建临时便道、现场成品保护及地下管线、周围设施的保护、加强对工程车辆进出现场的管理，并服从交警、行政执法等部门的管理，在醒目位置设置施工指示牌，确保道路车辆、行人安全等产生的一系列费用；充分考虑与本工程相关的公共及协调费用和办理好道路交通运输相关的手续（如交通、市容、环保、噪音、排污、治安等费用以及因施工原因引起的相关部门应交纳费用，主管部门规定由发包人办理的，发包人可出面配合办理），由承包人支付办理手续所需的费用由承包人自行承担。以上各项费用均由承包人自行承担，发包人不再支付与此相关的任何费用，亦不承担与此相关的责任。</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10.6工程竣工后，根据招投标文件、施工合同及其它相关规定，达到竣工验收条件的，发包人将按程序组织工程竣工验收。验收通过后，将继续由承包人负责对工程实体及现场的看护、管理、成品保护，待项目整体竣工后，发包人要求承包人将工程移交给发包人时，承包人应及时进行移交，但承包人必须确保工程质量与状态不低于竣工验收时的标准。在工程移交完成前发生的看护、管理及整修等费用均由承包人自行承担。工程竣工移交后，承包人须按施工合同约定，严格履行质量保修责任与义务。发包人就工程质量问题通知承包人到场查看或维修的，承包人必须在24小时内（特别紧急的情况须按照发包人要求的时间）安排专业人员到场，并落实对质量问题的查看、维修、解决问题。24小时后（特别紧急的情况下在限定时间内）承包人仍未安排专业人员到场查看、维修、解决问题的，发包人有权另行安排其它单位人员到场查看、维修、解决问题，所涉及的所有费用，发包人将直接从承包人的工程结算款或保修款内扣除。发包人有权根据承包人未能按时到场查看、维修、解决问题而造成的不良后果程度，对承包人追究相关责任并进行经济索赔。</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10.7承包人需办理工程各项保险，缴纳相关保险费用，所需费用由承包人自行承担，发包人不再支付与此相关的任何费用。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w:t>
      </w:r>
      <w:r>
        <w:rPr>
          <w:rFonts w:hint="eastAsia" w:ascii="宋体" w:hAnsi="宋体" w:cs="仿宋"/>
          <w:color w:val="auto"/>
          <w:szCs w:val="21"/>
          <w:highlight w:val="none"/>
          <w:lang w:val="en-US" w:eastAsia="zh-CN"/>
        </w:rPr>
        <w:t>8</w:t>
      </w:r>
      <w:r>
        <w:rPr>
          <w:rFonts w:hint="eastAsia" w:ascii="宋体" w:hAnsi="宋体" w:cs="仿宋"/>
          <w:color w:val="auto"/>
          <w:szCs w:val="21"/>
          <w:highlight w:val="none"/>
        </w:rPr>
        <w:t>土方开挖前原地面及回填前的标高已由发包人委托第三方进行测量（详见附件</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），以此数据作为土石方工程量计算依据。工程土方开挖施工阶段，除地下室深基坑抗浮排水（须经方案批准和签证）</w:t>
      </w:r>
      <w:r>
        <w:rPr>
          <w:rFonts w:hint="eastAsia"/>
          <w:color w:val="auto"/>
          <w:highlight w:val="none"/>
        </w:rPr>
        <w:t>外，其他</w:t>
      </w:r>
      <w:r>
        <w:rPr>
          <w:rFonts w:hint="eastAsia" w:ascii="宋体" w:hAnsi="宋体" w:cs="仿宋"/>
          <w:color w:val="auto"/>
          <w:szCs w:val="21"/>
          <w:highlight w:val="none"/>
        </w:rPr>
        <w:t>的场地降排水及工程竣工前的防淹的降水措施均由承包人在投标时根据设计与相关规范标准要求、工程自身情况、地理位置、水文地质情况、周边环境等综合考虑，与此相关的责任由承包人承担，相关费用均由承包人自行承担，发包人不再支付与此相关的任何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w:t>
      </w:r>
      <w:r>
        <w:rPr>
          <w:rFonts w:hint="eastAsia" w:ascii="宋体" w:hAnsi="宋体" w:cs="仿宋"/>
          <w:color w:val="auto"/>
          <w:szCs w:val="21"/>
          <w:highlight w:val="none"/>
          <w:lang w:val="en-US" w:eastAsia="zh-CN"/>
        </w:rPr>
        <w:t>9</w:t>
      </w:r>
      <w:r>
        <w:rPr>
          <w:rFonts w:hint="eastAsia" w:ascii="宋体" w:hAnsi="宋体" w:cs="仿宋"/>
          <w:color w:val="auto"/>
          <w:szCs w:val="21"/>
          <w:highlight w:val="none"/>
        </w:rPr>
        <w:t>承包人进场后应严格按照湖州市建筑工程安全文明标准化工地的要求组织施工，认真落实各项安全保护措施，并随时接受发包人、监理单位及有关部门的监督检查。严格遵守工程建设安全文明施工的有关规定，按照国家、省、市相关安全文明的文件规定的关于安全文明施工所要求的建筑施工扬尘治理相关规定开展工作。工程环保及环卫费用由承包人按规定支付相关部门，发包人不再支付与此相关的任何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10.1</w:t>
      </w:r>
      <w:r>
        <w:rPr>
          <w:rFonts w:hint="eastAsia" w:ascii="宋体" w:hAnsi="宋体" w:cs="仿宋"/>
          <w:color w:val="auto"/>
          <w:szCs w:val="21"/>
          <w:highlight w:val="none"/>
          <w:lang w:val="en-US" w:eastAsia="zh-CN"/>
        </w:rPr>
        <w:t>0</w:t>
      </w:r>
      <w:r>
        <w:rPr>
          <w:rFonts w:hint="eastAsia" w:ascii="宋体" w:hAnsi="宋体" w:cs="仿宋"/>
          <w:color w:val="auto"/>
          <w:szCs w:val="21"/>
          <w:highlight w:val="none"/>
        </w:rPr>
        <w:t>承包人应做好工程车辆途经路段的道路清洁工作，现场必须配备冲洗设施，配备专人进行道路清扫。如出现扬尘及道路污染情况，在接到发包人及监理通知后，承包人必须在发包人规定时间内严格按照市安全文明施工及扬尘治理等相关规定做好整改，如未见整改的，处罚款2000元，多次发现现场未整改的，罚款加倍。</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10.1</w:t>
      </w:r>
      <w:r>
        <w:rPr>
          <w:rFonts w:hint="eastAsia" w:ascii="宋体" w:hAnsi="宋体" w:cs="仿宋"/>
          <w:color w:val="auto"/>
          <w:szCs w:val="21"/>
          <w:highlight w:val="none"/>
          <w:lang w:val="en-US" w:eastAsia="zh-CN"/>
        </w:rPr>
        <w:t>1</w:t>
      </w:r>
      <w:r>
        <w:rPr>
          <w:rFonts w:hint="eastAsia" w:ascii="宋体" w:hAnsi="宋体" w:cs="仿宋"/>
          <w:color w:val="auto"/>
          <w:szCs w:val="21"/>
          <w:highlight w:val="none"/>
        </w:rPr>
        <w:t>承包人应严格按照施工规范及设计要求进行，按照工程建设的需要，统一服从发包人及监理的现场管理，做好施工宣传及周边的协调工作,采取有效措施降低因施工产生的污染和噪声。承包人应对进场的周边已施工好的设施加以保护，充分考虑与周边其他工程及标段的交叉施工工程中发生的交叉误工费，对因自身原因造成已完设施损失的，修复及赔偿等发生的一切费用都由承包人自行承担。</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10.1</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承包人应根据场地条件、工程特点、施工需要及现场安全生产、文明施工的要求，对整个场地的临时排水系统（排水沟、管，集水井、坑，沉淀池、清洗池、洗车池等）进行规范合理的布置和建造并符合相关部门的规定，在投标前应仔细踏勘现场，调查摸排周边排水管网、河道、沟渠等情况，考虑好施工阶段排水去向。进场后应主动协调周边相关管理部门、街道、村、企事业单位及居民、村民等个人，落实合理可行的措施，涉及到的相关费用由承包人自行承担，发包人不再支付与此相关的任何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10.1</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rPr>
        <w:t>因恶劣天气或不可抗力事件对人工、材料、机械设备造成的影响（如窝工等），由此所造成的经济损失由由承包人自行承担，发包人不予受理，造成工期影响的可视情况顺延。</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10.1</w:t>
      </w:r>
      <w:r>
        <w:rPr>
          <w:rFonts w:hint="eastAsia" w:ascii="宋体" w:hAnsi="宋体" w:cs="仿宋"/>
          <w:color w:val="auto"/>
          <w:szCs w:val="21"/>
          <w:highlight w:val="none"/>
          <w:lang w:val="en-US" w:eastAsia="zh-CN"/>
        </w:rPr>
        <w:t>4</w:t>
      </w:r>
      <w:r>
        <w:rPr>
          <w:rFonts w:hint="eastAsia" w:ascii="宋体" w:hAnsi="宋体" w:cs="仿宋"/>
          <w:color w:val="auto"/>
          <w:szCs w:val="21"/>
          <w:highlight w:val="none"/>
        </w:rPr>
        <w:t>在整个施工期间（从承包人进场开始至工程竣工后向发包人移交完成时止），施工场地范围内均不得设置民工生活区，除门卫室可安排少量门岗值班人员住宿外，其它任何场所、部位均不得有人员住宿。发包人及监理单位将不定期地对现场人员住宿情况进行检查，凡发现除门卫室外有人员住宿的，则按1000元/人·次对承包人进行经济扣罚。在整个施工期间，整个施工现场均不得出现烧饭、烧菜等情况，所有施工人员及管理人员的就餐均应在施工现场之外解决。发包人及监理单位将不定期地对现场烧饭、烧菜情况进行检查，凡发现有烧饭、烧菜现象的，则按1000元/处·次对承包人进行经济扣罚。各项扣罚款项均在当期工程款中直接扣除。</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10.1</w:t>
      </w:r>
      <w:r>
        <w:rPr>
          <w:rFonts w:hint="eastAsia" w:ascii="宋体" w:hAnsi="宋体" w:cs="仿宋"/>
          <w:color w:val="auto"/>
          <w:szCs w:val="21"/>
          <w:highlight w:val="none"/>
          <w:lang w:val="en-US" w:eastAsia="zh-CN"/>
        </w:rPr>
        <w:t>5</w:t>
      </w:r>
      <w:r>
        <w:rPr>
          <w:rFonts w:hint="eastAsia" w:ascii="宋体" w:hAnsi="宋体" w:cs="仿宋"/>
          <w:color w:val="auto"/>
          <w:szCs w:val="21"/>
          <w:highlight w:val="none"/>
        </w:rPr>
        <w:t>发包人为承包人提供施工用水1处，用电接口4处；工程用水、用电费用由承包人自行承担（按表计取水、电用量，并按用量计取相应比例的水、电损失量。用水接口后的水管、阀门、水嘴及用电接口后的电缆线路、各级配电表箱（含防漏电、触电保护设施）等均由承包人自行负责安装、使用及管理。承包人根据提供的变压器容量在确保施工进度前提下，合理安排施工机械设施，如需另外增加供电电源，承包人自行解决。承包人同时负责日常维护管理及支付相关运行费用。以上各项费用均由承包人自行承担，发包人不再支付与此相关的任何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10.1</w:t>
      </w:r>
      <w:r>
        <w:rPr>
          <w:rFonts w:hint="eastAsia" w:ascii="宋体" w:hAnsi="宋体" w:cs="仿宋"/>
          <w:color w:val="auto"/>
          <w:szCs w:val="21"/>
          <w:highlight w:val="none"/>
          <w:lang w:val="en-US" w:eastAsia="zh-CN"/>
        </w:rPr>
        <w:t>6</w:t>
      </w:r>
      <w:r>
        <w:rPr>
          <w:rFonts w:hint="eastAsia" w:ascii="宋体" w:hAnsi="宋体" w:cs="仿宋"/>
          <w:color w:val="auto"/>
          <w:szCs w:val="21"/>
          <w:highlight w:val="none"/>
        </w:rPr>
        <w:t>施工噪音必须符合相关部门的要求，基坑冠梁、（压顶梁、支撑梁）等的拆除承包人须静力切割拆除，不得使用炮台机、爆破作业等以及</w:t>
      </w:r>
      <w:r>
        <w:rPr>
          <w:rFonts w:hint="eastAsia" w:ascii="宋体" w:hAnsi="宋体" w:cs="仿宋"/>
          <w:color w:val="auto"/>
          <w:szCs w:val="21"/>
          <w:highlight w:val="none"/>
          <w:lang w:val="zh-CN"/>
        </w:rPr>
        <w:t>工程桩静载试验的桩头处理、黄砂堆载使用损耗所产生的费用、</w:t>
      </w:r>
      <w:r>
        <w:rPr>
          <w:rFonts w:hint="eastAsia" w:ascii="宋体" w:hAnsi="宋体" w:cs="仿宋"/>
          <w:color w:val="auto"/>
          <w:szCs w:val="21"/>
          <w:highlight w:val="none"/>
        </w:rPr>
        <w:t>涉及的相关费用均由承包人自行承担，发包人不再支付与此相关的任何费用。</w:t>
      </w:r>
    </w:p>
    <w:p>
      <w:pPr>
        <w:spacing w:line="360" w:lineRule="auto"/>
        <w:ind w:firstLine="480" w:firstLineChars="200"/>
        <w:rPr>
          <w:rFonts w:ascii="宋体" w:hAnsi="宋体" w:cs="仿宋"/>
          <w:color w:val="auto"/>
          <w:szCs w:val="21"/>
          <w:highlight w:val="none"/>
        </w:rPr>
      </w:pPr>
      <w:r>
        <w:rPr>
          <w:rFonts w:hint="eastAsia" w:ascii="宋体" w:hAnsi="宋体" w:cs="仿宋"/>
          <w:color w:val="auto"/>
          <w:szCs w:val="21"/>
          <w:highlight w:val="none"/>
        </w:rPr>
        <w:t>10.1</w:t>
      </w:r>
      <w:r>
        <w:rPr>
          <w:rFonts w:hint="eastAsia" w:ascii="宋体" w:hAnsi="宋体" w:cs="仿宋"/>
          <w:color w:val="auto"/>
          <w:szCs w:val="21"/>
          <w:highlight w:val="none"/>
          <w:lang w:val="en-US" w:eastAsia="zh-CN"/>
        </w:rPr>
        <w:t>7</w:t>
      </w:r>
      <w:r>
        <w:rPr>
          <w:rFonts w:hint="eastAsia" w:ascii="宋体" w:hAnsi="宋体" w:cs="仿宋"/>
          <w:color w:val="auto"/>
          <w:szCs w:val="21"/>
          <w:highlight w:val="none"/>
        </w:rPr>
        <w:t>本项目临时围墙要求全线维护，临时施工围墙（含大门）由承包人按发包人有关要求负责搭建并满足质监站和安监站的要求。施工期间承包人须做好围墙全线维护，墙体美化（墙体广告、宣传等以及内容更换）按发包人要求执行，上述涉及到的相关费用由承包人自行承担，发包人不再支付与此相关的任何费用。目前工地现场已有部分围墙搭建完成，工程结算时按综合单价530元/米予以扣除。</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10.1</w:t>
      </w:r>
      <w:r>
        <w:rPr>
          <w:rFonts w:hint="eastAsia" w:ascii="宋体" w:hAnsi="宋体" w:cs="仿宋"/>
          <w:color w:val="auto"/>
          <w:szCs w:val="21"/>
          <w:highlight w:val="none"/>
          <w:lang w:val="en-US" w:eastAsia="zh-CN"/>
        </w:rPr>
        <w:t>8</w:t>
      </w:r>
      <w:r>
        <w:rPr>
          <w:rFonts w:hint="eastAsia" w:ascii="宋体" w:hAnsi="宋体" w:cs="仿宋"/>
          <w:color w:val="auto"/>
          <w:szCs w:val="21"/>
          <w:highlight w:val="none"/>
        </w:rPr>
        <w:t>场内施工道路的设置以及就近与道路连接进出，机械设备的进场，商品砼的进场，对现有道路及设施的破坏和修复等情况，均按照安监站、质监站的要求设置，由承包人自行充分考虑并自行承担相应费用，发包人不再支付与此相关的任何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w:t>
      </w:r>
      <w:r>
        <w:rPr>
          <w:rFonts w:hint="eastAsia" w:ascii="宋体" w:hAnsi="宋体" w:cs="仿宋"/>
          <w:color w:val="auto"/>
          <w:szCs w:val="21"/>
          <w:highlight w:val="none"/>
          <w:lang w:val="en-US" w:eastAsia="zh-CN"/>
        </w:rPr>
        <w:t>19</w:t>
      </w:r>
      <w:r>
        <w:rPr>
          <w:rFonts w:hint="eastAsia" w:ascii="宋体" w:hAnsi="宋体" w:cs="仿宋"/>
          <w:color w:val="auto"/>
          <w:szCs w:val="21"/>
          <w:highlight w:val="none"/>
        </w:rPr>
        <w:t>工程建设场地周边存有房屋和道路，承包人应对周边房屋和道路的安全、稳定状况进行观察、监测，并做好保护措施防止对周边房屋和道路出现影响。如发现有异常情况时，应及时向监理单位、发包人反映，并按照监理单位、设计单位、发包人的要求落实相关处理措施。安全、稳定状况的观察、监测、采取相应保护及处理措施所涉及的相关费用，由承包人承担，发包人不再支付与此相关的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w:t>
      </w:r>
      <w:r>
        <w:rPr>
          <w:rFonts w:hint="eastAsia" w:ascii="宋体" w:hAnsi="宋体" w:cs="仿宋"/>
          <w:color w:val="auto"/>
          <w:szCs w:val="21"/>
          <w:highlight w:val="none"/>
          <w:lang w:val="en-US" w:eastAsia="zh-CN"/>
        </w:rPr>
        <w:t>0</w:t>
      </w:r>
      <w:r>
        <w:rPr>
          <w:rFonts w:hint="eastAsia" w:ascii="宋体" w:hAnsi="宋体" w:cs="仿宋"/>
          <w:color w:val="auto"/>
          <w:szCs w:val="21"/>
          <w:highlight w:val="none"/>
        </w:rPr>
        <w:t>承包人需充分考虑现场场地内排水，如发生内涝现象，需承包人自行处理并应按建设局相关要求自行办理施工期间排水许可证，产生的相关费用由承包人承担，发包人不再支付与此相关的费用。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w:t>
      </w:r>
      <w:r>
        <w:rPr>
          <w:rFonts w:hint="eastAsia" w:ascii="宋体" w:hAnsi="宋体" w:cs="仿宋"/>
          <w:color w:val="auto"/>
          <w:szCs w:val="21"/>
          <w:highlight w:val="none"/>
          <w:lang w:val="en-US" w:eastAsia="zh-CN"/>
        </w:rPr>
        <w:t>1</w:t>
      </w:r>
      <w:r>
        <w:rPr>
          <w:rFonts w:hint="eastAsia" w:ascii="宋体" w:hAnsi="宋体" w:cs="仿宋"/>
          <w:color w:val="auto"/>
          <w:szCs w:val="21"/>
          <w:highlight w:val="none"/>
        </w:rPr>
        <w:t>承包人应通过科学的施工组织，合理安排各道工序、各项工程的施工，尽量避免夜间施工。承包人应充分考虑夜间施工对周边个人、单位的影响，做好相关协调工作。确因技术要求、客观因素影响需要进行夜间施工的，承包人应服从环保、行政执法、质监站、交警等部门的管理，自行办理夜间施工准许手续，并积极主动处理好工地周边相关单位、个人的意见与投诉，自行支付办理手续及处理矛盾、问题应支付的费用。上述内容所涉及的各项费用由承包人自行承担，发包人不再支付与此相关的任何费用。在施工过程中，承包人还应积极采取有效措施，减少对施工现场周边各方面的影响，自行协调好与周边居民等的关系，如果产生有关矛盾、纠纷，由承包人负责处理，其间发生的费用由承包人承担。如因处理不当造成群体性事件的，每次处罚5万元。</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承包人因扬尘、环境卫生等原因造成有相关政府部门热线投诉的或接到相关部门处罚或要求暂停施工的，承包人需积极处理，且发包人有权对承包人每次处罚5万元。</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rPr>
        <w:t>本工程部分材料设有推荐品牌（具体详见《主要材料选用品牌一览表》）具体品牌名单后已添加“或相当于”。投标人应按推荐的品牌、规格确定投标报价，并在《主要材料选用品牌一览表》中明确所选品牌（厂家）。投标人若未注明品牌，中标后由招标人在所列品牌中任选其一，中标人须无条件接受。未设定推荐品牌的材料，承包人应根据招标技术要求和实际情况，合理选择质量可靠、性能先进的设备材料，但所选设备材料必须取得发包人认可。</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w:t>
      </w:r>
      <w:r>
        <w:rPr>
          <w:rFonts w:hint="eastAsia" w:ascii="宋体" w:hAnsi="宋体" w:cs="仿宋"/>
          <w:color w:val="auto"/>
          <w:szCs w:val="21"/>
          <w:highlight w:val="none"/>
          <w:lang w:val="en-US" w:eastAsia="zh-CN"/>
        </w:rPr>
        <w:t>4</w:t>
      </w:r>
      <w:r>
        <w:rPr>
          <w:rFonts w:hint="eastAsia" w:ascii="宋体" w:hAnsi="宋体" w:cs="仿宋"/>
          <w:color w:val="auto"/>
          <w:szCs w:val="21"/>
          <w:highlight w:val="none"/>
        </w:rPr>
        <w:t>承包人在投标阶段，在《主要材料选用品牌一览表》中注明的品牌可以是设定的推荐品牌，也可以选择不低于推荐品牌档次的其他品牌。选择其他品牌的，必须满足设计技术参数要求，且不得低于推荐品牌的档次，并提供相关技术指标、检测报告等相关证明材料。若无相应的证明材料证明其满足设计要求且不低于推荐品牌档次的，评标委员会可认为其低于招标品质而否决其投标。</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w:t>
      </w:r>
      <w:r>
        <w:rPr>
          <w:rFonts w:hint="eastAsia" w:ascii="宋体" w:hAnsi="宋体" w:cs="仿宋"/>
          <w:color w:val="auto"/>
          <w:szCs w:val="21"/>
          <w:highlight w:val="none"/>
          <w:lang w:val="en-US" w:eastAsia="zh-CN"/>
        </w:rPr>
        <w:t>5</w:t>
      </w:r>
      <w:r>
        <w:rPr>
          <w:rFonts w:hint="eastAsia" w:ascii="宋体" w:hAnsi="宋体" w:cs="仿宋"/>
          <w:color w:val="auto"/>
          <w:szCs w:val="21"/>
          <w:highlight w:val="none"/>
        </w:rPr>
        <w:t>材料进场后通过有关权威部门检测一旦出现真实产品达不到投标时的承诺（即：技术参数或效果达不到设计要求），发包人有权予以否决，为不影响工程进度，届时由发包人、监理、设计共同在以上推荐品牌中优先选择其中的产品作为指定品牌。</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w:t>
      </w:r>
      <w:r>
        <w:rPr>
          <w:rFonts w:hint="eastAsia" w:ascii="宋体" w:hAnsi="宋体" w:cs="仿宋"/>
          <w:color w:val="auto"/>
          <w:szCs w:val="21"/>
          <w:highlight w:val="none"/>
          <w:lang w:val="en-US" w:eastAsia="zh-CN"/>
        </w:rPr>
        <w:t>6</w:t>
      </w:r>
      <w:r>
        <w:rPr>
          <w:rFonts w:hint="eastAsia" w:ascii="宋体" w:hAnsi="宋体" w:cs="仿宋"/>
          <w:color w:val="auto"/>
          <w:szCs w:val="21"/>
          <w:highlight w:val="none"/>
        </w:rPr>
        <w:t>承包人所投材料品牌如在实际施工时因如停产或品牌取消无法购买，须无条件接受发包人在推荐品牌中选择材料品牌或其他同档次品牌。</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w:t>
      </w:r>
      <w:r>
        <w:rPr>
          <w:rFonts w:hint="eastAsia" w:ascii="宋体" w:hAnsi="宋体" w:cs="仿宋"/>
          <w:color w:val="auto"/>
          <w:szCs w:val="21"/>
          <w:highlight w:val="none"/>
          <w:lang w:val="en-US" w:eastAsia="zh-CN"/>
        </w:rPr>
        <w:t>7</w:t>
      </w:r>
      <w:r>
        <w:rPr>
          <w:rFonts w:hint="eastAsia" w:ascii="宋体" w:hAnsi="宋体" w:cs="仿宋"/>
          <w:color w:val="auto"/>
          <w:szCs w:val="21"/>
          <w:highlight w:val="none"/>
        </w:rPr>
        <w:t>材料、设备和工程的试验和检验的费用：按《建设工程质量管理条例》、《建设工程质量检测管理办法》、《房屋建筑工程和市政基础设施工程实行见证取样和送检的规定》等及省、市地方有关工程质量检测的有关规定和设计明确要求的检测频率、内容实施。对建筑材料、构件和建筑安装物进行一般鉴定、检查所发生的费用，包括建设工程质量见证取样检测费、建筑施工企业配合检测及自设试验室进行试验所耗用的材料和化学药品等费用均由承包人承担（发包人明确能承担检测的项目除外，桩基检测和基坑监测专项检测由发包人承担，需由承包人配合检测）。由于因承包人施工原因导致检测不合格的，则由承包人承担本次及重新检测、恢复费用。在施工过程中，监理单位有权按照相关标准、规范要求并结合工程实际，对工程原材料、工程实体进行平行检测，承包人必须积极配合监理单位的此项工作，如阻止干扰，发包人有权进行相应处罚。</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10.2</w:t>
      </w:r>
      <w:r>
        <w:rPr>
          <w:rFonts w:hint="eastAsia" w:ascii="宋体" w:hAnsi="宋体" w:cs="仿宋"/>
          <w:color w:val="auto"/>
          <w:szCs w:val="21"/>
          <w:highlight w:val="none"/>
          <w:lang w:val="en-US" w:eastAsia="zh-CN"/>
        </w:rPr>
        <w:t>8</w:t>
      </w:r>
      <w:r>
        <w:rPr>
          <w:rFonts w:hint="eastAsia" w:ascii="宋体" w:hAnsi="宋体" w:cs="仿宋"/>
          <w:color w:val="auto"/>
          <w:szCs w:val="21"/>
          <w:highlight w:val="none"/>
        </w:rPr>
        <w:t>针对内外墙面采用玻璃、涂料、墙地砖、花岗岩、铝板等（如有），承包人应根据相关施工墙体及洞口尺寸等相关技术资料、规范要求，及早考虑对局部墙体及洞口尺寸的调整（经设计单位认可）。对其他施工单位在完成施工后，承包人对交接部位进行打凿、重新砌筑、修补等工作内容，相关费用自行考虑，发包人不承担相关费用及责任。</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w:t>
      </w:r>
      <w:r>
        <w:rPr>
          <w:rFonts w:hint="eastAsia" w:ascii="宋体" w:hAnsi="宋体" w:cs="仿宋"/>
          <w:color w:val="auto"/>
          <w:szCs w:val="21"/>
          <w:highlight w:val="none"/>
          <w:lang w:val="en-US" w:eastAsia="zh-CN"/>
        </w:rPr>
        <w:t>29</w:t>
      </w:r>
      <w:r>
        <w:rPr>
          <w:rFonts w:hint="eastAsia" w:ascii="宋体" w:hAnsi="宋体" w:cs="仿宋"/>
          <w:color w:val="auto"/>
          <w:szCs w:val="21"/>
          <w:highlight w:val="none"/>
        </w:rPr>
        <w:t>在重要的专业工种、工序（如防水层、保温层、粉刷、地坪、门窗、幕墙、花岗岩饰面、墙地砖饰面、涂料、栏杆、设备与管道安装、部分结构施工工序等）施工前，承包人均应根据发包人及监理单位的要求先做施工样板，样板经设计单位、监理单位、发包人等共同确认后，承包人方能组织大面铺开施工，承包人做样板（含样板返工重做）所涉及的各项费用由承包人自行承担，发包人不再支付与此相关的任何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10.3</w:t>
      </w:r>
      <w:r>
        <w:rPr>
          <w:rFonts w:hint="eastAsia" w:ascii="宋体" w:hAnsi="宋体" w:cs="仿宋"/>
          <w:color w:val="auto"/>
          <w:szCs w:val="21"/>
          <w:highlight w:val="none"/>
          <w:lang w:val="en-US" w:eastAsia="zh-CN"/>
        </w:rPr>
        <w:t>0</w:t>
      </w:r>
      <w:r>
        <w:rPr>
          <w:rFonts w:hint="eastAsia" w:ascii="宋体" w:hAnsi="宋体" w:cs="仿宋"/>
          <w:color w:val="auto"/>
          <w:szCs w:val="21"/>
          <w:highlight w:val="none"/>
        </w:rPr>
        <w:t>本工程按智慧工地考虑，按照湖建发[2020]1号“智慧工地”建设管理系统严格执行，施工现场设置足够的摄像监控点并附带相关软件，并确保全工地覆盖，完成并网安监站系统，接入市智慧工地系统，同时接入湖州城市投资发展集团有限公司工程项目管理智控系统。工程现场需符合环保要求设置PM2.5、噪音等显示屏。上述费用由承包人自行承担，发包人不再支付与此相关的任何费用。</w:t>
      </w:r>
    </w:p>
    <w:p>
      <w:pPr>
        <w:spacing w:line="400" w:lineRule="exact"/>
        <w:ind w:firstLine="480" w:firstLineChars="200"/>
        <w:rPr>
          <w:rFonts w:ascii="宋体" w:hAnsi="宋体" w:cs="仿宋"/>
          <w:color w:val="auto"/>
          <w:szCs w:val="21"/>
          <w:highlight w:val="none"/>
        </w:rPr>
      </w:pPr>
      <w:r>
        <w:rPr>
          <w:rFonts w:hint="eastAsia" w:ascii="宋体" w:hAnsi="宋体" w:cs="仿宋"/>
          <w:color w:val="auto"/>
          <w:szCs w:val="21"/>
          <w:highlight w:val="none"/>
        </w:rPr>
        <w:t>10.3</w:t>
      </w:r>
      <w:r>
        <w:rPr>
          <w:rFonts w:hint="eastAsia" w:ascii="宋体" w:hAnsi="宋体" w:cs="仿宋"/>
          <w:color w:val="auto"/>
          <w:szCs w:val="21"/>
          <w:highlight w:val="none"/>
          <w:lang w:val="en-US" w:eastAsia="zh-CN"/>
        </w:rPr>
        <w:t>1</w:t>
      </w:r>
      <w:r>
        <w:rPr>
          <w:rFonts w:hint="eastAsia" w:ascii="宋体" w:hAnsi="宋体" w:cs="仿宋"/>
          <w:color w:val="auto"/>
          <w:szCs w:val="21"/>
          <w:highlight w:val="none"/>
        </w:rPr>
        <w:t>承包人需积极响应湖治气办[2021]14号文件精神，倡导绿色装修，室内装饰用涂料应符合《室内装饰装修材料有害物质限量》中相关标准，建筑内外墙涂饰全面使用水性涂料，全部采用低（无）VOCS含量产品。如工程需要，确需开展涉排放VOCS工序作业的，应报备主管部门，实施精细化管控。如出现违规使用原料和违规施工情况，视情节严重程度，发包人有权扣罚承包人5000-50000元/次，同时承包人须立即整改，如上述情况多次发生的，罚款加倍。如出现违纪违法行为，将移送相关部门处理。</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10.3</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承包人应充分考虑现场施工便道、场地硬化等措施，以及完工后所有临时建筑物、构筑物、建筑垃圾的拆除、清理及外运等，所需费用由承包人承担，发包人不再支付与此相关的费用。工地现场需符合湖州市文明施工及扬尘治理相关规定要求。</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10.3</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rPr>
        <w:t>承包人需足额支付民工工资，如因拖欠民工工资造成较坏社会影响（上访，劳动仲裁，斗殴等），每次扣款5万元，同时发包人有权上报建设部门列入不良记录。</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10.3</w:t>
      </w:r>
      <w:r>
        <w:rPr>
          <w:rFonts w:hint="eastAsia" w:ascii="宋体" w:hAnsi="宋体" w:cs="仿宋"/>
          <w:color w:val="auto"/>
          <w:szCs w:val="21"/>
          <w:highlight w:val="none"/>
          <w:lang w:val="en-US" w:eastAsia="zh-CN"/>
        </w:rPr>
        <w:t>4</w:t>
      </w:r>
      <w:r>
        <w:rPr>
          <w:rFonts w:hint="eastAsia" w:ascii="宋体" w:hAnsi="宋体" w:cs="仿宋"/>
          <w:color w:val="auto"/>
          <w:szCs w:val="21"/>
          <w:highlight w:val="none"/>
        </w:rPr>
        <w:t>承包人应在施工合同签订后及工程竣工阶段，尽快办理环保排污费等各项开工前的报批手续，及工程竣工阶段各种手续，所需费用由承包人承担，发包人不再支付与此相关的费用。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10.3</w:t>
      </w:r>
      <w:r>
        <w:rPr>
          <w:rFonts w:hint="eastAsia" w:ascii="宋体" w:hAnsi="宋体" w:cs="仿宋"/>
          <w:color w:val="auto"/>
          <w:szCs w:val="21"/>
          <w:highlight w:val="none"/>
          <w:lang w:val="en-US" w:eastAsia="zh-CN"/>
        </w:rPr>
        <w:t>5</w:t>
      </w:r>
      <w:r>
        <w:rPr>
          <w:rFonts w:hint="eastAsia" w:ascii="宋体" w:hAnsi="宋体" w:cs="仿宋"/>
          <w:color w:val="auto"/>
          <w:szCs w:val="21"/>
          <w:highlight w:val="none"/>
        </w:rPr>
        <w:t>承包人进场后在正式开工前，应自行与环卫部门签订施工期间建筑垃圾、生活垃圾的清运处置协议，所需费用由承包人承担，发包人不再支付与此相关的费用。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10.3</w:t>
      </w:r>
      <w:r>
        <w:rPr>
          <w:rFonts w:hint="eastAsia" w:ascii="宋体" w:hAnsi="宋体" w:cs="仿宋"/>
          <w:color w:val="auto"/>
          <w:szCs w:val="21"/>
          <w:highlight w:val="none"/>
          <w:lang w:val="en-US" w:eastAsia="zh-CN"/>
        </w:rPr>
        <w:t>6</w:t>
      </w:r>
      <w:r>
        <w:rPr>
          <w:rFonts w:hint="eastAsia" w:ascii="宋体" w:hAnsi="宋体" w:cs="仿宋"/>
          <w:color w:val="auto"/>
          <w:szCs w:val="21"/>
          <w:highlight w:val="none"/>
        </w:rPr>
        <w:t>为保证工程质量，本工程项目组主要成员在施工过程中不得随意更换，并在进场后按发包人要求将相关人员信息（含照片）悬挂于醒目位置。</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10.3</w:t>
      </w:r>
      <w:r>
        <w:rPr>
          <w:rFonts w:hint="eastAsia" w:ascii="宋体" w:hAnsi="宋体" w:cs="仿宋"/>
          <w:color w:val="auto"/>
          <w:szCs w:val="21"/>
          <w:highlight w:val="none"/>
          <w:lang w:val="en-US" w:eastAsia="zh-CN"/>
        </w:rPr>
        <w:t>7</w:t>
      </w:r>
      <w:r>
        <w:rPr>
          <w:rFonts w:hint="eastAsia" w:ascii="宋体" w:hAnsi="宋体" w:cs="仿宋"/>
          <w:color w:val="auto"/>
          <w:szCs w:val="21"/>
          <w:highlight w:val="none"/>
        </w:rPr>
        <w:t>承包人须提供</w:t>
      </w:r>
      <w:r>
        <w:rPr>
          <w:rFonts w:hint="eastAsia" w:ascii="宋体" w:hAnsi="宋体" w:cs="仿宋"/>
          <w:color w:val="auto"/>
          <w:szCs w:val="21"/>
          <w:highlight w:val="none"/>
          <w:lang w:eastAsia="zh-CN"/>
        </w:rPr>
        <w:t>八</w:t>
      </w:r>
      <w:r>
        <w:rPr>
          <w:rFonts w:hint="eastAsia" w:ascii="宋体" w:hAnsi="宋体" w:cs="仿宋"/>
          <w:color w:val="auto"/>
          <w:szCs w:val="21"/>
          <w:highlight w:val="none"/>
        </w:rPr>
        <w:t>间办公室（包括基本办公桌椅、资料柜、空调等）给发包人作临时现场办公室使用，所需费用由承包人承担，发包人不再支付与此相关的费用。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10.3</w:t>
      </w:r>
      <w:r>
        <w:rPr>
          <w:rFonts w:hint="eastAsia" w:ascii="宋体" w:hAnsi="宋体" w:cs="仿宋"/>
          <w:color w:val="auto"/>
          <w:szCs w:val="21"/>
          <w:highlight w:val="none"/>
          <w:lang w:val="en-US" w:eastAsia="zh-CN"/>
        </w:rPr>
        <w:t>8</w:t>
      </w:r>
      <w:r>
        <w:rPr>
          <w:rFonts w:hint="eastAsia" w:ascii="宋体" w:hAnsi="宋体" w:cs="仿宋"/>
          <w:color w:val="auto"/>
          <w:szCs w:val="21"/>
          <w:highlight w:val="none"/>
        </w:rPr>
        <w:t>承包人在与发包人签订施工合同的同时必须与发包人签订《工程建设廉政合同》。发包人将在本项目实施过程中全面开展“清廉工程”活动，承包人须按照发包人的要求，配合做好相关宣传、布置、接待等工作，所需费用由承包人承担，发包人不再支付与此相关的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w:t>
      </w:r>
      <w:r>
        <w:rPr>
          <w:rFonts w:hint="eastAsia" w:ascii="宋体" w:hAnsi="宋体" w:cs="仿宋"/>
          <w:color w:val="auto"/>
          <w:szCs w:val="21"/>
          <w:highlight w:val="none"/>
          <w:lang w:val="en-US" w:eastAsia="zh-CN"/>
        </w:rPr>
        <w:t>39</w:t>
      </w:r>
      <w:r>
        <w:rPr>
          <w:rFonts w:hint="eastAsia" w:ascii="宋体" w:hAnsi="宋体" w:cs="仿宋"/>
          <w:color w:val="auto"/>
          <w:szCs w:val="21"/>
          <w:highlight w:val="none"/>
        </w:rPr>
        <w:t>承包人开展设计工作时应充分考虑合同总工期的要求，合理安排设计工作进度，因设计评审或甲方另行要求进行的设计调整（包括多次调整及重大调整），承包人应无条件配合，承包人应按甲方要求提供评审文本及施工图纸的数量、涉及的评审专家费及由此产生的所有费用由承包人承担，发包人不再支付与此相关的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w:t>
      </w:r>
      <w:r>
        <w:rPr>
          <w:rFonts w:hint="eastAsia" w:ascii="宋体" w:hAnsi="宋体" w:cs="仿宋"/>
          <w:color w:val="auto"/>
          <w:szCs w:val="21"/>
          <w:highlight w:val="none"/>
          <w:lang w:val="en-US" w:eastAsia="zh-CN"/>
        </w:rPr>
        <w:t>0</w:t>
      </w:r>
      <w:r>
        <w:rPr>
          <w:rFonts w:hint="eastAsia" w:ascii="宋体" w:hAnsi="宋体" w:cs="仿宋"/>
          <w:color w:val="auto"/>
          <w:szCs w:val="21"/>
          <w:highlight w:val="none"/>
        </w:rPr>
        <w:t>承包人应按投标文件中承诺工期完成。如由于承包人原因而引起延期承诺工期，承包人则按每延期一天承担工程造价的万分之一的违约金。因发包人原因造成的工期延误，工期可以顺延，但承包人不得以此为由向发包人提出任何形式的索赔或补偿。由此导致的相关费用增加由承包人自行解决。</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w:t>
      </w:r>
      <w:r>
        <w:rPr>
          <w:rFonts w:hint="eastAsia" w:ascii="宋体" w:hAnsi="宋体" w:cs="仿宋"/>
          <w:color w:val="auto"/>
          <w:szCs w:val="21"/>
          <w:highlight w:val="none"/>
          <w:lang w:val="en-US" w:eastAsia="zh-CN"/>
        </w:rPr>
        <w:t>1</w:t>
      </w:r>
      <w:r>
        <w:rPr>
          <w:rFonts w:hint="eastAsia" w:ascii="宋体" w:hAnsi="宋体" w:cs="仿宋"/>
          <w:color w:val="auto"/>
          <w:szCs w:val="21"/>
          <w:highlight w:val="none"/>
        </w:rPr>
        <w:t>本工程为工程总承包招标，承包人承担本项目的工程总承包管理服务，由此产生费用由承包人承担，发包人不再支付与此相关的费用。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工程竣工后承包人须提供给使用方本工程详细的工程情况说明及设备使用说明书、设备维护保养手册，并且提供有关培训的安排，竣工后须对使用方指派的操作人员进行培训（理论+实际操作），培训所发生的费用由承包人承担，发包人不再支付与此相关的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rPr>
        <w:t>电梯经法定检测单位检测并经相关单位验收合格后，施工需要使用电梯的，由承包人负责对电梯轿厢、按钮面板等做好可靠防护措施，方可允许使用。使用电梯必须遵循电梯各项规范要求，配备专业司乘人员负责操作，涉及的人工工资等费用由承包人负责承担并及时支付，电梯使用阶段性结束后，承包人负责对电梯进行全面检查，产生的维护、维保养等费用由承包人承担并及时支付，电梯不得运输建筑材料，每发现一次罚款1000元，累计发现三次，电梯停止使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w:t>
      </w:r>
      <w:r>
        <w:rPr>
          <w:rFonts w:hint="eastAsia" w:ascii="宋体" w:hAnsi="宋体" w:cs="仿宋"/>
          <w:color w:val="auto"/>
          <w:szCs w:val="21"/>
          <w:highlight w:val="none"/>
          <w:lang w:val="en-US" w:eastAsia="zh-CN"/>
        </w:rPr>
        <w:t>4</w:t>
      </w:r>
      <w:r>
        <w:rPr>
          <w:rFonts w:hint="eastAsia" w:ascii="宋体" w:hAnsi="宋体" w:cs="仿宋"/>
          <w:color w:val="auto"/>
          <w:szCs w:val="21"/>
          <w:highlight w:val="none"/>
        </w:rPr>
        <w:t>电梯五方通讯系统、线缆、管理中心通讯用的交换机、远程监测等设备材料由承包人提供，并安装和调试。所有与设备的接线与调试均由承包人负责。交换机及通讯线的选型应充分考虑离管理中心最远处机房线路超长的影响，确保通讯质量可靠。</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w:t>
      </w:r>
      <w:r>
        <w:rPr>
          <w:rFonts w:hint="eastAsia" w:ascii="宋体" w:hAnsi="宋体" w:cs="仿宋"/>
          <w:color w:val="auto"/>
          <w:szCs w:val="21"/>
          <w:highlight w:val="none"/>
          <w:lang w:val="en-US" w:eastAsia="zh-CN"/>
        </w:rPr>
        <w:t>5</w:t>
      </w:r>
      <w:r>
        <w:rPr>
          <w:rFonts w:hint="eastAsia" w:ascii="宋体" w:hAnsi="宋体" w:cs="仿宋"/>
          <w:color w:val="auto"/>
          <w:szCs w:val="21"/>
          <w:highlight w:val="none"/>
        </w:rPr>
        <w:t>承包人选取电梯制造商、安装单位及维保单位符合中华人民共和国特种设备安全法。维保单位在湖州设有维保点并经当地技监部门认可。具备24小时服务和承担所有维修服务的能力。维修人员接到维修电话后须在0.5小时内赶到现场，并提供不间断的服务直到结束。维修点需提供足够的备件以适应维修需求。</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w:t>
      </w:r>
      <w:r>
        <w:rPr>
          <w:rFonts w:hint="eastAsia" w:ascii="宋体" w:hAnsi="宋体" w:cs="仿宋"/>
          <w:color w:val="auto"/>
          <w:szCs w:val="21"/>
          <w:highlight w:val="none"/>
          <w:lang w:val="en-US" w:eastAsia="zh-CN"/>
        </w:rPr>
        <w:t>6</w:t>
      </w:r>
      <w:r>
        <w:rPr>
          <w:rFonts w:hint="eastAsia" w:ascii="宋体" w:hAnsi="宋体" w:cs="仿宋"/>
          <w:color w:val="auto"/>
          <w:szCs w:val="21"/>
          <w:highlight w:val="none"/>
        </w:rPr>
        <w:t>承包人需对整套电梯提供至少24个月的产品质保期及免费维修和保养时间，产品质保期及免费维修和保养的起始时间以本项目整体竣工验收合格之日起计算。</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w:t>
      </w:r>
      <w:r>
        <w:rPr>
          <w:rFonts w:hint="eastAsia" w:ascii="宋体" w:hAnsi="宋体" w:cs="仿宋"/>
          <w:color w:val="auto"/>
          <w:szCs w:val="21"/>
          <w:highlight w:val="none"/>
          <w:lang w:val="en-US" w:eastAsia="zh-CN"/>
        </w:rPr>
        <w:t>7</w:t>
      </w:r>
      <w:r>
        <w:rPr>
          <w:rFonts w:hint="eastAsia" w:ascii="宋体" w:hAnsi="宋体" w:cs="仿宋"/>
          <w:color w:val="auto"/>
          <w:szCs w:val="21"/>
          <w:highlight w:val="none"/>
        </w:rPr>
        <w:t>承包人需在质保期内的工作包括对所有电梯每月至少2次的常规检查、调整和润滑。具体的操作程序和内容在投标时说明。</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10.4</w:t>
      </w:r>
      <w:r>
        <w:rPr>
          <w:rFonts w:hint="eastAsia" w:ascii="宋体" w:hAnsi="宋体" w:cs="仿宋"/>
          <w:color w:val="auto"/>
          <w:szCs w:val="21"/>
          <w:highlight w:val="none"/>
          <w:lang w:val="en-US" w:eastAsia="zh-CN"/>
        </w:rPr>
        <w:t>8</w:t>
      </w:r>
      <w:r>
        <w:rPr>
          <w:rFonts w:hint="eastAsia" w:ascii="宋体" w:hAnsi="宋体" w:cs="仿宋"/>
          <w:color w:val="auto"/>
          <w:szCs w:val="21"/>
          <w:highlight w:val="none"/>
        </w:rPr>
        <w:t>质保期内承包人自行付费，负责修理和替换任何由于设备自身的质量问题造成的损坏及故障，并承担规定的年度检验费用。</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w:t>
      </w:r>
      <w:r>
        <w:rPr>
          <w:rFonts w:hint="eastAsia" w:ascii="宋体" w:hAnsi="宋体" w:cs="仿宋"/>
          <w:color w:val="auto"/>
          <w:szCs w:val="21"/>
          <w:highlight w:val="none"/>
          <w:lang w:val="en-US" w:eastAsia="zh-CN"/>
        </w:rPr>
        <w:t>49</w:t>
      </w:r>
      <w:r>
        <w:rPr>
          <w:rFonts w:hint="eastAsia" w:ascii="宋体" w:hAnsi="宋体" w:cs="仿宋"/>
          <w:color w:val="auto"/>
          <w:szCs w:val="21"/>
          <w:highlight w:val="none"/>
        </w:rPr>
        <w:t>承包人在质保期结束前一个月内，由专业工程师对电梯进行另一次测试，任何故障须由承包人自费解决并取得发包人的同意。</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10.5</w:t>
      </w:r>
      <w:r>
        <w:rPr>
          <w:rFonts w:hint="eastAsia" w:ascii="宋体" w:hAnsi="宋体" w:cs="仿宋"/>
          <w:color w:val="auto"/>
          <w:szCs w:val="21"/>
          <w:highlight w:val="none"/>
          <w:lang w:val="en-US" w:eastAsia="zh-CN"/>
        </w:rPr>
        <w:t>0</w:t>
      </w:r>
      <w:r>
        <w:rPr>
          <w:rFonts w:hint="eastAsia" w:ascii="宋体" w:hAnsi="宋体" w:cs="仿宋"/>
          <w:color w:val="auto"/>
          <w:szCs w:val="21"/>
          <w:highlight w:val="none"/>
        </w:rPr>
        <w:t>电梯修好后，承包人一式两份报告给发包人，包括故障原因，解决措施，完成修理所费时间及恢复正常运行日期。</w:t>
      </w:r>
    </w:p>
    <w:p>
      <w:pPr>
        <w:spacing w:line="46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w:t>
      </w:r>
      <w:r>
        <w:rPr>
          <w:rFonts w:hint="eastAsia" w:ascii="宋体" w:hAnsi="宋体" w:cs="仿宋"/>
          <w:color w:val="auto"/>
          <w:szCs w:val="21"/>
          <w:highlight w:val="none"/>
          <w:lang w:val="en-US" w:eastAsia="zh-CN"/>
        </w:rPr>
        <w:t>51</w:t>
      </w:r>
      <w:r>
        <w:rPr>
          <w:rFonts w:hint="eastAsia" w:ascii="宋体" w:hAnsi="宋体" w:cs="仿宋"/>
          <w:color w:val="auto"/>
          <w:szCs w:val="21"/>
          <w:highlight w:val="none"/>
        </w:rPr>
        <w:t>本项目含装配式混凝土结构，装配式混凝土构件在生产过程中需由承包人派驻厂人员对预制构件进行隐蔽工程验收，并形成隐蔽工程验收记录，且留存好相应影像资料。监理需对验收记录进行签字认可。预制构件进场时需提供原材料质量证明文件、复验报告及相关的性能检验报告。装配式混凝土构件到现场后，需经监理、发包人确认后方可施工。</w:t>
      </w:r>
    </w:p>
    <w:p>
      <w:pPr>
        <w:spacing w:line="46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10.5</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装配式混凝土结构的质量、施工、资料、验收需符合项目所在地主管部门的规范要求。如因承包人原因造成装配式混凝土构件无法通过主管部门验收的，则由承包人承担一切相应责任及经济损失，并做到无条件返工。</w:t>
      </w:r>
    </w:p>
    <w:p>
      <w:pPr>
        <w:spacing w:line="44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10.5</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rPr>
        <w:t>装配式混凝土构件堆场由承包人在场地范围内自行考虑，地下室顶板上不得堆放。</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10.5</w:t>
      </w:r>
      <w:r>
        <w:rPr>
          <w:rFonts w:hint="eastAsia" w:ascii="宋体" w:hAnsi="宋体" w:cs="仿宋"/>
          <w:color w:val="auto"/>
          <w:szCs w:val="21"/>
          <w:highlight w:val="none"/>
          <w:lang w:val="en-US" w:eastAsia="zh-CN"/>
        </w:rPr>
        <w:t>4</w:t>
      </w:r>
      <w:r>
        <w:rPr>
          <w:rFonts w:hint="eastAsia" w:ascii="宋体" w:hAnsi="宋体" w:cs="仿宋"/>
          <w:color w:val="auto"/>
          <w:szCs w:val="21"/>
          <w:highlight w:val="none"/>
        </w:rPr>
        <w:t>本项目中的绿化工程养护期两年（自绿化工程通过验收后开始），今后在二年养护实施中，如承包人不按要求养护，其费用发包人有权从中扣除（养护费用不少于综合单价的10%。其中第一年养护费为总养护费用的60%，第二年养护费为总养护费用的40%），另行安排人员进场实施养护。另外，承包人需与物业办好苗木清点、移交手续。</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10.5</w:t>
      </w:r>
      <w:r>
        <w:rPr>
          <w:rFonts w:hint="eastAsia" w:ascii="宋体" w:hAnsi="宋体" w:cs="仿宋"/>
          <w:color w:val="auto"/>
          <w:szCs w:val="21"/>
          <w:highlight w:val="none"/>
          <w:lang w:val="en-US" w:eastAsia="zh-CN"/>
        </w:rPr>
        <w:t>5</w:t>
      </w:r>
      <w:r>
        <w:rPr>
          <w:rFonts w:hint="eastAsia" w:ascii="宋体" w:hAnsi="宋体" w:cs="仿宋"/>
          <w:color w:val="auto"/>
          <w:szCs w:val="21"/>
          <w:highlight w:val="none"/>
        </w:rPr>
        <w:t>如发包人要求承包人提前移交绿化工程，养护费用在最终财务结算时按竣工验收合格后的实际养护月份计取（养护费折算成每月养护费）。不足二年的月份由发包人按实扣除。</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10.5</w:t>
      </w:r>
      <w:r>
        <w:rPr>
          <w:rFonts w:hint="eastAsia" w:ascii="宋体" w:hAnsi="宋体" w:cs="仿宋"/>
          <w:color w:val="auto"/>
          <w:szCs w:val="21"/>
          <w:highlight w:val="none"/>
          <w:lang w:val="en-US" w:eastAsia="zh-CN"/>
        </w:rPr>
        <w:t>6</w:t>
      </w:r>
      <w:r>
        <w:rPr>
          <w:rFonts w:hint="eastAsia" w:ascii="宋体" w:hAnsi="宋体" w:cs="仿宋"/>
          <w:color w:val="auto"/>
          <w:szCs w:val="21"/>
          <w:highlight w:val="none"/>
        </w:rPr>
        <w:t xml:space="preserve">为保证工程景观效果，所需的苗木均需精品苗，严禁截杆苗、病虫害苗、偏冠苗、要求树干挺拔，树形优美，无论树径、高度、 冠幅及树形均符合设计规定要求 进场前均及时通知监理，发包人当场检验，通过验收符合要求方可进场种植，同时注意修剪程度，确保主杆保留，分枝适当修剪，保证整体树形完整美观，并须经监理、发包人确认。本项目不允许采用杀头苗，若因政策规定运输不方便等原因加大修剪程度的，应经监理、发包人认可后方可实施。若出现未经验收或未通过验收私自种植的苗木，发包人有权拒绝计量，产生损失有承包人自行负责。未验收通过的苗木应自行退场处理，产生的费用由承包人自行承担。              </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10.5</w:t>
      </w:r>
      <w:r>
        <w:rPr>
          <w:rFonts w:hint="eastAsia" w:ascii="宋体" w:hAnsi="宋体" w:cs="仿宋"/>
          <w:color w:val="auto"/>
          <w:szCs w:val="21"/>
          <w:highlight w:val="none"/>
          <w:lang w:val="en-US" w:eastAsia="zh-CN"/>
        </w:rPr>
        <w:t>7</w:t>
      </w:r>
      <w:r>
        <w:rPr>
          <w:rFonts w:hint="eastAsia" w:ascii="宋体" w:hAnsi="宋体" w:cs="仿宋"/>
          <w:color w:val="auto"/>
          <w:szCs w:val="21"/>
          <w:highlight w:val="none"/>
        </w:rPr>
        <w:t>本工程如发包人认为重要的材料或苗木需要提供样品或实景照（苗木）的，承包人应积极配合，提供样品或实景照（苗木）报监理，发包人确认，为此所需时间的承包人应综合考虑。不得以样品得不到及时确认等理由延误工期。如发生工期延误，后果由承包人承担。后期实施应符合得样品或实景照（苗木）标准。</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10.5</w:t>
      </w:r>
      <w:r>
        <w:rPr>
          <w:rFonts w:hint="eastAsia" w:ascii="宋体" w:hAnsi="宋体" w:cs="仿宋"/>
          <w:color w:val="auto"/>
          <w:szCs w:val="21"/>
          <w:highlight w:val="none"/>
          <w:lang w:val="en-US" w:eastAsia="zh-CN"/>
        </w:rPr>
        <w:t>8</w:t>
      </w:r>
      <w:r>
        <w:rPr>
          <w:rFonts w:hint="eastAsia" w:ascii="宋体" w:hAnsi="宋体" w:cs="仿宋"/>
          <w:color w:val="auto"/>
          <w:szCs w:val="21"/>
          <w:highlight w:val="none"/>
        </w:rPr>
        <w:t>承包人必须做好养护期内的死树、死苗的及时更换工作，若在结算送审时，还没更换完成，将在决算时扣除相应金额（乔木主干分叉以上发芽算为存活；苗木明显已干枯、死亡，但主干分叉以下发芽、刮树皮泛青、折断树枝有韧性等均视为苗木死亡。需及时更换）。</w:t>
      </w:r>
    </w:p>
    <w:p>
      <w:pPr>
        <w:spacing w:line="400" w:lineRule="exact"/>
        <w:ind w:firstLine="480" w:firstLineChars="200"/>
        <w:rPr>
          <w:rFonts w:hint="eastAsia" w:ascii="宋体" w:hAnsi="宋体" w:cs="仿宋"/>
          <w:color w:val="auto"/>
          <w:szCs w:val="21"/>
          <w:highlight w:val="none"/>
          <w:lang w:val="zh-CN"/>
        </w:rPr>
      </w:pPr>
      <w:r>
        <w:rPr>
          <w:rFonts w:hint="eastAsia" w:ascii="宋体" w:hAnsi="宋体" w:cs="仿宋"/>
          <w:color w:val="auto"/>
          <w:szCs w:val="21"/>
          <w:highlight w:val="none"/>
        </w:rPr>
        <w:t>10.</w:t>
      </w:r>
      <w:r>
        <w:rPr>
          <w:rFonts w:hint="eastAsia" w:ascii="宋体" w:hAnsi="宋体" w:cs="仿宋"/>
          <w:color w:val="auto"/>
          <w:szCs w:val="21"/>
          <w:highlight w:val="none"/>
          <w:lang w:val="en-US" w:eastAsia="zh-CN"/>
        </w:rPr>
        <w:t>59</w:t>
      </w:r>
      <w:r>
        <w:rPr>
          <w:rFonts w:hint="eastAsia" w:ascii="宋体" w:hAnsi="宋体" w:cs="仿宋"/>
          <w:color w:val="auto"/>
          <w:szCs w:val="21"/>
          <w:highlight w:val="none"/>
          <w:lang w:val="zh-CN"/>
        </w:rPr>
        <w:t>若监理人、发包人认为承包人在质量、安全、文明施工等方面存在缺陷或存在其他未履约情况的，可以责令整改，并少付、缓付甚至止付工程款，直至承包人整改完成为止。由此引起的后果由承包人承担。</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10.6</w:t>
      </w:r>
      <w:r>
        <w:rPr>
          <w:rFonts w:hint="eastAsia" w:ascii="宋体" w:hAnsi="宋体" w:cs="仿宋"/>
          <w:color w:val="auto"/>
          <w:szCs w:val="21"/>
          <w:highlight w:val="none"/>
          <w:lang w:val="en-US" w:eastAsia="zh-CN"/>
        </w:rPr>
        <w:t>0</w:t>
      </w:r>
      <w:r>
        <w:rPr>
          <w:rFonts w:hint="eastAsia" w:ascii="宋体" w:hAnsi="宋体" w:cs="仿宋"/>
          <w:color w:val="auto"/>
          <w:szCs w:val="21"/>
          <w:highlight w:val="none"/>
        </w:rPr>
        <w:t>工程履约保证金，承包人必须在中标通知书发出后25日内提交发包人，否则每延延迟一天扣罚2000元。</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10.6</w:t>
      </w:r>
      <w:r>
        <w:rPr>
          <w:rFonts w:hint="eastAsia" w:ascii="宋体" w:hAnsi="宋体" w:cs="仿宋"/>
          <w:color w:val="auto"/>
          <w:szCs w:val="21"/>
          <w:highlight w:val="none"/>
          <w:lang w:val="en-US" w:eastAsia="zh-CN"/>
        </w:rPr>
        <w:t>1</w:t>
      </w:r>
      <w:r>
        <w:rPr>
          <w:rFonts w:hint="eastAsia" w:ascii="宋体" w:hAnsi="宋体" w:cs="仿宋"/>
          <w:color w:val="auto"/>
          <w:szCs w:val="21"/>
          <w:highlight w:val="none"/>
        </w:rPr>
        <w:t>合同签订过程中，承包人在核对发包人的合同电子文档或书面文档时，不得擅自修改，应另行标注。如不经发包人同意直接修改的，每发现一处扣罚2000元，并无条件进行改正。情节恶劣的取消中标资格。</w:t>
      </w:r>
    </w:p>
    <w:p>
      <w:pPr>
        <w:pStyle w:val="51"/>
        <w:rPr>
          <w:rFonts w:hint="eastAsia"/>
          <w:color w:val="auto"/>
          <w:highlight w:val="none"/>
        </w:rPr>
      </w:pPr>
    </w:p>
    <w:p>
      <w:pPr>
        <w:pStyle w:val="51"/>
        <w:rPr>
          <w:color w:val="auto"/>
          <w:highlight w:val="none"/>
        </w:rPr>
      </w:pPr>
      <w:r>
        <w:rPr>
          <w:rFonts w:hint="eastAsia" w:ascii="宋体" w:hAnsi="宋体" w:cs="仿宋"/>
          <w:color w:val="auto"/>
          <w:szCs w:val="21"/>
          <w:highlight w:val="none"/>
        </w:rPr>
        <w:t xml:space="preserve">      </w:t>
      </w:r>
    </w:p>
    <w:p>
      <w:pPr>
        <w:pStyle w:val="51"/>
        <w:rPr>
          <w:rFonts w:hint="eastAsia" w:ascii="宋体" w:hAnsi="宋体" w:cs="仿宋"/>
          <w:color w:val="auto"/>
          <w:szCs w:val="21"/>
          <w:highlight w:val="none"/>
        </w:rPr>
      </w:pPr>
    </w:p>
    <w:bookmarkEnd w:id="133"/>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10.6</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对招投标过程中, 发生投标单位出现恶意质疑或投诉行为: 捏造事实伪造材料进行投诉、未按要求方式投诉、无实质证据恶意缠诉或在网络等媒体上进行失实报道的情形发生。如恶意投诉属实，招标单位所属各单位有权对该投标单位在各单位所属项目的投标中业主评价分按零分处理，情节恶劣的有权拒绝该投标单位在各单位所属项目中的投标。</w:t>
      </w:r>
    </w:p>
    <w:p>
      <w:pPr>
        <w:spacing w:line="400" w:lineRule="exact"/>
        <w:ind w:firstLine="480" w:firstLineChars="200"/>
        <w:rPr>
          <w:rFonts w:hint="eastAsia" w:ascii="宋体" w:hAnsi="宋体" w:cs="仿宋"/>
          <w:color w:val="auto"/>
          <w:szCs w:val="21"/>
          <w:highlight w:val="none"/>
        </w:rPr>
      </w:pPr>
      <w:r>
        <w:rPr>
          <w:rFonts w:hint="eastAsia" w:ascii="宋体" w:hAnsi="宋体" w:cs="仿宋"/>
          <w:color w:val="auto"/>
          <w:szCs w:val="21"/>
          <w:highlight w:val="none"/>
        </w:rPr>
        <w:t>10.6</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rPr>
        <w:t>中标单位须按甲方的要求完成BIM模型（只包含地下室部分）（必须满足甲方运营要求，能在同一平台上满足数据共享）；在施工各阶段性及时加载相应数据和信息；BIM模型数据源，可为施工、运营、维护提供系统的可看、可查、可用的竣工信息、具体位置、内部构造等信息；满足建设部《建筑信息模型应用统一标准》；对其他参建单位的BIM模型进行完善和接入；项目竣工后提供1套BIM软件供业主使用，同时为业主培训2名BIM工程师，以上费用计入投标总价。</w:t>
      </w:r>
    </w:p>
    <w:p>
      <w:pPr>
        <w:spacing w:line="400" w:lineRule="exact"/>
        <w:ind w:firstLine="480" w:firstLineChars="200"/>
        <w:rPr>
          <w:rFonts w:hint="eastAsia" w:ascii="宋体" w:hAnsi="宋体" w:cs="仿宋"/>
          <w:color w:val="auto"/>
          <w:szCs w:val="21"/>
          <w:highlight w:val="none"/>
        </w:rPr>
      </w:pPr>
    </w:p>
    <w:p>
      <w:pPr>
        <w:pStyle w:val="51"/>
        <w:rPr>
          <w:rFonts w:hint="eastAsia"/>
          <w:color w:val="auto"/>
          <w:highlight w:val="none"/>
        </w:rPr>
      </w:pPr>
    </w:p>
    <w:p>
      <w:pPr>
        <w:pStyle w:val="51"/>
        <w:rPr>
          <w:color w:val="auto"/>
          <w:highlight w:val="none"/>
        </w:rPr>
      </w:pPr>
      <w:r>
        <w:rPr>
          <w:rFonts w:hint="eastAsia" w:ascii="宋体" w:hAnsi="宋体" w:cs="仿宋"/>
          <w:color w:val="auto"/>
          <w:szCs w:val="21"/>
          <w:highlight w:val="none"/>
        </w:rPr>
        <w:t>10</w:t>
      </w:r>
    </w:p>
    <w:p>
      <w:pPr>
        <w:pStyle w:val="51"/>
        <w:rPr>
          <w:rFonts w:hint="eastAsia"/>
          <w:color w:val="auto"/>
          <w:highlight w:val="none"/>
        </w:rPr>
      </w:pPr>
    </w:p>
    <w:p>
      <w:pPr>
        <w:rPr>
          <w:rFonts w:ascii="宋体" w:hAnsi="宋体" w:cs="宋体"/>
          <w:color w:val="auto"/>
          <w:highlight w:val="none"/>
        </w:rPr>
      </w:pPr>
      <w:r>
        <w:rPr>
          <w:rFonts w:hint="eastAsia" w:ascii="宋体" w:hAnsi="宋体" w:cs="宋体"/>
          <w:color w:val="auto"/>
          <w:highlight w:val="none"/>
        </w:rPr>
        <w:br w:type="page"/>
      </w:r>
    </w:p>
    <w:p>
      <w:pPr>
        <w:jc w:val="center"/>
        <w:outlineLvl w:val="0"/>
        <w:rPr>
          <w:rFonts w:ascii="宋体" w:hAnsi="宋体" w:cs="宋体"/>
          <w:b/>
          <w:bCs/>
          <w:color w:val="auto"/>
          <w:kern w:val="44"/>
          <w:sz w:val="44"/>
          <w:szCs w:val="44"/>
          <w:highlight w:val="none"/>
        </w:rPr>
      </w:pPr>
      <w:bookmarkStart w:id="134" w:name="_Toc2520"/>
      <w:bookmarkStart w:id="135" w:name="_Toc45697243"/>
      <w:bookmarkStart w:id="136" w:name="_Toc67589035"/>
      <w:r>
        <w:rPr>
          <w:rFonts w:hint="eastAsia" w:ascii="宋体" w:hAnsi="宋体" w:cs="宋体"/>
          <w:b/>
          <w:bCs/>
          <w:color w:val="auto"/>
          <w:kern w:val="44"/>
          <w:sz w:val="44"/>
          <w:szCs w:val="44"/>
          <w:highlight w:val="none"/>
        </w:rPr>
        <w:t>第三章 评标办法</w:t>
      </w:r>
      <w:bookmarkEnd w:id="134"/>
    </w:p>
    <w:p>
      <w:pPr>
        <w:spacing w:line="360" w:lineRule="auto"/>
        <w:ind w:firstLine="570"/>
        <w:rPr>
          <w:rFonts w:ascii="宋体" w:hAnsi="宋体" w:cs="宋体"/>
          <w:bCs/>
          <w:color w:val="auto"/>
          <w:highlight w:val="none"/>
        </w:rPr>
      </w:pPr>
      <w:r>
        <w:rPr>
          <w:rFonts w:hint="eastAsia" w:ascii="宋体" w:hAnsi="宋体" w:cs="宋体"/>
          <w:bCs/>
          <w:color w:val="auto"/>
          <w:highlight w:val="none"/>
        </w:rPr>
        <w:t>工程总承包综合评估法应先对投标人进行资格审查，已通过资格审查的，采用百分制记分法对投标人分别进行技术资信、商务报价评分，按总分从高到低进行排序，并按照排序推荐中标候选人。评标应遵循公平、公正、科学、择优的原则。</w:t>
      </w:r>
    </w:p>
    <w:p>
      <w:pPr>
        <w:spacing w:line="360" w:lineRule="auto"/>
        <w:ind w:firstLine="482" w:firstLineChars="200"/>
        <w:rPr>
          <w:rFonts w:ascii="宋体" w:hAnsi="宋体" w:cs="宋体"/>
          <w:color w:val="auto"/>
          <w:highlight w:val="none"/>
        </w:rPr>
      </w:pPr>
      <w:r>
        <w:rPr>
          <w:rFonts w:hint="eastAsia" w:ascii="宋体" w:hAnsi="宋体" w:cs="宋体"/>
          <w:b/>
          <w:color w:val="auto"/>
          <w:highlight w:val="none"/>
        </w:rPr>
        <w:t>总分</w:t>
      </w:r>
      <w:r>
        <w:rPr>
          <w:rFonts w:hint="eastAsia" w:ascii="宋体" w:hAnsi="宋体" w:cs="宋体"/>
          <w:color w:val="auto"/>
          <w:highlight w:val="none"/>
        </w:rPr>
        <w:t>（100分）：技术标评分40分,资信标评分10分,商务标评分50分之和。</w:t>
      </w:r>
    </w:p>
    <w:p>
      <w:pPr>
        <w:pStyle w:val="44"/>
        <w:spacing w:line="360" w:lineRule="auto"/>
        <w:ind w:firstLine="480" w:firstLineChars="200"/>
        <w:rPr>
          <w:rFonts w:cs="宋体"/>
          <w:color w:val="auto"/>
          <w:szCs w:val="24"/>
          <w:highlight w:val="none"/>
          <w:lang w:val="en-US"/>
        </w:rPr>
      </w:pPr>
      <w:r>
        <w:rPr>
          <w:rFonts w:hint="eastAsia" w:cs="宋体"/>
          <w:color w:val="auto"/>
          <w:szCs w:val="24"/>
          <w:highlight w:val="none"/>
          <w:lang w:val="en-US"/>
        </w:rPr>
        <w:t>评标工作由招标人依法组建的评标委员会负责，评标委员会的组建见投标人须知前附表6.1.1。评标委员会可以书面形式要求投标人对投标文件中含义不明确、对同类问题表述不一致或者有明显文字和计算错误的内容作必要的澄清、说明或者补正。澄清、说明或者补正应以书面形式进行并不得超出投标文件的范围或者改变投标文件的实质性内容。</w:t>
      </w:r>
    </w:p>
    <w:p>
      <w:pPr>
        <w:pStyle w:val="59"/>
        <w:numPr>
          <w:ilvl w:val="0"/>
          <w:numId w:val="17"/>
        </w:numPr>
        <w:snapToGrid w:val="0"/>
        <w:spacing w:line="360" w:lineRule="auto"/>
        <w:ind w:left="0" w:firstLine="482" w:firstLineChars="200"/>
        <w:outlineLvl w:val="1"/>
        <w:rPr>
          <w:rFonts w:ascii="宋体" w:hAnsi="宋体" w:cs="宋体"/>
          <w:color w:val="auto"/>
          <w:highlight w:val="none"/>
        </w:rPr>
      </w:pPr>
      <w:bookmarkStart w:id="137" w:name="_Toc27840"/>
      <w:r>
        <w:rPr>
          <w:rFonts w:hint="eastAsia" w:ascii="宋体" w:hAnsi="宋体" w:cs="宋体"/>
          <w:b/>
          <w:color w:val="auto"/>
          <w:highlight w:val="none"/>
        </w:rPr>
        <w:t>评标程序</w:t>
      </w:r>
      <w:bookmarkEnd w:id="137"/>
    </w:p>
    <w:p>
      <w:pPr>
        <w:pStyle w:val="46"/>
        <w:spacing w:line="360" w:lineRule="auto"/>
        <w:ind w:firstLine="480"/>
        <w:rPr>
          <w:rFonts w:ascii="宋体" w:hAnsi="宋体" w:cs="宋体"/>
          <w:color w:val="auto"/>
          <w:highlight w:val="none"/>
        </w:rPr>
      </w:pPr>
      <w:r>
        <w:rPr>
          <w:rFonts w:hint="eastAsia" w:ascii="宋体" w:hAnsi="宋体" w:cs="宋体"/>
          <w:color w:val="auto"/>
          <w:highlight w:val="none"/>
        </w:rPr>
        <w:t>1.熟悉招标文件和评标办法；</w:t>
      </w:r>
    </w:p>
    <w:p>
      <w:pPr>
        <w:pStyle w:val="46"/>
        <w:spacing w:line="360" w:lineRule="auto"/>
        <w:ind w:firstLine="480"/>
        <w:rPr>
          <w:rFonts w:ascii="宋体" w:hAnsi="宋体" w:cs="宋体"/>
          <w:color w:val="auto"/>
          <w:highlight w:val="none"/>
        </w:rPr>
      </w:pPr>
      <w:r>
        <w:rPr>
          <w:rFonts w:hint="eastAsia" w:ascii="宋体" w:hAnsi="宋体" w:cs="宋体"/>
          <w:color w:val="auto"/>
          <w:highlight w:val="none"/>
        </w:rPr>
        <w:t>2.符合性评审；</w:t>
      </w:r>
    </w:p>
    <w:p>
      <w:pPr>
        <w:pStyle w:val="46"/>
        <w:spacing w:line="360" w:lineRule="auto"/>
        <w:ind w:firstLine="480"/>
        <w:rPr>
          <w:rFonts w:ascii="宋体" w:hAnsi="宋体" w:cs="宋体"/>
          <w:color w:val="auto"/>
          <w:highlight w:val="none"/>
        </w:rPr>
      </w:pPr>
      <w:r>
        <w:rPr>
          <w:rFonts w:hint="eastAsia" w:ascii="宋体" w:hAnsi="宋体" w:cs="宋体"/>
          <w:color w:val="auto"/>
          <w:highlight w:val="none"/>
        </w:rPr>
        <w:t>3.技术标评审；</w:t>
      </w:r>
    </w:p>
    <w:p>
      <w:pPr>
        <w:pStyle w:val="46"/>
        <w:spacing w:line="360" w:lineRule="auto"/>
        <w:ind w:firstLine="480"/>
        <w:rPr>
          <w:rFonts w:ascii="宋体" w:hAnsi="宋体" w:cs="宋体"/>
          <w:color w:val="auto"/>
          <w:highlight w:val="none"/>
        </w:rPr>
      </w:pPr>
      <w:r>
        <w:rPr>
          <w:rFonts w:hint="eastAsia" w:ascii="宋体" w:hAnsi="宋体" w:cs="宋体"/>
          <w:color w:val="auto"/>
          <w:highlight w:val="none"/>
        </w:rPr>
        <w:t>4.资信标评审；</w:t>
      </w:r>
    </w:p>
    <w:p>
      <w:pPr>
        <w:pStyle w:val="46"/>
        <w:spacing w:line="360" w:lineRule="auto"/>
        <w:ind w:firstLine="480"/>
        <w:rPr>
          <w:rFonts w:ascii="宋体" w:hAnsi="宋体" w:cs="宋体"/>
          <w:color w:val="auto"/>
          <w:highlight w:val="none"/>
        </w:rPr>
      </w:pPr>
      <w:r>
        <w:rPr>
          <w:rFonts w:hint="eastAsia" w:ascii="宋体" w:hAnsi="宋体" w:cs="宋体"/>
          <w:color w:val="auto"/>
          <w:highlight w:val="none"/>
        </w:rPr>
        <w:t>5.商务标评审；</w:t>
      </w:r>
    </w:p>
    <w:p>
      <w:pPr>
        <w:pStyle w:val="46"/>
        <w:spacing w:line="360" w:lineRule="auto"/>
        <w:ind w:firstLine="480"/>
        <w:rPr>
          <w:rFonts w:ascii="宋体" w:hAnsi="宋体" w:cs="宋体"/>
          <w:color w:val="auto"/>
          <w:highlight w:val="none"/>
        </w:rPr>
      </w:pPr>
      <w:r>
        <w:rPr>
          <w:rFonts w:hint="eastAsia" w:ascii="宋体" w:hAnsi="宋体" w:cs="宋体"/>
          <w:color w:val="auto"/>
          <w:highlight w:val="none"/>
        </w:rPr>
        <w:t>6.对投标文件进行综合评分、排序，推荐中标候选人；</w:t>
      </w:r>
    </w:p>
    <w:p>
      <w:pPr>
        <w:pStyle w:val="46"/>
        <w:spacing w:line="360" w:lineRule="auto"/>
        <w:ind w:firstLine="480"/>
        <w:rPr>
          <w:rFonts w:ascii="宋体" w:hAnsi="宋体" w:cs="宋体"/>
          <w:color w:val="auto"/>
          <w:highlight w:val="none"/>
        </w:rPr>
      </w:pPr>
      <w:r>
        <w:rPr>
          <w:rFonts w:hint="eastAsia" w:ascii="宋体" w:hAnsi="宋体" w:cs="宋体"/>
          <w:color w:val="auto"/>
          <w:highlight w:val="none"/>
        </w:rPr>
        <w:t>7.出具评标报告。</w:t>
      </w:r>
    </w:p>
    <w:p>
      <w:pPr>
        <w:pStyle w:val="59"/>
        <w:numPr>
          <w:ilvl w:val="0"/>
          <w:numId w:val="17"/>
        </w:numPr>
        <w:snapToGrid w:val="0"/>
        <w:spacing w:line="360" w:lineRule="auto"/>
        <w:ind w:left="0" w:firstLine="482" w:firstLineChars="200"/>
        <w:outlineLvl w:val="1"/>
        <w:rPr>
          <w:rFonts w:ascii="宋体" w:hAnsi="宋体" w:cs="宋体"/>
          <w:b/>
          <w:color w:val="auto"/>
          <w:highlight w:val="none"/>
        </w:rPr>
      </w:pPr>
      <w:bookmarkStart w:id="138" w:name="_Toc11580"/>
      <w:r>
        <w:rPr>
          <w:rFonts w:hint="eastAsia" w:ascii="宋体" w:hAnsi="宋体" w:cs="宋体"/>
          <w:b/>
          <w:color w:val="auto"/>
          <w:highlight w:val="none"/>
        </w:rPr>
        <w:t>评审细则</w:t>
      </w:r>
      <w:bookmarkEnd w:id="138"/>
    </w:p>
    <w:p>
      <w:pPr>
        <w:spacing w:line="360" w:lineRule="auto"/>
        <w:ind w:left="562" w:firstLine="361" w:firstLineChars="150"/>
        <w:outlineLvl w:val="2"/>
        <w:rPr>
          <w:rFonts w:ascii="宋体" w:hAnsi="宋体" w:cs="宋体"/>
          <w:b/>
          <w:color w:val="auto"/>
          <w:highlight w:val="none"/>
        </w:rPr>
      </w:pPr>
      <w:bookmarkStart w:id="139" w:name="_Toc3359"/>
      <w:r>
        <w:rPr>
          <w:rFonts w:hint="eastAsia" w:ascii="宋体" w:hAnsi="宋体" w:cs="宋体"/>
          <w:b/>
          <w:color w:val="auto"/>
          <w:highlight w:val="none"/>
        </w:rPr>
        <w:t>（一）投标文件的符合性评审</w:t>
      </w:r>
      <w:bookmarkEnd w:id="139"/>
    </w:p>
    <w:p>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1.评标委员会应依照招标文件的要求和规定，对投标人的投标资格和投标文件进行符合性评审。</w:t>
      </w:r>
    </w:p>
    <w:p>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如评标委员会发现投标文件存在招标文件投标人须知前附表10.1“否决投标的情形”之一的，经询问核实并认定后，即可判定该投标文件符合性评审不通过应予以否决，不再进入后续评审程序。</w:t>
      </w:r>
    </w:p>
    <w:p>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2.询标</w:t>
      </w:r>
    </w:p>
    <w:p>
      <w:pPr>
        <w:pStyle w:val="46"/>
        <w:spacing w:line="360" w:lineRule="auto"/>
        <w:ind w:firstLine="480"/>
        <w:rPr>
          <w:rFonts w:ascii="宋体" w:hAnsi="宋体" w:cs="宋体"/>
          <w:color w:val="auto"/>
          <w:highlight w:val="none"/>
        </w:rPr>
      </w:pPr>
      <w:r>
        <w:rPr>
          <w:rFonts w:hint="eastAsia" w:ascii="宋体" w:hAnsi="宋体" w:cs="宋体"/>
          <w:color w:val="auto"/>
          <w:highlight w:val="none"/>
        </w:rPr>
        <w:t>（1）投标文件中有含义不明确的内容、明显文字或计算错误，评标委员会认为需要投标人做出必要澄清、说明的，应当组织询标。</w:t>
      </w:r>
    </w:p>
    <w:p>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凡是评标委员会拟做出否决投标决定的，须组织相关投标人询问核实。未进行询问核实的，不得做出否决投标的决定，投标人放弃询问核实机会的除外。投标人应自行关注系统中评标委员会发出的澄清并及时答复，在规定的时限内投标人不参加核实或不予答复的，视为放弃接受询问核实的机会。</w:t>
      </w:r>
    </w:p>
    <w:p>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（3）询标应通过电子招投标交易平台通知相关投标人。询标问题及投标人的澄清、说明应当采用书面形式，并不得超出投标文件的范围或者改变投标文件的实质性内容。</w:t>
      </w:r>
    </w:p>
    <w:p>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（4）评标委员会不得暗示或者诱导投标人做出澄清、说明，不得接受投标人主动提出的澄清、说明。</w:t>
      </w:r>
    </w:p>
    <w:p>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（5）投标人不得通过补充、修改或撤销投标文件中的内容使其成为实质性响应的投标，投标人在投标截止时间以后不得提交任何资料作为评标依据。</w:t>
      </w:r>
    </w:p>
    <w:p>
      <w:pPr>
        <w:spacing w:line="360" w:lineRule="auto"/>
        <w:ind w:firstLine="570"/>
        <w:outlineLvl w:val="2"/>
        <w:rPr>
          <w:rFonts w:ascii="宋体" w:hAnsi="宋体" w:cs="宋体"/>
          <w:b/>
          <w:color w:val="auto"/>
          <w:highlight w:val="none"/>
        </w:rPr>
      </w:pPr>
      <w:bookmarkStart w:id="140" w:name="_Toc12957"/>
      <w:r>
        <w:rPr>
          <w:rFonts w:hint="eastAsia" w:ascii="宋体" w:hAnsi="宋体" w:cs="宋体"/>
          <w:b/>
          <w:color w:val="auto"/>
          <w:highlight w:val="none"/>
        </w:rPr>
        <w:t>（二）投标文件的技术标评审</w:t>
      </w:r>
      <w:bookmarkEnd w:id="140"/>
    </w:p>
    <w:p>
      <w:pPr>
        <w:spacing w:line="360" w:lineRule="auto"/>
        <w:ind w:firstLine="570"/>
        <w:rPr>
          <w:rFonts w:ascii="宋体" w:hAnsi="宋体" w:cs="宋体"/>
          <w:color w:val="auto"/>
          <w:highlight w:val="none"/>
        </w:rPr>
      </w:pPr>
      <w:r>
        <w:rPr>
          <w:rFonts w:hint="eastAsia" w:ascii="宋体" w:hAnsi="宋体" w:cs="宋体"/>
          <w:color w:val="auto"/>
          <w:highlight w:val="none"/>
        </w:rPr>
        <w:t>1、投标文件存在投标须知前附表10.1情形之一的，评标委员会组织投标人询问核实后，情况属实的，技术标评审不予通过，否决其投标，不再进入后续评审程序。</w:t>
      </w:r>
    </w:p>
    <w:p>
      <w:pPr>
        <w:spacing w:line="360" w:lineRule="auto"/>
        <w:ind w:firstLine="570"/>
        <w:rPr>
          <w:rFonts w:ascii="宋体" w:hAnsi="宋体" w:cs="宋体"/>
          <w:color w:val="auto"/>
          <w:highlight w:val="none"/>
        </w:rPr>
      </w:pPr>
      <w:r>
        <w:rPr>
          <w:rFonts w:hint="eastAsia" w:ascii="宋体" w:hAnsi="宋体" w:cs="宋体"/>
          <w:color w:val="auto"/>
          <w:highlight w:val="none"/>
        </w:rPr>
        <w:t>2、技术标评分（40分）</w:t>
      </w:r>
    </w:p>
    <w:p>
      <w:pPr>
        <w:spacing w:line="360" w:lineRule="auto"/>
        <w:ind w:firstLine="570"/>
        <w:rPr>
          <w:rFonts w:hint="eastAsia" w:ascii="宋体" w:hAnsi="宋体" w:cs="宋体"/>
          <w:color w:val="auto"/>
          <w:highlight w:val="none"/>
        </w:rPr>
      </w:pPr>
      <w:r>
        <w:rPr>
          <w:rFonts w:hint="eastAsia" w:ascii="宋体" w:hAnsi="宋体" w:cs="宋体"/>
          <w:color w:val="auto"/>
          <w:highlight w:val="none"/>
        </w:rPr>
        <w:t>（1）由评标委员会各成员按评审因素和评分标准进行独立评分（保留2位小数）并署名。此项评分为：从评标专家的有效评分大于等于5个的，扣除一个最高总分和一个最低总分后的算术平均值，有效评分少于5个的，按全部有效评分的算术平均值（保留小数2位）。</w:t>
      </w:r>
    </w:p>
    <w:p>
      <w:pPr>
        <w:spacing w:line="360" w:lineRule="auto"/>
        <w:ind w:firstLine="570"/>
        <w:rPr>
          <w:rFonts w:hint="eastAsia" w:ascii="宋体" w:hAnsi="宋体" w:cs="宋体"/>
          <w:color w:val="auto"/>
          <w:highlight w:val="none"/>
        </w:rPr>
      </w:pPr>
      <w:r>
        <w:rPr>
          <w:rFonts w:hint="eastAsia" w:ascii="宋体" w:hAnsi="宋体" w:cs="宋体"/>
          <w:color w:val="auto"/>
          <w:highlight w:val="none"/>
        </w:rPr>
        <w:t>（2）技术评审主要因素包括以下内容</w:t>
      </w:r>
    </w:p>
    <w:p>
      <w:pPr>
        <w:pStyle w:val="42"/>
        <w:spacing w:line="560" w:lineRule="exact"/>
        <w:ind w:firstLine="0" w:firstLineChars="0"/>
        <w:jc w:val="center"/>
        <w:rPr>
          <w:rFonts w:ascii="宋体" w:hAnsi="宋体"/>
          <w:b/>
          <w:color w:val="auto"/>
          <w:szCs w:val="24"/>
          <w:highlight w:val="none"/>
        </w:rPr>
      </w:pPr>
      <w:r>
        <w:rPr>
          <w:rFonts w:hint="eastAsia" w:ascii="宋体" w:hAnsi="宋体"/>
          <w:b/>
          <w:color w:val="auto"/>
          <w:szCs w:val="24"/>
          <w:highlight w:val="none"/>
        </w:rPr>
        <w:t>技术评审因素表</w:t>
      </w:r>
    </w:p>
    <w:tbl>
      <w:tblPr>
        <w:tblStyle w:val="19"/>
        <w:tblW w:w="0" w:type="auto"/>
        <w:tblInd w:w="25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31"/>
        <w:gridCol w:w="2487"/>
        <w:gridCol w:w="48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431" w:type="dxa"/>
            <w:vMerge w:val="restart"/>
            <w:tcBorders>
              <w:top w:val="single" w:color="auto" w:sz="4" w:space="0"/>
              <w:left w:val="single" w:color="auto" w:sz="4" w:space="0"/>
              <w:right w:val="single" w:color="auto" w:sz="4" w:space="0"/>
            </w:tcBorders>
            <w:noWrap w:val="0"/>
            <w:vAlign w:val="center"/>
          </w:tcPr>
          <w:p>
            <w:pPr>
              <w:spacing w:line="560" w:lineRule="exact"/>
              <w:jc w:val="center"/>
              <w:rPr>
                <w:rFonts w:hint="eastAsia" w:ascii="宋体" w:hAnsi="宋体" w:cs="Arial"/>
                <w:color w:val="auto"/>
                <w:highlight w:val="none"/>
              </w:rPr>
            </w:pPr>
            <w:r>
              <w:rPr>
                <w:rFonts w:hint="eastAsia" w:ascii="宋体" w:hAnsi="宋体" w:cs="Arial"/>
                <w:color w:val="auto"/>
                <w:highlight w:val="none"/>
              </w:rPr>
              <w:t>总体项目管理方案</w:t>
            </w:r>
          </w:p>
          <w:p>
            <w:pPr>
              <w:spacing w:line="560" w:lineRule="exact"/>
              <w:jc w:val="center"/>
              <w:rPr>
                <w:rFonts w:ascii="宋体" w:hAnsi="宋体" w:cs="Arial"/>
                <w:color w:val="auto"/>
                <w:highlight w:val="none"/>
              </w:rPr>
            </w:pPr>
            <w:r>
              <w:rPr>
                <w:rFonts w:hint="eastAsia" w:ascii="宋体" w:hAnsi="宋体" w:cs="Arial"/>
                <w:color w:val="auto"/>
                <w:highlight w:val="none"/>
              </w:rPr>
              <w:t>【</w:t>
            </w:r>
            <w:r>
              <w:rPr>
                <w:rFonts w:hint="eastAsia" w:ascii="宋体" w:hAnsi="宋体" w:cs="Arial"/>
                <w:color w:val="auto"/>
                <w:highlight w:val="none"/>
                <w:lang w:val="en-US" w:eastAsia="zh-CN"/>
              </w:rPr>
              <w:t>1.8</w:t>
            </w:r>
            <w:r>
              <w:rPr>
                <w:rFonts w:hint="eastAsia" w:ascii="宋体" w:hAnsi="宋体" w:cs="Arial"/>
                <w:color w:val="auto"/>
                <w:highlight w:val="none"/>
              </w:rPr>
              <w:t>-</w:t>
            </w:r>
            <w:r>
              <w:rPr>
                <w:rFonts w:hint="eastAsia" w:ascii="宋体" w:hAnsi="宋体" w:cs="Arial"/>
                <w:color w:val="auto"/>
                <w:highlight w:val="none"/>
                <w:lang w:val="en-US" w:eastAsia="zh-CN"/>
              </w:rPr>
              <w:t>3</w:t>
            </w:r>
            <w:r>
              <w:rPr>
                <w:rFonts w:hint="eastAsia" w:ascii="宋体" w:hAnsi="宋体" w:cs="Arial"/>
                <w:color w:val="auto"/>
                <w:highlight w:val="none"/>
              </w:rPr>
              <w:t>分】</w:t>
            </w:r>
          </w:p>
        </w:tc>
        <w:tc>
          <w:tcPr>
            <w:tcW w:w="733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s="Arial"/>
                <w:color w:val="auto"/>
                <w:highlight w:val="none"/>
              </w:rPr>
            </w:pPr>
            <w:r>
              <w:rPr>
                <w:rFonts w:hint="eastAsia" w:ascii="宋体" w:hAnsi="宋体" w:cs="Arial"/>
                <w:color w:val="auto"/>
                <w:highlight w:val="none"/>
              </w:rPr>
              <w:t>项目概述【0.6-1分】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143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Arial"/>
                <w:color w:val="auto"/>
                <w:highlight w:val="none"/>
              </w:rPr>
            </w:pPr>
          </w:p>
        </w:tc>
        <w:tc>
          <w:tcPr>
            <w:tcW w:w="733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s="Arial"/>
                <w:color w:val="auto"/>
                <w:highlight w:val="none"/>
              </w:rPr>
            </w:pPr>
            <w:r>
              <w:rPr>
                <w:rFonts w:hint="eastAsia" w:ascii="宋体" w:hAnsi="宋体" w:cs="Arial"/>
                <w:color w:val="auto"/>
                <w:highlight w:val="none"/>
              </w:rPr>
              <w:t>项目组织设计、组织机构</w:t>
            </w:r>
            <w:r>
              <w:rPr>
                <w:rFonts w:hint="eastAsia" w:ascii="宋体" w:hAnsi="宋体" w:cs="Arial"/>
                <w:color w:val="auto"/>
                <w:highlight w:val="none"/>
                <w:lang w:eastAsia="zh-CN"/>
              </w:rPr>
              <w:t>、</w:t>
            </w:r>
            <w:r>
              <w:rPr>
                <w:rFonts w:hint="eastAsia" w:ascii="宋体" w:hAnsi="宋体" w:cs="Arial"/>
                <w:color w:val="auto"/>
                <w:highlight w:val="none"/>
              </w:rPr>
              <w:t>目标分解、项目情况分析【0.6-1分】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3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宋体" w:hAnsi="宋体" w:cs="Arial"/>
                <w:color w:val="auto"/>
                <w:highlight w:val="none"/>
              </w:rPr>
            </w:pPr>
          </w:p>
        </w:tc>
        <w:tc>
          <w:tcPr>
            <w:tcW w:w="733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s="Arial"/>
                <w:color w:val="auto"/>
                <w:highlight w:val="none"/>
              </w:rPr>
            </w:pPr>
            <w:r>
              <w:rPr>
                <w:rFonts w:hint="eastAsia" w:ascii="宋体" w:hAnsi="宋体" w:cs="Arial"/>
                <w:color w:val="auto"/>
                <w:highlight w:val="none"/>
              </w:rPr>
              <w:t>建设工程项目管理，具体包括专项管理、综合集成、采购和试运行等【0.6-1分】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431" w:type="dxa"/>
            <w:vMerge w:val="restart"/>
            <w:tcBorders>
              <w:top w:val="single" w:color="auto" w:sz="4" w:space="0"/>
              <w:left w:val="single" w:color="auto" w:sz="4" w:space="0"/>
              <w:right w:val="single" w:color="auto" w:sz="4" w:space="0"/>
            </w:tcBorders>
            <w:noWrap w:val="0"/>
            <w:vAlign w:val="center"/>
          </w:tcPr>
          <w:p>
            <w:pPr>
              <w:spacing w:line="560" w:lineRule="exact"/>
              <w:jc w:val="center"/>
              <w:rPr>
                <w:rFonts w:ascii="宋体" w:hAnsi="宋体" w:cs="Arial"/>
                <w:color w:val="auto"/>
                <w:highlight w:val="none"/>
              </w:rPr>
            </w:pPr>
            <w:r>
              <w:rPr>
                <w:rFonts w:hint="eastAsia" w:ascii="宋体" w:hAnsi="宋体" w:cs="Arial"/>
                <w:color w:val="auto"/>
                <w:highlight w:val="none"/>
              </w:rPr>
              <w:t>设计方案评审因素【1</w:t>
            </w:r>
            <w:r>
              <w:rPr>
                <w:rFonts w:hint="eastAsia" w:ascii="宋体" w:hAnsi="宋体" w:cs="Arial"/>
                <w:color w:val="auto"/>
                <w:highlight w:val="none"/>
                <w:lang w:val="en-US" w:eastAsia="zh-CN"/>
              </w:rPr>
              <w:t>5</w:t>
            </w:r>
            <w:r>
              <w:rPr>
                <w:rFonts w:hint="eastAsia" w:ascii="宋体" w:hAnsi="宋体" w:cs="Arial"/>
                <w:color w:val="auto"/>
                <w:highlight w:val="none"/>
              </w:rPr>
              <w:t>-2</w:t>
            </w:r>
            <w:r>
              <w:rPr>
                <w:rFonts w:hint="eastAsia" w:ascii="宋体" w:hAnsi="宋体" w:cs="Arial"/>
                <w:color w:val="auto"/>
                <w:highlight w:val="none"/>
                <w:lang w:val="en-US" w:eastAsia="zh-CN"/>
              </w:rPr>
              <w:t>5</w:t>
            </w:r>
            <w:r>
              <w:rPr>
                <w:rFonts w:hint="eastAsia" w:ascii="宋体" w:hAnsi="宋体" w:cs="Arial"/>
                <w:color w:val="auto"/>
                <w:highlight w:val="none"/>
              </w:rPr>
              <w:t>分】</w:t>
            </w:r>
          </w:p>
          <w:p>
            <w:pPr>
              <w:spacing w:line="560" w:lineRule="exact"/>
              <w:jc w:val="center"/>
              <w:rPr>
                <w:rFonts w:ascii="宋体" w:hAnsi="宋体" w:cs="Arial"/>
                <w:color w:val="auto"/>
                <w:highlight w:val="none"/>
              </w:rPr>
            </w:pPr>
          </w:p>
        </w:tc>
        <w:tc>
          <w:tcPr>
            <w:tcW w:w="733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Arial"/>
                <w:color w:val="auto"/>
                <w:highlight w:val="none"/>
              </w:rPr>
            </w:pPr>
            <w:r>
              <w:rPr>
                <w:rFonts w:hint="eastAsia" w:ascii="宋体" w:hAnsi="宋体" w:cs="Arial"/>
                <w:color w:val="auto"/>
                <w:highlight w:val="none"/>
              </w:rPr>
              <w:t>方案设计（或初步设计）的优化，具体包括主要设计思路、设计创新、先进技术应用、节能环保等【</w:t>
            </w:r>
            <w:r>
              <w:rPr>
                <w:rFonts w:hint="eastAsia" w:ascii="宋体" w:hAnsi="宋体" w:cs="Arial"/>
                <w:color w:val="auto"/>
                <w:highlight w:val="none"/>
                <w:lang w:val="en-US" w:eastAsia="zh-CN"/>
              </w:rPr>
              <w:t>12</w:t>
            </w:r>
            <w:r>
              <w:rPr>
                <w:rFonts w:hint="eastAsia" w:ascii="宋体" w:hAnsi="宋体" w:cs="Arial"/>
                <w:color w:val="auto"/>
                <w:highlight w:val="none"/>
              </w:rPr>
              <w:t>-</w:t>
            </w:r>
            <w:r>
              <w:rPr>
                <w:rFonts w:hint="eastAsia" w:ascii="宋体" w:hAnsi="宋体" w:cs="Arial"/>
                <w:color w:val="auto"/>
                <w:highlight w:val="none"/>
                <w:lang w:val="en-US" w:eastAsia="zh-CN"/>
              </w:rPr>
              <w:t>20</w:t>
            </w:r>
            <w:r>
              <w:rPr>
                <w:rFonts w:hint="eastAsia" w:ascii="宋体" w:hAnsi="宋体" w:cs="Arial"/>
                <w:color w:val="auto"/>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431" w:type="dxa"/>
            <w:vMerge w:val="continue"/>
            <w:tcBorders>
              <w:left w:val="single" w:color="auto" w:sz="4" w:space="0"/>
              <w:right w:val="single" w:color="auto" w:sz="4" w:space="0"/>
            </w:tcBorders>
            <w:noWrap w:val="0"/>
            <w:vAlign w:val="center"/>
          </w:tcPr>
          <w:p>
            <w:pPr>
              <w:spacing w:line="560" w:lineRule="exact"/>
              <w:jc w:val="center"/>
              <w:rPr>
                <w:rFonts w:ascii="宋体" w:hAnsi="宋体" w:cs="Arial"/>
                <w:color w:val="auto"/>
                <w:highlight w:val="none"/>
              </w:rPr>
            </w:pPr>
          </w:p>
        </w:tc>
        <w:tc>
          <w:tcPr>
            <w:tcW w:w="733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Arial"/>
                <w:color w:val="auto"/>
                <w:highlight w:val="none"/>
              </w:rPr>
            </w:pPr>
            <w:r>
              <w:rPr>
                <w:rFonts w:hint="eastAsia" w:ascii="宋体" w:hAnsi="宋体" w:cs="Arial"/>
                <w:color w:val="auto"/>
                <w:highlight w:val="none"/>
              </w:rPr>
              <w:t>工程经济的合理性分析、评价（投资估算是否与设计方案匹配、是否结合现场建设条件，各项指标取值是否合理、是否满足相关规范要求等）【0.6-1分】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31" w:type="dxa"/>
            <w:vMerge w:val="continue"/>
            <w:tcBorders>
              <w:left w:val="single" w:color="auto" w:sz="4" w:space="0"/>
              <w:right w:val="single" w:color="auto" w:sz="4" w:space="0"/>
            </w:tcBorders>
            <w:noWrap w:val="0"/>
            <w:vAlign w:val="center"/>
          </w:tcPr>
          <w:p>
            <w:pPr>
              <w:spacing w:line="560" w:lineRule="exact"/>
              <w:jc w:val="center"/>
              <w:rPr>
                <w:rFonts w:ascii="宋体" w:hAnsi="宋体" w:cs="Arial"/>
                <w:color w:val="auto"/>
                <w:highlight w:val="none"/>
              </w:rPr>
            </w:pPr>
          </w:p>
        </w:tc>
        <w:tc>
          <w:tcPr>
            <w:tcW w:w="733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Arial"/>
                <w:color w:val="auto"/>
                <w:highlight w:val="none"/>
              </w:rPr>
            </w:pPr>
            <w:r>
              <w:rPr>
                <w:rFonts w:hint="eastAsia" w:ascii="宋体" w:hAnsi="宋体" w:cs="Arial"/>
                <w:color w:val="auto"/>
                <w:highlight w:val="none"/>
              </w:rPr>
              <w:t>设计管理机构的构成和设计力量的配备【0.6-1分】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431" w:type="dxa"/>
            <w:vMerge w:val="continue"/>
            <w:tcBorders>
              <w:left w:val="single" w:color="auto" w:sz="4" w:space="0"/>
              <w:right w:val="single" w:color="auto" w:sz="4" w:space="0"/>
            </w:tcBorders>
            <w:noWrap w:val="0"/>
            <w:vAlign w:val="center"/>
          </w:tcPr>
          <w:p>
            <w:pPr>
              <w:spacing w:line="560" w:lineRule="exact"/>
              <w:jc w:val="center"/>
              <w:rPr>
                <w:rFonts w:ascii="宋体" w:hAnsi="宋体" w:cs="Arial"/>
                <w:color w:val="auto"/>
                <w:highlight w:val="none"/>
              </w:rPr>
            </w:pPr>
          </w:p>
        </w:tc>
        <w:tc>
          <w:tcPr>
            <w:tcW w:w="733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Arial"/>
                <w:color w:val="auto"/>
                <w:highlight w:val="none"/>
              </w:rPr>
            </w:pPr>
            <w:r>
              <w:rPr>
                <w:rFonts w:hint="eastAsia" w:ascii="宋体" w:hAnsi="宋体" w:cs="Arial"/>
                <w:color w:val="auto"/>
                <w:highlight w:val="none"/>
              </w:rPr>
              <w:t>设计组织方案及各阶段计划进度安排【0.6-1分】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431" w:type="dxa"/>
            <w:vMerge w:val="continue"/>
            <w:tcBorders>
              <w:left w:val="single" w:color="auto" w:sz="4" w:space="0"/>
              <w:right w:val="single" w:color="auto" w:sz="4" w:space="0"/>
            </w:tcBorders>
            <w:noWrap w:val="0"/>
            <w:vAlign w:val="center"/>
          </w:tcPr>
          <w:p>
            <w:pPr>
              <w:spacing w:line="560" w:lineRule="exact"/>
              <w:jc w:val="center"/>
              <w:rPr>
                <w:rFonts w:ascii="宋体" w:hAnsi="宋体" w:cs="Arial"/>
                <w:color w:val="auto"/>
                <w:highlight w:val="none"/>
              </w:rPr>
            </w:pPr>
          </w:p>
        </w:tc>
        <w:tc>
          <w:tcPr>
            <w:tcW w:w="733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Arial"/>
                <w:color w:val="auto"/>
                <w:highlight w:val="none"/>
              </w:rPr>
            </w:pPr>
            <w:r>
              <w:rPr>
                <w:rFonts w:hint="eastAsia" w:ascii="宋体" w:hAnsi="宋体" w:cs="Arial"/>
                <w:color w:val="auto"/>
                <w:highlight w:val="none"/>
              </w:rPr>
              <w:t>施工图设计质量控制措施【0.6-1分】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1431" w:type="dxa"/>
            <w:vMerge w:val="continue"/>
            <w:tcBorders>
              <w:left w:val="single" w:color="auto" w:sz="4" w:space="0"/>
              <w:right w:val="single" w:color="auto" w:sz="4" w:space="0"/>
            </w:tcBorders>
            <w:noWrap w:val="0"/>
            <w:vAlign w:val="center"/>
          </w:tcPr>
          <w:p>
            <w:pPr>
              <w:spacing w:line="560" w:lineRule="exact"/>
              <w:jc w:val="center"/>
              <w:rPr>
                <w:rFonts w:ascii="宋体" w:hAnsi="宋体" w:cs="Arial"/>
                <w:color w:val="auto"/>
                <w:highlight w:val="none"/>
              </w:rPr>
            </w:pPr>
          </w:p>
        </w:tc>
        <w:tc>
          <w:tcPr>
            <w:tcW w:w="733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s="Arial"/>
                <w:color w:val="auto"/>
                <w:highlight w:val="none"/>
              </w:rPr>
            </w:pPr>
            <w:r>
              <w:rPr>
                <w:rFonts w:hint="eastAsia" w:ascii="宋体" w:hAnsi="宋体" w:cs="Arial"/>
                <w:color w:val="auto"/>
                <w:highlight w:val="none"/>
              </w:rPr>
              <w:t>新型技术应用服务措施（如建筑工业化、BIM技术、绿色建筑、海绵城市应用等）【0.6-1分】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6" w:hRule="atLeast"/>
        </w:trPr>
        <w:tc>
          <w:tcPr>
            <w:tcW w:w="1431" w:type="dxa"/>
            <w:vMerge w:val="restart"/>
            <w:tcBorders>
              <w:top w:val="single" w:color="auto" w:sz="4" w:space="0"/>
              <w:left w:val="single" w:color="auto" w:sz="4" w:space="0"/>
              <w:right w:val="single" w:color="auto" w:sz="4" w:space="0"/>
            </w:tcBorders>
            <w:noWrap w:val="0"/>
            <w:vAlign w:val="center"/>
          </w:tcPr>
          <w:p>
            <w:pPr>
              <w:spacing w:line="560" w:lineRule="exact"/>
              <w:rPr>
                <w:rFonts w:hint="eastAsia" w:ascii="宋体" w:hAnsi="宋体"/>
                <w:color w:val="auto"/>
                <w:highlight w:val="none"/>
              </w:rPr>
            </w:pPr>
            <w:r>
              <w:rPr>
                <w:rFonts w:hint="eastAsia" w:ascii="宋体" w:hAnsi="宋体"/>
                <w:color w:val="auto"/>
                <w:highlight w:val="none"/>
              </w:rPr>
              <w:t>采购方案评审因素</w:t>
            </w:r>
          </w:p>
          <w:p>
            <w:pPr>
              <w:spacing w:line="560" w:lineRule="exact"/>
              <w:rPr>
                <w:rFonts w:ascii="宋体" w:hAnsi="宋体"/>
                <w:color w:val="auto"/>
                <w:highlight w:val="none"/>
              </w:rPr>
            </w:pPr>
            <w:r>
              <w:rPr>
                <w:rFonts w:hint="eastAsia" w:ascii="宋体" w:hAnsi="宋体" w:cs="Arial"/>
                <w:color w:val="auto"/>
                <w:highlight w:val="none"/>
              </w:rPr>
              <w:t>【</w:t>
            </w:r>
            <w:r>
              <w:rPr>
                <w:rFonts w:hint="eastAsia" w:ascii="宋体" w:hAnsi="宋体" w:cs="Arial"/>
                <w:color w:val="auto"/>
                <w:highlight w:val="none"/>
                <w:lang w:val="en-US" w:eastAsia="zh-CN"/>
              </w:rPr>
              <w:t>1.2</w:t>
            </w:r>
            <w:r>
              <w:rPr>
                <w:rFonts w:hint="eastAsia" w:ascii="宋体" w:hAnsi="宋体" w:cs="Arial"/>
                <w:color w:val="auto"/>
                <w:highlight w:val="none"/>
              </w:rPr>
              <w:t>-</w:t>
            </w:r>
            <w:r>
              <w:rPr>
                <w:rFonts w:hint="eastAsia" w:ascii="宋体" w:hAnsi="宋体" w:cs="Arial"/>
                <w:color w:val="auto"/>
                <w:highlight w:val="none"/>
                <w:lang w:val="en-US" w:eastAsia="zh-CN"/>
              </w:rPr>
              <w:t>2</w:t>
            </w:r>
            <w:r>
              <w:rPr>
                <w:rFonts w:hint="eastAsia" w:ascii="宋体" w:hAnsi="宋体" w:cs="Arial"/>
                <w:color w:val="auto"/>
                <w:highlight w:val="none"/>
              </w:rPr>
              <w:t>分】</w:t>
            </w:r>
          </w:p>
        </w:tc>
        <w:tc>
          <w:tcPr>
            <w:tcW w:w="7338" w:type="dxa"/>
            <w:gridSpan w:val="2"/>
            <w:tcBorders>
              <w:top w:val="single" w:color="auto" w:sz="4" w:space="0"/>
              <w:left w:val="single" w:color="auto" w:sz="4" w:space="0"/>
              <w:right w:val="single" w:color="auto" w:sz="4" w:space="0"/>
            </w:tcBorders>
            <w:noWrap w:val="0"/>
            <w:vAlign w:val="center"/>
          </w:tcPr>
          <w:p>
            <w:pPr>
              <w:spacing w:line="560" w:lineRule="exact"/>
              <w:rPr>
                <w:rFonts w:ascii="宋体" w:hAnsi="宋体"/>
                <w:color w:val="auto"/>
                <w:highlight w:val="none"/>
              </w:rPr>
            </w:pPr>
            <w:r>
              <w:rPr>
                <w:rFonts w:hint="eastAsia" w:ascii="宋体" w:hAnsi="宋体"/>
                <w:color w:val="auto"/>
                <w:highlight w:val="none"/>
              </w:rPr>
              <w:t>物资采购、进度、分包工作</w:t>
            </w:r>
            <w:r>
              <w:rPr>
                <w:rFonts w:hint="eastAsia" w:ascii="宋体" w:hAnsi="宋体"/>
                <w:color w:val="auto"/>
                <w:highlight w:val="none"/>
                <w:lang w:eastAsia="zh-CN"/>
              </w:rPr>
              <w:t>、</w:t>
            </w:r>
            <w:r>
              <w:rPr>
                <w:rFonts w:hint="eastAsia" w:ascii="宋体" w:hAnsi="宋体"/>
                <w:color w:val="auto"/>
                <w:highlight w:val="none"/>
              </w:rPr>
              <w:t>质量控制的总体安排与资源配置</w:t>
            </w:r>
            <w:r>
              <w:rPr>
                <w:rFonts w:hint="eastAsia" w:ascii="宋体" w:hAnsi="宋体" w:cs="Arial"/>
                <w:color w:val="auto"/>
                <w:highlight w:val="none"/>
              </w:rPr>
              <w:t>【</w:t>
            </w:r>
            <w:r>
              <w:rPr>
                <w:rFonts w:hint="eastAsia" w:ascii="宋体" w:hAnsi="宋体" w:cs="Arial"/>
                <w:color w:val="auto"/>
                <w:highlight w:val="none"/>
                <w:lang w:val="en-US" w:eastAsia="zh-CN"/>
              </w:rPr>
              <w:t>0.6</w:t>
            </w:r>
            <w:r>
              <w:rPr>
                <w:rFonts w:hint="eastAsia" w:ascii="宋体" w:hAnsi="宋体" w:cs="Arial"/>
                <w:color w:val="auto"/>
                <w:highlight w:val="none"/>
              </w:rPr>
              <w:t>-</w:t>
            </w:r>
            <w:r>
              <w:rPr>
                <w:rFonts w:hint="eastAsia" w:ascii="宋体" w:hAnsi="宋体" w:cs="Arial"/>
                <w:color w:val="auto"/>
                <w:highlight w:val="none"/>
                <w:lang w:val="en-US" w:eastAsia="zh-CN"/>
              </w:rPr>
              <w:t>1</w:t>
            </w:r>
            <w:r>
              <w:rPr>
                <w:rFonts w:hint="eastAsia" w:ascii="宋体" w:hAnsi="宋体" w:cs="Arial"/>
                <w:color w:val="auto"/>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1431" w:type="dxa"/>
            <w:vMerge w:val="continue"/>
            <w:tcBorders>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7338" w:type="dxa"/>
            <w:gridSpan w:val="2"/>
            <w:tcBorders>
              <w:top w:val="single" w:color="auto" w:sz="4" w:space="0"/>
              <w:left w:val="single" w:color="auto" w:sz="4" w:space="0"/>
              <w:right w:val="single" w:color="auto" w:sz="4" w:space="0"/>
            </w:tcBorders>
            <w:noWrap w:val="0"/>
            <w:vAlign w:val="center"/>
          </w:tcPr>
          <w:p>
            <w:pPr>
              <w:spacing w:line="560" w:lineRule="exact"/>
              <w:rPr>
                <w:rFonts w:ascii="宋体" w:hAnsi="宋体"/>
                <w:color w:val="auto"/>
                <w:highlight w:val="none"/>
              </w:rPr>
            </w:pPr>
            <w:r>
              <w:rPr>
                <w:rFonts w:hint="eastAsia" w:ascii="宋体" w:hAnsi="宋体"/>
                <w:color w:val="auto"/>
                <w:highlight w:val="none"/>
              </w:rPr>
              <w:t>分包商进度、质量和安全文明的管理措施及违约处理</w:t>
            </w:r>
            <w:r>
              <w:rPr>
                <w:rFonts w:hint="eastAsia" w:ascii="宋体" w:hAnsi="宋体" w:cs="Arial"/>
                <w:color w:val="auto"/>
                <w:highlight w:val="none"/>
              </w:rPr>
              <w:t>【0.6-1分】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431" w:type="dxa"/>
            <w:vMerge w:val="restart"/>
            <w:tcBorders>
              <w:top w:val="single" w:color="auto" w:sz="4" w:space="0"/>
              <w:left w:val="single" w:color="auto" w:sz="4" w:space="0"/>
              <w:right w:val="single" w:color="auto" w:sz="4" w:space="0"/>
            </w:tcBorders>
            <w:noWrap w:val="0"/>
            <w:vAlign w:val="center"/>
          </w:tcPr>
          <w:p>
            <w:pPr>
              <w:spacing w:line="560" w:lineRule="exact"/>
              <w:rPr>
                <w:rFonts w:hint="eastAsia" w:ascii="宋体" w:hAnsi="宋体"/>
                <w:color w:val="auto"/>
                <w:highlight w:val="none"/>
              </w:rPr>
            </w:pPr>
            <w:r>
              <w:rPr>
                <w:rFonts w:hint="eastAsia" w:ascii="宋体" w:hAnsi="宋体"/>
                <w:color w:val="auto"/>
                <w:highlight w:val="none"/>
              </w:rPr>
              <w:t>施工总承包方案评审因素</w:t>
            </w:r>
          </w:p>
          <w:p>
            <w:pPr>
              <w:spacing w:line="560" w:lineRule="exact"/>
              <w:rPr>
                <w:rFonts w:ascii="宋体" w:hAnsi="宋体"/>
                <w:color w:val="auto"/>
                <w:highlight w:val="none"/>
              </w:rPr>
            </w:pPr>
            <w:r>
              <w:rPr>
                <w:rFonts w:hint="eastAsia" w:ascii="宋体" w:hAnsi="宋体" w:cs="Arial"/>
                <w:color w:val="auto"/>
                <w:highlight w:val="none"/>
              </w:rPr>
              <w:t>【6-10分】</w:t>
            </w:r>
          </w:p>
          <w:p>
            <w:pPr>
              <w:spacing w:line="560" w:lineRule="exact"/>
              <w:ind w:firstLine="360" w:firstLineChars="150"/>
              <w:rPr>
                <w:rFonts w:ascii="宋体" w:hAnsi="宋体"/>
                <w:color w:val="auto"/>
                <w:highlight w:val="none"/>
              </w:rPr>
            </w:pPr>
          </w:p>
        </w:tc>
        <w:tc>
          <w:tcPr>
            <w:tcW w:w="2487" w:type="dxa"/>
            <w:tcBorders>
              <w:top w:val="single" w:color="auto" w:sz="4" w:space="0"/>
              <w:left w:val="single" w:color="auto" w:sz="4" w:space="0"/>
              <w:right w:val="single" w:color="auto" w:sz="4" w:space="0"/>
            </w:tcBorders>
            <w:noWrap w:val="0"/>
            <w:vAlign w:val="center"/>
          </w:tcPr>
          <w:p>
            <w:pPr>
              <w:spacing w:line="560" w:lineRule="exact"/>
              <w:rPr>
                <w:rFonts w:ascii="宋体" w:hAnsi="宋体"/>
                <w:color w:val="auto"/>
                <w:highlight w:val="none"/>
              </w:rPr>
            </w:pPr>
            <w:r>
              <w:rPr>
                <w:rFonts w:hint="eastAsia" w:ascii="宋体" w:hAnsi="宋体"/>
                <w:color w:val="auto"/>
                <w:highlight w:val="none"/>
              </w:rPr>
              <w:t>项目重点难点分析</w:t>
            </w:r>
          </w:p>
        </w:tc>
        <w:tc>
          <w:tcPr>
            <w:tcW w:w="485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olor w:val="auto"/>
                <w:highlight w:val="none"/>
              </w:rPr>
            </w:pPr>
            <w:r>
              <w:rPr>
                <w:rFonts w:hint="eastAsia" w:ascii="宋体" w:hAnsi="宋体"/>
                <w:color w:val="auto"/>
                <w:highlight w:val="none"/>
              </w:rPr>
              <w:t>项目重点难点分析及合理化建议</w:t>
            </w:r>
            <w:r>
              <w:rPr>
                <w:rFonts w:hint="eastAsia" w:ascii="宋体" w:hAnsi="宋体" w:cs="Arial"/>
                <w:color w:val="auto"/>
                <w:highlight w:val="none"/>
              </w:rPr>
              <w:t>【0.6-1分】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431" w:type="dxa"/>
            <w:vMerge w:val="continue"/>
            <w:tcBorders>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2487" w:type="dxa"/>
            <w:vMerge w:val="restart"/>
            <w:tcBorders>
              <w:top w:val="single" w:color="auto" w:sz="4" w:space="0"/>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r>
              <w:rPr>
                <w:rFonts w:hint="eastAsia" w:ascii="宋体" w:hAnsi="宋体"/>
                <w:color w:val="auto"/>
                <w:highlight w:val="none"/>
              </w:rPr>
              <w:t>工程施工管理</w:t>
            </w:r>
          </w:p>
        </w:tc>
        <w:tc>
          <w:tcPr>
            <w:tcW w:w="485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olor w:val="auto"/>
                <w:highlight w:val="none"/>
              </w:rPr>
            </w:pPr>
            <w:r>
              <w:rPr>
                <w:rFonts w:hint="eastAsia" w:ascii="宋体" w:hAnsi="宋体"/>
                <w:color w:val="auto"/>
                <w:highlight w:val="none"/>
              </w:rPr>
              <w:t>工程施工进度控制和管理</w:t>
            </w:r>
            <w:r>
              <w:rPr>
                <w:rFonts w:hint="eastAsia" w:ascii="宋体" w:hAnsi="宋体" w:cs="Arial"/>
                <w:color w:val="auto"/>
                <w:highlight w:val="none"/>
              </w:rPr>
              <w:t>【0.6-1分】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431" w:type="dxa"/>
            <w:vMerge w:val="continue"/>
            <w:tcBorders>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2487" w:type="dxa"/>
            <w:vMerge w:val="continue"/>
            <w:tcBorders>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485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olor w:val="auto"/>
                <w:highlight w:val="none"/>
              </w:rPr>
            </w:pPr>
            <w:r>
              <w:rPr>
                <w:rFonts w:hint="eastAsia" w:ascii="宋体" w:hAnsi="宋体"/>
                <w:color w:val="auto"/>
                <w:highlight w:val="none"/>
              </w:rPr>
              <w:t>工程施工质量管理</w:t>
            </w:r>
            <w:r>
              <w:rPr>
                <w:rFonts w:hint="eastAsia" w:ascii="宋体" w:hAnsi="宋体" w:cs="Arial"/>
                <w:color w:val="auto"/>
                <w:highlight w:val="none"/>
              </w:rPr>
              <w:t>【1.2-2分】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431" w:type="dxa"/>
            <w:vMerge w:val="continue"/>
            <w:tcBorders>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2487" w:type="dxa"/>
            <w:vMerge w:val="continue"/>
            <w:tcBorders>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485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olor w:val="auto"/>
                <w:highlight w:val="none"/>
              </w:rPr>
            </w:pPr>
            <w:r>
              <w:rPr>
                <w:rFonts w:hint="eastAsia" w:ascii="宋体" w:hAnsi="宋体"/>
                <w:color w:val="auto"/>
                <w:highlight w:val="none"/>
              </w:rPr>
              <w:t>工程施工安全文明管理</w:t>
            </w:r>
            <w:r>
              <w:rPr>
                <w:rFonts w:hint="eastAsia" w:ascii="宋体" w:hAnsi="宋体" w:cs="Arial"/>
                <w:color w:val="auto"/>
                <w:highlight w:val="none"/>
              </w:rPr>
              <w:t>【1.2-2分】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431" w:type="dxa"/>
            <w:vMerge w:val="continue"/>
            <w:tcBorders>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2487" w:type="dxa"/>
            <w:vMerge w:val="continue"/>
            <w:tcBorders>
              <w:left w:val="single" w:color="auto" w:sz="4" w:space="0"/>
              <w:bottom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485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olor w:val="auto"/>
                <w:highlight w:val="none"/>
              </w:rPr>
            </w:pPr>
            <w:r>
              <w:rPr>
                <w:rFonts w:hint="eastAsia" w:ascii="宋体" w:hAnsi="宋体"/>
                <w:color w:val="auto"/>
                <w:highlight w:val="none"/>
              </w:rPr>
              <w:t>关键技术方案可行性</w:t>
            </w:r>
            <w:r>
              <w:rPr>
                <w:rFonts w:hint="eastAsia" w:ascii="宋体" w:hAnsi="宋体" w:cs="Arial"/>
                <w:color w:val="auto"/>
                <w:highlight w:val="none"/>
              </w:rPr>
              <w:t>【1.2-2分】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431" w:type="dxa"/>
            <w:vMerge w:val="continue"/>
            <w:tcBorders>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248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r>
              <w:rPr>
                <w:rFonts w:hint="eastAsia" w:ascii="宋体" w:hAnsi="宋体"/>
                <w:color w:val="auto"/>
                <w:highlight w:val="none"/>
              </w:rPr>
              <w:t>外部协调管理</w:t>
            </w:r>
          </w:p>
        </w:tc>
        <w:tc>
          <w:tcPr>
            <w:tcW w:w="485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olor w:val="auto"/>
                <w:highlight w:val="none"/>
              </w:rPr>
            </w:pPr>
            <w:r>
              <w:rPr>
                <w:rFonts w:hint="eastAsia" w:ascii="宋体" w:hAnsi="宋体"/>
                <w:color w:val="auto"/>
                <w:highlight w:val="none"/>
              </w:rPr>
              <w:t>外部协调管理</w:t>
            </w:r>
            <w:r>
              <w:rPr>
                <w:rFonts w:hint="eastAsia" w:ascii="宋体" w:hAnsi="宋体" w:cs="Arial"/>
                <w:color w:val="auto"/>
                <w:highlight w:val="none"/>
              </w:rPr>
              <w:t>【0.6-1分】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1431" w:type="dxa"/>
            <w:vMerge w:val="continue"/>
            <w:tcBorders>
              <w:left w:val="single" w:color="auto" w:sz="4" w:space="0"/>
              <w:right w:val="single" w:color="auto" w:sz="4" w:space="0"/>
            </w:tcBorders>
            <w:noWrap w:val="0"/>
            <w:vAlign w:val="center"/>
          </w:tcPr>
          <w:p>
            <w:pPr>
              <w:spacing w:line="560" w:lineRule="exact"/>
              <w:ind w:firstLine="360" w:firstLineChars="150"/>
              <w:rPr>
                <w:rFonts w:ascii="宋体" w:hAnsi="宋体"/>
                <w:color w:val="auto"/>
                <w:highlight w:val="none"/>
              </w:rPr>
            </w:pPr>
          </w:p>
        </w:tc>
        <w:tc>
          <w:tcPr>
            <w:tcW w:w="248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ascii="宋体" w:hAnsi="宋体"/>
                <w:color w:val="auto"/>
                <w:highlight w:val="none"/>
              </w:rPr>
            </w:pPr>
            <w:r>
              <w:rPr>
                <w:rFonts w:hint="eastAsia" w:ascii="宋体" w:hAnsi="宋体"/>
                <w:color w:val="auto"/>
                <w:highlight w:val="none"/>
              </w:rPr>
              <w:t>工程竣工验收、结算、移交</w:t>
            </w:r>
          </w:p>
        </w:tc>
        <w:tc>
          <w:tcPr>
            <w:tcW w:w="485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宋体" w:hAnsi="宋体"/>
                <w:color w:val="auto"/>
                <w:highlight w:val="none"/>
              </w:rPr>
            </w:pPr>
            <w:r>
              <w:rPr>
                <w:rFonts w:hint="eastAsia" w:ascii="宋体" w:hAnsi="宋体"/>
                <w:color w:val="auto"/>
                <w:highlight w:val="none"/>
              </w:rPr>
              <w:t>验收、结算、移交的合理组织和配合</w:t>
            </w:r>
            <w:r>
              <w:rPr>
                <w:rFonts w:hint="eastAsia" w:ascii="宋体" w:hAnsi="宋体" w:cs="Arial"/>
                <w:color w:val="auto"/>
                <w:highlight w:val="none"/>
              </w:rPr>
              <w:t>【0.6-1分】</w:t>
            </w:r>
          </w:p>
        </w:tc>
      </w:tr>
    </w:tbl>
    <w:p>
      <w:pPr>
        <w:pStyle w:val="59"/>
        <w:snapToGrid w:val="0"/>
        <w:spacing w:line="360" w:lineRule="auto"/>
        <w:ind w:left="562"/>
        <w:rPr>
          <w:rFonts w:ascii="宋体" w:hAnsi="宋体" w:cs="宋体"/>
          <w:b/>
          <w:color w:val="auto"/>
          <w:highlight w:val="none"/>
        </w:rPr>
      </w:pPr>
    </w:p>
    <w:p>
      <w:pPr>
        <w:pStyle w:val="59"/>
        <w:snapToGrid w:val="0"/>
        <w:spacing w:line="360" w:lineRule="auto"/>
        <w:ind w:left="562"/>
        <w:outlineLvl w:val="2"/>
        <w:rPr>
          <w:rFonts w:ascii="宋体" w:hAnsi="宋体" w:cs="宋体"/>
          <w:b/>
          <w:color w:val="auto"/>
          <w:highlight w:val="none"/>
        </w:rPr>
      </w:pPr>
      <w:bookmarkStart w:id="141" w:name="_Toc14113"/>
      <w:r>
        <w:rPr>
          <w:rFonts w:hint="eastAsia" w:ascii="宋体" w:hAnsi="宋体" w:cs="宋体"/>
          <w:b/>
          <w:color w:val="auto"/>
          <w:highlight w:val="none"/>
        </w:rPr>
        <w:t>（三）资信标评审（10分）</w:t>
      </w:r>
      <w:bookmarkEnd w:id="141"/>
    </w:p>
    <w:p>
      <w:pPr>
        <w:pStyle w:val="42"/>
        <w:spacing w:line="360" w:lineRule="auto"/>
        <w:ind w:firstLine="0" w:firstLineChars="0"/>
        <w:rPr>
          <w:rFonts w:ascii="宋体" w:hAnsi="宋体"/>
          <w:i/>
          <w:iCs/>
          <w:color w:val="auto"/>
          <w:szCs w:val="24"/>
          <w:highlight w:val="none"/>
        </w:rPr>
      </w:pPr>
      <w:r>
        <w:rPr>
          <w:rFonts w:hint="eastAsia" w:ascii="宋体" w:hAnsi="宋体"/>
          <w:color w:val="auto"/>
          <w:highlight w:val="none"/>
        </w:rPr>
        <w:t>评标委员会对通过资格审查、技术标评审、初步评审的投标文件进行资信评审。</w:t>
      </w:r>
    </w:p>
    <w:p>
      <w:pPr>
        <w:spacing w:line="560" w:lineRule="exact"/>
        <w:jc w:val="center"/>
        <w:rPr>
          <w:rFonts w:ascii="宋体" w:hAnsi="宋体" w:cs="宋体"/>
          <w:b/>
          <w:color w:val="auto"/>
          <w:highlight w:val="none"/>
        </w:rPr>
      </w:pPr>
      <w:r>
        <w:rPr>
          <w:rFonts w:hint="eastAsia" w:ascii="宋体" w:hAnsi="宋体" w:cs="宋体"/>
          <w:b/>
          <w:color w:val="auto"/>
          <w:highlight w:val="none"/>
        </w:rPr>
        <w:t>资信评审因素表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77"/>
        <w:gridCol w:w="6065"/>
        <w:gridCol w:w="9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77" w:type="dxa"/>
            <w:noWrap w:val="0"/>
            <w:vAlign w:val="top"/>
          </w:tcPr>
          <w:p>
            <w:pPr>
              <w:widowControl/>
              <w:spacing w:line="560" w:lineRule="exact"/>
              <w:jc w:val="center"/>
              <w:rPr>
                <w:rFonts w:ascii="宋体" w:hAnsi="宋体"/>
                <w:b/>
                <w:color w:val="auto"/>
                <w:spacing w:val="-12"/>
                <w:highlight w:val="none"/>
              </w:rPr>
            </w:pPr>
            <w:r>
              <w:rPr>
                <w:rFonts w:hint="eastAsia" w:ascii="宋体" w:hAnsi="宋体"/>
                <w:b/>
                <w:color w:val="auto"/>
                <w:spacing w:val="-12"/>
                <w:highlight w:val="none"/>
              </w:rPr>
              <w:t>评审因素</w:t>
            </w:r>
          </w:p>
        </w:tc>
        <w:tc>
          <w:tcPr>
            <w:tcW w:w="6065" w:type="dxa"/>
            <w:noWrap w:val="0"/>
            <w:vAlign w:val="top"/>
          </w:tcPr>
          <w:p>
            <w:pPr>
              <w:widowControl/>
              <w:spacing w:line="560" w:lineRule="exact"/>
              <w:jc w:val="center"/>
              <w:rPr>
                <w:rFonts w:ascii="宋体" w:hAnsi="宋体"/>
                <w:b/>
                <w:color w:val="auto"/>
                <w:spacing w:val="-12"/>
                <w:highlight w:val="none"/>
              </w:rPr>
            </w:pPr>
            <w:r>
              <w:rPr>
                <w:rFonts w:hint="eastAsia" w:ascii="宋体" w:hAnsi="宋体"/>
                <w:b/>
                <w:color w:val="auto"/>
                <w:spacing w:val="-12"/>
                <w:highlight w:val="none"/>
              </w:rPr>
              <w:t>内容</w:t>
            </w:r>
          </w:p>
        </w:tc>
        <w:tc>
          <w:tcPr>
            <w:tcW w:w="926" w:type="dxa"/>
            <w:noWrap w:val="0"/>
            <w:vAlign w:val="top"/>
          </w:tcPr>
          <w:p>
            <w:pPr>
              <w:widowControl/>
              <w:spacing w:line="560" w:lineRule="exact"/>
              <w:jc w:val="center"/>
              <w:rPr>
                <w:rFonts w:ascii="宋体" w:hAnsi="宋体"/>
                <w:b/>
                <w:color w:val="auto"/>
                <w:spacing w:val="-12"/>
                <w:highlight w:val="none"/>
              </w:rPr>
            </w:pPr>
            <w:r>
              <w:rPr>
                <w:rFonts w:hint="eastAsia" w:ascii="宋体" w:hAnsi="宋体"/>
                <w:b/>
                <w:color w:val="auto"/>
                <w:spacing w:val="-12"/>
                <w:highlight w:val="none"/>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77" w:type="dxa"/>
            <w:vMerge w:val="restart"/>
            <w:noWrap w:val="0"/>
            <w:vAlign w:val="center"/>
          </w:tcPr>
          <w:p>
            <w:pPr>
              <w:widowControl/>
              <w:spacing w:line="560" w:lineRule="exact"/>
              <w:rPr>
                <w:rFonts w:ascii="宋体" w:hAnsi="宋体"/>
                <w:color w:val="auto"/>
                <w:spacing w:val="-12"/>
                <w:highlight w:val="none"/>
              </w:rPr>
            </w:pPr>
            <w:r>
              <w:rPr>
                <w:rFonts w:hint="eastAsia" w:ascii="宋体" w:hAnsi="宋体"/>
                <w:color w:val="auto"/>
                <w:spacing w:val="-12"/>
                <w:highlight w:val="none"/>
              </w:rPr>
              <w:t>类似工程业绩</w:t>
            </w:r>
          </w:p>
        </w:tc>
        <w:tc>
          <w:tcPr>
            <w:tcW w:w="6065" w:type="dxa"/>
            <w:noWrap w:val="0"/>
            <w:vAlign w:val="center"/>
          </w:tcPr>
          <w:p>
            <w:pPr>
              <w:widowControl/>
              <w:spacing w:line="560" w:lineRule="exact"/>
              <w:rPr>
                <w:rFonts w:hint="eastAsia" w:ascii="宋体" w:hAnsi="宋体"/>
                <w:color w:val="auto"/>
                <w:spacing w:val="-12"/>
                <w:highlight w:val="none"/>
              </w:rPr>
            </w:pPr>
            <w:r>
              <w:rPr>
                <w:rFonts w:hint="eastAsia" w:ascii="宋体" w:hAnsi="宋体"/>
                <w:color w:val="auto"/>
                <w:spacing w:val="-12"/>
                <w:highlight w:val="none"/>
              </w:rPr>
              <w:t>企业</w:t>
            </w:r>
            <w:r>
              <w:rPr>
                <w:rFonts w:hint="eastAsia" w:ascii="宋体" w:hAnsi="宋体"/>
                <w:color w:val="auto"/>
                <w:szCs w:val="21"/>
                <w:highlight w:val="none"/>
              </w:rPr>
              <w:t>总承包</w:t>
            </w:r>
            <w:r>
              <w:rPr>
                <w:rFonts w:hint="eastAsia" w:ascii="宋体" w:hAnsi="宋体"/>
                <w:color w:val="auto"/>
                <w:spacing w:val="-12"/>
                <w:highlight w:val="none"/>
              </w:rPr>
              <w:t>业绩：1、自2017年</w:t>
            </w:r>
            <w:r>
              <w:rPr>
                <w:rFonts w:hint="eastAsia" w:ascii="宋体" w:hAnsi="宋体"/>
                <w:color w:val="auto"/>
                <w:spacing w:val="-12"/>
                <w:highlight w:val="none"/>
                <w:lang w:val="en-US" w:eastAsia="zh-CN"/>
              </w:rPr>
              <w:t>7</w:t>
            </w:r>
            <w:r>
              <w:rPr>
                <w:rFonts w:hint="eastAsia" w:ascii="宋体" w:hAnsi="宋体"/>
                <w:color w:val="auto"/>
                <w:spacing w:val="-12"/>
                <w:highlight w:val="none"/>
              </w:rPr>
              <w:t>月1日以来（以合同签订时间为准），投标人以工程总承包模式或施工总承包模式承接过房屋建筑工程项目（单个合同总建筑面积在20万平方米及以上）的，每个项目得0.5分，最高得1分。</w:t>
            </w:r>
          </w:p>
          <w:p>
            <w:pPr>
              <w:widowControl/>
              <w:spacing w:line="560" w:lineRule="exact"/>
              <w:rPr>
                <w:rFonts w:hint="eastAsia" w:ascii="宋体" w:hAnsi="宋体"/>
                <w:color w:val="auto"/>
                <w:spacing w:val="-12"/>
                <w:highlight w:val="none"/>
              </w:rPr>
            </w:pPr>
            <w:r>
              <w:rPr>
                <w:rFonts w:hint="eastAsia" w:ascii="宋体" w:hAnsi="宋体"/>
                <w:color w:val="auto"/>
                <w:spacing w:val="-12"/>
                <w:highlight w:val="none"/>
              </w:rPr>
              <w:t>2、自2017年</w:t>
            </w:r>
            <w:r>
              <w:rPr>
                <w:rFonts w:hint="eastAsia" w:ascii="宋体" w:hAnsi="宋体"/>
                <w:color w:val="auto"/>
                <w:spacing w:val="-12"/>
                <w:highlight w:val="none"/>
                <w:lang w:val="en-US" w:eastAsia="zh-CN"/>
              </w:rPr>
              <w:t>7</w:t>
            </w:r>
            <w:r>
              <w:rPr>
                <w:rFonts w:hint="eastAsia" w:ascii="宋体" w:hAnsi="宋体"/>
                <w:color w:val="auto"/>
                <w:spacing w:val="-12"/>
                <w:highlight w:val="none"/>
              </w:rPr>
              <w:t>月1日以来（以竣工验收证明时间为准），投标人以工程总承包模式或施工总承包模式完成过房屋建筑工程项目（单个合同总建筑面积在20万平方米及以上）的，每个项目得0.5分，最高得1分。</w:t>
            </w:r>
          </w:p>
          <w:p>
            <w:pPr>
              <w:widowControl/>
              <w:spacing w:line="560" w:lineRule="exact"/>
              <w:rPr>
                <w:rFonts w:hint="eastAsia" w:ascii="宋体" w:hAnsi="宋体"/>
                <w:color w:val="auto"/>
                <w:spacing w:val="-12"/>
                <w:highlight w:val="none"/>
              </w:rPr>
            </w:pPr>
            <w:r>
              <w:rPr>
                <w:rFonts w:hint="eastAsia" w:ascii="宋体" w:hAnsi="宋体"/>
                <w:color w:val="auto"/>
                <w:spacing w:val="-12"/>
                <w:highlight w:val="none"/>
              </w:rPr>
              <w:t>【注：独立承接或以联合体牵头人身份承接的均可。同时提供经当地主管部门备案的中标通知书、合同关键页（合同签字盖章页、反映项目特征的关键页），完工业绩还需提供验收证明复印件加盖投标人公章作为业绩证明材料，否则不得分；类似业绩不包括改扩建及整治类工程】</w:t>
            </w:r>
          </w:p>
          <w:p>
            <w:pPr>
              <w:widowControl/>
              <w:spacing w:line="560" w:lineRule="exact"/>
              <w:rPr>
                <w:rFonts w:ascii="宋体" w:hAnsi="宋体"/>
                <w:color w:val="auto"/>
                <w:spacing w:val="-12"/>
                <w:highlight w:val="none"/>
              </w:rPr>
            </w:pPr>
            <w:r>
              <w:rPr>
                <w:rFonts w:hint="eastAsia" w:ascii="宋体" w:hAnsi="宋体"/>
                <w:color w:val="auto"/>
                <w:spacing w:val="-12"/>
                <w:highlight w:val="none"/>
              </w:rPr>
              <w:t>★注：1、以联合体形式参加本项目投标的，上述评分按联合体牵头人单位的业绩进行评审；2、工程总承包模式是指EPC（设计、施工、采购）模式3、同一业绩不重复计分。</w:t>
            </w:r>
          </w:p>
        </w:tc>
        <w:tc>
          <w:tcPr>
            <w:tcW w:w="926" w:type="dxa"/>
            <w:noWrap w:val="0"/>
            <w:vAlign w:val="center"/>
          </w:tcPr>
          <w:p>
            <w:pPr>
              <w:widowControl/>
              <w:spacing w:line="560" w:lineRule="exact"/>
              <w:jc w:val="center"/>
              <w:rPr>
                <w:rFonts w:ascii="宋体" w:hAnsi="宋体"/>
                <w:i/>
                <w:iCs/>
                <w:color w:val="auto"/>
                <w:spacing w:val="-12"/>
                <w:highlight w:val="none"/>
              </w:rPr>
            </w:pPr>
            <w:r>
              <w:rPr>
                <w:rFonts w:hint="eastAsia" w:ascii="宋体" w:hAnsi="宋体"/>
                <w:color w:val="auto"/>
                <w:spacing w:val="-12"/>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77" w:type="dxa"/>
            <w:vMerge w:val="continue"/>
            <w:noWrap w:val="0"/>
            <w:vAlign w:val="center"/>
          </w:tcPr>
          <w:p>
            <w:pPr>
              <w:widowControl/>
              <w:spacing w:line="560" w:lineRule="exact"/>
              <w:rPr>
                <w:rFonts w:ascii="宋体" w:hAnsi="宋体"/>
                <w:color w:val="auto"/>
                <w:spacing w:val="-12"/>
                <w:highlight w:val="none"/>
              </w:rPr>
            </w:pPr>
          </w:p>
        </w:tc>
        <w:tc>
          <w:tcPr>
            <w:tcW w:w="6065" w:type="dxa"/>
            <w:noWrap w:val="0"/>
            <w:vAlign w:val="center"/>
          </w:tcPr>
          <w:p>
            <w:pPr>
              <w:pStyle w:val="18"/>
              <w:spacing w:beforeAutospacing="0" w:afterAutospacing="0" w:line="400" w:lineRule="exact"/>
              <w:rPr>
                <w:rFonts w:hint="eastAsia" w:ascii="宋体" w:hAnsi="宋体" w:eastAsia="宋体" w:cs="Times New Roman"/>
                <w:color w:val="auto"/>
                <w:spacing w:val="-12"/>
                <w:szCs w:val="24"/>
                <w:highlight w:val="none"/>
              </w:rPr>
            </w:pPr>
            <w:r>
              <w:rPr>
                <w:rFonts w:hint="eastAsia" w:ascii="宋体" w:hAnsi="宋体" w:eastAsia="宋体" w:cs="Times New Roman"/>
                <w:color w:val="auto"/>
                <w:spacing w:val="-12"/>
                <w:highlight w:val="none"/>
              </w:rPr>
              <w:t>企</w:t>
            </w:r>
            <w:r>
              <w:rPr>
                <w:rFonts w:hint="eastAsia" w:ascii="宋体" w:hAnsi="宋体" w:eastAsia="宋体" w:cs="Times New Roman"/>
                <w:color w:val="auto"/>
                <w:spacing w:val="-12"/>
                <w:szCs w:val="24"/>
                <w:highlight w:val="none"/>
              </w:rPr>
              <w:t>业设计业绩1、自2017年</w:t>
            </w:r>
            <w:r>
              <w:rPr>
                <w:rFonts w:hint="eastAsia" w:ascii="宋体" w:hAnsi="宋体" w:eastAsia="宋体" w:cs="Times New Roman"/>
                <w:color w:val="auto"/>
                <w:spacing w:val="-12"/>
                <w:szCs w:val="24"/>
                <w:highlight w:val="none"/>
                <w:lang w:val="en-US" w:eastAsia="zh-CN"/>
              </w:rPr>
              <w:t>7</w:t>
            </w:r>
            <w:r>
              <w:rPr>
                <w:rFonts w:hint="eastAsia" w:ascii="宋体" w:hAnsi="宋体" w:eastAsia="宋体" w:cs="Times New Roman"/>
                <w:color w:val="auto"/>
                <w:spacing w:val="-12"/>
                <w:szCs w:val="24"/>
                <w:highlight w:val="none"/>
              </w:rPr>
              <w:t>月1日以来（以合同签订时间为准），投标人承接过房屋建筑工程项目（单个合同总建筑面积在20万平方米及以上）的全阶段（至少包含方案及施工图）设计任务的，每个项目得0.5分，最高得1分。</w:t>
            </w:r>
          </w:p>
          <w:p>
            <w:pPr>
              <w:pStyle w:val="18"/>
              <w:spacing w:beforeAutospacing="0" w:afterAutospacing="0" w:line="400" w:lineRule="exact"/>
              <w:rPr>
                <w:rFonts w:hint="eastAsia" w:ascii="宋体" w:hAnsi="宋体" w:eastAsia="宋体" w:cs="Times New Roman"/>
                <w:color w:val="auto"/>
                <w:spacing w:val="-12"/>
                <w:szCs w:val="24"/>
                <w:highlight w:val="none"/>
              </w:rPr>
            </w:pPr>
            <w:r>
              <w:rPr>
                <w:rFonts w:hint="eastAsia" w:ascii="宋体" w:hAnsi="宋体" w:eastAsia="宋体" w:cs="Times New Roman"/>
                <w:color w:val="auto"/>
                <w:spacing w:val="-12"/>
                <w:szCs w:val="24"/>
                <w:highlight w:val="none"/>
              </w:rPr>
              <w:t>2、自2017年</w:t>
            </w:r>
            <w:r>
              <w:rPr>
                <w:rFonts w:hint="eastAsia" w:ascii="宋体" w:hAnsi="宋体" w:eastAsia="宋体" w:cs="Times New Roman"/>
                <w:color w:val="auto"/>
                <w:spacing w:val="-12"/>
                <w:szCs w:val="24"/>
                <w:highlight w:val="none"/>
                <w:lang w:val="en-US" w:eastAsia="zh-CN"/>
              </w:rPr>
              <w:t>7</w:t>
            </w:r>
            <w:r>
              <w:rPr>
                <w:rFonts w:hint="eastAsia" w:ascii="宋体" w:hAnsi="宋体" w:eastAsia="宋体" w:cs="Times New Roman"/>
                <w:color w:val="auto"/>
                <w:spacing w:val="-12"/>
                <w:szCs w:val="24"/>
                <w:highlight w:val="none"/>
              </w:rPr>
              <w:t>月1日以来（以竣工验收证明时间为准），投标人完成过房屋建筑工程项目（单个合同总建筑面积在20万平方米及以上）的全阶段（至少包含方案及施工图）设计任务的，每个项目得0.5分，最高得1分。</w:t>
            </w:r>
          </w:p>
          <w:p>
            <w:pPr>
              <w:pStyle w:val="18"/>
              <w:spacing w:beforeAutospacing="0" w:afterAutospacing="0" w:line="400" w:lineRule="exact"/>
              <w:rPr>
                <w:rFonts w:hint="eastAsia" w:ascii="宋体" w:hAnsi="宋体" w:eastAsia="宋体" w:cs="Times New Roman"/>
                <w:color w:val="auto"/>
                <w:spacing w:val="-12"/>
                <w:szCs w:val="24"/>
                <w:highlight w:val="none"/>
              </w:rPr>
            </w:pPr>
            <w:r>
              <w:rPr>
                <w:rFonts w:hint="eastAsia" w:ascii="宋体" w:hAnsi="宋体" w:eastAsia="宋体" w:cs="Times New Roman"/>
                <w:color w:val="auto"/>
                <w:spacing w:val="-12"/>
                <w:szCs w:val="24"/>
                <w:highlight w:val="none"/>
              </w:rPr>
              <w:t>【注：业绩证明同时提供合同关键页（合同签字盖章页、反映项目特征的关键页），完工业绩还需提供验收证明复印件加盖投标人公章作为业绩证明材料，否则不得分；类似业绩不包括改扩建及整治类工程】</w:t>
            </w:r>
          </w:p>
          <w:p>
            <w:pPr>
              <w:widowControl/>
              <w:spacing w:line="560" w:lineRule="exact"/>
              <w:rPr>
                <w:rFonts w:ascii="宋体" w:hAnsi="宋体"/>
                <w:color w:val="auto"/>
                <w:spacing w:val="-12"/>
                <w:highlight w:val="none"/>
              </w:rPr>
            </w:pPr>
            <w:r>
              <w:rPr>
                <w:rFonts w:hint="eastAsia" w:ascii="宋体" w:hAnsi="宋体" w:eastAsia="宋体" w:cs="Times New Roman"/>
                <w:color w:val="auto"/>
                <w:spacing w:val="-12"/>
                <w:szCs w:val="24"/>
                <w:highlight w:val="none"/>
              </w:rPr>
              <w:t>★注：1、以联合体形式参加本项目投标的，上述评分按联合体成员单位的业绩进行评审；2、同一业绩不重复计分。</w:t>
            </w:r>
          </w:p>
        </w:tc>
        <w:tc>
          <w:tcPr>
            <w:tcW w:w="926" w:type="dxa"/>
            <w:noWrap w:val="0"/>
            <w:vAlign w:val="center"/>
          </w:tcPr>
          <w:p>
            <w:pPr>
              <w:widowControl/>
              <w:spacing w:line="560" w:lineRule="exact"/>
              <w:jc w:val="center"/>
              <w:rPr>
                <w:rFonts w:hint="eastAsia" w:ascii="宋体" w:hAnsi="宋体"/>
                <w:i/>
                <w:iCs/>
                <w:color w:val="auto"/>
                <w:spacing w:val="-12"/>
                <w:highlight w:val="none"/>
              </w:rPr>
            </w:pPr>
            <w:r>
              <w:rPr>
                <w:rFonts w:hint="eastAsia" w:ascii="宋体" w:hAnsi="宋体"/>
                <w:color w:val="auto"/>
                <w:spacing w:val="-12"/>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77" w:type="dxa"/>
            <w:noWrap w:val="0"/>
            <w:vAlign w:val="center"/>
          </w:tcPr>
          <w:p>
            <w:pPr>
              <w:widowControl/>
              <w:spacing w:line="560" w:lineRule="exact"/>
              <w:rPr>
                <w:rFonts w:ascii="宋体" w:hAnsi="宋体"/>
                <w:color w:val="auto"/>
                <w:spacing w:val="-12"/>
                <w:highlight w:val="none"/>
              </w:rPr>
            </w:pPr>
            <w:r>
              <w:rPr>
                <w:rFonts w:hint="eastAsia" w:ascii="宋体" w:hAnsi="宋体"/>
                <w:color w:val="auto"/>
                <w:spacing w:val="-12"/>
                <w:highlight w:val="none"/>
              </w:rPr>
              <w:t>项目负责人实力</w:t>
            </w:r>
          </w:p>
        </w:tc>
        <w:tc>
          <w:tcPr>
            <w:tcW w:w="6065" w:type="dxa"/>
            <w:noWrap w:val="0"/>
            <w:vAlign w:val="center"/>
          </w:tcPr>
          <w:p>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1、项目负责人自2017年</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月1日以来（以竣工验收报告时间为准），以施工项目负责人（或工程总承包项目经理）身份完成过房建项目（单个合同总建筑面积在20万平方米及以上）施工总承包（或工程总承包）业绩的，每个项目得1分，最高得1分。</w:t>
            </w:r>
          </w:p>
          <w:p>
            <w:pPr>
              <w:spacing w:line="40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注：同时提供省级及以上建筑市场监管公共服务系统查询页、经当地主管部门备案的中标通知书、工程总承包合同或施工总承包合同关键页（合同签字盖章页、反映项目特征的关键页）、工程竣工验收文件关键页复制件加盖投标人公章作为业绩证明材料，否则不得分。类似业绩不包括改扩建及整治类工程】</w:t>
            </w:r>
          </w:p>
          <w:p>
            <w:pPr>
              <w:numPr>
                <w:ilvl w:val="0"/>
                <w:numId w:val="18"/>
              </w:numPr>
              <w:spacing w:line="40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总项目负责人具备工程类副高级工程师职称的得0.5分，工程类正高级及以上工程师职称的得1分。</w:t>
            </w:r>
          </w:p>
          <w:p>
            <w:pPr>
              <w:widowControl/>
              <w:spacing w:line="560" w:lineRule="exact"/>
              <w:rPr>
                <w:rFonts w:ascii="宋体" w:hAnsi="宋体"/>
                <w:color w:val="auto"/>
                <w:spacing w:val="-12"/>
                <w:highlight w:val="none"/>
              </w:rPr>
            </w:pPr>
            <w:r>
              <w:rPr>
                <w:rFonts w:hint="eastAsia" w:ascii="宋体" w:hAnsi="宋体" w:eastAsia="宋体" w:cs="宋体"/>
                <w:color w:val="auto"/>
                <w:szCs w:val="21"/>
                <w:highlight w:val="none"/>
              </w:rPr>
              <w:t>【提供职称证书复制件加盖投标人公章作为证明材料，否则不得分】</w:t>
            </w:r>
          </w:p>
        </w:tc>
        <w:tc>
          <w:tcPr>
            <w:tcW w:w="926" w:type="dxa"/>
            <w:noWrap w:val="0"/>
            <w:vAlign w:val="center"/>
          </w:tcPr>
          <w:p>
            <w:pPr>
              <w:widowControl/>
              <w:spacing w:line="560" w:lineRule="exact"/>
              <w:jc w:val="center"/>
              <w:rPr>
                <w:rFonts w:ascii="宋体" w:hAnsi="宋体"/>
                <w:color w:val="auto"/>
                <w:spacing w:val="-12"/>
                <w:highlight w:val="none"/>
              </w:rPr>
            </w:pPr>
            <w:r>
              <w:rPr>
                <w:rFonts w:hint="eastAsia" w:ascii="宋体" w:hAnsi="宋体"/>
                <w:color w:val="auto"/>
                <w:spacing w:val="-12"/>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77" w:type="dxa"/>
            <w:noWrap w:val="0"/>
            <w:vAlign w:val="center"/>
          </w:tcPr>
          <w:p>
            <w:pPr>
              <w:widowControl/>
              <w:spacing w:line="560" w:lineRule="exact"/>
              <w:rPr>
                <w:rFonts w:hint="eastAsia" w:ascii="宋体" w:hAnsi="宋体"/>
                <w:color w:val="auto"/>
                <w:spacing w:val="-12"/>
                <w:highlight w:val="none"/>
              </w:rPr>
            </w:pPr>
            <w:r>
              <w:rPr>
                <w:rFonts w:hint="eastAsia" w:ascii="宋体" w:hAnsi="宋体"/>
                <w:color w:val="auto"/>
                <w:spacing w:val="-12"/>
                <w:highlight w:val="none"/>
              </w:rPr>
              <w:t>信用评分</w:t>
            </w:r>
          </w:p>
        </w:tc>
        <w:tc>
          <w:tcPr>
            <w:tcW w:w="6065" w:type="dxa"/>
            <w:noWrap w:val="0"/>
            <w:vAlign w:val="center"/>
          </w:tcPr>
          <w:p>
            <w:pPr>
              <w:spacing w:line="400" w:lineRule="exact"/>
              <w:rPr>
                <w:rFonts w:ascii="宋体" w:hAnsi="宋体"/>
                <w:color w:val="auto"/>
                <w:szCs w:val="21"/>
                <w:highlight w:val="none"/>
              </w:rPr>
            </w:pPr>
            <w:r>
              <w:rPr>
                <w:rFonts w:hint="eastAsia" w:ascii="宋体" w:hAnsi="宋体"/>
                <w:color w:val="auto"/>
                <w:szCs w:val="21"/>
                <w:highlight w:val="none"/>
              </w:rPr>
              <w:t>1、投标人具有有效的省级行政主管部门颁发的“守合同 重信用”等级证书：AAA级得1分，AA级得0.5分。最高得1分，不重复得分。</w:t>
            </w:r>
          </w:p>
          <w:p>
            <w:pPr>
              <w:widowControl/>
              <w:spacing w:line="560" w:lineRule="exact"/>
              <w:rPr>
                <w:rFonts w:hint="eastAsia" w:ascii="宋体" w:hAnsi="宋体"/>
                <w:color w:val="auto"/>
                <w:spacing w:val="-12"/>
                <w:highlight w:val="none"/>
              </w:rPr>
            </w:pPr>
            <w:r>
              <w:rPr>
                <w:rFonts w:hint="eastAsia" w:ascii="宋体" w:hAnsi="宋体"/>
                <w:color w:val="auto"/>
                <w:szCs w:val="21"/>
                <w:highlight w:val="none"/>
              </w:rPr>
              <w:t>【提供证明材料或者证明文件，否则不得分。按最高等级计分，不累计得分；★注：以联合体形式参加本项目投标的，上述评分按联合体牵头人单位的信用等级进行评审。 】</w:t>
            </w:r>
          </w:p>
        </w:tc>
        <w:tc>
          <w:tcPr>
            <w:tcW w:w="926" w:type="dxa"/>
            <w:noWrap w:val="0"/>
            <w:vAlign w:val="center"/>
          </w:tcPr>
          <w:p>
            <w:pPr>
              <w:widowControl/>
              <w:spacing w:line="560" w:lineRule="exact"/>
              <w:jc w:val="center"/>
              <w:rPr>
                <w:rFonts w:hint="eastAsia" w:ascii="宋体" w:hAnsi="宋体"/>
                <w:i/>
                <w:iCs/>
                <w:color w:val="auto"/>
                <w:spacing w:val="-12"/>
                <w:highlight w:val="none"/>
              </w:rPr>
            </w:pPr>
            <w:r>
              <w:rPr>
                <w:rFonts w:hint="eastAsia" w:ascii="宋体" w:hAnsi="宋体"/>
                <w:color w:val="auto"/>
                <w:spacing w:val="-12"/>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77" w:type="dxa"/>
            <w:noWrap w:val="0"/>
            <w:vAlign w:val="center"/>
          </w:tcPr>
          <w:p>
            <w:pPr>
              <w:widowControl/>
              <w:spacing w:line="560" w:lineRule="exact"/>
              <w:rPr>
                <w:rFonts w:ascii="宋体" w:hAnsi="宋体"/>
                <w:color w:val="auto"/>
                <w:spacing w:val="-12"/>
                <w:highlight w:val="none"/>
              </w:rPr>
            </w:pPr>
            <w:r>
              <w:rPr>
                <w:rFonts w:hint="eastAsia" w:ascii="宋体" w:hAnsi="宋体"/>
                <w:color w:val="auto"/>
                <w:spacing w:val="-12"/>
                <w:highlight w:val="none"/>
              </w:rPr>
              <w:t>项目负责人及项目管理班子人员能力</w:t>
            </w:r>
          </w:p>
        </w:tc>
        <w:tc>
          <w:tcPr>
            <w:tcW w:w="6065" w:type="dxa"/>
            <w:noWrap w:val="0"/>
            <w:vAlign w:val="center"/>
          </w:tcPr>
          <w:p>
            <w:pPr>
              <w:spacing w:line="400" w:lineRule="exact"/>
              <w:rPr>
                <w:rFonts w:ascii="宋体" w:hAnsi="宋体"/>
                <w:color w:val="auto"/>
                <w:szCs w:val="21"/>
                <w:highlight w:val="none"/>
              </w:rPr>
            </w:pPr>
            <w:r>
              <w:rPr>
                <w:rFonts w:hint="eastAsia" w:ascii="Arial" w:hAnsi="Arial" w:cs="Arial"/>
                <w:color w:val="auto"/>
                <w:szCs w:val="21"/>
                <w:highlight w:val="none"/>
              </w:rPr>
              <w:t>项目管理班子配备符合招标文件要求的基础上，</w:t>
            </w:r>
            <w:r>
              <w:rPr>
                <w:rFonts w:ascii="宋体" w:hAnsi="宋体" w:eastAsia="宋体" w:cs="宋体"/>
                <w:color w:val="auto"/>
                <w:sz w:val="24"/>
                <w:szCs w:val="24"/>
                <w:highlight w:val="none"/>
              </w:rPr>
              <w:t>每增加一个注册安全工程师且具有高级及以上职称的人员加1分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最高得1分</w:t>
            </w:r>
            <w:r>
              <w:rPr>
                <w:rFonts w:ascii="宋体" w:hAnsi="宋体" w:eastAsia="宋体" w:cs="宋体"/>
                <w:color w:val="auto"/>
                <w:sz w:val="24"/>
                <w:szCs w:val="24"/>
                <w:highlight w:val="none"/>
              </w:rPr>
              <w:t>；增加一个人防类专业高级及以上职称人员的加1 分，</w:t>
            </w:r>
            <w:r>
              <w:rPr>
                <w:rFonts w:hint="eastAsia" w:ascii="宋体" w:hAnsi="宋体" w:eastAsia="宋体" w:cs="宋体"/>
                <w:color w:val="auto"/>
                <w:sz w:val="24"/>
                <w:szCs w:val="24"/>
                <w:highlight w:val="none"/>
                <w:lang w:val="en-US" w:eastAsia="zh-CN"/>
              </w:rPr>
              <w:t>最高得1分；</w:t>
            </w:r>
            <w:r>
              <w:rPr>
                <w:rFonts w:ascii="宋体" w:hAnsi="宋体" w:eastAsia="宋体" w:cs="宋体"/>
                <w:color w:val="auto"/>
                <w:sz w:val="24"/>
                <w:szCs w:val="24"/>
                <w:highlight w:val="none"/>
              </w:rPr>
              <w:t>本项最多加2分</w:t>
            </w:r>
            <w:r>
              <w:rPr>
                <w:rFonts w:hint="eastAsia" w:ascii="Arial" w:hAnsi="Arial" w:cs="Arial"/>
                <w:color w:val="auto"/>
                <w:szCs w:val="21"/>
                <w:highlight w:val="none"/>
              </w:rPr>
              <w:t>。</w:t>
            </w:r>
          </w:p>
          <w:p>
            <w:pPr>
              <w:widowControl/>
              <w:spacing w:line="560" w:lineRule="exact"/>
              <w:rPr>
                <w:rFonts w:ascii="宋体" w:hAnsi="宋体"/>
                <w:color w:val="auto"/>
                <w:spacing w:val="-12"/>
                <w:highlight w:val="none"/>
              </w:rPr>
            </w:pPr>
            <w:r>
              <w:rPr>
                <w:rFonts w:hint="eastAsia" w:ascii="宋体" w:hAnsi="宋体"/>
                <w:color w:val="auto"/>
                <w:szCs w:val="21"/>
                <w:highlight w:val="none"/>
              </w:rPr>
              <w:t>【同时提供相应的执业资格证书或注册证书或职称证书、社保证明复印件加盖投标人公章作为证明材料，否则不得分。同一人只计一次分，不重复计分】</w:t>
            </w:r>
          </w:p>
        </w:tc>
        <w:tc>
          <w:tcPr>
            <w:tcW w:w="926" w:type="dxa"/>
            <w:noWrap w:val="0"/>
            <w:vAlign w:val="center"/>
          </w:tcPr>
          <w:p>
            <w:pPr>
              <w:widowControl/>
              <w:spacing w:line="560" w:lineRule="exact"/>
              <w:jc w:val="center"/>
              <w:rPr>
                <w:rFonts w:hint="eastAsia" w:ascii="宋体" w:hAnsi="宋体" w:eastAsia="宋体"/>
                <w:i/>
                <w:iCs/>
                <w:color w:val="auto"/>
                <w:spacing w:val="-12"/>
                <w:highlight w:val="none"/>
                <w:lang w:eastAsia="zh-CN"/>
              </w:rPr>
            </w:pPr>
            <w:r>
              <w:rPr>
                <w:rFonts w:hint="eastAsia" w:ascii="宋体" w:hAnsi="宋体"/>
                <w:color w:val="auto"/>
                <w:spacing w:val="-12"/>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77" w:type="dxa"/>
            <w:noWrap w:val="0"/>
            <w:vAlign w:val="center"/>
          </w:tcPr>
          <w:p>
            <w:pPr>
              <w:widowControl/>
              <w:spacing w:line="560" w:lineRule="exact"/>
              <w:rPr>
                <w:rFonts w:ascii="宋体" w:hAnsi="宋体"/>
                <w:color w:val="auto"/>
                <w:spacing w:val="-12"/>
                <w:highlight w:val="none"/>
              </w:rPr>
            </w:pPr>
            <w:r>
              <w:rPr>
                <w:rFonts w:hint="eastAsia" w:ascii="宋体" w:hAnsi="宋体"/>
                <w:color w:val="auto"/>
                <w:spacing w:val="-12"/>
                <w:highlight w:val="none"/>
              </w:rPr>
              <w:t>企业荣誉</w:t>
            </w:r>
          </w:p>
        </w:tc>
        <w:tc>
          <w:tcPr>
            <w:tcW w:w="6065" w:type="dxa"/>
            <w:noWrap w:val="0"/>
            <w:vAlign w:val="center"/>
          </w:tcPr>
          <w:p>
            <w:pPr>
              <w:spacing w:line="400" w:lineRule="exact"/>
              <w:rPr>
                <w:rFonts w:ascii="宋体" w:hAnsi="宋体"/>
                <w:color w:val="auto"/>
                <w:szCs w:val="21"/>
                <w:highlight w:val="none"/>
              </w:rPr>
            </w:pPr>
            <w:r>
              <w:rPr>
                <w:rFonts w:hint="eastAsia" w:ascii="宋体" w:hAnsi="宋体"/>
                <w:color w:val="auto"/>
                <w:szCs w:val="21"/>
                <w:highlight w:val="none"/>
              </w:rPr>
              <w:t>投标人自2017年</w:t>
            </w:r>
            <w:r>
              <w:rPr>
                <w:rFonts w:hint="eastAsia" w:ascii="宋体" w:hAnsi="宋体"/>
                <w:color w:val="auto"/>
                <w:szCs w:val="21"/>
                <w:highlight w:val="none"/>
                <w:lang w:val="en-US" w:eastAsia="zh-CN"/>
              </w:rPr>
              <w:t>7</w:t>
            </w:r>
            <w:r>
              <w:rPr>
                <w:rFonts w:hint="eastAsia" w:ascii="宋体" w:hAnsi="宋体"/>
                <w:color w:val="auto"/>
                <w:szCs w:val="21"/>
                <w:highlight w:val="none"/>
              </w:rPr>
              <w:t>月1日以来（以奖项证书颁发时间或获奖文件发布时间为准）承建的房建项目，并以施工总承包单位身份获得鲁班奖或詹天佑奖或国家级优质工程奖的得</w:t>
            </w:r>
            <w:r>
              <w:rPr>
                <w:rFonts w:hint="eastAsia" w:ascii="宋体" w:hAnsi="宋体"/>
                <w:color w:val="auto"/>
                <w:szCs w:val="21"/>
                <w:highlight w:val="none"/>
                <w:lang w:val="en-US" w:eastAsia="zh-CN"/>
              </w:rPr>
              <w:t>1</w:t>
            </w:r>
            <w:r>
              <w:rPr>
                <w:rFonts w:hint="eastAsia" w:ascii="宋体" w:hAnsi="宋体"/>
                <w:color w:val="auto"/>
                <w:szCs w:val="21"/>
                <w:highlight w:val="none"/>
              </w:rPr>
              <w:t>分、省级优质工程奖（如钱江杯、白玉兰杯或同级别奖项）的得</w:t>
            </w:r>
            <w:r>
              <w:rPr>
                <w:rFonts w:hint="eastAsia" w:ascii="宋体" w:hAnsi="宋体"/>
                <w:color w:val="auto"/>
                <w:szCs w:val="21"/>
                <w:highlight w:val="none"/>
                <w:lang w:val="en-US" w:eastAsia="zh-CN"/>
              </w:rPr>
              <w:t>0.5</w:t>
            </w:r>
            <w:r>
              <w:rPr>
                <w:rFonts w:hint="eastAsia" w:ascii="宋体" w:hAnsi="宋体"/>
                <w:color w:val="auto"/>
                <w:szCs w:val="21"/>
                <w:highlight w:val="none"/>
              </w:rPr>
              <w:t>分，本项只计一个项目的得分，最高得</w:t>
            </w:r>
            <w:r>
              <w:rPr>
                <w:rFonts w:hint="eastAsia" w:ascii="宋体" w:hAnsi="宋体"/>
                <w:color w:val="auto"/>
                <w:szCs w:val="21"/>
                <w:highlight w:val="none"/>
                <w:lang w:val="en-US" w:eastAsia="zh-CN"/>
              </w:rPr>
              <w:t>1</w:t>
            </w:r>
            <w:r>
              <w:rPr>
                <w:rFonts w:hint="eastAsia" w:ascii="宋体" w:hAnsi="宋体"/>
                <w:color w:val="auto"/>
                <w:szCs w:val="21"/>
                <w:highlight w:val="none"/>
              </w:rPr>
              <w:t>分。</w:t>
            </w:r>
          </w:p>
          <w:p>
            <w:pPr>
              <w:spacing w:line="400" w:lineRule="exact"/>
              <w:rPr>
                <w:rFonts w:ascii="宋体" w:hAnsi="宋体"/>
                <w:color w:val="auto"/>
                <w:szCs w:val="21"/>
                <w:highlight w:val="none"/>
              </w:rPr>
            </w:pPr>
            <w:r>
              <w:rPr>
                <w:rFonts w:hint="eastAsia" w:ascii="宋体" w:hAnsi="宋体"/>
                <w:color w:val="auto"/>
                <w:szCs w:val="21"/>
                <w:highlight w:val="none"/>
              </w:rPr>
              <w:t>【注：奖项指综合性奖项，各专业奖项不予得分。提供获奖证书或获奖文件复印件加盖投标人公章作为证明材料，否则不得分。同一项目按获得的最高奖项评分，不重复得分】</w:t>
            </w:r>
          </w:p>
          <w:p>
            <w:pPr>
              <w:widowControl/>
              <w:spacing w:line="560" w:lineRule="exact"/>
              <w:rPr>
                <w:rFonts w:ascii="宋体" w:hAnsi="宋体"/>
                <w:color w:val="auto"/>
                <w:spacing w:val="-12"/>
                <w:highlight w:val="none"/>
              </w:rPr>
            </w:pPr>
            <w:r>
              <w:rPr>
                <w:rFonts w:hint="eastAsia" w:ascii="宋体" w:hAnsi="宋体"/>
                <w:color w:val="auto"/>
                <w:szCs w:val="21"/>
                <w:highlight w:val="none"/>
              </w:rPr>
              <w:t>★注：以联合体形式参加本项目投标的，上述评分按联合体牵头人单位的奖项进行评审。</w:t>
            </w:r>
          </w:p>
        </w:tc>
        <w:tc>
          <w:tcPr>
            <w:tcW w:w="926" w:type="dxa"/>
            <w:noWrap w:val="0"/>
            <w:vAlign w:val="center"/>
          </w:tcPr>
          <w:p>
            <w:pPr>
              <w:widowControl/>
              <w:spacing w:line="560" w:lineRule="exact"/>
              <w:jc w:val="center"/>
              <w:rPr>
                <w:rFonts w:hint="eastAsia" w:ascii="宋体" w:hAnsi="宋体" w:eastAsia="宋体"/>
                <w:i/>
                <w:iCs/>
                <w:color w:val="auto"/>
                <w:spacing w:val="-12"/>
                <w:highlight w:val="none"/>
                <w:lang w:eastAsia="zh-CN"/>
              </w:rPr>
            </w:pPr>
            <w:r>
              <w:rPr>
                <w:rFonts w:hint="eastAsia" w:ascii="宋体" w:hAnsi="宋体"/>
                <w:color w:val="auto"/>
                <w:spacing w:val="-12"/>
                <w:highlight w:val="none"/>
                <w:lang w:val="en-US" w:eastAsia="zh-CN"/>
              </w:rPr>
              <w:t>1</w:t>
            </w:r>
          </w:p>
        </w:tc>
      </w:tr>
    </w:tbl>
    <w:p>
      <w:pPr>
        <w:pStyle w:val="42"/>
        <w:spacing w:line="360" w:lineRule="auto"/>
        <w:ind w:firstLine="480"/>
        <w:rPr>
          <w:rFonts w:ascii="宋体" w:hAnsi="宋体"/>
          <w:i/>
          <w:iCs/>
          <w:color w:val="auto"/>
          <w:szCs w:val="24"/>
          <w:highlight w:val="none"/>
        </w:rPr>
      </w:pPr>
    </w:p>
    <w:p>
      <w:pPr>
        <w:pStyle w:val="59"/>
        <w:snapToGrid w:val="0"/>
        <w:spacing w:line="360" w:lineRule="auto"/>
        <w:ind w:left="562"/>
        <w:outlineLvl w:val="2"/>
        <w:rPr>
          <w:rFonts w:ascii="宋体" w:hAnsi="宋体" w:cs="宋体"/>
          <w:b/>
          <w:color w:val="auto"/>
          <w:highlight w:val="none"/>
        </w:rPr>
      </w:pPr>
      <w:bookmarkStart w:id="142" w:name="_Toc15692"/>
      <w:r>
        <w:rPr>
          <w:rFonts w:hint="eastAsia" w:ascii="宋体" w:hAnsi="宋体" w:cs="宋体"/>
          <w:b/>
          <w:color w:val="auto"/>
          <w:highlight w:val="none"/>
        </w:rPr>
        <w:t>（四）商务标评审</w:t>
      </w:r>
      <w:bookmarkEnd w:id="142"/>
    </w:p>
    <w:p>
      <w:pPr>
        <w:spacing w:line="360" w:lineRule="auto"/>
        <w:rPr>
          <w:rFonts w:ascii="宋体" w:hAnsi="宋体" w:cs="宋体"/>
          <w:color w:val="auto"/>
          <w:highlight w:val="none"/>
        </w:rPr>
      </w:pPr>
      <w:r>
        <w:rPr>
          <w:rFonts w:hint="eastAsia" w:ascii="宋体" w:hAnsi="宋体" w:cs="宋体"/>
          <w:color w:val="auto"/>
          <w:highlight w:val="none"/>
        </w:rPr>
        <w:t xml:space="preserve">    1、商务标评审是对投标文件中价格清单的范围、数量、报价进行全面审核和对比分析。投标文件存在投标须知前附表10.1情形之一的，评标委员会组织投标人询问核实后，情况属实的，商务标评审不予通过，否决其投标，不再进入后续评审程序。</w:t>
      </w:r>
    </w:p>
    <w:p>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2、商务标评分（50分）</w:t>
      </w:r>
    </w:p>
    <w:p>
      <w:pPr>
        <w:snapToGrid w:val="0"/>
        <w:spacing w:line="360" w:lineRule="auto"/>
        <w:ind w:left="240" w:leftChars="100" w:firstLine="240" w:firstLineChars="100"/>
        <w:rPr>
          <w:rFonts w:hint="eastAsia" w:ascii="宋体" w:hAnsi="宋体" w:cs="宋体"/>
          <w:color w:val="auto"/>
          <w:highlight w:val="none"/>
        </w:rPr>
      </w:pPr>
      <w:r>
        <w:rPr>
          <w:rFonts w:hint="eastAsia" w:ascii="宋体" w:hAnsi="宋体" w:cs="宋体"/>
          <w:color w:val="auto"/>
          <w:highlight w:val="none"/>
        </w:rPr>
        <w:t>投标报价等于评标基准价时，商务评分为满分；投标报价每高于评标基准价1%扣</w:t>
      </w:r>
      <w:r>
        <w:rPr>
          <w:rFonts w:hint="eastAsia" w:ascii="宋体" w:hAnsi="宋体" w:cs="宋体"/>
          <w:color w:val="auto"/>
          <w:highlight w:val="none"/>
          <w:u w:val="single"/>
        </w:rPr>
        <w:t xml:space="preserve"> </w:t>
      </w:r>
      <w:r>
        <w:rPr>
          <w:rFonts w:hint="eastAsia" w:ascii="宋体" w:hAnsi="宋体" w:cs="宋体"/>
          <w:i/>
          <w:iCs/>
          <w:color w:val="auto"/>
          <w:highlight w:val="none"/>
          <w:u w:val="single"/>
          <w:lang w:val="en-US" w:eastAsia="zh-CN"/>
        </w:rPr>
        <w:t>0.4</w:t>
      </w:r>
      <w:r>
        <w:rPr>
          <w:rFonts w:hint="eastAsia" w:ascii="宋体" w:hAnsi="宋体" w:cs="宋体"/>
          <w:color w:val="auto"/>
          <w:highlight w:val="none"/>
        </w:rPr>
        <w:t>分；每低于评标基准价1%扣</w:t>
      </w:r>
      <w:r>
        <w:rPr>
          <w:rFonts w:hint="eastAsia" w:ascii="宋体" w:hAnsi="宋体" w:cs="宋体"/>
          <w:color w:val="auto"/>
          <w:highlight w:val="none"/>
          <w:u w:val="single"/>
        </w:rPr>
        <w:t xml:space="preserve"> </w:t>
      </w:r>
      <w:r>
        <w:rPr>
          <w:rFonts w:hint="eastAsia" w:ascii="宋体" w:hAnsi="宋体" w:cs="宋体"/>
          <w:i/>
          <w:iCs/>
          <w:color w:val="auto"/>
          <w:highlight w:val="none"/>
          <w:u w:val="single"/>
          <w:lang w:val="en-US" w:eastAsia="zh-CN"/>
        </w:rPr>
        <w:t>0.2</w:t>
      </w:r>
      <w:r>
        <w:rPr>
          <w:rFonts w:hint="eastAsia" w:ascii="宋体" w:hAnsi="宋体" w:cs="宋体"/>
          <w:i/>
          <w:iCs/>
          <w:color w:val="auto"/>
          <w:highlight w:val="none"/>
          <w:u w:val="single"/>
        </w:rPr>
        <w:t xml:space="preserve"> </w:t>
      </w:r>
      <w:r>
        <w:rPr>
          <w:rFonts w:hint="eastAsia" w:ascii="宋体" w:hAnsi="宋体" w:cs="宋体"/>
          <w:color w:val="auto"/>
          <w:highlight w:val="none"/>
        </w:rPr>
        <w:t>分。不足一个百分点时，使用直线插入法计算，结果四舍五入保留两位小数。</w:t>
      </w:r>
    </w:p>
    <w:p>
      <w:pPr>
        <w:snapToGrid w:val="0"/>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评标基准价确定方法：</w:t>
      </w:r>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当投标单位的投标总价高于投标总价最高投标限价×（1-X）时，则该报价为无效投标报价，其余为有效投标报价。</w:t>
      </w:r>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凡有效投标报价低于平均报价（平均报价的计算方法为全部有效投标报价去掉一个最高和一个最低报价后的算术平均价，当有效投标报价在3家及以下时，平均报价的计算方法为全部有效投标报价的算术平均值）8％及以上，其投标作无效标处理。有效投标报价中去除无效标后，剩余为有效投标。</w:t>
      </w:r>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凡有效投标低于平均报价5％一8％（含5%，不含8%）区间范围的，称为有效低价投标，剩余的统称为有效合理投标。</w:t>
      </w:r>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评标基准价=全部有效合理投标的平均值×（1-Y）</w:t>
      </w:r>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平均值的计算方法为全部有效合理投标中去掉一个最高值和一个最低值后的算术平均值，当有效合理投标在7家及以下时，平均报价的计算方法为全部有效合理投标的算术平均值）</w:t>
      </w:r>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 xml:space="preserve">评标基准价以元为单位表示，四舍五入保留到个位。  </w:t>
      </w:r>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X值在</w:t>
      </w:r>
      <w:r>
        <w:rPr>
          <w:rFonts w:hint="eastAsia" w:ascii="宋体" w:hAnsi="宋体" w:cs="宋体"/>
          <w:b/>
          <w:bCs/>
          <w:color w:val="auto"/>
          <w:highlight w:val="none"/>
        </w:rPr>
        <w:t>4%、4.5%、5%</w:t>
      </w:r>
      <w:r>
        <w:rPr>
          <w:rFonts w:hint="eastAsia" w:ascii="宋体" w:hAnsi="宋体" w:cs="宋体"/>
          <w:color w:val="auto"/>
          <w:highlight w:val="none"/>
        </w:rPr>
        <w:t>三个数值中随机抽取一个；Y值在</w:t>
      </w:r>
      <w:r>
        <w:rPr>
          <w:rFonts w:hint="eastAsia" w:ascii="宋体" w:hAnsi="宋体" w:cs="宋体"/>
          <w:b/>
          <w:bCs/>
          <w:color w:val="auto"/>
          <w:highlight w:val="none"/>
        </w:rPr>
        <w:t>0.5%、1%、1.5%</w:t>
      </w:r>
      <w:r>
        <w:rPr>
          <w:rFonts w:hint="eastAsia" w:ascii="宋体" w:hAnsi="宋体" w:cs="宋体"/>
          <w:color w:val="auto"/>
          <w:highlight w:val="none"/>
        </w:rPr>
        <w:t>三个数值中随机抽取一个。</w:t>
      </w:r>
    </w:p>
    <w:p>
      <w:pPr>
        <w:spacing w:line="360" w:lineRule="auto"/>
        <w:ind w:firstLine="480" w:firstLineChars="200"/>
        <w:rPr>
          <w:rFonts w:hint="eastAsia" w:ascii="宋体" w:hAnsi="宋体" w:cs="宋体"/>
          <w:color w:val="auto"/>
          <w:highlight w:val="none"/>
        </w:rPr>
      </w:pPr>
      <w:r>
        <w:rPr>
          <w:rFonts w:hint="eastAsia" w:ascii="宋体" w:hAnsi="宋体" w:cs="宋体"/>
          <w:bCs/>
          <w:color w:val="auto"/>
          <w:szCs w:val="21"/>
          <w:highlight w:val="none"/>
        </w:rPr>
        <w:t>评标基准价由评标委员会进行计算、复核并签字确认。除计算差错外，确认后的评标基准价在本次招标期间保持不变（计算错误，仅限于以下两种情况：a.纯算术性四则运算错误；b.未按约定的计算方法，多计或者少计投标人报价的。由于评审差错，导致否决投标错误，重新评标纠正等其他情况，不属于计算差错）。</w:t>
      </w:r>
    </w:p>
    <w:p>
      <w:pPr>
        <w:pStyle w:val="42"/>
        <w:spacing w:line="560" w:lineRule="exact"/>
        <w:ind w:firstLine="0" w:firstLineChars="0"/>
        <w:jc w:val="center"/>
        <w:rPr>
          <w:rFonts w:hint="eastAsia" w:ascii="宋体" w:hAnsi="宋体"/>
          <w:b/>
          <w:color w:val="auto"/>
          <w:szCs w:val="24"/>
          <w:highlight w:val="none"/>
        </w:rPr>
      </w:pPr>
    </w:p>
    <w:p>
      <w:pPr>
        <w:pStyle w:val="59"/>
        <w:snapToGrid w:val="0"/>
        <w:spacing w:line="360" w:lineRule="auto"/>
        <w:ind w:left="562"/>
        <w:outlineLvl w:val="2"/>
        <w:rPr>
          <w:rFonts w:ascii="宋体" w:hAnsi="宋体" w:cs="宋体"/>
          <w:b/>
          <w:color w:val="auto"/>
          <w:highlight w:val="none"/>
        </w:rPr>
      </w:pPr>
      <w:bookmarkStart w:id="143" w:name="_Toc22416"/>
      <w:r>
        <w:rPr>
          <w:rFonts w:hint="eastAsia" w:ascii="宋体" w:hAnsi="宋体" w:cs="宋体"/>
          <w:b/>
          <w:color w:val="auto"/>
          <w:highlight w:val="none"/>
        </w:rPr>
        <w:t>（五）推荐中标候选人</w:t>
      </w:r>
      <w:bookmarkEnd w:id="143"/>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评标委员会对投标人按总分从高到低进行排序，并按照排序推荐中标候选人。如总分相同的，以投标报价低的优先；投标报价仍相同的，以资信标排名靠前的优先；资信标排名仍相同的，以技术标排名靠前的优先；上述均相同的，由评标委员会现场抽签确定。</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rPr>
        <w:t>当有效投标人＜3个时，评标委员会应判定本次投标是否具有竞争力。若评标委员会认为本次投标明显缺乏竞争的，可以否决全部投标。</w:t>
      </w:r>
    </w:p>
    <w:p>
      <w:pPr>
        <w:spacing w:line="360" w:lineRule="auto"/>
        <w:jc w:val="center"/>
        <w:rPr>
          <w:rFonts w:ascii="宋体" w:hAnsi="宋体" w:cs="宋体"/>
          <w:b/>
          <w:bCs/>
          <w:color w:val="auto"/>
          <w:sz w:val="32"/>
          <w:szCs w:val="32"/>
          <w:highlight w:val="none"/>
        </w:rPr>
      </w:pPr>
    </w:p>
    <w:p>
      <w:pPr>
        <w:rPr>
          <w:color w:val="auto"/>
          <w:highlight w:val="none"/>
        </w:rPr>
      </w:pPr>
      <w:r>
        <w:rPr>
          <w:rFonts w:hint="eastAsia" w:ascii="宋体" w:hAnsi="宋体" w:cs="宋体"/>
          <w:b/>
          <w:bCs/>
          <w:color w:val="auto"/>
          <w:kern w:val="44"/>
          <w:sz w:val="44"/>
          <w:szCs w:val="44"/>
          <w:highlight w:val="none"/>
        </w:rPr>
        <w:br w:type="page"/>
      </w:r>
    </w:p>
    <w:bookmarkEnd w:id="135"/>
    <w:bookmarkEnd w:id="136"/>
    <w:p>
      <w:pPr>
        <w:kinsoku w:val="0"/>
        <w:overflowPunct w:val="0"/>
        <w:spacing w:line="360" w:lineRule="auto"/>
        <w:ind w:firstLine="883" w:firstLineChars="200"/>
        <w:jc w:val="center"/>
        <w:outlineLvl w:val="0"/>
        <w:rPr>
          <w:rFonts w:ascii="宋体" w:hAnsi="宋体" w:cs="宋体"/>
          <w:b/>
          <w:bCs/>
          <w:color w:val="auto"/>
          <w:kern w:val="44"/>
          <w:sz w:val="44"/>
          <w:szCs w:val="44"/>
          <w:highlight w:val="none"/>
        </w:rPr>
      </w:pPr>
      <w:bookmarkStart w:id="144" w:name="_Toc2728"/>
      <w:r>
        <w:rPr>
          <w:rFonts w:hint="eastAsia" w:ascii="宋体" w:hAnsi="宋体" w:cs="宋体"/>
          <w:b/>
          <w:bCs/>
          <w:color w:val="auto"/>
          <w:kern w:val="44"/>
          <w:sz w:val="44"/>
          <w:szCs w:val="44"/>
          <w:highlight w:val="none"/>
        </w:rPr>
        <w:t>第四章 合同条款及格式</w:t>
      </w:r>
      <w:bookmarkEnd w:id="79"/>
      <w:bookmarkEnd w:id="80"/>
      <w:bookmarkEnd w:id="81"/>
      <w:bookmarkEnd w:id="144"/>
    </w:p>
    <w:p>
      <w:pPr>
        <w:pStyle w:val="3"/>
        <w:kinsoku w:val="0"/>
        <w:overflowPunct w:val="0"/>
        <w:spacing w:before="3"/>
        <w:ind w:firstLine="640" w:firstLineChars="200"/>
        <w:rPr>
          <w:rFonts w:ascii="宋体" w:hAnsi="宋体" w:cs="宋体"/>
          <w:color w:val="auto"/>
          <w:sz w:val="32"/>
          <w:highlight w:val="none"/>
        </w:rPr>
      </w:pPr>
      <w:bookmarkStart w:id="145" w:name="bookmark180"/>
      <w:bookmarkEnd w:id="145"/>
      <w:r>
        <w:rPr>
          <w:rFonts w:hint="eastAsia" w:ascii="宋体" w:hAnsi="宋体" w:cs="宋体"/>
          <w:color w:val="auto"/>
          <w:sz w:val="32"/>
          <w:highlight w:val="none"/>
        </w:rPr>
        <w:t>使用</w:t>
      </w:r>
      <w:r>
        <w:rPr>
          <w:rFonts w:hint="eastAsia" w:ascii="宋体" w:hAnsi="宋体" w:cs="宋体"/>
          <w:color w:val="auto"/>
          <w:sz w:val="30"/>
          <w:szCs w:val="30"/>
          <w:highlight w:val="none"/>
        </w:rPr>
        <w:t>住房城乡建设部、国家市场监督管理总局制定的《建设项目工程工程总承包合同（示范文本）》（GF-2020-0216）</w:t>
      </w:r>
      <w:r>
        <w:rPr>
          <w:rFonts w:hint="eastAsia" w:ascii="宋体" w:hAnsi="宋体" w:cs="宋体"/>
          <w:color w:val="auto"/>
          <w:sz w:val="32"/>
          <w:highlight w:val="none"/>
        </w:rPr>
        <w:t>。</w:t>
      </w:r>
    </w:p>
    <w:p>
      <w:pPr>
        <w:kinsoku w:val="0"/>
        <w:overflowPunct w:val="0"/>
        <w:spacing w:line="360" w:lineRule="auto"/>
        <w:ind w:firstLine="723" w:firstLineChars="200"/>
        <w:jc w:val="center"/>
        <w:outlineLvl w:val="1"/>
        <w:rPr>
          <w:rFonts w:hint="eastAsia" w:ascii="宋体" w:hAnsi="宋体" w:cs="宋体"/>
          <w:b/>
          <w:bCs/>
          <w:color w:val="auto"/>
          <w:kern w:val="44"/>
          <w:sz w:val="36"/>
          <w:szCs w:val="36"/>
          <w:highlight w:val="none"/>
        </w:rPr>
      </w:pPr>
      <w:bookmarkStart w:id="146" w:name="_Toc54862164"/>
      <w:r>
        <w:rPr>
          <w:rFonts w:hint="eastAsia" w:ascii="宋体" w:hAnsi="宋体" w:cs="宋体"/>
          <w:b/>
          <w:bCs/>
          <w:color w:val="auto"/>
          <w:kern w:val="44"/>
          <w:sz w:val="36"/>
          <w:szCs w:val="36"/>
          <w:highlight w:val="none"/>
        </w:rPr>
        <w:br w:type="page"/>
      </w:r>
      <w:bookmarkStart w:id="147" w:name="_Toc4901"/>
      <w:r>
        <w:rPr>
          <w:rFonts w:hint="eastAsia" w:ascii="宋体" w:hAnsi="宋体" w:cs="宋体"/>
          <w:b/>
          <w:bCs/>
          <w:color w:val="auto"/>
          <w:kern w:val="44"/>
          <w:sz w:val="36"/>
          <w:szCs w:val="36"/>
          <w:highlight w:val="none"/>
        </w:rPr>
        <w:t>第一部分 合同协议书</w:t>
      </w:r>
      <w:bookmarkEnd w:id="146"/>
      <w:bookmarkEnd w:id="147"/>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发包人（全称）：</w:t>
      </w:r>
      <w:r>
        <w:rPr>
          <w:rFonts w:ascii="仿宋_GB2312" w:eastAsia="仿宋_GB2312"/>
          <w:color w:val="auto"/>
          <w:sz w:val="28"/>
          <w:szCs w:val="28"/>
          <w:highlight w:val="none"/>
          <w:u w:val="single"/>
        </w:rPr>
        <w:t xml:space="preserve"> </w:t>
      </w:r>
      <w:r>
        <w:rPr>
          <w:rFonts w:hint="eastAsia" w:eastAsia="仿宋_GB2312" w:cs="宋体"/>
          <w:b/>
          <w:bCs/>
          <w:color w:val="auto"/>
          <w:sz w:val="28"/>
          <w:szCs w:val="28"/>
          <w:highlight w:val="none"/>
          <w:u w:val="single"/>
        </w:rPr>
        <w:t>湖州市南太湖未来社区建设发展有限公司</w:t>
      </w:r>
      <w:r>
        <w:rPr>
          <w:rFonts w:ascii="仿宋_GB2312" w:eastAsia="仿宋_GB2312"/>
          <w:color w:val="auto"/>
          <w:sz w:val="28"/>
          <w:szCs w:val="28"/>
          <w:highlight w:val="none"/>
          <w:u w:val="single"/>
        </w:rPr>
        <w:t xml:space="preserve">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承包人（全称）：</w:t>
      </w:r>
      <w:r>
        <w:rPr>
          <w:rFonts w:ascii="仿宋_GB2312" w:eastAsia="仿宋_GB2312"/>
          <w:color w:val="auto"/>
          <w:sz w:val="28"/>
          <w:szCs w:val="28"/>
          <w:highlight w:val="none"/>
          <w:u w:val="single"/>
        </w:rPr>
        <w:t xml:space="preserve">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根据《中华人民共和国民法典》、《中华人民共和国建筑法》及有关法律规定，遵循平等、自愿、公平和诚实信用的原则，双方就</w:t>
      </w:r>
      <w:r>
        <w:rPr>
          <w:rFonts w:hint="eastAsia" w:ascii="仿宋" w:hAnsi="仿宋" w:eastAsia="仿宋" w:cs="宋体"/>
          <w:b/>
          <w:bCs/>
          <w:color w:val="auto"/>
          <w:sz w:val="28"/>
          <w:szCs w:val="28"/>
          <w:highlight w:val="none"/>
          <w:u w:val="single"/>
          <w:lang w:val="zh-CN" w:bidi="zh-CN"/>
        </w:rPr>
        <w:t>湖州市南太湖新区太湖湾单元（TH-08-02）13E、14C、15B、16A-1、16A-2、16B、17A、17B-1、17B-2、17C、18B-1、18B-2、20B-1、20B-2、27E、28B-1、28B-2、29B、13E-1、20B-3号地块（长东未来社区）开发建设项目</w:t>
      </w:r>
      <w:r>
        <w:rPr>
          <w:rFonts w:hint="eastAsia" w:ascii="仿宋" w:hAnsi="仿宋" w:eastAsia="仿宋" w:cs="宋体"/>
          <w:b/>
          <w:bCs/>
          <w:color w:val="auto"/>
          <w:sz w:val="28"/>
          <w:szCs w:val="28"/>
          <w:highlight w:val="none"/>
          <w:u w:val="single"/>
          <w:lang w:val="en-US" w:bidi="zh-CN"/>
        </w:rPr>
        <w:t>工程总承包项目</w:t>
      </w:r>
      <w:r>
        <w:rPr>
          <w:rFonts w:hint="eastAsia" w:ascii="仿宋" w:hAnsi="仿宋" w:eastAsia="仿宋" w:cs="宋体"/>
          <w:b/>
          <w:bCs/>
          <w:color w:val="auto"/>
          <w:sz w:val="28"/>
          <w:szCs w:val="28"/>
          <w:highlight w:val="none"/>
          <w:u w:val="single"/>
          <w:lang w:val="zh-CN" w:bidi="zh-CN"/>
        </w:rPr>
        <w:t xml:space="preserve">  </w:t>
      </w:r>
      <w:r>
        <w:rPr>
          <w:rFonts w:hint="eastAsia" w:ascii="仿宋_GB2312" w:eastAsia="仿宋_GB2312"/>
          <w:color w:val="auto"/>
          <w:sz w:val="28"/>
          <w:szCs w:val="28"/>
          <w:highlight w:val="none"/>
        </w:rPr>
        <w:t>的工程总承包及有关事项协商一致，共同达成如下协议：</w:t>
      </w:r>
    </w:p>
    <w:p>
      <w:pPr>
        <w:pStyle w:val="57"/>
        <w:numPr>
          <w:ilvl w:val="0"/>
          <w:numId w:val="0"/>
        </w:numPr>
        <w:outlineLvl w:val="2"/>
        <w:rPr>
          <w:rFonts w:ascii="黑体" w:hAnsi="黑体" w:eastAsia="黑体"/>
          <w:b w:val="0"/>
          <w:color w:val="auto"/>
          <w:sz w:val="28"/>
          <w:szCs w:val="28"/>
          <w:highlight w:val="none"/>
        </w:rPr>
      </w:pPr>
      <w:bookmarkStart w:id="148" w:name="_Toc54862165"/>
      <w:bookmarkStart w:id="149" w:name="_Toc24074"/>
      <w:r>
        <w:rPr>
          <w:rFonts w:hint="eastAsia" w:ascii="黑体" w:hAnsi="黑体" w:eastAsia="黑体"/>
          <w:b w:val="0"/>
          <w:color w:val="auto"/>
          <w:sz w:val="28"/>
          <w:szCs w:val="28"/>
          <w:highlight w:val="none"/>
        </w:rPr>
        <w:t>一、工程概况</w:t>
      </w:r>
      <w:bookmarkEnd w:id="148"/>
      <w:bookmarkEnd w:id="149"/>
    </w:p>
    <w:p>
      <w:pPr>
        <w:ind w:firstLine="600"/>
        <w:rPr>
          <w:rFonts w:hint="eastAsia" w:ascii="仿宋" w:hAnsi="仿宋" w:eastAsia="仿宋" w:cs="宋体"/>
          <w:b/>
          <w:bCs/>
          <w:color w:val="auto"/>
          <w:sz w:val="28"/>
          <w:szCs w:val="28"/>
          <w:highlight w:val="none"/>
          <w:u w:val="single"/>
          <w:lang w:val="zh-CN" w:bidi="zh-CN"/>
        </w:rPr>
      </w:pPr>
      <w:r>
        <w:rPr>
          <w:rFonts w:hint="eastAsia" w:ascii="仿宋_GB2312" w:eastAsia="仿宋_GB2312"/>
          <w:color w:val="auto"/>
          <w:sz w:val="28"/>
          <w:szCs w:val="28"/>
          <w:highlight w:val="none"/>
        </w:rPr>
        <w:t>1. 工程名称：</w:t>
      </w:r>
      <w:r>
        <w:rPr>
          <w:rFonts w:ascii="仿宋_GB2312" w:eastAsia="仿宋_GB2312"/>
          <w:color w:val="auto"/>
          <w:sz w:val="28"/>
          <w:szCs w:val="28"/>
          <w:highlight w:val="none"/>
          <w:u w:val="single"/>
        </w:rPr>
        <w:t xml:space="preserve"> </w:t>
      </w:r>
      <w:r>
        <w:rPr>
          <w:rFonts w:hint="eastAsia" w:ascii="仿宋" w:hAnsi="仿宋" w:eastAsia="仿宋" w:cs="宋体"/>
          <w:b/>
          <w:bCs/>
          <w:color w:val="auto"/>
          <w:sz w:val="28"/>
          <w:szCs w:val="28"/>
          <w:highlight w:val="none"/>
          <w:u w:val="single"/>
          <w:lang w:val="zh-CN" w:bidi="zh-CN"/>
        </w:rPr>
        <w:t>湖州市南太湖新区太湖湾单元（TH-08-02）13E、14C、15B、16A-1、16A-2、16B、17A、17B-1、17B-2、17C、18B-1、18B-2、20B-1、20B-2、27E、28B-1、28B-2、29B、13E-1、20B-3号地块（长东未来社区）开发建设项目工程总承包项目。</w:t>
      </w:r>
    </w:p>
    <w:p>
      <w:pPr>
        <w:ind w:firstLine="600"/>
        <w:rPr>
          <w:rFonts w:hint="eastAsia" w:ascii="仿宋" w:hAnsi="仿宋" w:eastAsia="仿宋" w:cs="宋体"/>
          <w:b/>
          <w:bCs/>
          <w:color w:val="auto"/>
          <w:sz w:val="28"/>
          <w:szCs w:val="28"/>
          <w:highlight w:val="none"/>
          <w:u w:val="single"/>
          <w:lang w:val="zh-CN" w:bidi="zh-CN"/>
        </w:rPr>
      </w:pPr>
      <w:r>
        <w:rPr>
          <w:rFonts w:hint="eastAsia" w:ascii="仿宋_GB2312" w:eastAsia="仿宋_GB2312"/>
          <w:color w:val="auto"/>
          <w:sz w:val="28"/>
          <w:szCs w:val="28"/>
          <w:highlight w:val="none"/>
        </w:rPr>
        <w:t>2. 工程地点：</w:t>
      </w:r>
      <w:r>
        <w:rPr>
          <w:rFonts w:hint="eastAsia" w:ascii="仿宋" w:hAnsi="仿宋" w:eastAsia="仿宋" w:cs="宋体"/>
          <w:b/>
          <w:bCs/>
          <w:color w:val="auto"/>
          <w:sz w:val="28"/>
          <w:szCs w:val="28"/>
          <w:highlight w:val="none"/>
          <w:u w:val="single"/>
          <w:lang w:val="zh-CN" w:bidi="zh-CN"/>
        </w:rPr>
        <w:t xml:space="preserve"> 湖州南太湖新区太湖湾单元的未来社区片区，内部分成</w:t>
      </w:r>
      <w:r>
        <w:rPr>
          <w:rFonts w:hint="eastAsia" w:ascii="仿宋" w:hAnsi="仿宋" w:eastAsia="仿宋" w:cs="宋体"/>
          <w:b/>
          <w:bCs/>
          <w:color w:val="auto"/>
          <w:sz w:val="28"/>
          <w:szCs w:val="28"/>
          <w:highlight w:val="none"/>
          <w:u w:val="single"/>
          <w:lang w:bidi="zh-CN"/>
        </w:rPr>
        <w:t>20</w:t>
      </w:r>
      <w:r>
        <w:rPr>
          <w:rFonts w:hint="eastAsia" w:ascii="仿宋" w:hAnsi="仿宋" w:eastAsia="仿宋" w:cs="宋体"/>
          <w:b/>
          <w:bCs/>
          <w:color w:val="auto"/>
          <w:sz w:val="28"/>
          <w:szCs w:val="28"/>
          <w:highlight w:val="none"/>
          <w:u w:val="single"/>
          <w:lang w:val="zh-CN" w:bidi="zh-CN"/>
        </w:rPr>
        <w:t>个子地块，北侧为长东路，其他侧均临水。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3. 工程审批、核准或备案文号：</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4. 资金来源：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自筹</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spacing w:line="400" w:lineRule="exact"/>
        <w:ind w:firstLine="560" w:firstLineChars="200"/>
        <w:rPr>
          <w:rFonts w:hint="eastAsia"/>
          <w:color w:val="auto"/>
          <w:spacing w:val="-4"/>
          <w:sz w:val="28"/>
          <w:szCs w:val="28"/>
          <w:highlight w:val="none"/>
        </w:rPr>
      </w:pPr>
      <w:r>
        <w:rPr>
          <w:rFonts w:hint="eastAsia" w:ascii="仿宋_GB2312" w:eastAsia="仿宋_GB2312"/>
          <w:color w:val="auto"/>
          <w:sz w:val="28"/>
          <w:szCs w:val="28"/>
          <w:highlight w:val="none"/>
        </w:rPr>
        <w:t>5. 工程内容及规模：</w:t>
      </w:r>
      <w:r>
        <w:rPr>
          <w:rFonts w:hint="eastAsia" w:ascii="仿宋" w:hAnsi="仿宋" w:eastAsia="仿宋" w:cs="宋体"/>
          <w:b/>
          <w:bCs/>
          <w:color w:val="auto"/>
          <w:sz w:val="28"/>
          <w:szCs w:val="28"/>
          <w:highlight w:val="none"/>
          <w:u w:val="single"/>
          <w:lang w:val="zh-CN" w:bidi="zh-CN"/>
        </w:rPr>
        <w:t>建设内容主要包括住宅、人才公寓、配套商业、九大场景与双创空间</w:t>
      </w:r>
      <w:r>
        <w:rPr>
          <w:rFonts w:hint="eastAsia" w:ascii="仿宋" w:hAnsi="仿宋" w:eastAsia="仿宋" w:cs="宋体"/>
          <w:b/>
          <w:bCs/>
          <w:color w:val="auto"/>
          <w:sz w:val="28"/>
          <w:szCs w:val="28"/>
          <w:highlight w:val="none"/>
          <w:u w:val="single"/>
          <w:lang w:bidi="zh-CN"/>
        </w:rPr>
        <w:t>及代征绿地、规划道路、规划绿地、16B和17A地块公园、空中公共廊道（</w:t>
      </w:r>
      <w:r>
        <w:rPr>
          <w:rFonts w:hint="eastAsia" w:ascii="仿宋" w:hAnsi="仿宋" w:eastAsia="仿宋" w:cs="宋体"/>
          <w:b/>
          <w:bCs/>
          <w:color w:val="auto"/>
          <w:sz w:val="28"/>
          <w:szCs w:val="28"/>
          <w:highlight w:val="none"/>
          <w:u w:val="single"/>
          <w:lang w:val="en-US" w:bidi="zh-CN"/>
        </w:rPr>
        <w:t>见附件1</w:t>
      </w:r>
      <w:r>
        <w:rPr>
          <w:rFonts w:hint="eastAsia" w:ascii="仿宋" w:hAnsi="仿宋" w:eastAsia="仿宋" w:cs="宋体"/>
          <w:b/>
          <w:bCs/>
          <w:color w:val="auto"/>
          <w:sz w:val="28"/>
          <w:szCs w:val="28"/>
          <w:highlight w:val="none"/>
          <w:u w:val="single"/>
          <w:lang w:bidi="zh-CN"/>
        </w:rPr>
        <w:t>）</w:t>
      </w:r>
      <w:r>
        <w:rPr>
          <w:rFonts w:hint="eastAsia" w:ascii="仿宋" w:hAnsi="仿宋" w:eastAsia="仿宋" w:cs="宋体"/>
          <w:b/>
          <w:bCs/>
          <w:color w:val="auto"/>
          <w:sz w:val="28"/>
          <w:szCs w:val="28"/>
          <w:highlight w:val="none"/>
          <w:u w:val="single"/>
          <w:lang w:val="zh-CN" w:bidi="zh-CN"/>
        </w:rPr>
        <w:t>。本项目建筑面积按国家标准《GB/T 50353-2013》计算，总用地面积199902平方米，新增建筑总面积约624846平方米，其中地上建筑面积约442764平方米，地下建筑面积约182082平方米。其中住宅约328455平方米，人才公寓约70955平方米，九大场景与双创空间及配套商业约45449平方米（含地下文化活动中心兼运动场馆约2095平方米）。本项目建筑面积计算口径：按建筑工程建筑面积计算规范（GB/T50353-2013）计入。</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6. 工程承包范围：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本次招标范围为设计、施工、采购工程总承包，包括上述范围内的设计、采购、施工、管理、验收、移交、备案和保修服务，并对工程的质量、安全、工期、造价等全面负责。</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设计范围：本项目所涉及的施工图设计（含补勘）、各类专项设计、论证、BIM技术服务（仅包含地下室，具体技术要求详见招标文件）及后期施工全过程配合服务等。【包括但不限于建筑、结构、水电安装、暖通、幕墙、基坑、消防、人防、室外总布、景观绿化、小区周边市政绿化、部分空中公共廊道（见附件</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u w:val="single"/>
        </w:rPr>
        <w:t>）、装修、智能化专项设计、交通标识标牌、</w:t>
      </w:r>
      <w:r>
        <w:rPr>
          <w:rFonts w:hint="eastAsia" w:ascii="仿宋_GB2312" w:eastAsia="仿宋_GB2312"/>
          <w:color w:val="auto"/>
          <w:sz w:val="28"/>
          <w:szCs w:val="28"/>
          <w:highlight w:val="none"/>
          <w:u w:val="single"/>
          <w:lang w:eastAsia="zh-CN"/>
        </w:rPr>
        <w:t>抗震支架、泛光亮化、电梯、PC、绿建（含节能评估、绿建评审及后期施工咨询、验收等）及其他专项</w:t>
      </w:r>
      <w:r>
        <w:rPr>
          <w:rFonts w:hint="eastAsia" w:ascii="仿宋_GB2312" w:eastAsia="仿宋_GB2312"/>
          <w:color w:val="auto"/>
          <w:sz w:val="28"/>
          <w:szCs w:val="28"/>
          <w:highlight w:val="none"/>
          <w:u w:val="single"/>
        </w:rPr>
        <w:t>设计等所有内容（具体以甲方指令为准】。</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施工、采购范围：①工程施工及采购，主要包括本次招标设计范围内的工程施工总承包，【包括但不限于场地平整、土建、水电安装、暖通、幕墙、基坑、消防、人防、室外总布、景观绿化、小区周边市政绿化、部分空中公共廊道（见附件</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u w:val="single"/>
        </w:rPr>
        <w:t>）、装修、智能化、交通标识标牌、抗震支架、泛光亮化、</w:t>
      </w:r>
      <w:r>
        <w:rPr>
          <w:rFonts w:hint="eastAsia" w:ascii="仿宋_GB2312" w:eastAsia="仿宋_GB2312"/>
          <w:color w:val="auto"/>
          <w:sz w:val="28"/>
          <w:szCs w:val="28"/>
          <w:highlight w:val="none"/>
          <w:u w:val="single"/>
          <w:lang w:val="en-US" w:eastAsia="zh-CN"/>
        </w:rPr>
        <w:t>充电桩、</w:t>
      </w:r>
      <w:r>
        <w:rPr>
          <w:rFonts w:hint="eastAsia" w:ascii="仿宋_GB2312" w:eastAsia="仿宋_GB2312"/>
          <w:color w:val="auto"/>
          <w:sz w:val="28"/>
          <w:szCs w:val="28"/>
          <w:highlight w:val="none"/>
          <w:u w:val="single"/>
        </w:rPr>
        <w:t>电梯等承包人设计范围内的全部工程施工及相应设备采购安装（具体以甲方指令为准）】；②工程验收，包括但不限于负责法人验收以及政府验收（各阶段、各专项验收，完工验收。）的资料准备及相关配合工作；③工程移交；④缺陷责任期内的缺陷修复、保修服务；⑤按合同约定对项目质量、安全、进度、投资、信息等进行管理和控制。</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3.工程总承包管理服务：包括但不限于承担本项目（除涉及可研相关工作、监理、第三方全过程审计外）的所有审批手续、施工图日照分析、水保竣工报告编制、土地复核（含宗地测量及分摊）、组织验收（含各专项验收）、工规证规费（档案管理费等）、竣工实测、场地测绘（各阶段）、点位放样、坐标、高程控制点、水准点、试桩、分户检测、节能检测、能耗监测、室内环境监测、消防检测、人防检测、水质检测、防雷检测、CCTV检测、电力检测、沉降观测、平战转换方案、人防标识标牌、施工许可证办理、房屋建筑面积测绘</w:t>
      </w:r>
      <w:r>
        <w:rPr>
          <w:rFonts w:hint="eastAsia" w:ascii="仿宋_GB2312" w:eastAsia="仿宋_GB2312" w:cs="Times New Roman"/>
          <w:color w:val="auto"/>
          <w:sz w:val="28"/>
          <w:szCs w:val="28"/>
          <w:highlight w:val="none"/>
          <w:u w:val="single"/>
          <w:lang w:val="zh-CN"/>
        </w:rPr>
        <w:t>、</w:t>
      </w:r>
      <w:r>
        <w:rPr>
          <w:rFonts w:hint="eastAsia" w:ascii="仿宋_GB2312" w:eastAsia="仿宋_GB2312" w:cs="Times New Roman"/>
          <w:color w:val="auto"/>
          <w:sz w:val="28"/>
          <w:szCs w:val="28"/>
          <w:highlight w:val="none"/>
          <w:u w:val="single"/>
          <w:lang w:val="en-US"/>
        </w:rPr>
        <w:t>PC、绿色建筑，项</w:t>
      </w:r>
      <w:r>
        <w:rPr>
          <w:rFonts w:hint="eastAsia" w:ascii="仿宋_GB2312" w:eastAsia="仿宋_GB2312"/>
          <w:color w:val="auto"/>
          <w:sz w:val="28"/>
          <w:szCs w:val="28"/>
          <w:highlight w:val="none"/>
          <w:u w:val="single"/>
        </w:rPr>
        <w:t>目全过程施工管理直至各单项验收（如规划、消防、环保、档案、水利、人防、气象、排污、白蚁防治等）和综合竣工验收、竣工备案、资料归档、整体移交等工作）（不包含桩基检测、基坑监测）【以上所涉及的费用已含在总承包管理费中】。</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包括所有的专业配套工程（杆线迁移及拆除、消防绿化表计、给水工程等）及生活水电表的申请和过户、办公经营用房的提留的手续办理申请、设计委托、施工、过户、移交、备案等一切相关资料的办理工作（除电力设计、电力施工、电力设备、电力增容、自来水总布施工、二次供水、消防供水、燃气工程、三网合一综合通信、华数工程外）【以上手续相关的办理服务费用已含在总承包管理费中（按照有关规定必须由招标人支付的费用除外）】。</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57"/>
        <w:numPr>
          <w:ilvl w:val="0"/>
          <w:numId w:val="0"/>
        </w:numPr>
        <w:outlineLvl w:val="2"/>
        <w:rPr>
          <w:rFonts w:ascii="黑体" w:hAnsi="黑体" w:eastAsia="黑体"/>
          <w:b w:val="0"/>
          <w:color w:val="auto"/>
          <w:sz w:val="28"/>
          <w:szCs w:val="28"/>
          <w:highlight w:val="none"/>
        </w:rPr>
      </w:pPr>
      <w:bookmarkStart w:id="150" w:name="_Toc13112"/>
      <w:bookmarkStart w:id="151" w:name="_Toc54862166"/>
      <w:r>
        <w:rPr>
          <w:rFonts w:hint="eastAsia" w:ascii="黑体" w:hAnsi="黑体" w:eastAsia="黑体"/>
          <w:b w:val="0"/>
          <w:color w:val="auto"/>
          <w:sz w:val="28"/>
          <w:szCs w:val="28"/>
          <w:highlight w:val="none"/>
        </w:rPr>
        <w:t>二、合同工期</w:t>
      </w:r>
      <w:bookmarkEnd w:id="150"/>
      <w:bookmarkEnd w:id="151"/>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计划开始工作日期：</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计划开始现场施工日期：</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计划竣工日期：</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工期总日历天数：</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900</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天，工期总日历天数与根据前述计划日期计算的工期天数不一致的，以工期总日历天数为准。</w:t>
      </w:r>
    </w:p>
    <w:p>
      <w:pPr>
        <w:pStyle w:val="57"/>
        <w:numPr>
          <w:ilvl w:val="0"/>
          <w:numId w:val="0"/>
        </w:numPr>
        <w:outlineLvl w:val="2"/>
        <w:rPr>
          <w:rFonts w:ascii="黑体" w:hAnsi="黑体" w:eastAsia="黑体"/>
          <w:b w:val="0"/>
          <w:color w:val="auto"/>
          <w:sz w:val="28"/>
          <w:szCs w:val="28"/>
          <w:highlight w:val="none"/>
        </w:rPr>
      </w:pPr>
      <w:bookmarkStart w:id="152" w:name="_Toc54862167"/>
      <w:bookmarkStart w:id="153" w:name="_Toc10571"/>
      <w:r>
        <w:rPr>
          <w:rFonts w:hint="eastAsia" w:ascii="黑体" w:hAnsi="黑体" w:eastAsia="黑体"/>
          <w:b w:val="0"/>
          <w:color w:val="auto"/>
          <w:sz w:val="28"/>
          <w:szCs w:val="28"/>
          <w:highlight w:val="none"/>
        </w:rPr>
        <w:t>三、质量标准</w:t>
      </w:r>
      <w:bookmarkEnd w:id="152"/>
      <w:bookmarkEnd w:id="153"/>
    </w:p>
    <w:p>
      <w:pPr>
        <w:pStyle w:val="10"/>
        <w:ind w:firstLine="560" w:firstLineChars="200"/>
        <w:rPr>
          <w:rFonts w:hint="eastAsia" w:ascii="仿宋_GB2312" w:hAnsi="Calibri" w:eastAsia="仿宋_GB2312"/>
          <w:color w:val="auto"/>
          <w:sz w:val="28"/>
          <w:szCs w:val="28"/>
          <w:highlight w:val="none"/>
          <w:u w:val="single"/>
        </w:rPr>
      </w:pPr>
      <w:r>
        <w:rPr>
          <w:rFonts w:hint="eastAsia" w:ascii="仿宋_GB2312" w:hAnsi="Calibri" w:eastAsia="仿宋_GB2312"/>
          <w:color w:val="auto"/>
          <w:sz w:val="28"/>
          <w:szCs w:val="28"/>
          <w:highlight w:val="none"/>
        </w:rPr>
        <w:t xml:space="preserve">工程质量标准： </w:t>
      </w:r>
      <w:r>
        <w:rPr>
          <w:rFonts w:hint="eastAsia" w:ascii="仿宋_GB2312" w:hAnsi="Calibri" w:eastAsia="仿宋_GB2312"/>
          <w:color w:val="auto"/>
          <w:sz w:val="28"/>
          <w:szCs w:val="28"/>
          <w:highlight w:val="none"/>
          <w:u w:val="single"/>
        </w:rPr>
        <w:t>符合现行的《建筑工程施工质量验收统一标准》“合格”标准，符合发包人的相关要求</w:t>
      </w:r>
    </w:p>
    <w:p>
      <w:pPr>
        <w:pStyle w:val="57"/>
        <w:numPr>
          <w:ilvl w:val="0"/>
          <w:numId w:val="0"/>
        </w:numPr>
        <w:outlineLvl w:val="2"/>
        <w:rPr>
          <w:rFonts w:ascii="黑体" w:hAnsi="黑体" w:eastAsia="黑体"/>
          <w:b w:val="0"/>
          <w:color w:val="auto"/>
          <w:sz w:val="28"/>
          <w:szCs w:val="28"/>
          <w:highlight w:val="none"/>
        </w:rPr>
      </w:pPr>
      <w:bookmarkStart w:id="154" w:name="_Toc54862168"/>
      <w:bookmarkStart w:id="155" w:name="_Toc24750"/>
      <w:r>
        <w:rPr>
          <w:rFonts w:hint="eastAsia" w:ascii="黑体" w:hAnsi="黑体" w:eastAsia="黑体"/>
          <w:b w:val="0"/>
          <w:color w:val="auto"/>
          <w:sz w:val="28"/>
          <w:szCs w:val="28"/>
          <w:highlight w:val="none"/>
        </w:rPr>
        <w:t>四、签约合同价与合同价格形式</w:t>
      </w:r>
      <w:bookmarkEnd w:id="154"/>
      <w:bookmarkEnd w:id="155"/>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 签约合同价（含税）为：</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人民币（大写)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元）。</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具体构成详见价格清单。其中：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 设计费（含税）：</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人民币（大写)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元）；适用税率：</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%，税金为人民币（大写)</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元）；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（2） 设备购置费（含税）：</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人民币（大写)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元）；适用税率：</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%，税金为人民币（大写)</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元）；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（3） 建筑安装工程费（含税）：</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人民币（大写)</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元）；适用税率：</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%，税金为人民币（大写)</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元）；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4</w:t>
      </w:r>
      <w:r>
        <w:rPr>
          <w:rFonts w:hint="eastAsia" w:ascii="仿宋_GB2312" w:eastAsia="仿宋_GB2312"/>
          <w:color w:val="auto"/>
          <w:sz w:val="28"/>
          <w:szCs w:val="28"/>
          <w:highlight w:val="none"/>
        </w:rPr>
        <w:t>） 暂估价（含税）：</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人民币（大写)</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元）。</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5</w:t>
      </w:r>
      <w:r>
        <w:rPr>
          <w:rFonts w:hint="eastAsia" w:ascii="仿宋_GB2312" w:eastAsia="仿宋_GB2312"/>
          <w:color w:val="auto"/>
          <w:sz w:val="28"/>
          <w:szCs w:val="28"/>
          <w:highlight w:val="none"/>
        </w:rPr>
        <w:t>） 暂列金额（含税）：</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人民币（大写)</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元）。</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6）</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双方约定的其他费用</w:t>
      </w:r>
      <w:r>
        <w:rPr>
          <w:rFonts w:hint="eastAsia" w:ascii="仿宋_GB2312" w:eastAsia="仿宋_GB2312"/>
          <w:color w:val="auto"/>
          <w:sz w:val="28"/>
          <w:szCs w:val="28"/>
          <w:highlight w:val="none"/>
        </w:rPr>
        <w:t>（含税）</w:t>
      </w:r>
      <w:r>
        <w:rPr>
          <w:rFonts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人民币（大写</w:t>
      </w:r>
      <w:r>
        <w:rPr>
          <w:rFonts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rPr>
        <w:t>元）；适用税率：</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rPr>
        <w:t>%，税金为人民币（大写)</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rPr>
        <w:t>元）。</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2. 合同价格形式：</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合同价格形式为</w:t>
      </w:r>
      <w:r>
        <w:rPr>
          <w:rFonts w:hint="eastAsia" w:ascii="仿宋_GB2312" w:eastAsia="仿宋_GB2312"/>
          <w:b/>
          <w:bCs/>
          <w:color w:val="auto"/>
          <w:sz w:val="28"/>
          <w:szCs w:val="28"/>
          <w:highlight w:val="none"/>
          <w:u w:val="single"/>
        </w:rPr>
        <w:t>总价合同</w:t>
      </w:r>
      <w:r>
        <w:rPr>
          <w:rFonts w:hint="eastAsia" w:ascii="仿宋_GB2312" w:eastAsia="仿宋_GB2312"/>
          <w:color w:val="auto"/>
          <w:sz w:val="28"/>
          <w:szCs w:val="28"/>
          <w:highlight w:val="none"/>
        </w:rPr>
        <w:t>，除根据合同约定的在工程实施过程中需进行增减的款项外，合同价格不予调整，但合同当事人另有约定的除外。</w:t>
      </w:r>
    </w:p>
    <w:p>
      <w:pPr>
        <w:kinsoku w:val="0"/>
        <w:ind w:left="300" w:leftChars="125" w:firstLine="280" w:firstLineChars="1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合同当事人对合同价格形式的其他约定：</w:t>
      </w:r>
      <w:r>
        <w:rPr>
          <w:rFonts w:hint="eastAsia" w:ascii="仿宋_GB2312" w:eastAsia="仿宋_GB2312"/>
          <w:color w:val="auto"/>
          <w:sz w:val="28"/>
          <w:szCs w:val="28"/>
          <w:highlight w:val="none"/>
          <w:u w:val="single"/>
        </w:rPr>
        <w:t>详见合同专用条款。</w:t>
      </w:r>
    </w:p>
    <w:p>
      <w:pPr>
        <w:pStyle w:val="57"/>
        <w:numPr>
          <w:ilvl w:val="0"/>
          <w:numId w:val="0"/>
        </w:numPr>
        <w:outlineLvl w:val="2"/>
        <w:rPr>
          <w:rFonts w:ascii="黑体" w:hAnsi="黑体" w:eastAsia="黑体"/>
          <w:b w:val="0"/>
          <w:color w:val="auto"/>
          <w:sz w:val="28"/>
          <w:szCs w:val="28"/>
          <w:highlight w:val="none"/>
        </w:rPr>
      </w:pPr>
      <w:bookmarkStart w:id="156" w:name="_Toc54862169"/>
      <w:bookmarkStart w:id="157" w:name="_Toc15967"/>
      <w:r>
        <w:rPr>
          <w:rFonts w:hint="eastAsia" w:ascii="黑体" w:hAnsi="黑体" w:eastAsia="黑体"/>
          <w:b w:val="0"/>
          <w:color w:val="auto"/>
          <w:sz w:val="28"/>
          <w:szCs w:val="28"/>
          <w:highlight w:val="none"/>
        </w:rPr>
        <w:t>五、工程总承包项目经理</w:t>
      </w:r>
      <w:bookmarkEnd w:id="156"/>
      <w:bookmarkEnd w:id="157"/>
    </w:p>
    <w:p>
      <w:pPr>
        <w:pStyle w:val="3"/>
        <w:tabs>
          <w:tab w:val="left" w:pos="8679"/>
        </w:tabs>
        <w:spacing w:before="1"/>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项目负责人：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
        <w:tabs>
          <w:tab w:val="left" w:pos="8679"/>
        </w:tabs>
        <w:spacing w:before="1"/>
        <w:ind w:firstLine="600"/>
        <w:rPr>
          <w:color w:val="auto"/>
          <w:sz w:val="28"/>
          <w:szCs w:val="28"/>
          <w:highlight w:val="none"/>
        </w:rPr>
      </w:pPr>
      <w:r>
        <w:rPr>
          <w:rFonts w:hint="eastAsia" w:ascii="仿宋_GB2312" w:hAnsi="宋体" w:eastAsia="仿宋_GB2312"/>
          <w:color w:val="auto"/>
          <w:sz w:val="28"/>
          <w:szCs w:val="28"/>
          <w:highlight w:val="none"/>
        </w:rPr>
        <w:t>施工负责人：</w:t>
      </w:r>
      <w:r>
        <w:rPr>
          <w:color w:val="auto"/>
          <w:sz w:val="28"/>
          <w:szCs w:val="28"/>
          <w:highlight w:val="none"/>
          <w:u w:val="single"/>
        </w:rPr>
        <w:t xml:space="preserve"> </w:t>
      </w:r>
      <w:r>
        <w:rPr>
          <w:color w:val="auto"/>
          <w:sz w:val="28"/>
          <w:szCs w:val="28"/>
          <w:highlight w:val="none"/>
          <w:u w:val="single"/>
        </w:rPr>
        <w:tab/>
      </w:r>
      <w:r>
        <w:rPr>
          <w:color w:val="auto"/>
          <w:sz w:val="28"/>
          <w:szCs w:val="28"/>
          <w:highlight w:val="none"/>
        </w:rPr>
        <w:t>。</w:t>
      </w:r>
    </w:p>
    <w:p>
      <w:pPr>
        <w:pStyle w:val="3"/>
        <w:tabs>
          <w:tab w:val="left" w:pos="8679"/>
        </w:tabs>
        <w:spacing w:before="1"/>
        <w:ind w:firstLine="600"/>
        <w:rPr>
          <w:color w:val="auto"/>
          <w:sz w:val="28"/>
          <w:szCs w:val="28"/>
          <w:highlight w:val="none"/>
        </w:rPr>
      </w:pPr>
      <w:r>
        <w:rPr>
          <w:rFonts w:hint="eastAsia" w:ascii="仿宋_GB2312" w:hAnsi="宋体" w:eastAsia="仿宋_GB2312"/>
          <w:color w:val="auto"/>
          <w:sz w:val="28"/>
          <w:szCs w:val="28"/>
          <w:highlight w:val="none"/>
        </w:rPr>
        <w:t>设计负责人：</w:t>
      </w:r>
      <w:r>
        <w:rPr>
          <w:color w:val="auto"/>
          <w:sz w:val="28"/>
          <w:szCs w:val="28"/>
          <w:highlight w:val="none"/>
          <w:u w:val="single"/>
        </w:rPr>
        <w:t xml:space="preserve"> </w:t>
      </w:r>
      <w:r>
        <w:rPr>
          <w:color w:val="auto"/>
          <w:sz w:val="28"/>
          <w:szCs w:val="28"/>
          <w:highlight w:val="none"/>
          <w:u w:val="single"/>
        </w:rPr>
        <w:tab/>
      </w:r>
      <w:r>
        <w:rPr>
          <w:color w:val="auto"/>
          <w:sz w:val="28"/>
          <w:szCs w:val="28"/>
          <w:highlight w:val="none"/>
        </w:rPr>
        <w:t>。</w:t>
      </w:r>
    </w:p>
    <w:p>
      <w:pPr>
        <w:ind w:firstLine="600"/>
        <w:rPr>
          <w:rFonts w:ascii="仿宋_GB2312" w:eastAsia="仿宋_GB2312"/>
          <w:color w:val="auto"/>
          <w:sz w:val="28"/>
          <w:szCs w:val="28"/>
          <w:highlight w:val="none"/>
        </w:rPr>
      </w:pPr>
    </w:p>
    <w:p>
      <w:pPr>
        <w:pStyle w:val="57"/>
        <w:numPr>
          <w:ilvl w:val="0"/>
          <w:numId w:val="0"/>
        </w:numPr>
        <w:outlineLvl w:val="2"/>
        <w:rPr>
          <w:rFonts w:ascii="黑体" w:hAnsi="黑体" w:eastAsia="黑体"/>
          <w:b w:val="0"/>
          <w:color w:val="auto"/>
          <w:sz w:val="28"/>
          <w:szCs w:val="28"/>
          <w:highlight w:val="none"/>
        </w:rPr>
      </w:pPr>
      <w:bookmarkStart w:id="158" w:name="_Toc26541"/>
      <w:bookmarkStart w:id="159" w:name="_Toc54862170"/>
      <w:r>
        <w:rPr>
          <w:rFonts w:hint="eastAsia" w:ascii="黑体" w:hAnsi="黑体" w:eastAsia="黑体"/>
          <w:b w:val="0"/>
          <w:color w:val="auto"/>
          <w:sz w:val="28"/>
          <w:szCs w:val="28"/>
          <w:highlight w:val="none"/>
        </w:rPr>
        <w:t>六、合同文件构成</w:t>
      </w:r>
      <w:bookmarkEnd w:id="158"/>
      <w:bookmarkEnd w:id="159"/>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本协议书与下列文件一起构成合同文件：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 中标通知书（如果有）；</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（2） 投标函及投标函附录（如果有）；</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（3） 专用合同条件及《发包人要求》等附件；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（4） 通用合同条件；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5</w:t>
      </w:r>
      <w:r>
        <w:rPr>
          <w:rFonts w:hint="eastAsia" w:ascii="仿宋_GB2312" w:eastAsia="仿宋_GB2312"/>
          <w:color w:val="auto"/>
          <w:sz w:val="28"/>
          <w:szCs w:val="28"/>
          <w:highlight w:val="none"/>
        </w:rPr>
        <w:t xml:space="preserve">） 承包人建议书；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6</w:t>
      </w:r>
      <w:r>
        <w:rPr>
          <w:rFonts w:hint="eastAsia" w:ascii="仿宋_GB2312" w:eastAsia="仿宋_GB2312"/>
          <w:color w:val="auto"/>
          <w:sz w:val="28"/>
          <w:szCs w:val="28"/>
          <w:highlight w:val="none"/>
        </w:rPr>
        <w:t>） 价格清单；</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7</w:t>
      </w:r>
      <w:r>
        <w:rPr>
          <w:rFonts w:hint="eastAsia" w:ascii="仿宋_GB2312" w:eastAsia="仿宋_GB2312"/>
          <w:color w:val="auto"/>
          <w:sz w:val="28"/>
          <w:szCs w:val="28"/>
          <w:highlight w:val="none"/>
        </w:rPr>
        <w:t>） 双方约定的其他合同文件。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上述各项合同文件包括双方就该项合同文件所做出的补充和修改，属于同一类内容的合同文件应以最新签署的为准。专用合同条件及其附件须经合同当事人签字或盖章。</w:t>
      </w:r>
    </w:p>
    <w:p>
      <w:pPr>
        <w:pStyle w:val="57"/>
        <w:numPr>
          <w:ilvl w:val="0"/>
          <w:numId w:val="0"/>
        </w:numPr>
        <w:outlineLvl w:val="2"/>
        <w:rPr>
          <w:rFonts w:ascii="黑体" w:hAnsi="黑体" w:eastAsia="黑体"/>
          <w:b w:val="0"/>
          <w:color w:val="auto"/>
          <w:sz w:val="28"/>
          <w:szCs w:val="28"/>
          <w:highlight w:val="none"/>
        </w:rPr>
      </w:pPr>
      <w:bookmarkStart w:id="160" w:name="_Toc54862171"/>
      <w:bookmarkStart w:id="161" w:name="_Toc31444"/>
      <w:r>
        <w:rPr>
          <w:rFonts w:hint="eastAsia" w:ascii="黑体" w:hAnsi="黑体" w:eastAsia="黑体"/>
          <w:b w:val="0"/>
          <w:color w:val="auto"/>
          <w:sz w:val="28"/>
          <w:szCs w:val="28"/>
          <w:highlight w:val="none"/>
        </w:rPr>
        <w:t>七、承诺</w:t>
      </w:r>
      <w:bookmarkEnd w:id="160"/>
      <w:bookmarkEnd w:id="161"/>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 发包人承诺按照法律规定履行项目审批手续、筹集工程建设资金并按照合同约定的期限和方式支付合同价款。</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2. 承包人承诺按照法律规定及合同约定组织完成工程的设计、采购和施工等工作，确保工程质量和安全，不进行转包及违法分包，并在缺陷责任期及保修期内承担相应的工程维修责任。</w:t>
      </w:r>
    </w:p>
    <w:p>
      <w:pPr>
        <w:pStyle w:val="57"/>
        <w:numPr>
          <w:ilvl w:val="0"/>
          <w:numId w:val="0"/>
        </w:numPr>
        <w:outlineLvl w:val="2"/>
        <w:rPr>
          <w:rFonts w:ascii="黑体" w:hAnsi="黑体" w:eastAsia="黑体"/>
          <w:b w:val="0"/>
          <w:color w:val="auto"/>
          <w:sz w:val="28"/>
          <w:szCs w:val="28"/>
          <w:highlight w:val="none"/>
        </w:rPr>
      </w:pPr>
      <w:bookmarkStart w:id="162" w:name="_Toc54862172"/>
      <w:bookmarkStart w:id="163" w:name="_Toc20894"/>
      <w:r>
        <w:rPr>
          <w:rFonts w:hint="eastAsia" w:ascii="黑体" w:hAnsi="黑体" w:eastAsia="黑体"/>
          <w:b w:val="0"/>
          <w:color w:val="auto"/>
          <w:sz w:val="28"/>
          <w:szCs w:val="28"/>
          <w:highlight w:val="none"/>
        </w:rPr>
        <w:t>八、订立时间</w:t>
      </w:r>
      <w:bookmarkEnd w:id="162"/>
      <w:bookmarkEnd w:id="163"/>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本合同于</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日订立。</w:t>
      </w:r>
    </w:p>
    <w:p>
      <w:pPr>
        <w:pStyle w:val="57"/>
        <w:numPr>
          <w:ilvl w:val="0"/>
          <w:numId w:val="0"/>
        </w:numPr>
        <w:outlineLvl w:val="2"/>
        <w:rPr>
          <w:rFonts w:ascii="黑体" w:hAnsi="黑体" w:eastAsia="黑体"/>
          <w:b w:val="0"/>
          <w:color w:val="auto"/>
          <w:sz w:val="28"/>
          <w:szCs w:val="28"/>
          <w:highlight w:val="none"/>
        </w:rPr>
      </w:pPr>
      <w:bookmarkStart w:id="164" w:name="_Toc54862173"/>
      <w:bookmarkStart w:id="165" w:name="_Toc9269"/>
      <w:r>
        <w:rPr>
          <w:rFonts w:hint="eastAsia" w:ascii="黑体" w:hAnsi="黑体" w:eastAsia="黑体"/>
          <w:b w:val="0"/>
          <w:color w:val="auto"/>
          <w:sz w:val="28"/>
          <w:szCs w:val="28"/>
          <w:highlight w:val="none"/>
        </w:rPr>
        <w:t>九、订立地点</w:t>
      </w:r>
      <w:bookmarkEnd w:id="164"/>
      <w:bookmarkEnd w:id="165"/>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本合同在</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订立。</w:t>
      </w:r>
    </w:p>
    <w:p>
      <w:pPr>
        <w:pStyle w:val="57"/>
        <w:numPr>
          <w:ilvl w:val="0"/>
          <w:numId w:val="0"/>
        </w:numPr>
        <w:outlineLvl w:val="2"/>
        <w:rPr>
          <w:rFonts w:ascii="黑体" w:hAnsi="黑体" w:eastAsia="黑体"/>
          <w:b w:val="0"/>
          <w:color w:val="auto"/>
          <w:sz w:val="28"/>
          <w:szCs w:val="28"/>
          <w:highlight w:val="none"/>
        </w:rPr>
      </w:pPr>
      <w:bookmarkStart w:id="166" w:name="_Toc54862174"/>
      <w:bookmarkStart w:id="167" w:name="_Toc20606"/>
      <w:r>
        <w:rPr>
          <w:rFonts w:hint="eastAsia" w:ascii="黑体" w:hAnsi="黑体" w:eastAsia="黑体"/>
          <w:b w:val="0"/>
          <w:color w:val="auto"/>
          <w:sz w:val="28"/>
          <w:szCs w:val="28"/>
          <w:highlight w:val="none"/>
        </w:rPr>
        <w:t>十、合同生效</w:t>
      </w:r>
      <w:bookmarkEnd w:id="166"/>
      <w:bookmarkEnd w:id="167"/>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本合同经双方签字或盖章后成立，并自</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生效。</w:t>
      </w:r>
    </w:p>
    <w:p>
      <w:pPr>
        <w:pStyle w:val="57"/>
        <w:numPr>
          <w:ilvl w:val="0"/>
          <w:numId w:val="0"/>
        </w:numPr>
        <w:outlineLvl w:val="2"/>
        <w:rPr>
          <w:rFonts w:ascii="黑体" w:hAnsi="黑体" w:eastAsia="黑体"/>
          <w:b w:val="0"/>
          <w:color w:val="auto"/>
          <w:sz w:val="28"/>
          <w:szCs w:val="28"/>
          <w:highlight w:val="none"/>
        </w:rPr>
      </w:pPr>
      <w:bookmarkStart w:id="168" w:name="_Toc9382"/>
      <w:bookmarkStart w:id="169" w:name="_Toc54862175"/>
      <w:r>
        <w:rPr>
          <w:rFonts w:hint="eastAsia" w:ascii="黑体" w:hAnsi="黑体" w:eastAsia="黑体"/>
          <w:b w:val="0"/>
          <w:color w:val="auto"/>
          <w:sz w:val="28"/>
          <w:szCs w:val="28"/>
          <w:highlight w:val="none"/>
        </w:rPr>
        <w:t>十一、合同份数</w:t>
      </w:r>
      <w:bookmarkEnd w:id="168"/>
      <w:bookmarkEnd w:id="169"/>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本合同一式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份，均具有同等法律效力，发包人执</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份，承包人执</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份。</w:t>
      </w:r>
    </w:p>
    <w:tbl>
      <w:tblPr>
        <w:tblStyle w:val="19"/>
        <w:tblpPr w:leftFromText="180" w:rightFromText="180" w:vertAnchor="text" w:horzAnchor="page" w:tblpX="1534" w:tblpY="119"/>
        <w:tblW w:w="0" w:type="auto"/>
        <w:tblInd w:w="0" w:type="dxa"/>
        <w:tblLayout w:type="fixed"/>
        <w:tblCellMar>
          <w:top w:w="0" w:type="dxa"/>
          <w:left w:w="108" w:type="dxa"/>
          <w:bottom w:w="0" w:type="dxa"/>
          <w:right w:w="108" w:type="dxa"/>
        </w:tblCellMar>
      </w:tblPr>
      <w:tblGrid>
        <w:gridCol w:w="4675"/>
        <w:gridCol w:w="4565"/>
      </w:tblGrid>
      <w:tr>
        <w:tblPrEx>
          <w:tblCellMar>
            <w:top w:w="0" w:type="dxa"/>
            <w:left w:w="108" w:type="dxa"/>
            <w:bottom w:w="0" w:type="dxa"/>
            <w:right w:w="108" w:type="dxa"/>
          </w:tblCellMar>
        </w:tblPrEx>
        <w:tc>
          <w:tcPr>
            <w:tcW w:w="4675" w:type="dxa"/>
            <w:noWrap w:val="0"/>
            <w:vAlign w:val="top"/>
          </w:tcPr>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发包人：（公章）</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p>
        </w:tc>
        <w:tc>
          <w:tcPr>
            <w:tcW w:w="4565" w:type="dxa"/>
            <w:noWrap w:val="0"/>
            <w:vAlign w:val="top"/>
          </w:tcPr>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承包人：（公章）</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p>
        </w:tc>
      </w:tr>
      <w:tr>
        <w:tblPrEx>
          <w:tblCellMar>
            <w:top w:w="0" w:type="dxa"/>
            <w:left w:w="108" w:type="dxa"/>
            <w:bottom w:w="0" w:type="dxa"/>
            <w:right w:w="108" w:type="dxa"/>
          </w:tblCellMar>
        </w:tblPrEx>
        <w:tc>
          <w:tcPr>
            <w:tcW w:w="4675" w:type="dxa"/>
            <w:noWrap w:val="0"/>
            <w:vAlign w:val="top"/>
          </w:tcPr>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法定代表人或其委托代理人：（签字）</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p>
        </w:tc>
        <w:tc>
          <w:tcPr>
            <w:tcW w:w="4565" w:type="dxa"/>
            <w:noWrap w:val="0"/>
            <w:vAlign w:val="top"/>
          </w:tcPr>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法定代表人或其委托代理人：（签字）</w:t>
            </w:r>
          </w:p>
        </w:tc>
      </w:tr>
      <w:tr>
        <w:tblPrEx>
          <w:tblCellMar>
            <w:top w:w="0" w:type="dxa"/>
            <w:left w:w="108" w:type="dxa"/>
            <w:bottom w:w="0" w:type="dxa"/>
            <w:right w:w="108" w:type="dxa"/>
          </w:tblCellMar>
        </w:tblPrEx>
        <w:tc>
          <w:tcPr>
            <w:tcW w:w="4675" w:type="dxa"/>
            <w:noWrap w:val="0"/>
            <w:vAlign w:val="top"/>
          </w:tcPr>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统一社会信用代码：</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地址：</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邮政编码：</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法定代表人：</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委托代理人：</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电话：</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传真： </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电子信箱：</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开户银行：</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账号：</w:t>
            </w:r>
            <w:r>
              <w:rPr>
                <w:rFonts w:ascii="仿宋_GB2312" w:hAnsi="宋体" w:eastAsia="仿宋_GB2312"/>
                <w:color w:val="auto"/>
                <w:kern w:val="0"/>
                <w:sz w:val="28"/>
                <w:szCs w:val="28"/>
                <w:highlight w:val="none"/>
                <w:u w:val="single"/>
              </w:rPr>
              <w:t xml:space="preserve">                       </w:t>
            </w:r>
          </w:p>
        </w:tc>
        <w:tc>
          <w:tcPr>
            <w:tcW w:w="4565" w:type="dxa"/>
            <w:noWrap w:val="0"/>
            <w:vAlign w:val="top"/>
          </w:tcPr>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统一社会信用代码：</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地址：</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邮政编码：</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法定代表人：</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委托代理人：</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电话：</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传真：</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电子信箱：</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开户银行：</w:t>
            </w:r>
            <w:r>
              <w:rPr>
                <w:rFonts w:ascii="仿宋_GB2312" w:hAnsi="宋体" w:eastAsia="仿宋_GB2312"/>
                <w:color w:val="auto"/>
                <w:kern w:val="0"/>
                <w:sz w:val="28"/>
                <w:szCs w:val="28"/>
                <w:highlight w:val="none"/>
                <w:u w:val="single"/>
              </w:rPr>
              <w:t xml:space="preserve">                   </w:t>
            </w:r>
          </w:p>
          <w:p>
            <w:pPr>
              <w:pStyle w:val="56"/>
              <w:framePr w:hSpace="0" w:wrap="auto" w:vAnchor="margin" w:hAnchor="text" w:yAlign="inline"/>
              <w:spacing w:after="50"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账号：</w:t>
            </w:r>
            <w:r>
              <w:rPr>
                <w:rFonts w:ascii="仿宋_GB2312" w:hAnsi="宋体" w:eastAsia="仿宋_GB2312"/>
                <w:color w:val="auto"/>
                <w:sz w:val="28"/>
                <w:szCs w:val="28"/>
                <w:highlight w:val="none"/>
                <w:u w:val="single"/>
              </w:rPr>
              <w:t xml:space="preserve">                       </w:t>
            </w:r>
          </w:p>
        </w:tc>
      </w:tr>
    </w:tbl>
    <w:p>
      <w:pPr>
        <w:rPr>
          <w:rFonts w:hint="eastAsia"/>
          <w:color w:val="auto"/>
          <w:highlight w:val="none"/>
        </w:rPr>
      </w:pPr>
      <w:r>
        <w:rPr>
          <w:color w:val="auto"/>
          <w:sz w:val="28"/>
          <w:szCs w:val="28"/>
          <w:highlight w:val="none"/>
        </w:rPr>
        <w:tab/>
      </w:r>
      <w:bookmarkStart w:id="170" w:name="_Toc54862176"/>
      <w:r>
        <w:rPr>
          <w:rFonts w:hint="eastAsia"/>
          <w:color w:val="auto"/>
          <w:sz w:val="28"/>
          <w:szCs w:val="28"/>
          <w:highlight w:val="none"/>
        </w:rPr>
        <w:t xml:space="preserve">  </w:t>
      </w:r>
    </w:p>
    <w:p>
      <w:pPr>
        <w:jc w:val="center"/>
        <w:outlineLvl w:val="1"/>
        <w:rPr>
          <w:rFonts w:ascii="华文中宋" w:hAnsi="华文中宋" w:eastAsia="华文中宋"/>
          <w:color w:val="auto"/>
          <w:sz w:val="44"/>
          <w:szCs w:val="52"/>
          <w:highlight w:val="none"/>
        </w:rPr>
      </w:pPr>
      <w:bookmarkStart w:id="171" w:name="_Toc3480"/>
      <w:r>
        <w:rPr>
          <w:rFonts w:hint="eastAsia" w:ascii="宋体" w:hAnsi="宋体" w:cs="宋体"/>
          <w:b/>
          <w:bCs/>
          <w:color w:val="auto"/>
          <w:kern w:val="44"/>
          <w:sz w:val="36"/>
          <w:szCs w:val="36"/>
          <w:highlight w:val="none"/>
        </w:rPr>
        <w:t>第二部分 通用合同条件</w:t>
      </w:r>
      <w:bookmarkEnd w:id="170"/>
      <w:bookmarkEnd w:id="171"/>
    </w:p>
    <w:p>
      <w:pPr>
        <w:pStyle w:val="53"/>
        <w:widowControl/>
        <w:numPr>
          <w:ilvl w:val="0"/>
          <w:numId w:val="0"/>
        </w:numPr>
        <w:jc w:val="center"/>
        <w:rPr>
          <w:rFonts w:hint="eastAsia"/>
          <w:b w:val="0"/>
          <w:bCs/>
          <w:color w:val="auto"/>
          <w:sz w:val="32"/>
          <w:szCs w:val="32"/>
          <w:highlight w:val="none"/>
        </w:rPr>
      </w:pPr>
      <w:bookmarkStart w:id="172" w:name="_Toc4399"/>
      <w:bookmarkStart w:id="173" w:name="_Ref509040826"/>
      <w:bookmarkStart w:id="174" w:name="_Toc54862178"/>
      <w:bookmarkStart w:id="175" w:name="_Ref523741474"/>
      <w:bookmarkStart w:id="176" w:name="_Ref509040831"/>
      <w:bookmarkStart w:id="177" w:name="_Ref523741471"/>
      <w:r>
        <w:rPr>
          <w:rFonts w:hint="eastAsia"/>
          <w:b w:val="0"/>
          <w:bCs/>
          <w:color w:val="auto"/>
          <w:sz w:val="32"/>
          <w:szCs w:val="32"/>
          <w:highlight w:val="none"/>
        </w:rPr>
        <w:t>（略）</w:t>
      </w:r>
      <w:bookmarkEnd w:id="172"/>
    </w:p>
    <w:p>
      <w:pPr>
        <w:pStyle w:val="53"/>
        <w:widowControl/>
        <w:numPr>
          <w:ilvl w:val="0"/>
          <w:numId w:val="0"/>
        </w:numPr>
        <w:rPr>
          <w:b w:val="0"/>
          <w:bCs/>
          <w:color w:val="auto"/>
          <w:sz w:val="30"/>
          <w:szCs w:val="30"/>
          <w:highlight w:val="none"/>
        </w:rPr>
      </w:pPr>
      <w:bookmarkStart w:id="178" w:name="_Toc16150"/>
      <w:r>
        <w:rPr>
          <w:rFonts w:hint="eastAsia"/>
          <w:b w:val="0"/>
          <w:bCs/>
          <w:color w:val="auto"/>
          <w:sz w:val="32"/>
          <w:szCs w:val="32"/>
          <w:highlight w:val="none"/>
        </w:rPr>
        <w:t>详见《建设项目工程总承包合同示范文本》（GF-2020-0216）</w:t>
      </w:r>
      <w:bookmarkEnd w:id="173"/>
      <w:bookmarkEnd w:id="174"/>
      <w:bookmarkEnd w:id="175"/>
      <w:bookmarkEnd w:id="176"/>
      <w:bookmarkEnd w:id="177"/>
      <w:bookmarkEnd w:id="178"/>
    </w:p>
    <w:p>
      <w:pPr>
        <w:rPr>
          <w:color w:val="auto"/>
          <w:highlight w:val="none"/>
        </w:rPr>
      </w:pPr>
    </w:p>
    <w:p>
      <w:pPr>
        <w:pStyle w:val="41"/>
        <w:keepNext w:val="0"/>
        <w:keepLines w:val="0"/>
        <w:adjustRightInd w:val="0"/>
        <w:snapToGrid w:val="0"/>
        <w:spacing w:before="0" w:after="50" w:line="360" w:lineRule="auto"/>
        <w:jc w:val="center"/>
        <w:outlineLvl w:val="1"/>
        <w:rPr>
          <w:rFonts w:hint="eastAsia" w:ascii="宋体" w:hAnsi="宋体" w:cs="宋体"/>
          <w:color w:val="auto"/>
          <w:kern w:val="44"/>
          <w:sz w:val="36"/>
          <w:szCs w:val="36"/>
          <w:highlight w:val="none"/>
        </w:rPr>
      </w:pPr>
      <w:bookmarkStart w:id="179" w:name="_Toc54862331"/>
      <w:bookmarkStart w:id="180" w:name="_Toc28559"/>
      <w:r>
        <w:rPr>
          <w:rFonts w:hint="eastAsia" w:ascii="宋体" w:hAnsi="宋体" w:cs="宋体"/>
          <w:color w:val="auto"/>
          <w:kern w:val="44"/>
          <w:sz w:val="36"/>
          <w:szCs w:val="36"/>
          <w:highlight w:val="none"/>
        </w:rPr>
        <w:t>第三部分 专用合同条件</w:t>
      </w:r>
      <w:bookmarkEnd w:id="179"/>
      <w:bookmarkEnd w:id="180"/>
    </w:p>
    <w:p>
      <w:pPr>
        <w:pStyle w:val="39"/>
        <w:outlineLvl w:val="2"/>
        <w:rPr>
          <w:rFonts w:ascii="黑体" w:hAnsi="黑体" w:eastAsia="黑体"/>
          <w:b w:val="0"/>
          <w:color w:val="auto"/>
          <w:sz w:val="28"/>
          <w:szCs w:val="28"/>
          <w:highlight w:val="none"/>
        </w:rPr>
      </w:pPr>
      <w:bookmarkStart w:id="181" w:name="_Toc54862332"/>
      <w:bookmarkStart w:id="182" w:name="_Toc17162"/>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1条</w:t>
      </w:r>
      <w:r>
        <w:rPr>
          <w:rFonts w:hint="eastAsia" w:ascii="黑体" w:hAnsi="黑体" w:eastAsia="黑体"/>
          <w:b w:val="0"/>
          <w:color w:val="auto"/>
          <w:sz w:val="28"/>
          <w:szCs w:val="28"/>
          <w:highlight w:val="none"/>
        </w:rPr>
        <w:t xml:space="preserve"> 一般约定</w:t>
      </w:r>
      <w:bookmarkEnd w:id="181"/>
      <w:bookmarkEnd w:id="182"/>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1.1 </w:t>
      </w:r>
      <w:r>
        <w:rPr>
          <w:rFonts w:hint="eastAsia" w:ascii="黑体" w:hAnsi="黑体" w:eastAsia="黑体"/>
          <w:color w:val="auto"/>
          <w:sz w:val="28"/>
          <w:szCs w:val="28"/>
          <w:highlight w:val="none"/>
        </w:rPr>
        <w:t>词语定义和解释</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1.1.1 </w:t>
      </w:r>
      <w:r>
        <w:rPr>
          <w:rFonts w:hint="eastAsia" w:ascii="仿宋_GB2312" w:eastAsia="仿宋_GB2312"/>
          <w:color w:val="auto"/>
          <w:sz w:val="28"/>
          <w:szCs w:val="28"/>
          <w:highlight w:val="none"/>
        </w:rPr>
        <w:t>合同</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1.1.1.10 </w:t>
      </w:r>
      <w:r>
        <w:rPr>
          <w:rFonts w:hint="eastAsia" w:ascii="仿宋_GB2312" w:eastAsia="仿宋_GB2312"/>
          <w:color w:val="auto"/>
          <w:sz w:val="28"/>
          <w:szCs w:val="28"/>
          <w:highlight w:val="none"/>
        </w:rPr>
        <w:t>其他合同文件：</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双方在履行合同过程中签署的补充协议、备忘录等文件。</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1.1.3 </w:t>
      </w:r>
      <w:r>
        <w:rPr>
          <w:rFonts w:hint="eastAsia" w:ascii="仿宋_GB2312" w:eastAsia="仿宋_GB2312"/>
          <w:color w:val="auto"/>
          <w:sz w:val="28"/>
          <w:szCs w:val="28"/>
          <w:highlight w:val="none"/>
        </w:rPr>
        <w:t>工程和设备</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1.1.3.5 </w:t>
      </w:r>
      <w:r>
        <w:rPr>
          <w:rFonts w:hint="eastAsia" w:ascii="仿宋_GB2312" w:eastAsia="仿宋_GB2312"/>
          <w:color w:val="auto"/>
          <w:sz w:val="28"/>
          <w:szCs w:val="28"/>
          <w:highlight w:val="none"/>
        </w:rPr>
        <w:t>单位/区段工程的范围：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本工程初步设计中涉及的用地范围及工程施工中发包人指定的区域</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1.1.3.9 </w:t>
      </w:r>
      <w:r>
        <w:rPr>
          <w:rFonts w:hint="eastAsia" w:ascii="仿宋_GB2312" w:eastAsia="仿宋_GB2312"/>
          <w:color w:val="auto"/>
          <w:sz w:val="28"/>
          <w:szCs w:val="28"/>
          <w:highlight w:val="none"/>
        </w:rPr>
        <w:t>作为施工场所组成部分的其他场所包括：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发包人指定的区域</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1.1.3.10 </w:t>
      </w:r>
      <w:r>
        <w:rPr>
          <w:rFonts w:hint="eastAsia" w:ascii="仿宋_GB2312" w:eastAsia="仿宋_GB2312"/>
          <w:color w:val="auto"/>
          <w:sz w:val="28"/>
          <w:szCs w:val="28"/>
          <w:highlight w:val="none"/>
        </w:rPr>
        <w:t>永久占地包括：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施工图纸的施工范围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1.1.3.11 </w:t>
      </w:r>
      <w:r>
        <w:rPr>
          <w:rFonts w:hint="eastAsia" w:ascii="仿宋_GB2312" w:eastAsia="仿宋_GB2312"/>
          <w:color w:val="auto"/>
          <w:sz w:val="28"/>
          <w:szCs w:val="28"/>
          <w:highlight w:val="none"/>
        </w:rPr>
        <w:t>临时占地包括：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承包人为实施本工程并履行占地手续后临时占用的土地，由承包人自行办理占地手续并承担占地费用</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1.2 </w:t>
      </w:r>
      <w:r>
        <w:rPr>
          <w:rFonts w:hint="eastAsia" w:ascii="黑体" w:hAnsi="黑体" w:eastAsia="黑体"/>
          <w:color w:val="auto"/>
          <w:sz w:val="28"/>
          <w:szCs w:val="28"/>
          <w:highlight w:val="none"/>
        </w:rPr>
        <w:t>语言文字</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本合同除使用汉语外，还使用</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语言。</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1.3 </w:t>
      </w:r>
      <w:r>
        <w:rPr>
          <w:rFonts w:hint="eastAsia" w:ascii="黑体" w:hAnsi="黑体" w:eastAsia="黑体"/>
          <w:color w:val="auto"/>
          <w:sz w:val="28"/>
          <w:szCs w:val="28"/>
          <w:highlight w:val="none"/>
        </w:rPr>
        <w:t>法律</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适用于合同的其他规范性文件：</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中华人民共和国民法典》、《中华人民共和国建筑法》、《中华人民共和国招标投标法》和《建筑工程质量管理条例》、《建设工程安全生产管理条例》等国家颁布的有关法律、行政法规，建设部（或专业部门）规章及工程所在地的地方性（省、市、县）法规、规章 。</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1.4 </w:t>
      </w:r>
      <w:r>
        <w:rPr>
          <w:rFonts w:hint="eastAsia" w:ascii="黑体" w:hAnsi="黑体" w:eastAsia="黑体"/>
          <w:color w:val="auto"/>
          <w:sz w:val="28"/>
          <w:szCs w:val="28"/>
          <w:highlight w:val="none"/>
        </w:rPr>
        <w:t>标准和规范</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1.4.1 </w:t>
      </w:r>
      <w:r>
        <w:rPr>
          <w:rFonts w:hint="eastAsia" w:ascii="仿宋_GB2312" w:eastAsia="仿宋_GB2312"/>
          <w:color w:val="auto"/>
          <w:sz w:val="28"/>
          <w:szCs w:val="28"/>
          <w:highlight w:val="none"/>
        </w:rPr>
        <w:t>适用于本合同的标准、规范（名称）包括：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现行国家建筑工程设计规范、施工规范、验收规范、质量检验评定标准等</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1.4.2 </w:t>
      </w:r>
      <w:r>
        <w:rPr>
          <w:rFonts w:hint="eastAsia" w:ascii="仿宋_GB2312" w:eastAsia="仿宋_GB2312"/>
          <w:color w:val="auto"/>
          <w:sz w:val="28"/>
          <w:szCs w:val="28"/>
          <w:highlight w:val="none"/>
        </w:rPr>
        <w:t>发包人提供的国外标准、规范的名称：</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；发包人提供的国外标准、规范的份数：</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；发包人提供的国外标准、规范的时间：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1.4.3 </w:t>
      </w:r>
      <w:r>
        <w:rPr>
          <w:rFonts w:hint="eastAsia" w:ascii="仿宋_GB2312" w:eastAsia="仿宋_GB2312"/>
          <w:color w:val="auto"/>
          <w:sz w:val="28"/>
          <w:szCs w:val="28"/>
          <w:highlight w:val="none"/>
        </w:rPr>
        <w:t>没有成文规范、标准规定的约定：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1.4.4 </w:t>
      </w:r>
      <w:r>
        <w:rPr>
          <w:rFonts w:hint="eastAsia" w:ascii="仿宋_GB2312" w:eastAsia="仿宋_GB2312"/>
          <w:color w:val="auto"/>
          <w:sz w:val="28"/>
          <w:szCs w:val="28"/>
          <w:highlight w:val="none"/>
        </w:rPr>
        <w:t>发包人对于工程的技术标准、功能要求：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详见设计文件和发包人要求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1.5 </w:t>
      </w:r>
      <w:r>
        <w:rPr>
          <w:rFonts w:hint="eastAsia" w:ascii="黑体" w:hAnsi="黑体" w:eastAsia="黑体"/>
          <w:color w:val="auto"/>
          <w:sz w:val="28"/>
          <w:szCs w:val="28"/>
          <w:highlight w:val="none"/>
        </w:rPr>
        <w:t>合同文件的优先顺序</w:t>
      </w:r>
    </w:p>
    <w:p>
      <w:pPr>
        <w:pStyle w:val="10"/>
        <w:ind w:firstLine="560" w:firstLineChars="200"/>
        <w:rPr>
          <w:rFonts w:ascii="仿宋_GB2312" w:hAnsi="Calibri" w:eastAsia="仿宋_GB2312"/>
          <w:color w:val="auto"/>
          <w:sz w:val="28"/>
          <w:szCs w:val="28"/>
          <w:highlight w:val="none"/>
          <w:u w:val="single"/>
        </w:rPr>
      </w:pPr>
      <w:r>
        <w:rPr>
          <w:rFonts w:hint="eastAsia" w:ascii="仿宋_GB2312" w:eastAsia="仿宋_GB2312"/>
          <w:color w:val="auto"/>
          <w:sz w:val="28"/>
          <w:szCs w:val="28"/>
          <w:highlight w:val="none"/>
        </w:rPr>
        <w:t>合同文件组成及优先顺序为：</w:t>
      </w:r>
      <w:r>
        <w:rPr>
          <w:rFonts w:hint="eastAsia" w:ascii="仿宋_GB2312" w:hAnsi="Calibri" w:eastAsia="仿宋_GB2312"/>
          <w:color w:val="auto"/>
          <w:sz w:val="28"/>
          <w:szCs w:val="28"/>
          <w:highlight w:val="none"/>
          <w:u w:val="single"/>
        </w:rPr>
        <w:t xml:space="preserve"> （1）合同履行中双方签署的补充协议；（2）合同协议书；（3）专用合同条款；（4）招标文件(除专用合同条款、通用合同条款外)及澄清、补充通知等；（5）发包人对本项目的技术要求(包括相关技术标准和规范)（6）通用合同条款；（7）中标通知书；（8）投标函及投标文件；（9）施工图审查机构审查合格后的施工图纸。</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1.6 </w:t>
      </w:r>
      <w:r>
        <w:rPr>
          <w:rFonts w:hint="eastAsia" w:ascii="黑体" w:hAnsi="黑体" w:eastAsia="黑体"/>
          <w:color w:val="auto"/>
          <w:sz w:val="28"/>
          <w:szCs w:val="28"/>
          <w:highlight w:val="none"/>
        </w:rPr>
        <w:t>文件的提供和照管</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1.6.1 </w:t>
      </w:r>
      <w:r>
        <w:rPr>
          <w:rFonts w:hint="eastAsia" w:ascii="仿宋_GB2312" w:eastAsia="仿宋_GB2312"/>
          <w:color w:val="auto"/>
          <w:sz w:val="28"/>
          <w:szCs w:val="28"/>
          <w:highlight w:val="none"/>
        </w:rPr>
        <w:t>发包人文件的提供</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发包人文件的提供期限、名称、数量和形式：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1.6.2 </w:t>
      </w:r>
      <w:r>
        <w:rPr>
          <w:rFonts w:hint="eastAsia" w:ascii="仿宋_GB2312" w:eastAsia="仿宋_GB2312"/>
          <w:color w:val="auto"/>
          <w:sz w:val="28"/>
          <w:szCs w:val="28"/>
          <w:highlight w:val="none"/>
        </w:rPr>
        <w:t>承包人文件的提供</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承包人文件的内容、提供期限、名称、数量和形式：</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①项目设计文件：不得影响项目工期进度；</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②项目实施文件：</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◆项目进度计划。承包人进场7日前提供2份；</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◆设计进度计划。承包人进场7日前提供2份；</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◆采购进度计划。承包人进场7日前提供2份；</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◆总体施工组织设计（包括施工技术方法、施工进度计划、施工人力资源计划一览表、主要施工机具资源计划一览表在内）。承包人进场7日前提供2份；</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◆职业健康、安全、环境保护管理实施计划。承包人进场7日前提供2份；</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◆主要单项工程和主要分部分项工程施工组织设计。单项工程和分部分项施工前7日内提供2份；</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◆质量保证细则和工作执行文件。各设计和实施阶段开始实施前14日内提供2份；</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竣工试验方案。达到竣工试验条件14日前提供2份。</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1.6.4 </w:t>
      </w:r>
      <w:r>
        <w:rPr>
          <w:rFonts w:hint="eastAsia" w:ascii="仿宋_GB2312" w:eastAsia="仿宋_GB2312"/>
          <w:color w:val="auto"/>
          <w:sz w:val="28"/>
          <w:szCs w:val="28"/>
          <w:highlight w:val="none"/>
        </w:rPr>
        <w:t>文件的照管</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关于现场文件准备的约定：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1.7 </w:t>
      </w:r>
      <w:r>
        <w:rPr>
          <w:rFonts w:hint="eastAsia" w:ascii="黑体" w:hAnsi="黑体" w:eastAsia="黑体"/>
          <w:color w:val="auto"/>
          <w:sz w:val="28"/>
          <w:szCs w:val="28"/>
          <w:highlight w:val="none"/>
        </w:rPr>
        <w:t>联络</w:t>
      </w:r>
    </w:p>
    <w:p>
      <w:pPr>
        <w:ind w:firstLine="6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 xml:space="preserve">1.7.2 </w:t>
      </w:r>
      <w:r>
        <w:rPr>
          <w:rFonts w:hint="eastAsia" w:ascii="仿宋_GB2312" w:eastAsia="仿宋_GB2312"/>
          <w:color w:val="auto"/>
          <w:sz w:val="28"/>
          <w:szCs w:val="28"/>
          <w:highlight w:val="none"/>
        </w:rPr>
        <w:t>发包人指定的送达方式（包括电子传输方式）：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当面签收  。</w:t>
      </w:r>
    </w:p>
    <w:p>
      <w:pPr>
        <w:ind w:left="1535" w:leftChars="348" w:hanging="700" w:hangingChars="25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发包人的送达地址：</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发包人办公地点。</w:t>
      </w:r>
    </w:p>
    <w:p>
      <w:pPr>
        <w:rPr>
          <w:color w:val="auto"/>
          <w:highlight w:val="none"/>
        </w:rPr>
      </w:pPr>
      <w:r>
        <w:rPr>
          <w:rFonts w:hint="eastAsia" w:ascii="仿宋_GB2312" w:eastAsia="仿宋_GB2312"/>
          <w:color w:val="auto"/>
          <w:sz w:val="28"/>
          <w:szCs w:val="28"/>
          <w:highlight w:val="none"/>
        </w:rPr>
        <w:t>承包人指定的送达方式（包括电子传输方式）：</w:t>
      </w:r>
      <w:r>
        <w:rPr>
          <w:rFonts w:hint="eastAsia" w:ascii="仿宋_GB2312" w:eastAsia="仿宋_GB2312"/>
          <w:color w:val="auto"/>
          <w:sz w:val="28"/>
          <w:szCs w:val="28"/>
          <w:highlight w:val="none"/>
          <w:u w:val="single"/>
        </w:rPr>
        <w:t xml:space="preserve">当面签收   </w:t>
      </w:r>
      <w:r>
        <w:rPr>
          <w:rFonts w:hint="eastAsia"/>
          <w:color w:val="auto"/>
          <w:highlight w:val="none"/>
        </w:rPr>
        <w:t>。</w:t>
      </w:r>
      <w:r>
        <w:rPr>
          <w:color w:val="auto"/>
          <w:highlight w:val="none"/>
        </w:rPr>
        <w:t xml:space="preserve"> </w:t>
      </w:r>
    </w:p>
    <w:p>
      <w:pPr>
        <w:ind w:firstLine="600"/>
        <w:rPr>
          <w:color w:val="auto"/>
          <w:highlight w:val="none"/>
        </w:rPr>
      </w:pPr>
      <w:r>
        <w:rPr>
          <w:rFonts w:hint="eastAsia" w:ascii="仿宋_GB2312" w:eastAsia="仿宋_GB2312"/>
          <w:color w:val="auto"/>
          <w:sz w:val="28"/>
          <w:szCs w:val="28"/>
          <w:highlight w:val="none"/>
        </w:rPr>
        <w:t>承包人的送达地址：</w:t>
      </w:r>
      <w:r>
        <w:rPr>
          <w:rFonts w:hint="eastAsia" w:ascii="仿宋_GB2312" w:eastAsia="仿宋_GB2312"/>
          <w:color w:val="auto"/>
          <w:sz w:val="28"/>
          <w:szCs w:val="28"/>
          <w:highlight w:val="none"/>
          <w:u w:val="single"/>
        </w:rPr>
        <w:t>发包人办公地点   。</w:t>
      </w:r>
      <w:r>
        <w:rPr>
          <w:color w:val="auto"/>
          <w:highlight w:val="none"/>
        </w:rPr>
        <w:t xml:space="preserve">                     </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1.10 </w:t>
      </w:r>
      <w:r>
        <w:rPr>
          <w:rFonts w:hint="eastAsia" w:ascii="黑体" w:hAnsi="黑体" w:eastAsia="黑体"/>
          <w:color w:val="auto"/>
          <w:sz w:val="28"/>
          <w:szCs w:val="28"/>
          <w:highlight w:val="none"/>
        </w:rPr>
        <w:t>知识产权</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1.10.1 </w:t>
      </w:r>
      <w:r>
        <w:rPr>
          <w:rFonts w:hint="eastAsia" w:ascii="仿宋_GB2312" w:eastAsia="仿宋_GB2312"/>
          <w:color w:val="auto"/>
          <w:sz w:val="28"/>
          <w:szCs w:val="28"/>
          <w:highlight w:val="none"/>
        </w:rPr>
        <w:t>由发包人（或以发包人名义）编制的《发包人要求》和其他文件的著作权归属：</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1.10.2 </w:t>
      </w:r>
      <w:r>
        <w:rPr>
          <w:rFonts w:hint="eastAsia" w:ascii="仿宋_GB2312" w:eastAsia="仿宋_GB2312"/>
          <w:color w:val="auto"/>
          <w:sz w:val="28"/>
          <w:szCs w:val="28"/>
          <w:highlight w:val="none"/>
        </w:rPr>
        <w:t>由承包人（或以承包人名义）为实施工程所编制的文件、承包人完成的设计工作成果和建造完成的建筑物的知识产权归属：</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1.10.4 </w:t>
      </w:r>
      <w:r>
        <w:rPr>
          <w:rFonts w:hint="eastAsia" w:ascii="仿宋_GB2312" w:eastAsia="仿宋_GB2312"/>
          <w:color w:val="auto"/>
          <w:sz w:val="28"/>
          <w:szCs w:val="28"/>
          <w:highlight w:val="none"/>
        </w:rPr>
        <w:t>承包人在投标文件中采用的专利、专有技术、技术秘密的使用费的承担方式：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承包人承担，已包含在合同价款中</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1.11 </w:t>
      </w:r>
      <w:r>
        <w:rPr>
          <w:rFonts w:hint="eastAsia" w:ascii="黑体" w:hAnsi="黑体" w:eastAsia="黑体"/>
          <w:color w:val="auto"/>
          <w:sz w:val="28"/>
          <w:szCs w:val="28"/>
          <w:highlight w:val="none"/>
        </w:rPr>
        <w:t>保密</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双方订立的商业保密协议（名称）：</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，作为本合同附件。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双方订立的技术保密协议（名称）：</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，作为本合同附件。</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1.13 </w:t>
      </w:r>
      <w:r>
        <w:rPr>
          <w:rFonts w:hint="eastAsia" w:ascii="黑体" w:hAnsi="黑体" w:eastAsia="黑体"/>
          <w:color w:val="auto"/>
          <w:sz w:val="28"/>
          <w:szCs w:val="28"/>
          <w:highlight w:val="none"/>
        </w:rPr>
        <w:t>责任限制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承包人对发包人赔偿责任的最高限额为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1.14 </w:t>
      </w:r>
      <w:r>
        <w:rPr>
          <w:rFonts w:hint="eastAsia" w:ascii="黑体" w:hAnsi="黑体" w:eastAsia="黑体"/>
          <w:color w:val="auto"/>
          <w:sz w:val="28"/>
          <w:szCs w:val="28"/>
          <w:highlight w:val="none"/>
        </w:rPr>
        <w:t>建筑信息模型技术的应用</w:t>
      </w:r>
    </w:p>
    <w:p>
      <w:pPr>
        <w:spacing w:line="360" w:lineRule="auto"/>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关于建筑信息模型技术的开发、使用、存储、传输、交付及费用约定如下：</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应用BIM设计技术，相关费用承包人在投标报价中考虑 ,费用已包含在合同价款中  。</w:t>
      </w:r>
    </w:p>
    <w:p>
      <w:pPr>
        <w:pStyle w:val="39"/>
        <w:outlineLvl w:val="2"/>
        <w:rPr>
          <w:rFonts w:ascii="黑体" w:hAnsi="黑体" w:eastAsia="黑体"/>
          <w:b w:val="0"/>
          <w:color w:val="auto"/>
          <w:sz w:val="28"/>
          <w:szCs w:val="28"/>
          <w:highlight w:val="none"/>
        </w:rPr>
      </w:pPr>
      <w:bookmarkStart w:id="183" w:name="_Toc8087"/>
      <w:bookmarkStart w:id="184" w:name="_Toc54862333"/>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2条</w:t>
      </w:r>
      <w:r>
        <w:rPr>
          <w:rFonts w:hint="eastAsia" w:ascii="黑体" w:hAnsi="黑体" w:eastAsia="黑体"/>
          <w:b w:val="0"/>
          <w:color w:val="auto"/>
          <w:sz w:val="28"/>
          <w:szCs w:val="28"/>
          <w:highlight w:val="none"/>
        </w:rPr>
        <w:t xml:space="preserve"> 发包人</w:t>
      </w:r>
      <w:bookmarkEnd w:id="183"/>
      <w:bookmarkEnd w:id="184"/>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2.2 </w:t>
      </w:r>
      <w:r>
        <w:rPr>
          <w:rFonts w:hint="eastAsia" w:ascii="黑体" w:hAnsi="黑体" w:eastAsia="黑体"/>
          <w:color w:val="auto"/>
          <w:sz w:val="28"/>
          <w:szCs w:val="28"/>
          <w:highlight w:val="none"/>
        </w:rPr>
        <w:t>提供施工现场和工作条件</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2.2.1 </w:t>
      </w:r>
      <w:r>
        <w:rPr>
          <w:rFonts w:hint="eastAsia" w:ascii="仿宋_GB2312" w:eastAsia="仿宋_GB2312"/>
          <w:color w:val="auto"/>
          <w:sz w:val="28"/>
          <w:szCs w:val="28"/>
          <w:highlight w:val="none"/>
        </w:rPr>
        <w:t>提供施工现场</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关于发包人提供施工现场的范围和期限：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红线范围内，合同签署后7日历天内提供，最迟于开工日期7天前向承包人移交施工现场。</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2.2.2 </w:t>
      </w:r>
      <w:r>
        <w:rPr>
          <w:rFonts w:hint="eastAsia" w:ascii="仿宋_GB2312" w:eastAsia="仿宋_GB2312"/>
          <w:color w:val="auto"/>
          <w:sz w:val="28"/>
          <w:szCs w:val="28"/>
          <w:highlight w:val="none"/>
        </w:rPr>
        <w:t>提供工作条件</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关于发包人应负责提供的工作条件包括：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发包人为承包人提供施工用水1处，用电接口</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u w:val="single"/>
        </w:rPr>
        <w:t>处；工程用水、用电费用由承包人自行承担（按表计取水、电用量，并按用量计取相应比例的水、电损失量。用水接口后的水管、阀门、水嘴及用电接口后的电缆线路、各级配电表箱（含防漏电、触电保护设施）等均由承包人自行负责安装、使用及管理。承包人根据提供的变压器容量在确保施工进度前提下，合理安排施工机械设施，如需另外增加供电电源，由承包人自行承担，费用发生后不再另行计取；承包人负责日常维护管理及支付相关运行费用。</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2.3 </w:t>
      </w:r>
      <w:r>
        <w:rPr>
          <w:rFonts w:hint="eastAsia" w:ascii="黑体" w:hAnsi="黑体" w:eastAsia="黑体"/>
          <w:color w:val="auto"/>
          <w:sz w:val="28"/>
          <w:szCs w:val="28"/>
          <w:highlight w:val="none"/>
        </w:rPr>
        <w:t>提供基础资料</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关于发包人应提供的基础资料的范围和期限：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合同签订后一周内，发包人提供前期的各项报批文件壹套。发包人向承包人 </w:t>
      </w:r>
    </w:p>
    <w:p>
      <w:pPr>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提供的任何数据、资料、意见，不能减免或免除承包人承担的设计、采购、施工责任。 除发包人提供的基础资料外，承包人应自行踏勘现场障碍物，包括工程设计、现场施工所需的地上和地下已有的建筑物、构筑物、线缆、管道、受保护的古建筑、古树木等坐标方位、数据和其它相关资料，现场障碍勘测和处理产生的费用由承包人自行承担</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2.5 </w:t>
      </w:r>
      <w:r>
        <w:rPr>
          <w:rFonts w:hint="eastAsia" w:ascii="黑体" w:hAnsi="黑体" w:eastAsia="黑体"/>
          <w:color w:val="auto"/>
          <w:sz w:val="28"/>
          <w:szCs w:val="28"/>
          <w:highlight w:val="none"/>
        </w:rPr>
        <w:t>支付合同价款</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2.5.2 </w:t>
      </w:r>
      <w:r>
        <w:rPr>
          <w:rFonts w:hint="eastAsia" w:ascii="仿宋_GB2312" w:eastAsia="仿宋_GB2312"/>
          <w:color w:val="auto"/>
          <w:sz w:val="28"/>
          <w:szCs w:val="28"/>
          <w:highlight w:val="none"/>
        </w:rPr>
        <w:t>发包人提供资金来源证明及资金安排的期限要求：</w:t>
      </w:r>
      <w:r>
        <w:rPr>
          <w:rFonts w:hint="eastAsia" w:ascii="仿宋_GB2312" w:eastAsia="仿宋_GB2312"/>
          <w:color w:val="auto"/>
          <w:sz w:val="28"/>
          <w:szCs w:val="28"/>
          <w:highlight w:val="none"/>
          <w:u w:val="single"/>
        </w:rPr>
        <w:t>已落实</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2.5.3 </w:t>
      </w:r>
      <w:r>
        <w:rPr>
          <w:rFonts w:hint="eastAsia" w:ascii="仿宋_GB2312" w:eastAsia="仿宋_GB2312"/>
          <w:color w:val="auto"/>
          <w:sz w:val="28"/>
          <w:szCs w:val="28"/>
          <w:highlight w:val="none"/>
        </w:rPr>
        <w:t>发包人提供支付担保的形式、期限、金额（或比例）：</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与承包人提交的履约担保相同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2.7 </w:t>
      </w:r>
      <w:r>
        <w:rPr>
          <w:rFonts w:hint="eastAsia" w:ascii="黑体" w:hAnsi="黑体" w:eastAsia="黑体"/>
          <w:color w:val="auto"/>
          <w:sz w:val="28"/>
          <w:szCs w:val="28"/>
          <w:highlight w:val="none"/>
        </w:rPr>
        <w:t>其他义务</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发包人应履行的其他义务：</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185" w:name="_Toc13283"/>
      <w:bookmarkStart w:id="186" w:name="_Toc54862334"/>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3条</w:t>
      </w:r>
      <w:r>
        <w:rPr>
          <w:rFonts w:hint="eastAsia" w:ascii="黑体" w:hAnsi="黑体" w:eastAsia="黑体"/>
          <w:b w:val="0"/>
          <w:color w:val="auto"/>
          <w:sz w:val="28"/>
          <w:szCs w:val="28"/>
          <w:highlight w:val="none"/>
        </w:rPr>
        <w:t xml:space="preserve"> 发包人的管理</w:t>
      </w:r>
      <w:bookmarkEnd w:id="185"/>
      <w:bookmarkEnd w:id="186"/>
    </w:p>
    <w:p>
      <w:pPr>
        <w:ind w:firstLine="640"/>
        <w:rPr>
          <w:rFonts w:ascii="黑体" w:hAnsi="黑体" w:eastAsia="黑体"/>
          <w:color w:val="auto"/>
          <w:sz w:val="28"/>
          <w:szCs w:val="28"/>
          <w:highlight w:val="none"/>
        </w:rPr>
      </w:pPr>
      <w:r>
        <w:rPr>
          <w:rFonts w:ascii="黑体" w:hAnsi="黑体" w:eastAsia="黑体"/>
          <w:color w:val="auto"/>
          <w:sz w:val="28"/>
          <w:szCs w:val="28"/>
          <w:highlight w:val="none"/>
        </w:rPr>
        <w:t xml:space="preserve">3.1 </w:t>
      </w:r>
      <w:r>
        <w:rPr>
          <w:rFonts w:hint="eastAsia" w:ascii="黑体" w:hAnsi="黑体" w:eastAsia="黑体"/>
          <w:color w:val="auto"/>
          <w:sz w:val="28"/>
          <w:szCs w:val="28"/>
          <w:highlight w:val="none"/>
        </w:rPr>
        <w:t>发包人代表</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发包人代表的姓名：</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发包人代表的身份证号：</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发包人代表的职务：</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发包人代表的联系电话：</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发包人代表的电子邮箱：</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发包人代表的通信地址：</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spacing w:line="400" w:lineRule="exact"/>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发包人对发包人代表的授权范围如下：</w:t>
      </w:r>
      <w:r>
        <w:rPr>
          <w:rFonts w:hint="eastAsia" w:ascii="仿宋_GB2312" w:eastAsia="仿宋_GB2312"/>
          <w:color w:val="auto"/>
          <w:sz w:val="28"/>
          <w:szCs w:val="28"/>
          <w:highlight w:val="none"/>
          <w:u w:val="single"/>
        </w:rPr>
        <w:t xml:space="preserve"> 1、对质量、安全、进度进行全面管理；2、代表发包人对工程质量、进度、安全及文明施工进行监督，工程存在质量问题或安全问题或施工进度不符合要求的，现场代表有权要求承包人采取整改措施；3、发包人代表可委派有关具体管理人员，承担自己部分权力和职责，并可在任何时候撤回并重新委派，委派和撤回均应提前3个工作日通知承包方；4、发包人代表的指令、通知及签证须由其本人签字并加盖印章（仅有本人签字未有印章的，发包人追认，则对发包人有效，发包人不予追认的，对发包人不具有效力），以书面形式交给承包人现场代表（或合同约定签收人），承包人代表在回执上签署姓名和收到时间。当承包人代表不在施工现场时，发包人可要求属于承包人其它管理人员代签，签字后即可视为承包人代表已签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发包人代表的职责：</w:t>
      </w:r>
      <w:r>
        <w:rPr>
          <w:rFonts w:hint="eastAsia" w:ascii="仿宋_GB2312" w:eastAsia="仿宋_GB2312"/>
          <w:color w:val="auto"/>
          <w:sz w:val="28"/>
          <w:szCs w:val="28"/>
          <w:highlight w:val="none"/>
          <w:u w:val="single"/>
        </w:rPr>
        <w:t>项目总负责，负责项目实施阶段全面协调管理工作</w:t>
      </w:r>
      <w:r>
        <w:rPr>
          <w:rFonts w:hint="eastAsia" w:ascii="仿宋_GB2312" w:eastAsia="仿宋_GB2312"/>
          <w:color w:val="auto"/>
          <w:sz w:val="28"/>
          <w:szCs w:val="28"/>
          <w:highlight w:val="none"/>
        </w:rPr>
        <w:t>。</w:t>
      </w:r>
    </w:p>
    <w:p>
      <w:pPr>
        <w:ind w:firstLine="640"/>
        <w:rPr>
          <w:rFonts w:ascii="黑体" w:hAnsi="黑体" w:eastAsia="黑体"/>
          <w:color w:val="auto"/>
          <w:sz w:val="28"/>
          <w:szCs w:val="28"/>
          <w:highlight w:val="none"/>
        </w:rPr>
      </w:pPr>
      <w:r>
        <w:rPr>
          <w:rFonts w:ascii="黑体" w:hAnsi="黑体" w:eastAsia="黑体"/>
          <w:color w:val="auto"/>
          <w:sz w:val="28"/>
          <w:szCs w:val="28"/>
          <w:highlight w:val="none"/>
        </w:rPr>
        <w:t xml:space="preserve">3.2 </w:t>
      </w:r>
      <w:r>
        <w:rPr>
          <w:rFonts w:hint="eastAsia" w:ascii="黑体" w:hAnsi="黑体" w:eastAsia="黑体"/>
          <w:color w:val="auto"/>
          <w:sz w:val="28"/>
          <w:szCs w:val="28"/>
          <w:highlight w:val="none"/>
        </w:rPr>
        <w:t>发包人人员</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发包人人员姓名：</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发包人人员职务：</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发包人人员职责：</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40"/>
        <w:rPr>
          <w:rFonts w:ascii="黑体" w:hAnsi="黑体" w:eastAsia="黑体"/>
          <w:color w:val="auto"/>
          <w:sz w:val="28"/>
          <w:szCs w:val="28"/>
          <w:highlight w:val="none"/>
        </w:rPr>
      </w:pPr>
      <w:r>
        <w:rPr>
          <w:rFonts w:ascii="黑体" w:hAnsi="黑体" w:eastAsia="黑体"/>
          <w:color w:val="auto"/>
          <w:sz w:val="28"/>
          <w:szCs w:val="28"/>
          <w:highlight w:val="none"/>
        </w:rPr>
        <w:t xml:space="preserve">3.3 </w:t>
      </w:r>
      <w:r>
        <w:rPr>
          <w:rFonts w:hint="eastAsia" w:ascii="黑体" w:hAnsi="黑体" w:eastAsia="黑体"/>
          <w:color w:val="auto"/>
          <w:sz w:val="28"/>
          <w:szCs w:val="28"/>
          <w:highlight w:val="none"/>
        </w:rPr>
        <w:t>工程师</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3</w:t>
      </w:r>
      <w:r>
        <w:rPr>
          <w:rFonts w:ascii="仿宋_GB2312" w:eastAsia="仿宋_GB2312"/>
          <w:color w:val="auto"/>
          <w:sz w:val="28"/>
          <w:szCs w:val="28"/>
          <w:highlight w:val="none"/>
        </w:rPr>
        <w:t xml:space="preserve">.3.1 </w:t>
      </w:r>
      <w:r>
        <w:rPr>
          <w:rFonts w:hint="eastAsia" w:ascii="仿宋_GB2312" w:eastAsia="仿宋_GB2312"/>
          <w:color w:val="auto"/>
          <w:sz w:val="28"/>
          <w:szCs w:val="28"/>
          <w:highlight w:val="none"/>
        </w:rPr>
        <w:t>工程师名称</w:t>
      </w:r>
      <w:r>
        <w:rPr>
          <w:rFonts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p>
    <w:p>
      <w:pPr>
        <w:spacing w:line="400" w:lineRule="exact"/>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工程师监督管理</w:t>
      </w:r>
      <w:r>
        <w:rPr>
          <w:rFonts w:ascii="仿宋_GB2312" w:eastAsia="仿宋_GB2312"/>
          <w:color w:val="auto"/>
          <w:sz w:val="28"/>
          <w:szCs w:val="28"/>
          <w:highlight w:val="none"/>
        </w:rPr>
        <w:t>范围</w:t>
      </w:r>
      <w:r>
        <w:rPr>
          <w:rFonts w:hint="eastAsia" w:ascii="仿宋_GB2312" w:eastAsia="仿宋_GB2312"/>
          <w:color w:val="auto"/>
          <w:sz w:val="28"/>
          <w:szCs w:val="28"/>
          <w:highlight w:val="none"/>
        </w:rPr>
        <w:t>、内容</w:t>
      </w:r>
      <w:r>
        <w:rPr>
          <w:rFonts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监理工程师按发包人委托监理的范围、内容、职权和权限，代表发包人对承包人实施监督</w:t>
      </w:r>
      <w:r>
        <w:rPr>
          <w:rFonts w:hint="eastAsia" w:ascii="仿宋_GB2312" w:eastAsia="仿宋_GB2312"/>
          <w:color w:val="auto"/>
          <w:sz w:val="28"/>
          <w:szCs w:val="28"/>
          <w:highlight w:val="none"/>
        </w:rPr>
        <w:t xml:space="preserve">；  </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 工程师</w:t>
      </w:r>
      <w:r>
        <w:rPr>
          <w:rFonts w:ascii="仿宋_GB2312" w:eastAsia="仿宋_GB2312"/>
          <w:color w:val="auto"/>
          <w:sz w:val="28"/>
          <w:szCs w:val="28"/>
          <w:highlight w:val="none"/>
        </w:rPr>
        <w:t>权限：</w:t>
      </w:r>
      <w:r>
        <w:rPr>
          <w:rFonts w:hint="eastAsia" w:ascii="仿宋_GB2312" w:eastAsia="仿宋_GB2312"/>
          <w:color w:val="auto"/>
          <w:sz w:val="28"/>
          <w:szCs w:val="28"/>
          <w:highlight w:val="none"/>
          <w:u w:val="single"/>
        </w:rPr>
        <w:t>经发包人批准后，工程师行使的权力：</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发出可能引起工程范围的扩大或缩小、工程质量标准的提高或降低的工程变更指令或其它指令；（2）发布停工令、复工令；（3）批准或同意承包人提出的顺延工期的申请；（4）批准或同意承包人提出的追加或变更工程价款、补偿损失的申请及工程索赔价款的确认；（5）批准或同意承包人提出的主要材料设备的采购清单；（6）工程进度款的批准以及变更或增加工程量的签证；（7）工程竣工验收报告或甩项验收报告及工程缺陷证书的确认；（8）撤换承包人主要管理人员；（9）变更合同权利义务关系或做出单方面终止合同的决定。</w:t>
      </w:r>
    </w:p>
    <w:p>
      <w:pPr>
        <w:spacing w:line="400" w:lineRule="exact"/>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工程师在发出上述指令、批准或确认时，应附上发包人加盖公章的书面确认。承包人在接到工程师的上述指令、批准或确认时，应核对有无发包人的书面确认，一旦工程师未经发包人确认做出上述指令、批准或确认，承包人应该立即将该情况通知发包人，要求发包人予以追认，发包人未予追认的，工程师的该行动对发包人无约束力。不管通用合同条款第3.1.1项如何约定，监理人履行须经发包人批准行使的权力时，应当向承包人出示其行使该权力已经取得发包人批准的文件或者其他合法有效的证明</w:t>
      </w:r>
      <w:r>
        <w:rPr>
          <w:rFonts w:hint="eastAsia" w:ascii="仿宋_GB2312" w:eastAsia="仿宋_GB2312"/>
          <w:color w:val="auto"/>
          <w:sz w:val="28"/>
          <w:szCs w:val="28"/>
          <w:highlight w:val="none"/>
        </w:rPr>
        <w:t>。</w:t>
      </w:r>
    </w:p>
    <w:p>
      <w:pPr>
        <w:ind w:firstLine="640"/>
        <w:rPr>
          <w:rFonts w:ascii="黑体" w:hAnsi="黑体" w:eastAsia="黑体"/>
          <w:color w:val="auto"/>
          <w:sz w:val="28"/>
          <w:szCs w:val="28"/>
          <w:highlight w:val="none"/>
        </w:rPr>
      </w:pPr>
      <w:r>
        <w:rPr>
          <w:rFonts w:ascii="黑体" w:hAnsi="黑体" w:eastAsia="黑体"/>
          <w:color w:val="auto"/>
          <w:sz w:val="28"/>
          <w:szCs w:val="28"/>
          <w:highlight w:val="none"/>
        </w:rPr>
        <w:t xml:space="preserve">3.6 </w:t>
      </w:r>
      <w:r>
        <w:rPr>
          <w:rFonts w:hint="eastAsia" w:ascii="黑体" w:hAnsi="黑体" w:eastAsia="黑体"/>
          <w:color w:val="auto"/>
          <w:sz w:val="28"/>
          <w:szCs w:val="28"/>
          <w:highlight w:val="none"/>
        </w:rPr>
        <w:t>商定或确定</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3</w:t>
      </w:r>
      <w:r>
        <w:rPr>
          <w:rFonts w:ascii="仿宋_GB2312" w:eastAsia="仿宋_GB2312"/>
          <w:color w:val="auto"/>
          <w:sz w:val="28"/>
          <w:szCs w:val="28"/>
          <w:highlight w:val="none"/>
        </w:rPr>
        <w:t>.6.2 关于</w:t>
      </w:r>
      <w:r>
        <w:rPr>
          <w:rFonts w:hint="eastAsia" w:ascii="仿宋_GB2312" w:eastAsia="仿宋_GB2312"/>
          <w:color w:val="auto"/>
          <w:sz w:val="28"/>
          <w:szCs w:val="28"/>
          <w:highlight w:val="none"/>
        </w:rPr>
        <w:t>商定</w:t>
      </w:r>
      <w:r>
        <w:rPr>
          <w:rFonts w:ascii="仿宋_GB2312" w:eastAsia="仿宋_GB2312"/>
          <w:color w:val="auto"/>
          <w:sz w:val="28"/>
          <w:szCs w:val="28"/>
          <w:highlight w:val="none"/>
        </w:rPr>
        <w:t>时间限制的具体约定：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3.6.3 关于</w:t>
      </w:r>
      <w:r>
        <w:rPr>
          <w:rFonts w:hint="eastAsia" w:ascii="仿宋_GB2312" w:eastAsia="仿宋_GB2312"/>
          <w:color w:val="auto"/>
          <w:sz w:val="28"/>
          <w:szCs w:val="28"/>
          <w:highlight w:val="none"/>
        </w:rPr>
        <w:t>商定或确定</w:t>
      </w:r>
      <w:r>
        <w:rPr>
          <w:rFonts w:ascii="仿宋_GB2312" w:eastAsia="仿宋_GB2312"/>
          <w:color w:val="auto"/>
          <w:sz w:val="28"/>
          <w:szCs w:val="28"/>
          <w:highlight w:val="none"/>
        </w:rPr>
        <w:t>效力的具体约定：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r>
        <w:rPr>
          <w:rFonts w:ascii="仿宋_GB2312" w:eastAsia="仿宋_GB2312"/>
          <w:color w:val="auto"/>
          <w:sz w:val="28"/>
          <w:szCs w:val="28"/>
          <w:highlight w:val="none"/>
        </w:rPr>
        <w:t>关于对</w:t>
      </w:r>
      <w:r>
        <w:rPr>
          <w:rFonts w:hint="eastAsia" w:ascii="仿宋_GB2312" w:eastAsia="仿宋_GB2312"/>
          <w:color w:val="auto"/>
          <w:sz w:val="28"/>
          <w:szCs w:val="28"/>
          <w:highlight w:val="none"/>
        </w:rPr>
        <w:t>工程师的确定提出异议</w:t>
      </w:r>
      <w:r>
        <w:rPr>
          <w:rFonts w:ascii="仿宋_GB2312" w:eastAsia="仿宋_GB2312"/>
          <w:color w:val="auto"/>
          <w:sz w:val="28"/>
          <w:szCs w:val="28"/>
          <w:highlight w:val="none"/>
        </w:rPr>
        <w:t>的具体约定：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40"/>
        <w:rPr>
          <w:rFonts w:ascii="黑体" w:hAnsi="黑体" w:eastAsia="黑体"/>
          <w:color w:val="auto"/>
          <w:sz w:val="28"/>
          <w:szCs w:val="28"/>
          <w:highlight w:val="none"/>
        </w:rPr>
      </w:pPr>
      <w:r>
        <w:rPr>
          <w:rFonts w:ascii="黑体" w:hAnsi="黑体" w:eastAsia="黑体"/>
          <w:color w:val="auto"/>
          <w:sz w:val="28"/>
          <w:szCs w:val="28"/>
          <w:highlight w:val="none"/>
        </w:rPr>
        <w:t xml:space="preserve">3.7 </w:t>
      </w:r>
      <w:r>
        <w:rPr>
          <w:rFonts w:hint="eastAsia" w:ascii="黑体" w:hAnsi="黑体" w:eastAsia="黑体"/>
          <w:color w:val="auto"/>
          <w:sz w:val="28"/>
          <w:szCs w:val="28"/>
          <w:highlight w:val="none"/>
        </w:rPr>
        <w:t>会议</w:t>
      </w:r>
    </w:p>
    <w:p>
      <w:pPr>
        <w:pStyle w:val="10"/>
        <w:rPr>
          <w:rFonts w:ascii="仿宋_GB2312" w:eastAsia="仿宋_GB2312"/>
          <w:color w:val="auto"/>
          <w:sz w:val="28"/>
          <w:szCs w:val="28"/>
          <w:highlight w:val="none"/>
        </w:rPr>
      </w:pPr>
      <w:r>
        <w:rPr>
          <w:rFonts w:hint="eastAsia" w:ascii="仿宋_GB2312" w:eastAsia="仿宋_GB2312"/>
          <w:color w:val="auto"/>
          <w:sz w:val="28"/>
          <w:szCs w:val="28"/>
          <w:highlight w:val="none"/>
        </w:rPr>
        <w:t>3</w:t>
      </w:r>
      <w:r>
        <w:rPr>
          <w:rFonts w:ascii="仿宋_GB2312" w:eastAsia="仿宋_GB2312"/>
          <w:color w:val="auto"/>
          <w:sz w:val="28"/>
          <w:szCs w:val="28"/>
          <w:highlight w:val="none"/>
        </w:rPr>
        <w:t>.7.1 关于召开会议</w:t>
      </w:r>
      <w:r>
        <w:rPr>
          <w:rFonts w:hint="eastAsia" w:ascii="仿宋_GB2312" w:eastAsia="仿宋_GB2312"/>
          <w:color w:val="auto"/>
          <w:sz w:val="28"/>
          <w:szCs w:val="28"/>
          <w:highlight w:val="none"/>
        </w:rPr>
        <w:t>的具体约定：</w:t>
      </w:r>
      <w:r>
        <w:rPr>
          <w:rFonts w:hint="eastAsia" w:ascii="仿宋_GB2312" w:hAnsi="Calibri" w:eastAsia="仿宋_GB2312"/>
          <w:color w:val="auto"/>
          <w:sz w:val="28"/>
          <w:szCs w:val="28"/>
          <w:highlight w:val="none"/>
          <w:u w:val="single"/>
        </w:rPr>
        <w:t xml:space="preserve"> 按规定召开例会（周例会、月度会议、季度会议、半年度会议、年度会议）、专题会议、不定期工程会议等，满足工程建设需要</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3</w:t>
      </w:r>
      <w:r>
        <w:rPr>
          <w:rFonts w:ascii="仿宋_GB2312" w:eastAsia="仿宋_GB2312"/>
          <w:color w:val="auto"/>
          <w:sz w:val="28"/>
          <w:szCs w:val="28"/>
          <w:highlight w:val="none"/>
        </w:rPr>
        <w:t xml:space="preserve">.7.2 </w:t>
      </w:r>
      <w:r>
        <w:rPr>
          <w:rFonts w:hint="eastAsia" w:ascii="仿宋_GB2312" w:eastAsia="仿宋_GB2312"/>
          <w:color w:val="auto"/>
          <w:sz w:val="28"/>
          <w:szCs w:val="28"/>
          <w:highlight w:val="none"/>
        </w:rPr>
        <w:t>关于保存和提供会议纪要</w:t>
      </w:r>
      <w:r>
        <w:rPr>
          <w:rFonts w:ascii="仿宋_GB2312" w:eastAsia="仿宋_GB2312"/>
          <w:color w:val="auto"/>
          <w:sz w:val="28"/>
          <w:szCs w:val="28"/>
          <w:highlight w:val="none"/>
        </w:rPr>
        <w:t>的具体约定：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承包人应保存每次会议参加人签名的记录，并将会议纪要提供给出席会议的人员。任何根据此类会议以及会议纪要采取的行动应符合本合同的约定  。</w:t>
      </w:r>
    </w:p>
    <w:p>
      <w:pPr>
        <w:pStyle w:val="39"/>
        <w:outlineLvl w:val="2"/>
        <w:rPr>
          <w:rFonts w:hint="eastAsia" w:ascii="黑体" w:hAnsi="黑体" w:eastAsia="黑体"/>
          <w:b w:val="0"/>
          <w:color w:val="auto"/>
          <w:sz w:val="28"/>
          <w:szCs w:val="28"/>
          <w:highlight w:val="none"/>
        </w:rPr>
      </w:pPr>
      <w:bookmarkStart w:id="187" w:name="_Toc11349"/>
      <w:bookmarkStart w:id="188" w:name="_Toc54862335"/>
      <w:r>
        <w:rPr>
          <w:rFonts w:hint="eastAsia" w:ascii="黑体" w:hAnsi="黑体" w:eastAsia="黑体"/>
          <w:b w:val="0"/>
          <w:color w:val="auto"/>
          <w:sz w:val="28"/>
          <w:szCs w:val="28"/>
          <w:highlight w:val="none"/>
        </w:rPr>
        <w:t>第4条 承包人</w:t>
      </w:r>
      <w:bookmarkEnd w:id="187"/>
      <w:bookmarkEnd w:id="188"/>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4.1 </w:t>
      </w:r>
      <w:r>
        <w:rPr>
          <w:rFonts w:hint="eastAsia" w:ascii="黑体" w:hAnsi="黑体" w:eastAsia="黑体"/>
          <w:color w:val="auto"/>
          <w:sz w:val="28"/>
          <w:szCs w:val="28"/>
          <w:highlight w:val="none"/>
        </w:rPr>
        <w:t>承包人的一般义务</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除通用合同条件外,承包人应履行的其他义务：</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1.承包人应按照国家规范、标准及《发包人要求》的规定完成工程项目的设计工作，承包人应按双方约定的合同价格进行限额设计。</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承包人应在进行施工图设计前，就初步设计文件中的建设规模、建设标准、功能和技术要求等内容进行认真复核。如发现初步设计文件不符合设计规范，或者与《发包人要求》有矛盾的，应及时与发包人进行沟通，经发包人同意后，需调整并构成变更的，按本合同条款第13条变更与调整处理。</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3.承包范围内的施工图深化设计包含所有施工图设计和各类专项设计；所有设计成果必须经由发包人认可后方可报批。承包人提供的施工图设计应标明符合招标文件和合同约定的主要材料、设备的规格、型号、性能等技术参数，其质量要求必须符合国家规定的标准。</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4.承包人应按照合同约定的设计审查阶段及其审查会议的时间安排提交符合相关阶段设计深度要求的设计文件。</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5.承包人应负责工程设计的组织、协调、进度控制等所有相关设计工作，对所有相关设计文件的正确性、合理性承担责任。</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6、承包人必须严格履行施工合同，必须严格按照施工图纸、技术联系单、变更联系单、施工组织设计文件与专项施工方案以及国家及地方颁发的与本工程建设相关的标准、规范、规程等进行施工。发包人及监理单位或建设单位上级主管部门发现现场施工不符合上述文件要求从而影响了工程质量、安全生产、文明施工，向承包人提出整改或返工要求的，承包人必须严格按要求整改或返工。如发包人及监理单位或建设单位上级主管部门发出要求整改或返工的书面文件后，承包人仍不落实整改、返工或整改、返工不到位的，则发包人及监理单位或建设单位上级主管部门有权根据工程质量、安全生产、文明施工等的不良程度对承包人进行每次2000元的经济扣罚，同一问题若被连续要求，则每加发一张督促单，罚金较前次翻倍,若连续三次整改无效的，发包人有权委托有资质的单位完成需整改部分工程的施工，所发生的费用由承包人承担，并由发包人直接在工程款中扣除；</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7、对于施工进度的控制，原则上以承包人制定的施工计划为依据，由于非客观因素且非发包人因素导致工程重要进度节点未按期完成的，发包人及监理单位或建设单位上级主管部门可在扣发当期工程款的基础上，酌情对承包人进行经济处罚。处罚标准为不超过1万元,并由发包人直接在工程款中扣除；</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8、根据工程需要，承包人应提供和维修施工使用的照明、围栏设施并负责安全保卫工作，若承包人未履行上述义务造成工程、财产和人身伤害，由承包人承担全部责任及所发生的费用。发包人不再单独另行支付。</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9、为保证工程施工过程的连续性、可追溯性和痕迹化管理，承包人应按有关规范填写现场施工日志，即时如实填写（不得后补），把工程有关的环境、技术、质量、安全、生产变化、人员变动、问题发现与解决等情况，详细记录，并接受监理人、发包人的随时检查。</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10、承包人应遵守国家、地方及建筑行业的法律、法规、制度和强制性标准，遵守发包人相关制度、流程，如有不遵守上述规定的行为，发包人有权按相关规定对承包人进行处罚。</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11、因施工噪音、物体坠落、材料抛散、建筑垃圾、现场排污等影响环境卫生、交通城管问题和手续由承包人和有关部门联系自行解决，并按相关行政监督部门要求标准化管理及环保要求实施施工管理并承担相关费用，发包人给予配合。</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12、材料、设备和工程的试验和检验的费用：除桩基检测和基坑监测外，其余的建筑结构实体检测、建筑材料常规检测、节能检测等各项试验、检验、检测等均由承包人负责实施并承担相关的费用。各项试验、检验、检测须严格按照国家及省、市地方有关工程质量检测的有关规定和设计明确要求的检测频率、内容实施。在施工过程中，监理单位有权按照相关标准、规范要求并结合工程实际，对工程原材料、工程实体进行平行检测，承包人必须积极配合监理单位的此项工作，如阻止干扰，发包人有权进行相应处罚。</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13、承包人应配合各专业承包单位（含发包人独立发包专业工程施工单位）的预留预埋工作，负责已施工完的半成品保护。同各专业承包单位进行技术复核并办理交接，下一道工序的施工不得破坏已完成的半成品，确保预留预埋的准确无误。</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14、施工场地周围地下管线和邻近建筑物、构筑物（含文物保护建筑）、古树名木的保护要求及费用承担：施工期间承包人对施工场地周围地下管线、电缆和邻近建筑物、构筑物承担保护义务，费用自行承担。</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15、负责临时用电设施的日常管理使用，在施工期间临时用电设施如有故障或损坏，由承包方负责修复。在使用过程中，必须按规范操作，如果发生事故由承包方自行负责。</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16、承包人的施工管理区及施工场地应设有临时的污水处理设施和施工排水设施，生活、施工垃圾等处置应妥当，施工材料如涂料、化学品等应妥善存放，并设有防雨、防风等措施。</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17、承包人应全权负责其劳务及职员的雇佣、工资的支付、房屋、膳食及运输的安排。承包人在任何时候应采取一切合理的预防措施，以防止其劳务及职员发生任何违法的、妨害治安的行为，并维护治安和保护工程及个人或财产免遭上述行为的破坏。</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18、承包人应负责承包项目在施工过程的之前、之中、之后协调工作，包括工序、场地、材料堆放、人员食宿、水、电供应等。</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19、强化安全意识，抓好安全生产，杜绝事故发生，施工中发生安全及人身事故均由承包人负责处理，并承担全部费用和责任。</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20、如遇上级主管部门、行政监督部门到达施工现场需要紧急停工及整理现场卫生的，承包人必须无条件响应。</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4.2 </w:t>
      </w:r>
      <w:r>
        <w:rPr>
          <w:rFonts w:hint="eastAsia" w:ascii="黑体" w:hAnsi="黑体" w:eastAsia="黑体"/>
          <w:color w:val="auto"/>
          <w:sz w:val="28"/>
          <w:szCs w:val="28"/>
          <w:highlight w:val="none"/>
        </w:rPr>
        <w:t>履约担保</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承包人是否提供履约担保：</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是</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 履约担保的形式：</w:t>
      </w:r>
      <w:r>
        <w:rPr>
          <w:rFonts w:hint="eastAsia" w:ascii="仿宋_GB2312" w:eastAsia="仿宋_GB2312"/>
          <w:color w:val="auto"/>
          <w:sz w:val="28"/>
          <w:szCs w:val="28"/>
          <w:highlight w:val="none"/>
          <w:u w:val="single"/>
        </w:rPr>
        <w:t>☑履约担保金（含现金支票、银行汇票、保兑支票）或☑银行履约保函或☑履约担保书（建设工程完工履约保证保险保单保函）</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履约担保的金额：</w:t>
      </w:r>
      <w:r>
        <w:rPr>
          <w:rFonts w:hint="eastAsia" w:ascii="仿宋_GB2312" w:eastAsia="仿宋_GB2312"/>
          <w:color w:val="auto"/>
          <w:sz w:val="28"/>
          <w:szCs w:val="28"/>
          <w:highlight w:val="none"/>
          <w:u w:val="single"/>
        </w:rPr>
        <w:t>合同价的2%（其中质量履约保证金：0.6%；工期履约保证金：0.4%；项目负责人到位率履约保证金：0.6%；安全无死亡履约保证金：0.2%；文明施工履约保证金：0.2%）。</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注：必须是不可撤销保函，且无条件支付或见索支付。</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履约担保的有效期应当自本合同生效之日起至发包人签认并由监理人向承包人出具工程接收证书之日止。如果承包人无法获得一份不带具体截止日期的担保，履约担保中应当有“变更工程竣工日期的，保证期间按照变更后的竣工日期做相应调整”或类似约定的条款，如竣工验收合格前银行保函或履约担保书失效，承包人应对银行保函或履约担保书进行延期，如未延期，发包人有权在工程款中扣除合同价的2%作为履约保证金。</w:t>
      </w:r>
    </w:p>
    <w:p>
      <w:pPr>
        <w:spacing w:line="400" w:lineRule="exact"/>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履约担保应在监理人向承包人颁发(出具)工程接收证书之日后28天内退还给承包人，不计息。</w:t>
      </w:r>
    </w:p>
    <w:p>
      <w:pPr>
        <w:ind w:firstLine="600"/>
        <w:rPr>
          <w:rFonts w:hint="eastAsia" w:ascii="仿宋_GB2312" w:eastAsia="仿宋_GB2312"/>
          <w:color w:val="auto"/>
          <w:sz w:val="28"/>
          <w:szCs w:val="28"/>
          <w:highlight w:val="none"/>
          <w:u w:val="single"/>
        </w:rPr>
      </w:pP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履约担保的提交期限：</w:t>
      </w:r>
      <w:r>
        <w:rPr>
          <w:rFonts w:hint="eastAsia" w:ascii="仿宋_GB2312" w:eastAsia="仿宋_GB2312"/>
          <w:color w:val="auto"/>
          <w:sz w:val="28"/>
          <w:szCs w:val="28"/>
          <w:highlight w:val="none"/>
          <w:u w:val="single"/>
        </w:rPr>
        <w:t>合同签订前   。</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4.3 </w:t>
      </w:r>
      <w:r>
        <w:rPr>
          <w:rFonts w:hint="eastAsia" w:ascii="黑体" w:hAnsi="黑体" w:eastAsia="黑体"/>
          <w:color w:val="auto"/>
          <w:sz w:val="28"/>
          <w:szCs w:val="28"/>
          <w:highlight w:val="none"/>
        </w:rPr>
        <w:t>工程总承包项目经理</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4.3.1 </w:t>
      </w:r>
      <w:r>
        <w:rPr>
          <w:rFonts w:hint="eastAsia" w:ascii="仿宋_GB2312" w:eastAsia="仿宋_GB2312"/>
          <w:color w:val="auto"/>
          <w:sz w:val="28"/>
          <w:szCs w:val="28"/>
          <w:highlight w:val="none"/>
        </w:rPr>
        <w:t>工程总承包项目经理（即投标项目负责人）姓名：</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执业资格或职称类型：</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执业资格证或职称证号码：</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联系电话：</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电子邮箱：</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通信地址：</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10"/>
        <w:ind w:firstLine="560" w:firstLineChars="200"/>
        <w:rPr>
          <w:rFonts w:hint="eastAsia" w:ascii="仿宋_GB2312" w:hAnsi="Calibri" w:eastAsia="仿宋_GB2312"/>
          <w:color w:val="auto"/>
          <w:sz w:val="28"/>
          <w:szCs w:val="28"/>
          <w:highlight w:val="none"/>
          <w:u w:val="single"/>
        </w:rPr>
      </w:pPr>
      <w:r>
        <w:rPr>
          <w:rFonts w:ascii="仿宋_GB2312" w:hAnsi="Calibri" w:eastAsia="仿宋_GB2312"/>
          <w:color w:val="auto"/>
          <w:sz w:val="28"/>
          <w:szCs w:val="28"/>
          <w:highlight w:val="none"/>
          <w:u w:val="single"/>
        </w:rPr>
        <w:t xml:space="preserve">承包人未提交劳动合同，以及没有为工程总承包项目经理缴纳社会保险证明的违约责任： </w:t>
      </w:r>
      <w:r>
        <w:rPr>
          <w:rFonts w:hint="eastAsia" w:ascii="仿宋_GB2312" w:hAnsi="Calibri" w:eastAsia="仿宋_GB2312"/>
          <w:color w:val="auto"/>
          <w:sz w:val="28"/>
          <w:szCs w:val="28"/>
          <w:highlight w:val="none"/>
          <w:u w:val="single"/>
        </w:rPr>
        <w:t>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须支付违约金400万元整，同时发包人有权要求承包人按项目所在地有关规定更换工程总承包项目经理，否则发包人有权要求承包人暂停施工，由此引起的费用增加和工期延误责任由承包人承担。情节严重的，发包人有权终止合同， 并追究承包人相关的经济损失。①工程总承包项目经理须与承包人投标时所承诺的人员一致；②在监理工程师向承包人颁发(出具)工程接收证书前，不得同时兼任其他任何项目的工程总承包项目经理、施工负责人。</w:t>
      </w:r>
    </w:p>
    <w:p>
      <w:pPr>
        <w:ind w:firstLine="560" w:firstLineChars="2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 xml:space="preserve">4.3.2 </w:t>
      </w:r>
      <w:r>
        <w:rPr>
          <w:rFonts w:hint="eastAsia" w:ascii="仿宋_GB2312" w:eastAsia="仿宋_GB2312"/>
          <w:color w:val="auto"/>
          <w:sz w:val="28"/>
          <w:szCs w:val="28"/>
          <w:highlight w:val="none"/>
        </w:rPr>
        <w:t>工程总承包项目经理每月在现场的时间要求：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项目经理每月在现场时间不得少于 24日历天（考勤以半天为时间单位，每天上午、下午均需到监理单位指定的场所进行书面签到或指纹识别、人脸识别，每半天在岗时间不少于三小时视为到位，少于三小时视为未到位）。重要施工工序或环节时项目经理、技术负责人等必须到场。如有特殊情况无法到岗的，须提前安排好相关工作，并报发包人、监理人同意方可，并指定一名有经验的人员临时代行其职责；保持手机24小时开机，并必须应发包人、监理人要求随时到岗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工程总承包项目经理未经批准擅自离开施工现场的违约责任：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视为缺勤，按月以日历天为基数计算考核，未达到的按每天10000元进行处罚 。</w:t>
      </w:r>
    </w:p>
    <w:p>
      <w:pPr>
        <w:ind w:firstLine="6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 xml:space="preserve">4.3.3 </w:t>
      </w:r>
      <w:r>
        <w:rPr>
          <w:rFonts w:hint="eastAsia" w:ascii="仿宋_GB2312" w:eastAsia="仿宋_GB2312"/>
          <w:color w:val="auto"/>
          <w:sz w:val="28"/>
          <w:szCs w:val="28"/>
          <w:highlight w:val="none"/>
        </w:rPr>
        <w:t>承包人对工程总承包项目经理的授权范围: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代表承包人行使本项目工程总承包的各项权利、履行各项义务和责任 。</w:t>
      </w:r>
    </w:p>
    <w:p>
      <w:pPr>
        <w:ind w:firstLine="600"/>
        <w:rPr>
          <w:rFonts w:hint="eastAsia" w:ascii="仿宋" w:hAnsi="仿宋" w:eastAsia="仿宋" w:cs="宋体"/>
          <w:color w:val="auto"/>
          <w:sz w:val="28"/>
          <w:szCs w:val="28"/>
          <w:highlight w:val="none"/>
        </w:rPr>
      </w:pPr>
      <w:r>
        <w:rPr>
          <w:rFonts w:ascii="仿宋_GB2312" w:eastAsia="仿宋_GB2312"/>
          <w:color w:val="auto"/>
          <w:sz w:val="28"/>
          <w:szCs w:val="28"/>
          <w:highlight w:val="none"/>
        </w:rPr>
        <w:t xml:space="preserve">4.3.4 </w:t>
      </w:r>
      <w:r>
        <w:rPr>
          <w:rFonts w:hint="eastAsia" w:ascii="仿宋_GB2312" w:eastAsia="仿宋_GB2312"/>
          <w:color w:val="auto"/>
          <w:sz w:val="28"/>
          <w:szCs w:val="28"/>
          <w:highlight w:val="none"/>
        </w:rPr>
        <w:t>承包人</w:t>
      </w:r>
      <w:r>
        <w:rPr>
          <w:rFonts w:ascii="仿宋_GB2312" w:eastAsia="仿宋_GB2312"/>
          <w:color w:val="auto"/>
          <w:sz w:val="28"/>
          <w:szCs w:val="28"/>
          <w:highlight w:val="none"/>
        </w:rPr>
        <w:t>擅自更换工程总承包项目经理的违约</w:t>
      </w:r>
      <w:r>
        <w:rPr>
          <w:rFonts w:hint="eastAsia" w:ascii="仿宋_GB2312" w:eastAsia="仿宋_GB2312"/>
          <w:color w:val="auto"/>
          <w:sz w:val="28"/>
          <w:szCs w:val="28"/>
          <w:highlight w:val="none"/>
        </w:rPr>
        <w:t>责任：</w:t>
      </w:r>
      <w:r>
        <w:rPr>
          <w:rFonts w:ascii="仿宋" w:hAnsi="仿宋" w:eastAsia="仿宋"/>
          <w:color w:val="auto"/>
          <w:sz w:val="28"/>
          <w:szCs w:val="28"/>
          <w:highlight w:val="none"/>
          <w:u w:val="single"/>
        </w:rPr>
        <w:t xml:space="preserve"> </w:t>
      </w:r>
      <w:r>
        <w:rPr>
          <w:rFonts w:hint="eastAsia" w:ascii="仿宋" w:hAnsi="仿宋" w:eastAsia="仿宋" w:cs="仿宋"/>
          <w:b/>
          <w:color w:val="auto"/>
          <w:sz w:val="28"/>
          <w:szCs w:val="28"/>
          <w:highlight w:val="none"/>
          <w:u w:val="single"/>
        </w:rPr>
        <w:t>未经发包人书面许可，承包人不得更换总项目负责人。经发包人同意</w:t>
      </w:r>
      <w:r>
        <w:rPr>
          <w:rFonts w:hint="eastAsia" w:ascii="仿宋" w:hAnsi="仿宋" w:eastAsia="仿宋" w:cs="仿宋"/>
          <w:b/>
          <w:color w:val="auto"/>
          <w:sz w:val="28"/>
          <w:szCs w:val="28"/>
          <w:highlight w:val="none"/>
          <w:u w:val="single"/>
          <w:lang w:val="en-US" w:eastAsia="zh-CN"/>
        </w:rPr>
        <w:t>更换</w:t>
      </w:r>
      <w:r>
        <w:rPr>
          <w:rFonts w:hint="eastAsia" w:ascii="仿宋" w:hAnsi="仿宋" w:eastAsia="仿宋" w:cs="仿宋"/>
          <w:b/>
          <w:color w:val="auto"/>
          <w:sz w:val="28"/>
          <w:szCs w:val="28"/>
          <w:highlight w:val="none"/>
          <w:u w:val="single"/>
        </w:rPr>
        <w:t>工程总承包项目经理的，承包人均将承担违约责任，每调换一次向发包人支付违约金200万元。承包人擅自调换的，承包人均将承担违约责任，每调换一次向发包人支付违约金400万元，同时按发包人要求进行整改</w:t>
      </w:r>
      <w:r>
        <w:rPr>
          <w:rFonts w:hint="eastAsia" w:ascii="仿宋" w:hAnsi="仿宋" w:eastAsia="仿宋" w:cs="宋体"/>
          <w:color w:val="auto"/>
          <w:sz w:val="28"/>
          <w:szCs w:val="28"/>
          <w:highlight w:val="none"/>
          <w:u w:val="single"/>
        </w:rPr>
        <w:t xml:space="preserve"> </w:t>
      </w:r>
      <w:r>
        <w:rPr>
          <w:rFonts w:hint="eastAsia" w:ascii="仿宋" w:hAnsi="仿宋" w:eastAsia="仿宋" w:cs="宋体"/>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4.3.5 承包人无正当理由拒绝更换工程总承包项目经理的违约责任</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按发包人要求进行改正，并承担400万元整的违约处罚</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4.3.6施工负责人：</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    名：</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身份证号：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执业资格等级：</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注册证书号：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执业印章号：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安全生产考核合格证书号 ：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电子信箱：</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通信地址：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ind w:firstLine="6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承包人未提交劳动合同，以及没有为</w:t>
      </w:r>
      <w:r>
        <w:rPr>
          <w:rFonts w:hint="eastAsia" w:ascii="仿宋" w:hAnsi="仿宋" w:eastAsia="仿宋" w:cs="仿宋"/>
          <w:color w:val="auto"/>
          <w:sz w:val="28"/>
          <w:szCs w:val="28"/>
          <w:highlight w:val="none"/>
        </w:rPr>
        <w:t>施工负责人</w:t>
      </w:r>
      <w:r>
        <w:rPr>
          <w:rFonts w:ascii="仿宋_GB2312" w:eastAsia="仿宋_GB2312"/>
          <w:color w:val="auto"/>
          <w:sz w:val="28"/>
          <w:szCs w:val="28"/>
          <w:highlight w:val="none"/>
        </w:rPr>
        <w:t>缴纳社会保险证明的违约责任：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同工程总承包项目经理相同的约定。</w:t>
      </w:r>
    </w:p>
    <w:p>
      <w:pPr>
        <w:ind w:firstLine="6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施工负责人每月在现场的时间要求：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同工程总承包项目经理相同的约定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施工负责人未经批准擅自离开施工现场的违约责任：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同工程总承包项目经理相同的约定。</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w:t>
      </w:r>
      <w:r>
        <w:rPr>
          <w:rFonts w:ascii="仿宋_GB2312" w:eastAsia="仿宋_GB2312"/>
          <w:color w:val="auto"/>
          <w:sz w:val="28"/>
          <w:szCs w:val="28"/>
          <w:highlight w:val="none"/>
        </w:rPr>
        <w:t>擅自更换</w:t>
      </w:r>
      <w:r>
        <w:rPr>
          <w:rFonts w:hint="eastAsia" w:ascii="仿宋_GB2312" w:eastAsia="仿宋_GB2312"/>
          <w:color w:val="auto"/>
          <w:sz w:val="28"/>
          <w:szCs w:val="28"/>
          <w:highlight w:val="none"/>
        </w:rPr>
        <w:t>施工负责人</w:t>
      </w:r>
      <w:r>
        <w:rPr>
          <w:rFonts w:ascii="仿宋_GB2312" w:eastAsia="仿宋_GB2312"/>
          <w:color w:val="auto"/>
          <w:sz w:val="28"/>
          <w:szCs w:val="28"/>
          <w:highlight w:val="none"/>
        </w:rPr>
        <w:t>的违约</w:t>
      </w:r>
      <w:r>
        <w:rPr>
          <w:rFonts w:hint="eastAsia" w:ascii="仿宋_GB2312" w:eastAsia="仿宋_GB2312"/>
          <w:color w:val="auto"/>
          <w:sz w:val="28"/>
          <w:szCs w:val="28"/>
          <w:highlight w:val="none"/>
        </w:rPr>
        <w:t>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同工程总承包项目经理相同的约定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2"/>
        <w:ind w:firstLine="560" w:firstLineChars="200"/>
        <w:rPr>
          <w:color w:val="auto"/>
          <w:sz w:val="28"/>
          <w:szCs w:val="28"/>
          <w:highlight w:val="none"/>
        </w:rPr>
      </w:pPr>
      <w:r>
        <w:rPr>
          <w:rFonts w:ascii="仿宋_GB2312" w:eastAsia="仿宋_GB2312"/>
          <w:color w:val="auto"/>
          <w:sz w:val="28"/>
          <w:szCs w:val="28"/>
          <w:highlight w:val="none"/>
        </w:rPr>
        <w:t>承包人无正当理由拒绝更换</w:t>
      </w:r>
      <w:r>
        <w:rPr>
          <w:rFonts w:hint="eastAsia" w:ascii="仿宋_GB2312" w:eastAsia="仿宋_GB2312"/>
          <w:color w:val="auto"/>
          <w:sz w:val="28"/>
          <w:szCs w:val="28"/>
          <w:highlight w:val="none"/>
        </w:rPr>
        <w:t>施工负责人</w:t>
      </w:r>
      <w:r>
        <w:rPr>
          <w:rFonts w:ascii="仿宋_GB2312" w:eastAsia="仿宋_GB2312"/>
          <w:color w:val="auto"/>
          <w:sz w:val="28"/>
          <w:szCs w:val="28"/>
          <w:highlight w:val="none"/>
        </w:rPr>
        <w:t>的违约责任</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hAnsi="宋体" w:eastAsia="仿宋_GB2312"/>
          <w:color w:val="auto"/>
          <w:sz w:val="28"/>
          <w:szCs w:val="28"/>
          <w:highlight w:val="none"/>
          <w:u w:val="single"/>
        </w:rPr>
        <w:t>同工程总承包项目经理相同的约定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4.3.7设计负责人：</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    名：</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身份证号：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执业资格等级：</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注册证书号：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执业印章号：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电子信箱：</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spacing w:line="4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通信地址：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ind w:firstLine="6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承包人未提交劳动合同，以及没有为</w:t>
      </w:r>
      <w:r>
        <w:rPr>
          <w:rFonts w:hint="eastAsia" w:ascii="仿宋" w:hAnsi="仿宋" w:eastAsia="仿宋" w:cs="仿宋"/>
          <w:color w:val="auto"/>
          <w:sz w:val="28"/>
          <w:szCs w:val="28"/>
          <w:highlight w:val="none"/>
        </w:rPr>
        <w:t>设计负责人</w:t>
      </w:r>
      <w:r>
        <w:rPr>
          <w:rFonts w:ascii="仿宋_GB2312" w:eastAsia="仿宋_GB2312"/>
          <w:color w:val="auto"/>
          <w:sz w:val="28"/>
          <w:szCs w:val="28"/>
          <w:highlight w:val="none"/>
        </w:rPr>
        <w:t>缴纳社会保险证明的违约责任：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同工程总承包项目经理相同的约定。</w:t>
      </w:r>
    </w:p>
    <w:p>
      <w:pPr>
        <w:ind w:firstLine="6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设计负责人每月在现场的时间要求：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不少于12天，其余内容与工程总承包项目经理相同的约定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设计负责人未经批准擅自离开施工现场的违约责任：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同工程总承包项目经理相同的约定。</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w:t>
      </w:r>
      <w:r>
        <w:rPr>
          <w:rFonts w:ascii="仿宋_GB2312" w:eastAsia="仿宋_GB2312"/>
          <w:color w:val="auto"/>
          <w:sz w:val="28"/>
          <w:szCs w:val="28"/>
          <w:highlight w:val="none"/>
        </w:rPr>
        <w:t>擅自更换</w:t>
      </w:r>
      <w:r>
        <w:rPr>
          <w:rFonts w:hint="eastAsia" w:ascii="仿宋_GB2312" w:eastAsia="仿宋_GB2312"/>
          <w:color w:val="auto"/>
          <w:sz w:val="28"/>
          <w:szCs w:val="28"/>
          <w:highlight w:val="none"/>
        </w:rPr>
        <w:t>设计负责人</w:t>
      </w:r>
      <w:r>
        <w:rPr>
          <w:rFonts w:ascii="仿宋_GB2312" w:eastAsia="仿宋_GB2312"/>
          <w:color w:val="auto"/>
          <w:sz w:val="28"/>
          <w:szCs w:val="28"/>
          <w:highlight w:val="none"/>
        </w:rPr>
        <w:t>的违约</w:t>
      </w:r>
      <w:r>
        <w:rPr>
          <w:rFonts w:hint="eastAsia" w:ascii="仿宋_GB2312" w:eastAsia="仿宋_GB2312"/>
          <w:color w:val="auto"/>
          <w:sz w:val="28"/>
          <w:szCs w:val="28"/>
          <w:highlight w:val="none"/>
        </w:rPr>
        <w:t>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同工程总承包项目经理相同的约定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2"/>
        <w:ind w:firstLine="560" w:firstLineChars="200"/>
        <w:rPr>
          <w:color w:val="auto"/>
          <w:sz w:val="28"/>
          <w:szCs w:val="28"/>
          <w:highlight w:val="none"/>
        </w:rPr>
      </w:pPr>
      <w:r>
        <w:rPr>
          <w:rFonts w:ascii="仿宋_GB2312" w:eastAsia="仿宋_GB2312"/>
          <w:color w:val="auto"/>
          <w:sz w:val="28"/>
          <w:szCs w:val="28"/>
          <w:highlight w:val="none"/>
        </w:rPr>
        <w:t>承包人无正当理由拒绝更换</w:t>
      </w:r>
      <w:r>
        <w:rPr>
          <w:rFonts w:hint="eastAsia" w:ascii="仿宋_GB2312" w:eastAsia="仿宋_GB2312"/>
          <w:color w:val="auto"/>
          <w:sz w:val="28"/>
          <w:szCs w:val="28"/>
          <w:highlight w:val="none"/>
        </w:rPr>
        <w:t>设计负责人</w:t>
      </w:r>
      <w:r>
        <w:rPr>
          <w:rFonts w:ascii="仿宋_GB2312" w:eastAsia="仿宋_GB2312"/>
          <w:color w:val="auto"/>
          <w:sz w:val="28"/>
          <w:szCs w:val="28"/>
          <w:highlight w:val="none"/>
        </w:rPr>
        <w:t>的违约责任</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hAnsi="宋体" w:eastAsia="仿宋_GB2312"/>
          <w:color w:val="auto"/>
          <w:sz w:val="28"/>
          <w:szCs w:val="28"/>
          <w:highlight w:val="none"/>
          <w:u w:val="single"/>
        </w:rPr>
        <w:t>同工程总承包项目经理相同的约定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4.4 </w:t>
      </w:r>
      <w:r>
        <w:rPr>
          <w:rFonts w:hint="eastAsia" w:ascii="黑体" w:hAnsi="黑体" w:eastAsia="黑体"/>
          <w:color w:val="auto"/>
          <w:sz w:val="28"/>
          <w:szCs w:val="28"/>
          <w:highlight w:val="none"/>
        </w:rPr>
        <w:t>承包人人员</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4.4.1 </w:t>
      </w:r>
      <w:r>
        <w:rPr>
          <w:rFonts w:hint="eastAsia" w:ascii="仿宋_GB2312" w:eastAsia="仿宋_GB2312"/>
          <w:color w:val="auto"/>
          <w:sz w:val="28"/>
          <w:szCs w:val="28"/>
          <w:highlight w:val="none"/>
        </w:rPr>
        <w:t>人员安排</w:t>
      </w:r>
    </w:p>
    <w:p>
      <w:pPr>
        <w:ind w:firstLine="6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承包人</w:t>
      </w:r>
      <w:r>
        <w:rPr>
          <w:rFonts w:hint="eastAsia" w:ascii="仿宋_GB2312" w:eastAsia="仿宋_GB2312"/>
          <w:color w:val="auto"/>
          <w:sz w:val="28"/>
          <w:szCs w:val="28"/>
          <w:highlight w:val="none"/>
        </w:rPr>
        <w:t>提交</w:t>
      </w:r>
      <w:r>
        <w:rPr>
          <w:rFonts w:ascii="仿宋_GB2312" w:eastAsia="仿宋_GB2312"/>
          <w:color w:val="auto"/>
          <w:sz w:val="28"/>
          <w:szCs w:val="28"/>
          <w:highlight w:val="none"/>
        </w:rPr>
        <w:t>项目管理机构及施工现场人员安排的报告</w:t>
      </w:r>
      <w:r>
        <w:rPr>
          <w:rFonts w:hint="eastAsia" w:ascii="仿宋_GB2312" w:eastAsia="仿宋_GB2312"/>
          <w:color w:val="auto"/>
          <w:sz w:val="28"/>
          <w:szCs w:val="28"/>
          <w:highlight w:val="none"/>
        </w:rPr>
        <w:t>的期限：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承包人应在合同签署后7 日历天内按合同文件（投标承诺）提供项目管理机构及施工现场管理人员安排报告。承包人实际到位的主要管理人员与合同文件（投标承诺）不一致时，发包人有权处以10万元/人/次的违约扣款，若确需调换部分人员，必须征得发包人的书面认同，并不得降低人员从业资格及水平；若未经同意擅自调换，发包人有权追究其违约责任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承包人提交关键人员信息及注册执业资格等证明其具备担任关键人员能力的相关文件的期限：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合同签署后7 日历天内</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4.4.2 </w:t>
      </w:r>
      <w:r>
        <w:rPr>
          <w:rFonts w:hint="eastAsia" w:ascii="仿宋_GB2312" w:eastAsia="仿宋_GB2312"/>
          <w:color w:val="auto"/>
          <w:sz w:val="28"/>
          <w:szCs w:val="28"/>
          <w:highlight w:val="none"/>
        </w:rPr>
        <w:t>关键人员更换</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承包人擅自更换</w:t>
      </w:r>
      <w:r>
        <w:rPr>
          <w:rFonts w:hint="eastAsia" w:ascii="仿宋_GB2312" w:eastAsia="仿宋_GB2312"/>
          <w:color w:val="auto"/>
          <w:sz w:val="28"/>
          <w:szCs w:val="28"/>
          <w:highlight w:val="none"/>
        </w:rPr>
        <w:t>关键人员</w:t>
      </w:r>
      <w:r>
        <w:rPr>
          <w:rFonts w:ascii="仿宋_GB2312" w:eastAsia="仿宋_GB2312"/>
          <w:color w:val="auto"/>
          <w:sz w:val="28"/>
          <w:szCs w:val="28"/>
          <w:highlight w:val="none"/>
        </w:rPr>
        <w:t>的违约责任：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确需更换的，经发包人同意后可进行更换，但不免除承包人的违约责任，每调换一次向发包人支付违约金10万元/人。承包人擅自调换的，承包人将承担违约责任，每调换一次向发包人支付违约金50万元/人，同时按发包人要求进行整改。   </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承包人无正当理由拒绝撤换</w:t>
      </w:r>
      <w:r>
        <w:rPr>
          <w:rFonts w:hint="eastAsia" w:ascii="仿宋_GB2312" w:eastAsia="仿宋_GB2312"/>
          <w:color w:val="auto"/>
          <w:sz w:val="28"/>
          <w:szCs w:val="28"/>
          <w:highlight w:val="none"/>
        </w:rPr>
        <w:t>关键人员</w:t>
      </w:r>
      <w:r>
        <w:rPr>
          <w:rFonts w:ascii="仿宋_GB2312" w:eastAsia="仿宋_GB2312"/>
          <w:color w:val="auto"/>
          <w:sz w:val="28"/>
          <w:szCs w:val="28"/>
          <w:highlight w:val="none"/>
        </w:rPr>
        <w:t>的违约责任：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人员能力不满足工程需要的，发包人可要求承包人进行更换，承包人无正当理由拒绝撤换关键人员的，发包人有权对承包人进行10万元/人/次的违约扣款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4.4.3 </w:t>
      </w:r>
      <w:r>
        <w:rPr>
          <w:rFonts w:hint="eastAsia" w:ascii="仿宋_GB2312" w:eastAsia="仿宋_GB2312"/>
          <w:color w:val="auto"/>
          <w:sz w:val="28"/>
          <w:szCs w:val="28"/>
          <w:highlight w:val="none"/>
        </w:rPr>
        <w:t>现场管理关键人员在岗要求</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承包人</w:t>
      </w:r>
      <w:r>
        <w:rPr>
          <w:rFonts w:hint="eastAsia" w:ascii="仿宋_GB2312" w:eastAsia="仿宋_GB2312"/>
          <w:color w:val="auto"/>
          <w:sz w:val="28"/>
          <w:szCs w:val="28"/>
          <w:highlight w:val="none"/>
        </w:rPr>
        <w:t>现场管理关键</w:t>
      </w:r>
      <w:r>
        <w:rPr>
          <w:rFonts w:ascii="仿宋_GB2312" w:eastAsia="仿宋_GB2312"/>
          <w:color w:val="auto"/>
          <w:sz w:val="28"/>
          <w:szCs w:val="28"/>
          <w:highlight w:val="none"/>
        </w:rPr>
        <w:t>人员离开施工现场的批准要求</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施工技术负责人、施工员、质量员（质检员）、专职安全生产管理人员每月到位天数少于24天的（造价负责人、采购负责人少于12天的），按照发包人考勤结果每少一天向发包人支付违约金10000元。（考勤以半天为时间单位，每天上午、下午均需到监理单位指定的场所进行书面签到或指纹识别、人脸识别，每半天在岗时间不少于三小时视为到位，少于三小时视为未到位）。发包人（或监理单位）将采取多种形式对施工管理人员的在岗情况进行不定期抽查，施工管理人员在书面签到或指纹识别、人脸识别后未经申明而擅自离岗的，则视为半天不到位，另按5000元/人·次进行扣罚，扣罚款项在当期工程款中直接扣除</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承包人现场管理关键人员确需离开施工现场的，承包人应在员离场前24小时前，向监理人提交书面离场申请（还应注明临时代行人员情况及其职责范围），并征得发包人书面同意后，方可离场。</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承包人现场管理关键人员擅自离开施工现场的违约责任：</w:t>
      </w:r>
      <w:r>
        <w:rPr>
          <w:rFonts w:hint="eastAsia" w:ascii="仿宋_GB2312" w:eastAsia="仿宋_GB2312"/>
          <w:color w:val="auto"/>
          <w:sz w:val="28"/>
          <w:szCs w:val="28"/>
          <w:highlight w:val="none"/>
          <w:u w:val="single"/>
        </w:rPr>
        <w:t xml:space="preserve">   承包人承担10000元/次/人的违约金；主要施工管理人员未参加重要施工工序、环节、会议的，另承担5000元/次/人的违约金。上述所有违约金直接在当次工程款中扣除，最终在结算金额中扣减。由上述原因增加的费用和（或）延误的工期均由承包人承担  。</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4.5 </w:t>
      </w:r>
      <w:r>
        <w:rPr>
          <w:rFonts w:hint="eastAsia" w:ascii="黑体" w:hAnsi="黑体" w:eastAsia="黑体"/>
          <w:color w:val="auto"/>
          <w:sz w:val="28"/>
          <w:szCs w:val="28"/>
          <w:highlight w:val="none"/>
        </w:rPr>
        <w:t>分包</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4.5.1 </w:t>
      </w:r>
      <w:r>
        <w:rPr>
          <w:rFonts w:hint="eastAsia" w:ascii="仿宋_GB2312" w:eastAsia="仿宋_GB2312"/>
          <w:color w:val="auto"/>
          <w:sz w:val="28"/>
          <w:szCs w:val="28"/>
          <w:highlight w:val="none"/>
        </w:rPr>
        <w:t>一般约定</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禁止分包的工程包括：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主体及关键性工作</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4.5.2 </w:t>
      </w:r>
      <w:r>
        <w:rPr>
          <w:rFonts w:hint="eastAsia" w:ascii="仿宋_GB2312" w:eastAsia="仿宋_GB2312"/>
          <w:color w:val="auto"/>
          <w:sz w:val="28"/>
          <w:szCs w:val="28"/>
          <w:highlight w:val="none"/>
        </w:rPr>
        <w:t>分包的确定</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允许分包的工程包括：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按国家相关规定执行</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p>
    <w:p>
      <w:pPr>
        <w:ind w:firstLine="6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其他关于分包的约定：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1）分包须经发包人同意。工程总承包单位应当对其承包的全部建设工程质量负责，分包单位对其分包工程的质量负责，分包不免除工程总承包单位对其承包的全部建设工程所负的质量责任。工程总承包单位、工程总承包项目经理依法承担质量终身责任；工程总承包单位对承包范围内工程的安全生产负总责。分包单位应当服从工程总承包单位的安全生产管理，分包单位不服从管理导致生产安全事故的，由分包单位承担主要责任，分包不免除工程总承包单位的安全责任。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(2)在相关分包合同签订并报送有关建设行政主管部门备案后7天内，承包人应当将一份副本提交给监理人，承包人应保障分包工作不得再次分包。</w:t>
      </w:r>
    </w:p>
    <w:p>
      <w:pPr>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 (3)未经发包人同意的分包工程和分包人，发包人有权拒绝验收分包工程和支付相应款项，由此引起的发包人费用增加和(或)延误的工期由承包人承担。</w:t>
      </w:r>
    </w:p>
    <w:p>
      <w:pPr>
        <w:rPr>
          <w:rFonts w:ascii="仿宋_GB2312" w:eastAsia="仿宋_GB2312"/>
          <w:color w:val="auto"/>
          <w:sz w:val="28"/>
          <w:szCs w:val="28"/>
          <w:highlight w:val="none"/>
        </w:rPr>
      </w:pPr>
      <w:r>
        <w:rPr>
          <w:rFonts w:ascii="仿宋_GB2312" w:eastAsia="仿宋_GB2312"/>
          <w:color w:val="auto"/>
          <w:sz w:val="28"/>
          <w:szCs w:val="28"/>
          <w:highlight w:val="none"/>
        </w:rPr>
        <w:t xml:space="preserve">4.5.5 </w:t>
      </w:r>
      <w:r>
        <w:rPr>
          <w:rFonts w:hint="eastAsia" w:ascii="仿宋_GB2312" w:eastAsia="仿宋_GB2312"/>
          <w:color w:val="auto"/>
          <w:sz w:val="28"/>
          <w:szCs w:val="28"/>
          <w:highlight w:val="none"/>
        </w:rPr>
        <w:t>分包合同价款支付</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关于分包合同价款支付的约定：</w:t>
      </w:r>
      <w:r>
        <w:rPr>
          <w:rFonts w:hint="eastAsia" w:ascii="仿宋_GB2312" w:eastAsia="仿宋_GB2312"/>
          <w:color w:val="auto"/>
          <w:sz w:val="28"/>
          <w:szCs w:val="28"/>
          <w:highlight w:val="none"/>
          <w:u w:val="single"/>
        </w:rPr>
        <w:t xml:space="preserve"> 承包人应按分包合同约定，及时向分包人支付合同价款， 不得无故延误分包人价款的支付。</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4.6 </w:t>
      </w:r>
      <w:r>
        <w:rPr>
          <w:rFonts w:hint="eastAsia" w:ascii="黑体" w:hAnsi="黑体" w:eastAsia="黑体"/>
          <w:color w:val="auto"/>
          <w:sz w:val="28"/>
          <w:szCs w:val="28"/>
          <w:highlight w:val="none"/>
        </w:rPr>
        <w:t>联合体</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4</w:t>
      </w:r>
      <w:r>
        <w:rPr>
          <w:rFonts w:ascii="仿宋_GB2312" w:eastAsia="仿宋_GB2312"/>
          <w:color w:val="auto"/>
          <w:sz w:val="28"/>
          <w:szCs w:val="28"/>
          <w:highlight w:val="none"/>
        </w:rPr>
        <w:t xml:space="preserve">.6.2 </w:t>
      </w:r>
      <w:r>
        <w:rPr>
          <w:rFonts w:hint="eastAsia" w:ascii="仿宋_GB2312" w:eastAsia="仿宋_GB2312"/>
          <w:color w:val="auto"/>
          <w:sz w:val="28"/>
          <w:szCs w:val="28"/>
          <w:highlight w:val="none"/>
        </w:rPr>
        <w:t>联合体各成员的分工、费用收取、发票开具等事项：</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 承包人为联合体的，应提供联合体协议作为本合同附件，联合体协议应约定其中一方为牵头人，并在联合体协议中明确 联合体成员单位的责任和权利，就工程总承包项目承担连带责任。工程款拨付给联合体牵头人 </w:t>
      </w:r>
      <w:r>
        <w:rPr>
          <w:rFonts w:hint="eastAsia" w:ascii="仿宋_GB2312"/>
          <w:color w:val="auto"/>
          <w:sz w:val="28"/>
          <w:szCs w:val="28"/>
          <w:highlight w:val="none"/>
          <w:u w:val="single"/>
        </w:rPr>
        <w:t>，</w:t>
      </w:r>
      <w:r>
        <w:rPr>
          <w:rFonts w:hint="eastAsia" w:ascii="仿宋_GB2312" w:eastAsia="仿宋_GB2312"/>
          <w:color w:val="auto"/>
          <w:sz w:val="28"/>
          <w:szCs w:val="28"/>
          <w:highlight w:val="none"/>
          <w:u w:val="single"/>
        </w:rPr>
        <w:t xml:space="preserve"> 设计费拨付给联合体成员单位，</w:t>
      </w:r>
      <w:r>
        <w:rPr>
          <w:rFonts w:hint="eastAsia" w:ascii="仿宋_GB2312"/>
          <w:color w:val="auto"/>
          <w:sz w:val="28"/>
          <w:szCs w:val="28"/>
          <w:highlight w:val="none"/>
          <w:u w:val="single"/>
        </w:rPr>
        <w:t>并</w:t>
      </w:r>
      <w:r>
        <w:rPr>
          <w:rFonts w:hint="eastAsia" w:ascii="仿宋_GB2312" w:eastAsia="仿宋_GB2312"/>
          <w:color w:val="auto"/>
          <w:sz w:val="28"/>
          <w:szCs w:val="28"/>
          <w:highlight w:val="none"/>
          <w:u w:val="single"/>
        </w:rPr>
        <w:t>提供</w:t>
      </w:r>
      <w:r>
        <w:rPr>
          <w:rFonts w:hint="eastAsia" w:ascii="宋体" w:hAnsi="宋体" w:cs="宋体"/>
          <w:color w:val="auto"/>
          <w:sz w:val="28"/>
          <w:szCs w:val="28"/>
          <w:highlight w:val="none"/>
          <w:u w:val="single"/>
        </w:rPr>
        <w:t>相应</w:t>
      </w:r>
      <w:r>
        <w:rPr>
          <w:rFonts w:hint="eastAsia" w:ascii="仿宋_GB2312" w:eastAsia="仿宋_GB2312"/>
          <w:color w:val="auto"/>
          <w:sz w:val="28"/>
          <w:szCs w:val="28"/>
          <w:highlight w:val="none"/>
          <w:u w:val="single"/>
        </w:rPr>
        <w:t>符合要求的发票。</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4.7 </w:t>
      </w:r>
      <w:r>
        <w:rPr>
          <w:rFonts w:hint="eastAsia" w:ascii="黑体" w:hAnsi="黑体" w:eastAsia="黑体"/>
          <w:color w:val="auto"/>
          <w:sz w:val="28"/>
          <w:szCs w:val="28"/>
          <w:highlight w:val="none"/>
        </w:rPr>
        <w:t>承包人现场查勘</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4</w:t>
      </w:r>
      <w:r>
        <w:rPr>
          <w:rFonts w:ascii="仿宋_GB2312" w:eastAsia="仿宋_GB2312"/>
          <w:color w:val="auto"/>
          <w:sz w:val="28"/>
          <w:szCs w:val="28"/>
          <w:highlight w:val="none"/>
        </w:rPr>
        <w:t xml:space="preserve">.7.1 </w:t>
      </w:r>
      <w:r>
        <w:rPr>
          <w:rFonts w:hint="eastAsia" w:ascii="仿宋_GB2312" w:eastAsia="仿宋_GB2312"/>
          <w:color w:val="auto"/>
          <w:sz w:val="28"/>
          <w:szCs w:val="28"/>
          <w:highlight w:val="none"/>
        </w:rPr>
        <w:t>双方当事人对现场查勘的责任承担的约定：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承包人提交投标文件，视为承包人已对发包人提供的基础资料及施工现场和周围环境进行了踏勘，并已充分了解评估原地形建筑物、施工现场及周围环境对工程可能产生的影响，承担相应风险与责任 。</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4.8 </w:t>
      </w:r>
      <w:r>
        <w:rPr>
          <w:rFonts w:hint="eastAsia" w:ascii="黑体" w:hAnsi="黑体" w:eastAsia="黑体"/>
          <w:color w:val="auto"/>
          <w:sz w:val="28"/>
          <w:szCs w:val="28"/>
          <w:highlight w:val="none"/>
        </w:rPr>
        <w:t>不可预见的困难</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不可预见的困难包括：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p>
    <w:p>
      <w:pPr>
        <w:pStyle w:val="3"/>
        <w:spacing w:before="17" w:line="362" w:lineRule="auto"/>
        <w:ind w:right="596"/>
        <w:outlineLvl w:val="2"/>
        <w:rPr>
          <w:rFonts w:hint="eastAsia" w:ascii="仿宋_GB2312" w:eastAsia="仿宋_GB2312"/>
          <w:color w:val="auto"/>
          <w:sz w:val="28"/>
          <w:szCs w:val="28"/>
          <w:highlight w:val="none"/>
          <w:u w:val="single"/>
        </w:rPr>
      </w:pPr>
      <w:bookmarkStart w:id="189" w:name="_Toc54862336"/>
      <w:bookmarkStart w:id="190" w:name="_Toc18795"/>
      <w:r>
        <w:rPr>
          <w:rFonts w:hint="eastAsia" w:ascii="黑体" w:hAnsi="黑体" w:eastAsia="黑体" w:cs="Times"/>
          <w:bCs/>
          <w:color w:val="auto"/>
          <w:sz w:val="28"/>
          <w:szCs w:val="28"/>
          <w:highlight w:val="none"/>
        </w:rPr>
        <w:t>第5条  设计</w:t>
      </w:r>
      <w:bookmarkEnd w:id="189"/>
      <w:bookmarkEnd w:id="190"/>
    </w:p>
    <w:p>
      <w:pPr>
        <w:pStyle w:val="3"/>
        <w:spacing w:before="17"/>
        <w:ind w:right="596" w:firstLine="560" w:firstLineChars="2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合同签订后，承包人应根据《发包人要求》标准进行施工图设计，施工图设计交付标准需满足项目建设标准、效果要求，如无法达到项目建设标准、设计意图、效果要求或者低于所应达到的经济指标标准（经济指标以《发包人要求》为判断基准）的，则发包人有权要求承包人提高施工图设计标准直至达到合同约定设计标准和经济指标标准。</w:t>
      </w:r>
    </w:p>
    <w:p>
      <w:pPr>
        <w:pStyle w:val="3"/>
        <w:spacing w:before="17"/>
        <w:ind w:right="596" w:firstLine="560" w:firstLineChars="2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施工图纸出现错误、遗漏、含混、矛盾、不充分之处或其他缺陷的，无论承包人的施工图纸是否得到发包人确认，承包人均应自费对前述问题带来的缺陷和工程问题进行改正，承包人不得以设计变更、设计完善等理由向发包人索取任何费用。</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5.2 </w:t>
      </w:r>
      <w:r>
        <w:rPr>
          <w:rFonts w:hint="eastAsia" w:ascii="黑体" w:hAnsi="黑体" w:eastAsia="黑体"/>
          <w:color w:val="auto"/>
          <w:sz w:val="28"/>
          <w:szCs w:val="28"/>
          <w:highlight w:val="none"/>
        </w:rPr>
        <w:t>承包人文件审查</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5</w:t>
      </w:r>
      <w:r>
        <w:rPr>
          <w:rFonts w:ascii="仿宋_GB2312" w:eastAsia="仿宋_GB2312"/>
          <w:color w:val="auto"/>
          <w:sz w:val="28"/>
          <w:szCs w:val="28"/>
          <w:highlight w:val="none"/>
        </w:rPr>
        <w:t xml:space="preserve">.2.1 </w:t>
      </w:r>
      <w:r>
        <w:rPr>
          <w:rFonts w:hint="eastAsia" w:ascii="仿宋_GB2312" w:eastAsia="仿宋_GB2312"/>
          <w:color w:val="auto"/>
          <w:sz w:val="28"/>
          <w:szCs w:val="28"/>
          <w:highlight w:val="none"/>
        </w:rPr>
        <w:t>承包人文件审查的期限：</w:t>
      </w:r>
      <w:r>
        <w:rPr>
          <w:rFonts w:ascii="仿宋_GB2312" w:eastAsia="仿宋_GB2312"/>
          <w:color w:val="auto"/>
          <w:sz w:val="28"/>
          <w:szCs w:val="28"/>
          <w:highlight w:val="none"/>
          <w:u w:val="single"/>
        </w:rPr>
        <w:t xml:space="preserve"> 承包人按发包人的要求分阶段完成施工图设计后按相关规定及约定提交相关部门及发包人审核。</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u w:val="single"/>
        </w:rPr>
        <w:t xml:space="preserve">施工图设计各阶段设计文件、资料和图纸的份数和提交时间：25 份，BIM设计成果需在施工图完成后30天内递交初稿，施工图图审完成后60日历天内完成经发包人认可的设计BIM终稿成果，施工过程中进行施工BIM的调整，竣工BIM模型与竣工验收资料一起递交。逾期递交每延迟一天发包人有权按10000元/天罚款。 </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5.2.2 </w:t>
      </w:r>
      <w:r>
        <w:rPr>
          <w:rFonts w:hint="eastAsia" w:ascii="仿宋_GB2312" w:eastAsia="仿宋_GB2312"/>
          <w:color w:val="auto"/>
          <w:sz w:val="28"/>
          <w:szCs w:val="28"/>
          <w:highlight w:val="none"/>
        </w:rPr>
        <w:t>审查会议的审查形式和时间安排为：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，审查会议的相关费用由</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承担。</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5</w:t>
      </w:r>
      <w:r>
        <w:rPr>
          <w:rFonts w:ascii="仿宋_GB2312" w:eastAsia="仿宋_GB2312"/>
          <w:color w:val="auto"/>
          <w:sz w:val="28"/>
          <w:szCs w:val="28"/>
          <w:highlight w:val="none"/>
        </w:rPr>
        <w:t xml:space="preserve">.2.3 </w:t>
      </w:r>
      <w:r>
        <w:rPr>
          <w:rFonts w:hint="eastAsia" w:ascii="仿宋_GB2312" w:eastAsia="仿宋_GB2312"/>
          <w:color w:val="auto"/>
          <w:sz w:val="28"/>
          <w:szCs w:val="28"/>
          <w:highlight w:val="none"/>
        </w:rPr>
        <w:t>关于第三方审查单位的约定：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应在提交设计审查之前，根据发包人要求自行对施工图、清单和造价进行审核，未达到发包人要求的应优化施工图设计。发包人对施工图深化设计提出的建议，承包人应积极响应，并按发包人提出的书面修改意见进行调整，直至发包人满意为止。施工图（含各专项设计）完成后必须发包人认可，同时发包人对承包人上报的施工图预算进行预算审核，若达不到发包人要求和合同金额（除暂估价、暂列金额、预备费外），承包人应在征得发包人同意的情况下对施工图进行调整，否则，发包人可以延迟支付工程款，所造成的所有损失皆由承包人承担。</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所有设计文件均需经发包人确认后方可实施</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5.3 </w:t>
      </w:r>
      <w:r>
        <w:rPr>
          <w:rFonts w:hint="eastAsia" w:ascii="黑体" w:hAnsi="黑体" w:eastAsia="黑体"/>
          <w:color w:val="auto"/>
          <w:sz w:val="28"/>
          <w:szCs w:val="28"/>
          <w:highlight w:val="none"/>
        </w:rPr>
        <w:t>培训</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培训的时长为</w:t>
      </w:r>
      <w:r>
        <w:rPr>
          <w:rFonts w:hint="eastAsia" w:ascii="仿宋_GB2312" w:eastAsia="仿宋_GB2312"/>
          <w:color w:val="auto"/>
          <w:sz w:val="28"/>
          <w:szCs w:val="28"/>
          <w:highlight w:val="none"/>
          <w:u w:val="single"/>
        </w:rPr>
        <w:t>按通用合同条款执行</w:t>
      </w:r>
      <w:r>
        <w:rPr>
          <w:rFonts w:hint="eastAsia" w:ascii="仿宋_GB2312" w:eastAsia="仿宋_GB2312"/>
          <w:color w:val="auto"/>
          <w:sz w:val="28"/>
          <w:szCs w:val="28"/>
          <w:highlight w:val="none"/>
        </w:rPr>
        <w:t>，承包人应为培训提供的人员、设施和其它必要条件为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提供专业人员、场地及设备进行培训，并承担相应费用</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5.4 </w:t>
      </w:r>
      <w:r>
        <w:rPr>
          <w:rFonts w:hint="eastAsia" w:ascii="黑体" w:hAnsi="黑体" w:eastAsia="黑体"/>
          <w:color w:val="auto"/>
          <w:sz w:val="28"/>
          <w:szCs w:val="28"/>
          <w:highlight w:val="none"/>
        </w:rPr>
        <w:t>竣工文件</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5.4.1 </w:t>
      </w:r>
      <w:r>
        <w:rPr>
          <w:rFonts w:hint="eastAsia" w:ascii="仿宋_GB2312" w:eastAsia="仿宋_GB2312"/>
          <w:color w:val="auto"/>
          <w:sz w:val="28"/>
          <w:szCs w:val="28"/>
          <w:highlight w:val="none"/>
        </w:rPr>
        <w:t>竣工文件的形式、提供的份数、技术标准以及其它相关要求：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按发包人单位相关制度执行，</w:t>
      </w:r>
      <w:r>
        <w:rPr>
          <w:rFonts w:ascii="仿宋_GB2312" w:eastAsia="仿宋_GB2312"/>
          <w:color w:val="auto"/>
          <w:sz w:val="28"/>
          <w:szCs w:val="28"/>
          <w:highlight w:val="none"/>
          <w:u w:val="single"/>
        </w:rPr>
        <w:t xml:space="preserve"> 竣工移交前承包人应提供完整竣工资料，包括竣工图、隐检工程记录资料、性能测试报告及材料、设备的合格证、质保单及使用说明等资料等工程资料。竣工资料共需交四套（有一套如质保单等可以复印件）。相关资料分别按规定整理，工程各节点照片档案，以及</w:t>
      </w:r>
      <w:r>
        <w:rPr>
          <w:rFonts w:hint="eastAsia" w:ascii="宋体" w:hAnsi="宋体" w:cs="宋体"/>
          <w:color w:val="auto"/>
          <w:sz w:val="28"/>
          <w:szCs w:val="28"/>
          <w:highlight w:val="none"/>
          <w:u w:val="single"/>
        </w:rPr>
        <w:t>声</w:t>
      </w:r>
      <w:r>
        <w:rPr>
          <w:rFonts w:ascii="仿宋_GB2312" w:eastAsia="仿宋_GB2312"/>
          <w:color w:val="auto"/>
          <w:sz w:val="28"/>
          <w:szCs w:val="28"/>
          <w:highlight w:val="none"/>
          <w:u w:val="single"/>
        </w:rPr>
        <w:t>像资料需及时提交。提供工程竣工图</w:t>
      </w:r>
      <w:r>
        <w:rPr>
          <w:rFonts w:hint="eastAsia" w:ascii="宋体" w:hAnsi="宋体" w:cs="宋体"/>
          <w:color w:val="auto"/>
          <w:sz w:val="28"/>
          <w:szCs w:val="28"/>
          <w:highlight w:val="none"/>
          <w:u w:val="single"/>
        </w:rPr>
        <w:t xml:space="preserve">光盘 </w:t>
      </w:r>
      <w:r>
        <w:rPr>
          <w:rFonts w:ascii="仿宋_GB2312" w:eastAsia="仿宋_GB2312"/>
          <w:color w:val="auto"/>
          <w:sz w:val="28"/>
          <w:szCs w:val="28"/>
          <w:highlight w:val="none"/>
          <w:u w:val="single"/>
        </w:rPr>
        <w:t>2 张，承包人负责资料归档工作，协助发包人移交给各政府部门。竣工资料应符合发包人、城建档案馆及其他有关部门要求（包括图纸、照片、影像资料）。</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5</w:t>
      </w:r>
      <w:r>
        <w:rPr>
          <w:rFonts w:ascii="仿宋_GB2312" w:eastAsia="仿宋_GB2312"/>
          <w:color w:val="auto"/>
          <w:sz w:val="28"/>
          <w:szCs w:val="28"/>
          <w:highlight w:val="none"/>
        </w:rPr>
        <w:t xml:space="preserve">.4.3 </w:t>
      </w:r>
      <w:r>
        <w:rPr>
          <w:rFonts w:hint="eastAsia" w:ascii="仿宋_GB2312" w:eastAsia="仿宋_GB2312"/>
          <w:color w:val="auto"/>
          <w:sz w:val="28"/>
          <w:szCs w:val="28"/>
          <w:highlight w:val="none"/>
        </w:rPr>
        <w:t>关于竣工文件的其他约定：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5.5 </w:t>
      </w:r>
      <w:r>
        <w:rPr>
          <w:rFonts w:hint="eastAsia" w:ascii="黑体" w:hAnsi="黑体" w:eastAsia="黑体"/>
          <w:color w:val="auto"/>
          <w:sz w:val="28"/>
          <w:szCs w:val="28"/>
          <w:highlight w:val="none"/>
        </w:rPr>
        <w:t>操作和维修手册</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5.5.3 </w:t>
      </w:r>
      <w:r>
        <w:rPr>
          <w:rFonts w:hint="eastAsia" w:ascii="仿宋_GB2312" w:eastAsia="仿宋_GB2312"/>
          <w:color w:val="auto"/>
          <w:sz w:val="28"/>
          <w:szCs w:val="28"/>
          <w:highlight w:val="none"/>
        </w:rPr>
        <w:t>对最终操作和维修手册的约定：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191" w:name="_Toc11160"/>
      <w:bookmarkStart w:id="192" w:name="_Toc54862337"/>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6条</w:t>
      </w:r>
      <w:r>
        <w:rPr>
          <w:rFonts w:hint="eastAsia" w:ascii="黑体" w:hAnsi="黑体" w:eastAsia="黑体"/>
          <w:b w:val="0"/>
          <w:color w:val="auto"/>
          <w:sz w:val="28"/>
          <w:szCs w:val="28"/>
          <w:highlight w:val="none"/>
        </w:rPr>
        <w:t xml:space="preserve"> 材料、工程设备</w:t>
      </w:r>
      <w:bookmarkEnd w:id="191"/>
      <w:bookmarkEnd w:id="192"/>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6.1 </w:t>
      </w:r>
      <w:r>
        <w:rPr>
          <w:rFonts w:hint="eastAsia" w:ascii="黑体" w:hAnsi="黑体" w:eastAsia="黑体"/>
          <w:color w:val="auto"/>
          <w:sz w:val="28"/>
          <w:szCs w:val="28"/>
          <w:highlight w:val="none"/>
        </w:rPr>
        <w:t>实施方法</w:t>
      </w:r>
    </w:p>
    <w:p>
      <w:pPr>
        <w:spacing w:line="400" w:lineRule="exact"/>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双方当事人约定的实施方法、设备、设施和材料：</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工程使用的主要材料、设备，在投标文件中有明确品牌的，承包人必须严格按照要求执行，批量采购前需经发包人和监理单位书面确认，确实因市场缺货采购不到的，需要提前书面申请征得发包人签字同意，更换的品牌必须与投标品牌是在同等档次，擅自更换品牌造成的损失由承包人承担。擅自更改使用不是指定品牌的材料设备造成返工等损失全部由承包人承担，并且承担违约责任。</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工程使用的材料设备采购应根据招标文件、设计技术文件和国家有关规定的具体要求进行采购，所有材料应选用具有一定生产规模和市场信誉好的生产厂和品牌，生产厂和品牌需经发包人和发包人委托的监理单位确认后方可采购，否则，因此引起的一切后果都由承包人自行承担，凡工程涉及到的主要材料采购，先由承包人选择候选单位，提供相应的照片和样品，由业主、质检部门、设计、监理、承包人的代表组建考察小组，对侯选单位的产品质量等，进行联合考核，确定能够满足工程要求的备选范围。承包人只能从备选范围内选择供货单位，并保证样式、品质、材质统一。对于达不到要求的，承包人无条件接受重新选择供货单位，直至考核满意为止。为此所需的时间承包人应综合考虑，不得以样品得不到及时确认等理由贻误工期。如发生工期延误，后果承包人承担。</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3）在材料和半成品用于工程之前10天，必须向监理工程师和发包人代表出具质量合格证和出厂检验证明，并经监理工程师和发包人代表认可后方可施工，承包人所购材料须经相关部门认可，最终须确保通过相关部门验收及移交（包含所有相应的检测）。</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4）承包人需向发包人及监理单位或建设单位上级主管部门提交与材料供应商的供应合同副本、供货清单及发票,需清晰地写明所购建材的品牌、规格和数量。同时需提供材料制造商对供应商的授权书或代理合同(原件)，如不及时提供每次扣罚1000元。</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6）监理工程师和发包人代表对所购材料的确认或认可并不免除承包人对材料的责任，如事后发现不合格材料或不符合设计、投标文件承诺的材料，监理工程师或发包人代表将拒绝使用，承包人应无条件负责更换或返工，并承担由此发生的费用和工期损失。</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7）发包人根据实际需要更换设计材料，新增或减少分部分项工程或工作内容，承包人必须无条件配合，不得以任何理由拒绝。因增减分部分项工程或工作内容及更换材料导致合同价款变更的，其调整方式按照本合同相关约定执行。对发包方的上述要求，承包方不得以任何理由拒绝，承包方在发包方规定时间内拒绝调整的，发包方有权委托第三方施工，所发生的费用由承包方承担，在工程款中扣除，同时发包方也可以解除合同。</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8）工程质量必须达到合格、凡安装调试、设备试运转过程中发现的设备质量问题，承包人必须无偿返工直至符合质量要求。返工修复二次达不到承诺要求的，更换新机。承包人承担返工发生的一切费用和发包人的直接经济损失，承包人在接到发包人通知后，两小时内派人赴现场处理设备质量问题。</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9）若发现承包人以“仿冒品牌”、“借用品牌”等贴牌产品、以伪劣产品充抵或与发包人确认的材料设备不符，发包人有权让承包人更换直到发包人和监理工程师确认验收合格，并按该批材料、设备价格总额的20%对承包人进行罚款，由发包人从合同价款中直接扣抵。</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10）承包人采购的材料都必须经发包人、监理单位及设计方验收合格后方能进场，并开具质保检验单。任何材料在工厂或采集地，经承包方自检后，并经监理工程师同意运到工地后在使用前经监理工程师在工地现场检验不合格的，这些材料仍可被拒绝使用，费用由承包人负责，工期不得顺延。承包人拒绝更换的，发包人有权委托第三方施工，所发生的费用由承包人承担，在工程款中扣除。</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11）承包人要求用别的材料代替合同中指定的材料时，必须向监理工程师递交高于合同指定材料的质量证明，经发包方和监理工程师同意后方能替换，承包方不得由此变更提高单价的要求，如低于所投材料品牌价格按市场价执行。</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 (12)材料质量保证：承包人应对其所提供的材料质量全面负责，报验产品合格证书、质保书、实验报告。承包人应根据国家相关规定对材料做相应检测（相关费用由承包人承担）。若承包人承建的工程出现质量问题系承包人偷工减料或使用不合格原料、成品、半成品造成的，发包方有权无限期追诉。</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13）承包人应在材料和工程设备到货前24小时通知监理人检验，并应在使用该材料或工程设备之前获得监理人同意。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原则上，所有承包人自行采购的主要材料（设备）应通过内部招标或询价的方式确定，发包人和监理单位有权参与全过程监督，最终选定的产品品牌、型号必须事先取得发包人和监理单位的认可后，方可采购。必要时，由承包人带领发包人对拟选择的供应商进行现场考察。</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（14）发包人对承包人所选择的材料、设备具有一票否决权。</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6.2 </w:t>
      </w:r>
      <w:r>
        <w:rPr>
          <w:rFonts w:hint="eastAsia" w:ascii="黑体" w:hAnsi="黑体" w:eastAsia="黑体"/>
          <w:color w:val="auto"/>
          <w:sz w:val="28"/>
          <w:szCs w:val="28"/>
          <w:highlight w:val="none"/>
        </w:rPr>
        <w:t>材料和工程设备</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6.2.1 </w:t>
      </w:r>
      <w:r>
        <w:rPr>
          <w:rFonts w:hint="eastAsia" w:ascii="仿宋_GB2312" w:eastAsia="仿宋_GB2312"/>
          <w:color w:val="auto"/>
          <w:sz w:val="28"/>
          <w:szCs w:val="28"/>
          <w:highlight w:val="none"/>
        </w:rPr>
        <w:t>发包人提供的材料和工程设备</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发包人提供的材料和工程设备验收后，由</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负责接收、运输和保管。</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6.2.2 </w:t>
      </w:r>
      <w:r>
        <w:rPr>
          <w:rFonts w:hint="eastAsia" w:ascii="仿宋_GB2312" w:eastAsia="仿宋_GB2312"/>
          <w:color w:val="auto"/>
          <w:sz w:val="28"/>
          <w:szCs w:val="28"/>
          <w:highlight w:val="none"/>
        </w:rPr>
        <w:t>承包人提供的材料和工程设备</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材料和工程设备的类别、估算数量：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10"/>
        <w:rPr>
          <w:rFonts w:ascii="仿宋_GB2312" w:eastAsia="仿宋_GB2312"/>
          <w:color w:val="auto"/>
          <w:sz w:val="28"/>
          <w:szCs w:val="28"/>
          <w:highlight w:val="none"/>
        </w:rPr>
      </w:pPr>
      <w:r>
        <w:rPr>
          <w:rFonts w:hint="eastAsia" w:ascii="仿宋_GB2312" w:eastAsia="仿宋_GB2312"/>
          <w:color w:val="auto"/>
          <w:sz w:val="28"/>
          <w:szCs w:val="28"/>
          <w:highlight w:val="none"/>
        </w:rPr>
        <w:t>竣工后试验的生产性材料的类别或（和）清单：</w:t>
      </w:r>
      <w:r>
        <w:rPr>
          <w:rFonts w:ascii="仿宋_GB2312" w:eastAsia="仿宋_GB2312"/>
          <w:color w:val="auto"/>
          <w:sz w:val="28"/>
          <w:szCs w:val="28"/>
          <w:highlight w:val="none"/>
          <w:u w:val="single"/>
        </w:rPr>
        <w:t xml:space="preserve"> </w:t>
      </w:r>
      <w:r>
        <w:rPr>
          <w:rFonts w:ascii="仿宋_GB2312" w:hAnsi="Calibri" w:eastAsia="仿宋_GB2312"/>
          <w:color w:val="auto"/>
          <w:sz w:val="28"/>
          <w:szCs w:val="28"/>
          <w:highlight w:val="none"/>
          <w:u w:val="single"/>
        </w:rPr>
        <w:t xml:space="preserve"> 所需的材料、物资由承包人负责</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6.2.3 </w:t>
      </w:r>
      <w:r>
        <w:rPr>
          <w:rFonts w:hint="eastAsia" w:ascii="仿宋_GB2312" w:eastAsia="仿宋_GB2312"/>
          <w:color w:val="auto"/>
          <w:sz w:val="28"/>
          <w:szCs w:val="28"/>
          <w:highlight w:val="none"/>
        </w:rPr>
        <w:t>材料和工程设备的保管</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发包人供应的材料和工程设备的保管费用由</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承担。</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承包人提交保管、维护方案的时间：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s="Times New Roman"/>
          <w:color w:val="auto"/>
          <w:sz w:val="28"/>
          <w:szCs w:val="28"/>
          <w:highlight w:val="none"/>
          <w:u w:val="single"/>
        </w:rPr>
      </w:pPr>
      <w:r>
        <w:rPr>
          <w:rFonts w:hint="eastAsia" w:ascii="仿宋_GB2312" w:eastAsia="仿宋_GB2312"/>
          <w:color w:val="auto"/>
          <w:sz w:val="28"/>
          <w:szCs w:val="28"/>
          <w:highlight w:val="none"/>
        </w:rPr>
        <w:t>发包人提供的库房、堆场、设施和设备：</w:t>
      </w:r>
      <w:r>
        <w:rPr>
          <w:rFonts w:ascii="仿宋_GB2312" w:eastAsia="仿宋_GB2312"/>
          <w:color w:val="auto"/>
          <w:sz w:val="28"/>
          <w:szCs w:val="28"/>
          <w:highlight w:val="none"/>
          <w:u w:val="single"/>
        </w:rPr>
        <w:t xml:space="preserve"> </w:t>
      </w:r>
      <w:r>
        <w:rPr>
          <w:rFonts w:ascii="仿宋_GB2312" w:eastAsia="仿宋_GB2312" w:cs="Times New Roman"/>
          <w:color w:val="auto"/>
          <w:sz w:val="28"/>
          <w:szCs w:val="28"/>
          <w:highlight w:val="none"/>
          <w:u w:val="single"/>
        </w:rPr>
        <w:t xml:space="preserve">  发包人不提供，由承包人负责     </w:t>
      </w:r>
      <w:r>
        <w:rPr>
          <w:rFonts w:hint="default" w:ascii="仿宋_GB2312" w:eastAsia="仿宋_GB2312" w:cs="Times New Roman"/>
          <w:color w:val="auto"/>
          <w:sz w:val="28"/>
          <w:szCs w:val="28"/>
          <w:highlight w:val="none"/>
          <w:u w:val="singl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6.3 </w:t>
      </w:r>
      <w:r>
        <w:rPr>
          <w:rFonts w:hint="eastAsia" w:ascii="黑体" w:hAnsi="黑体" w:eastAsia="黑体"/>
          <w:color w:val="auto"/>
          <w:sz w:val="28"/>
          <w:szCs w:val="28"/>
          <w:highlight w:val="none"/>
        </w:rPr>
        <w:t>样品</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6</w:t>
      </w:r>
      <w:r>
        <w:rPr>
          <w:rFonts w:ascii="仿宋_GB2312" w:eastAsia="仿宋_GB2312"/>
          <w:color w:val="auto"/>
          <w:sz w:val="28"/>
          <w:szCs w:val="28"/>
          <w:highlight w:val="none"/>
        </w:rPr>
        <w:t xml:space="preserve">.3.1 </w:t>
      </w:r>
      <w:r>
        <w:rPr>
          <w:rFonts w:hint="eastAsia" w:ascii="仿宋_GB2312" w:eastAsia="仿宋_GB2312"/>
          <w:color w:val="auto"/>
          <w:sz w:val="28"/>
          <w:szCs w:val="28"/>
          <w:highlight w:val="none"/>
        </w:rPr>
        <w:t>样品的报送与封存</w:t>
      </w:r>
    </w:p>
    <w:p>
      <w:pPr>
        <w:ind w:firstLine="600"/>
        <w:rPr>
          <w:rFonts w:ascii="仿宋_GB2312" w:eastAsia="仿宋_GB2312"/>
          <w:color w:val="auto"/>
          <w:sz w:val="28"/>
          <w:szCs w:val="28"/>
          <w:highlight w:val="none"/>
          <w:u w:val="single"/>
        </w:rPr>
      </w:pPr>
      <w:r>
        <w:rPr>
          <w:rFonts w:ascii="仿宋_GB2312" w:eastAsia="仿宋_GB2312"/>
          <w:color w:val="auto"/>
          <w:sz w:val="28"/>
          <w:szCs w:val="28"/>
          <w:highlight w:val="none"/>
        </w:rPr>
        <w:t>需要承包人报送样品的材料或工程设备</w:t>
      </w:r>
      <w:r>
        <w:rPr>
          <w:rFonts w:hint="eastAsia" w:ascii="仿宋_GB2312" w:eastAsia="仿宋_GB2312"/>
          <w:color w:val="auto"/>
          <w:sz w:val="28"/>
          <w:szCs w:val="28"/>
          <w:highlight w:val="none"/>
        </w:rPr>
        <w:t>，样品种类、名称、规格、数量：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主要建筑、安装材料（设备）采购前</w:t>
      </w:r>
      <w:r>
        <w:rPr>
          <w:rFonts w:ascii="仿宋_GB2312" w:eastAsia="仿宋_GB2312"/>
          <w:color w:val="auto"/>
          <w:sz w:val="28"/>
          <w:szCs w:val="28"/>
          <w:highlight w:val="none"/>
          <w:u w:val="single"/>
        </w:rPr>
        <w:t>60天须按双方约定的品牌、系列、规格并经监理和发包人书面签证予</w:t>
      </w:r>
      <w:r>
        <w:rPr>
          <w:rFonts w:hint="eastAsia" w:ascii="仿宋_GB2312" w:eastAsia="仿宋_GB2312"/>
          <w:color w:val="auto"/>
          <w:sz w:val="28"/>
          <w:szCs w:val="28"/>
          <w:highlight w:val="none"/>
          <w:u w:val="single"/>
        </w:rPr>
        <w:t>以认可后方可采购，进场主要材料经监理验收后方能用于本项目。发包人对承包人提供的样品不能满足设计要求或式样、颜色不满意或价格不合理（指市场的实际价格和承包人所报价或与承包人投标时所报价相差较大），发包人有权要求承包人调换，直至发包人满意为止，引起的损失由承包人承担且不得以此理由要求顺延工期。</w:t>
      </w:r>
      <w:r>
        <w:rPr>
          <w:rFonts w:ascii="仿宋_GB2312" w:eastAsia="仿宋_GB2312"/>
          <w:color w:val="auto"/>
          <w:sz w:val="28"/>
          <w:szCs w:val="28"/>
          <w:highlight w:val="none"/>
          <w:u w:val="single"/>
        </w:rPr>
        <w:t xml:space="preserve"> </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6.4 </w:t>
      </w:r>
      <w:r>
        <w:rPr>
          <w:rFonts w:hint="eastAsia" w:ascii="黑体" w:hAnsi="黑体" w:eastAsia="黑体"/>
          <w:color w:val="auto"/>
          <w:sz w:val="28"/>
          <w:szCs w:val="28"/>
          <w:highlight w:val="none"/>
        </w:rPr>
        <w:t>质量检查</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6.4.1 </w:t>
      </w:r>
      <w:r>
        <w:rPr>
          <w:rFonts w:hint="eastAsia" w:ascii="仿宋_GB2312" w:eastAsia="仿宋_GB2312"/>
          <w:color w:val="auto"/>
          <w:sz w:val="28"/>
          <w:szCs w:val="28"/>
          <w:highlight w:val="none"/>
        </w:rPr>
        <w:t>工程质量要求</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工程质量的特殊标准或要求：</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工程设计质量标准：符合现行国家规范，达到《建筑工程设计文件编制深度规定（</w:t>
      </w:r>
      <w:r>
        <w:rPr>
          <w:rFonts w:ascii="仿宋_GB2312" w:eastAsia="仿宋_GB2312"/>
          <w:color w:val="auto"/>
          <w:sz w:val="28"/>
          <w:szCs w:val="28"/>
          <w:highlight w:val="none"/>
          <w:u w:val="single"/>
        </w:rPr>
        <w:t>2016版）》。</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工程施工质量标准：符合《建筑工程施工质量验收统一标准》（</w:t>
      </w:r>
      <w:r>
        <w:rPr>
          <w:rFonts w:ascii="仿宋_GB2312" w:eastAsia="仿宋_GB2312"/>
          <w:color w:val="auto"/>
          <w:sz w:val="28"/>
          <w:szCs w:val="28"/>
          <w:highlight w:val="none"/>
          <w:u w:val="single"/>
        </w:rPr>
        <w:t>GB-50300-2013）“合</w:t>
      </w:r>
      <w:r>
        <w:rPr>
          <w:rFonts w:hint="eastAsia" w:ascii="仿宋_GB2312" w:eastAsia="仿宋_GB2312"/>
          <w:color w:val="auto"/>
          <w:sz w:val="28"/>
          <w:szCs w:val="28"/>
          <w:highlight w:val="none"/>
          <w:u w:val="single"/>
        </w:rPr>
        <w:t>格”标准。各分部、分项工程一次性达到国家、省市及地方相关专业验收合格标准，整体工程一次性验收合格标准。</w:t>
      </w:r>
    </w:p>
    <w:p>
      <w:pPr>
        <w:ind w:firstLine="420" w:firstLineChars="15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因承包人原因导致工程质量不符合合格标准的，承包人必须自费返工至约定质量标准；因承包人原因无法使工程一次性验收合格的，将扣罚全额质量履约保证金；对多次返工仍达不到约定质量标准的工程，发包人有权聘请第三方进场施工该部分工程，使其质量达到约定质量等级，第三方修复费用由发包人从承包人的工程款项中扣除，工程款不够扣除的，作为承包人对发包人的债务（含中国人民银行同期活期存款利率）。工程质量不合格返工使工程逾期完成或第三方重新修建使工程逾期，承包人必须承担逾期完工的违约金，在应付工程款中扣除，工程款不够扣除的，作为承包人对发包人的债务（含中国人民银行同期活期存款利率）。</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6.4.2 </w:t>
      </w:r>
      <w:r>
        <w:rPr>
          <w:rFonts w:hint="eastAsia" w:ascii="仿宋_GB2312" w:eastAsia="仿宋_GB2312"/>
          <w:color w:val="auto"/>
          <w:sz w:val="28"/>
          <w:szCs w:val="28"/>
          <w:highlight w:val="none"/>
        </w:rPr>
        <w:t>质量检查</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除通用合同条件已列明的质量检查的地点外，发包人有权进行质量检查的其他地点：</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6.4.3 </w:t>
      </w:r>
      <w:r>
        <w:rPr>
          <w:rFonts w:hint="eastAsia" w:ascii="仿宋_GB2312" w:eastAsia="仿宋_GB2312"/>
          <w:color w:val="auto"/>
          <w:sz w:val="28"/>
          <w:szCs w:val="28"/>
          <w:highlight w:val="none"/>
        </w:rPr>
        <w:t>隐蔽工程检查</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关于隐蔽工程和中间验收的特别约定：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承包人应在共同检查前</w:t>
      </w:r>
      <w:r>
        <w:rPr>
          <w:rFonts w:ascii="仿宋_GB2312" w:eastAsia="仿宋_GB2312"/>
          <w:color w:val="auto"/>
          <w:sz w:val="28"/>
          <w:szCs w:val="28"/>
          <w:highlight w:val="none"/>
          <w:u w:val="single"/>
        </w:rPr>
        <w:t xml:space="preserve"> 48 小时书面通知发包人</w:t>
      </w:r>
      <w:r>
        <w:rPr>
          <w:rFonts w:hint="eastAsia" w:ascii="仿宋_GB2312" w:eastAsia="仿宋_GB2312"/>
          <w:color w:val="auto"/>
          <w:sz w:val="28"/>
          <w:szCs w:val="28"/>
          <w:highlight w:val="none"/>
          <w:u w:val="single"/>
        </w:rPr>
        <w:t>代表、监理人检查，通知中应载明隐蔽检查的内容、时间和地点，并应附有自检记录和必要的检查资料。隐蔽工程必须做好影像资料收集、整理。验收合格，监理工程师和发包人代表在记录上签字后方可进行隐蔽和继续施工。不合格的，承包人在限定期限内整改后重新组织验收，并承担由此发生的费用，且工期不予顺延。对需验收而未验收就进入下一道工序的，承包人每次需向发包人支付罚金</w:t>
      </w:r>
      <w:r>
        <w:rPr>
          <w:rFonts w:ascii="仿宋_GB2312" w:eastAsia="仿宋_GB2312"/>
          <w:color w:val="auto"/>
          <w:sz w:val="28"/>
          <w:szCs w:val="28"/>
          <w:highlight w:val="none"/>
          <w:u w:val="single"/>
        </w:rPr>
        <w:t>1 万元，且发包人有权要求剥露验收，相应费用由承包人承</w:t>
      </w:r>
      <w:r>
        <w:rPr>
          <w:rFonts w:hint="eastAsia" w:ascii="仿宋_GB2312" w:eastAsia="仿宋_GB2312"/>
          <w:color w:val="auto"/>
          <w:sz w:val="28"/>
          <w:szCs w:val="28"/>
          <w:highlight w:val="none"/>
          <w:u w:val="single"/>
        </w:rPr>
        <w:t>担，且工期不予顺延</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6.5 </w:t>
      </w:r>
      <w:r>
        <w:rPr>
          <w:rFonts w:hint="eastAsia" w:ascii="黑体" w:hAnsi="黑体" w:eastAsia="黑体"/>
          <w:color w:val="auto"/>
          <w:sz w:val="28"/>
          <w:szCs w:val="28"/>
          <w:highlight w:val="none"/>
        </w:rPr>
        <w:t>由承包人试验和检验</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6</w:t>
      </w:r>
      <w:r>
        <w:rPr>
          <w:rFonts w:ascii="仿宋_GB2312" w:eastAsia="仿宋_GB2312"/>
          <w:color w:val="auto"/>
          <w:sz w:val="28"/>
          <w:szCs w:val="28"/>
          <w:highlight w:val="none"/>
        </w:rPr>
        <w:t xml:space="preserve">.5.1 </w:t>
      </w:r>
      <w:r>
        <w:rPr>
          <w:rFonts w:hint="eastAsia" w:ascii="仿宋_GB2312" w:eastAsia="仿宋_GB2312"/>
          <w:color w:val="auto"/>
          <w:sz w:val="28"/>
          <w:szCs w:val="28"/>
          <w:highlight w:val="none"/>
        </w:rPr>
        <w:t>试验设备与试验人员</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试验的内容、时间和地点：</w:t>
      </w:r>
      <w:r>
        <w:rPr>
          <w:rFonts w:ascii="仿宋_GB2312" w:eastAsia="仿宋_GB2312"/>
          <w:color w:val="auto"/>
          <w:sz w:val="28"/>
          <w:szCs w:val="28"/>
          <w:highlight w:val="none"/>
          <w:u w:val="single"/>
        </w:rPr>
        <w:t xml:space="preserve">   按国家及地方质量检验相关文件规范要求和发包人、监理人要求</w:t>
      </w:r>
      <w:r>
        <w:rPr>
          <w:rFonts w:hint="eastAsia" w:ascii="仿宋_GB2312" w:eastAsia="仿宋_GB2312"/>
          <w:color w:val="auto"/>
          <w:sz w:val="28"/>
          <w:szCs w:val="28"/>
          <w:highlight w:val="none"/>
          <w:u w:val="single"/>
        </w:rPr>
        <w:t>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试验所需要的试验设备、取样装置、试验场所和试验条件：</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试验和检验费用的计价原则：</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建设工程质量管理条例》、《建设工程质量检测管理办法》、《房屋建筑工程和市政基础设施工程实行见证取样和送检的规定》等及省、市地方有关工程质量检测的有关规定和设计明确要求的检测频率、内容实施。对建筑材料、构件和建筑安装物进行一般鉴定、检查所发生的费用，包括建设工程质量见证取样检测费、建筑施工企业配合检测及自设试验室进行试验所耗用的材料和化学药品等费用均由承包人承担（发包人明确能承担检测的项目除外，其中桩基检测和基坑监测专项检测由发包人承担，需由承包人配合检测）。由于因承包人施工原因导致检测不合格的，则由承包人承担本次及重新检测、恢复费用。在施工过程中，监理单位有权按照相关标准、规范要求并结合工程实际，对工程原材料、工程实体进行平行检测，承包人必须积极配合监理单位的此项工作，如阻止干扰，发包人有权进行相应处罚。</w:t>
      </w:r>
    </w:p>
    <w:p>
      <w:pPr>
        <w:pStyle w:val="39"/>
        <w:outlineLvl w:val="2"/>
        <w:rPr>
          <w:rFonts w:ascii="黑体" w:hAnsi="黑体" w:eastAsia="黑体"/>
          <w:color w:val="auto"/>
          <w:sz w:val="28"/>
          <w:szCs w:val="28"/>
          <w:highlight w:val="none"/>
        </w:rPr>
      </w:pPr>
      <w:bookmarkStart w:id="193" w:name="_Toc54862338"/>
      <w:bookmarkStart w:id="194" w:name="_Toc12984"/>
      <w:r>
        <w:rPr>
          <w:rFonts w:hint="eastAsia" w:ascii="黑体" w:hAnsi="黑体" w:eastAsia="黑体"/>
          <w:color w:val="auto"/>
          <w:sz w:val="28"/>
          <w:szCs w:val="28"/>
          <w:highlight w:val="none"/>
        </w:rPr>
        <w:t>第</w:t>
      </w:r>
      <w:r>
        <w:rPr>
          <w:rFonts w:ascii="黑体" w:hAnsi="黑体" w:eastAsia="黑体"/>
          <w:color w:val="auto"/>
          <w:sz w:val="28"/>
          <w:szCs w:val="28"/>
          <w:highlight w:val="none"/>
        </w:rPr>
        <w:t>7条</w:t>
      </w:r>
      <w:r>
        <w:rPr>
          <w:rFonts w:hint="eastAsia" w:ascii="黑体" w:hAnsi="黑体" w:eastAsia="黑体"/>
          <w:color w:val="auto"/>
          <w:sz w:val="28"/>
          <w:szCs w:val="28"/>
          <w:highlight w:val="none"/>
        </w:rPr>
        <w:t xml:space="preserve"> 施工</w:t>
      </w:r>
      <w:bookmarkEnd w:id="193"/>
      <w:bookmarkEnd w:id="194"/>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7.1 </w:t>
      </w:r>
      <w:r>
        <w:rPr>
          <w:rFonts w:hint="eastAsia" w:ascii="黑体" w:hAnsi="黑体" w:eastAsia="黑体"/>
          <w:color w:val="auto"/>
          <w:sz w:val="28"/>
          <w:szCs w:val="28"/>
          <w:highlight w:val="none"/>
        </w:rPr>
        <w:t>交通运输</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7.1.1 </w:t>
      </w:r>
      <w:r>
        <w:rPr>
          <w:rFonts w:hint="eastAsia" w:ascii="仿宋_GB2312" w:eastAsia="仿宋_GB2312"/>
          <w:color w:val="auto"/>
          <w:sz w:val="28"/>
          <w:szCs w:val="28"/>
          <w:highlight w:val="none"/>
        </w:rPr>
        <w:t>出入现场的权利</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关于出入现场的权利的约定：</w:t>
      </w:r>
      <w:r>
        <w:rPr>
          <w:rFonts w:ascii="仿宋_GB2312" w:eastAsia="仿宋_GB2312"/>
          <w:color w:val="auto"/>
          <w:sz w:val="28"/>
          <w:szCs w:val="28"/>
          <w:highlight w:val="none"/>
          <w:u w:val="single"/>
        </w:rPr>
        <w:t xml:space="preserve">    1、由承包人按发包人要求负责取得出入施工现场所需的批准手续和全部权利，以及取</w:t>
      </w:r>
      <w:r>
        <w:rPr>
          <w:rFonts w:hint="eastAsia" w:ascii="仿宋_GB2312" w:eastAsia="仿宋_GB2312"/>
          <w:color w:val="auto"/>
          <w:sz w:val="28"/>
          <w:szCs w:val="28"/>
          <w:highlight w:val="none"/>
          <w:u w:val="single"/>
        </w:rPr>
        <w:t>得因施工所需修建道路、桥梁以及其他基础设施的权利，施工现场内临时道路、场地硬化、给排水以及场地清理、平整由承包人负责实施，相关费用已在工程费用投标报价中考虑，不再单独列项计取；</w:t>
      </w:r>
    </w:p>
    <w:p>
      <w:pPr>
        <w:ind w:firstLine="600"/>
        <w:rPr>
          <w:rFonts w:ascii="仿宋_GB2312" w:eastAsia="仿宋_GB2312"/>
          <w:color w:val="auto"/>
          <w:sz w:val="28"/>
          <w:szCs w:val="28"/>
          <w:highlight w:val="none"/>
          <w:u w:val="single"/>
        </w:rPr>
      </w:pPr>
      <w:r>
        <w:rPr>
          <w:rFonts w:ascii="仿宋_GB2312" w:eastAsia="仿宋_GB2312"/>
          <w:color w:val="auto"/>
          <w:sz w:val="28"/>
          <w:szCs w:val="28"/>
          <w:highlight w:val="none"/>
          <w:u w:val="single"/>
        </w:rPr>
        <w:t>2、其他：所在项目主通道养护（必须满足重型车辆通行要求）及两侧绿化施工及维保，</w:t>
      </w:r>
      <w:r>
        <w:rPr>
          <w:rFonts w:hint="eastAsia" w:ascii="仿宋_GB2312" w:eastAsia="仿宋_GB2312"/>
          <w:color w:val="auto"/>
          <w:sz w:val="28"/>
          <w:szCs w:val="28"/>
          <w:highlight w:val="none"/>
          <w:u w:val="single"/>
        </w:rPr>
        <w:t xml:space="preserve">项目竣工后所在项目的临时便道拆除、清理需由承包人实施，以上费用均已在工程费用投标报价中考虑，不再单独列项计取 </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7.1.2 </w:t>
      </w:r>
      <w:r>
        <w:rPr>
          <w:rFonts w:hint="eastAsia" w:ascii="仿宋_GB2312" w:eastAsia="仿宋_GB2312"/>
          <w:color w:val="auto"/>
          <w:sz w:val="28"/>
          <w:szCs w:val="28"/>
          <w:highlight w:val="none"/>
        </w:rPr>
        <w:t>场外交通</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关于场外交通的特别约定：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如因工程需要临时占用发包人提供的规划红线范围外的场地及公共道路，必须经招标人同意和审批，承包人应自行协调并负责办理审批手续。</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7.1.3 </w:t>
      </w:r>
      <w:r>
        <w:rPr>
          <w:rFonts w:hint="eastAsia" w:ascii="仿宋_GB2312" w:eastAsia="仿宋_GB2312"/>
          <w:color w:val="auto"/>
          <w:sz w:val="28"/>
          <w:szCs w:val="28"/>
          <w:highlight w:val="none"/>
        </w:rPr>
        <w:t>场内交通</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关于场内交通的特别约定：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具体道路由承包人在投标前自行踏勘确定，在施工期间的维护及相应费用由承包人承，如利用地下室顶板做为运输通道及材料堆放场地，必须提交设计院书面确认并符合相关规范要求，严格按设计要求进行加固才可以利用。</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关于场内交通与场外交通边界的约定：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以规划用地红线为界</w:t>
      </w:r>
      <w:r>
        <w:rPr>
          <w:rFonts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7.1.4 </w:t>
      </w:r>
      <w:r>
        <w:rPr>
          <w:rFonts w:hint="eastAsia" w:ascii="仿宋_GB2312" w:eastAsia="仿宋_GB2312"/>
          <w:color w:val="auto"/>
          <w:sz w:val="28"/>
          <w:szCs w:val="28"/>
          <w:highlight w:val="none"/>
        </w:rPr>
        <w:t>超大件和超重件的运输</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运输超大件或超重件所需的道路和桥梁临时加固改造费用和其他有关费用由</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承担。</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7.2 </w:t>
      </w:r>
      <w:r>
        <w:rPr>
          <w:rFonts w:hint="eastAsia" w:ascii="黑体" w:hAnsi="黑体" w:eastAsia="黑体"/>
          <w:color w:val="auto"/>
          <w:sz w:val="28"/>
          <w:szCs w:val="28"/>
          <w:highlight w:val="none"/>
        </w:rPr>
        <w:t>施工设备和临时设施</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7.2.1 </w:t>
      </w:r>
      <w:r>
        <w:rPr>
          <w:rFonts w:hint="eastAsia" w:ascii="仿宋_GB2312" w:eastAsia="仿宋_GB2312"/>
          <w:color w:val="auto"/>
          <w:sz w:val="28"/>
          <w:szCs w:val="28"/>
          <w:highlight w:val="none"/>
        </w:rPr>
        <w:t>承包人提供的施工设备和临时设施</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临时设施的费用和临时占地手续和费用承担的特别约定：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合同签订后编制临时设施方案，</w:t>
      </w:r>
      <w:r>
        <w:rPr>
          <w:rFonts w:ascii="仿宋_GB2312" w:eastAsia="仿宋_GB2312"/>
          <w:color w:val="auto"/>
          <w:sz w:val="28"/>
          <w:szCs w:val="28"/>
          <w:highlight w:val="none"/>
          <w:u w:val="single"/>
        </w:rPr>
        <w:t>15天内完成场地</w:t>
      </w:r>
      <w:r>
        <w:rPr>
          <w:rFonts w:hint="eastAsia" w:ascii="仿宋_GB2312" w:eastAsia="仿宋_GB2312"/>
          <w:color w:val="auto"/>
          <w:sz w:val="28"/>
          <w:szCs w:val="28"/>
          <w:highlight w:val="none"/>
          <w:u w:val="single"/>
          <w:lang w:eastAsia="zh-CN"/>
        </w:rPr>
        <w:t>三通一平</w:t>
      </w:r>
      <w:r>
        <w:rPr>
          <w:rFonts w:ascii="仿宋_GB2312" w:eastAsia="仿宋_GB2312"/>
          <w:color w:val="auto"/>
          <w:sz w:val="28"/>
          <w:szCs w:val="28"/>
          <w:highlight w:val="none"/>
          <w:u w:val="single"/>
        </w:rPr>
        <w:t>及临时设施的场地租赁及搭建</w:t>
      </w:r>
      <w:r>
        <w:rPr>
          <w:rFonts w:hint="eastAsia" w:ascii="仿宋_GB2312" w:eastAsia="仿宋_GB2312"/>
          <w:color w:val="auto"/>
          <w:sz w:val="28"/>
          <w:szCs w:val="28"/>
          <w:highlight w:val="none"/>
          <w:u w:val="single"/>
        </w:rPr>
        <w:t>工作。承包人以现有地形地貌（含场地内地下障碍物），自行完成</w:t>
      </w:r>
      <w:r>
        <w:rPr>
          <w:rFonts w:hint="eastAsia" w:ascii="仿宋_GB2312" w:eastAsia="仿宋_GB2312"/>
          <w:color w:val="auto"/>
          <w:sz w:val="28"/>
          <w:szCs w:val="28"/>
          <w:highlight w:val="none"/>
          <w:u w:val="single"/>
          <w:lang w:eastAsia="zh-CN"/>
        </w:rPr>
        <w:t>三通一平</w:t>
      </w:r>
      <w:r>
        <w:rPr>
          <w:rFonts w:hint="eastAsia" w:ascii="仿宋_GB2312" w:eastAsia="仿宋_GB2312"/>
          <w:color w:val="auto"/>
          <w:sz w:val="28"/>
          <w:szCs w:val="28"/>
          <w:highlight w:val="none"/>
          <w:u w:val="single"/>
        </w:rPr>
        <w:t>工作，自主完成与周边居民协调工作；自行完成土方外运并协调用地范围内与当地居民（单位）的各项矛盾并承担相关费用。通道口有地下管网线的，承包人应采取保护措施。承包人应事先到工地踏勘以充分了解工地位置、情况、道路、储存空间、装卸限制、</w:t>
      </w:r>
      <w:r>
        <w:rPr>
          <w:rFonts w:hint="eastAsia" w:ascii="仿宋_GB2312" w:eastAsia="仿宋_GB2312"/>
          <w:color w:val="auto"/>
          <w:sz w:val="28"/>
          <w:szCs w:val="28"/>
          <w:highlight w:val="none"/>
          <w:u w:val="single"/>
          <w:lang w:eastAsia="zh-CN"/>
        </w:rPr>
        <w:t>三通一平</w:t>
      </w:r>
      <w:r>
        <w:rPr>
          <w:rFonts w:hint="eastAsia" w:ascii="仿宋_GB2312" w:eastAsia="仿宋_GB2312"/>
          <w:color w:val="auto"/>
          <w:sz w:val="28"/>
          <w:szCs w:val="28"/>
          <w:highlight w:val="none"/>
          <w:u w:val="single"/>
        </w:rPr>
        <w:t>场地现状、周边环境等。设置临时施工通道，按照当地公安、市政、交通、治安、城管、环保、排污、环卫、绿化、卫生等部门要求办理相关手续，解决任何其它足以影响施工的问题，以上费用均由承包人承担。任何因忽视或误解工地情况而导致的索赔申请将不获批准。工程交接完成后，</w:t>
      </w:r>
      <w:r>
        <w:rPr>
          <w:rFonts w:ascii="仿宋_GB2312" w:eastAsia="仿宋_GB2312"/>
          <w:color w:val="auto"/>
          <w:sz w:val="28"/>
          <w:szCs w:val="28"/>
          <w:highlight w:val="none"/>
          <w:u w:val="single"/>
        </w:rPr>
        <w:t>3天内应清除掉现场内所有不再需要的临时工程、设施、承包人的设</w:t>
      </w:r>
      <w:r>
        <w:rPr>
          <w:rFonts w:hint="eastAsia" w:ascii="仿宋_GB2312" w:eastAsia="仿宋_GB2312"/>
          <w:color w:val="auto"/>
          <w:sz w:val="28"/>
          <w:szCs w:val="28"/>
          <w:highlight w:val="none"/>
          <w:u w:val="single"/>
        </w:rPr>
        <w:t>备和多余材料、生活垃圾和废物，地面及地面下的临时砼基础等，并修复因施工损坏的绿化，修复完毕应得到绿化部门认可。如承包人交工</w:t>
      </w:r>
      <w:r>
        <w:rPr>
          <w:rFonts w:ascii="仿宋_GB2312" w:eastAsia="仿宋_GB2312"/>
          <w:color w:val="auto"/>
          <w:sz w:val="28"/>
          <w:szCs w:val="28"/>
          <w:highlight w:val="none"/>
          <w:u w:val="single"/>
        </w:rPr>
        <w:t>15天后仍不清除、修复，发包人可自行完成，</w:t>
      </w:r>
      <w:r>
        <w:rPr>
          <w:rFonts w:hint="eastAsia" w:ascii="仿宋_GB2312" w:eastAsia="仿宋_GB2312"/>
          <w:color w:val="auto"/>
          <w:sz w:val="28"/>
          <w:szCs w:val="28"/>
          <w:highlight w:val="none"/>
          <w:u w:val="single"/>
        </w:rPr>
        <w:t>发生的费用由承包人承担。承包人应按合同进度计划的要求，及时配置施工设备和修建临时设施。进入施工场地的承包人设备需经监理人核查后才能投入使用。承包人更换合同约定的承包人设备的，应报监理人批准。承包人应自行承担修建临时设施的费用，需要临时占地的，需征得发包人同意，由发包人协助办理临时用地手续，借地相关费用由承包人</w:t>
      </w:r>
      <w:r>
        <w:rPr>
          <w:rFonts w:hint="eastAsia" w:ascii="仿宋_GB2312" w:eastAsia="仿宋_GB2312"/>
          <w:color w:val="auto"/>
          <w:sz w:val="28"/>
          <w:szCs w:val="28"/>
          <w:highlight w:val="none"/>
          <w:u w:val="single"/>
          <w:lang w:eastAsia="zh-CN"/>
        </w:rPr>
        <w:t>八</w:t>
      </w:r>
      <w:r>
        <w:rPr>
          <w:rFonts w:hint="eastAsia" w:ascii="仿宋_GB2312" w:eastAsia="仿宋_GB2312"/>
          <w:color w:val="auto"/>
          <w:sz w:val="28"/>
          <w:szCs w:val="28"/>
          <w:highlight w:val="none"/>
          <w:u w:val="single"/>
        </w:rPr>
        <w:t>间办公室（包括基本办公桌椅、资料柜、空调等）给发包人作临时现场办公室使用，所需费用由承包人承担，发包人不再支付与此相关的费用。</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7.2.2 </w:t>
      </w:r>
      <w:r>
        <w:rPr>
          <w:rFonts w:hint="eastAsia" w:ascii="仿宋_GB2312" w:eastAsia="仿宋_GB2312"/>
          <w:color w:val="auto"/>
          <w:sz w:val="28"/>
          <w:szCs w:val="28"/>
          <w:highlight w:val="none"/>
        </w:rPr>
        <w:t>发包人提供的施工设备和临时设施</w:t>
      </w:r>
    </w:p>
    <w:p>
      <w:pPr>
        <w:ind w:firstLine="600"/>
        <w:rPr>
          <w:rFonts w:ascii="仿宋_GB2312" w:eastAsia="仿宋_GB2312"/>
          <w:strike/>
          <w:color w:val="auto"/>
          <w:sz w:val="28"/>
          <w:szCs w:val="28"/>
          <w:highlight w:val="none"/>
        </w:rPr>
      </w:pPr>
      <w:r>
        <w:rPr>
          <w:rFonts w:hint="eastAsia" w:ascii="仿宋_GB2312" w:eastAsia="仿宋_GB2312"/>
          <w:color w:val="auto"/>
          <w:sz w:val="28"/>
          <w:szCs w:val="28"/>
          <w:highlight w:val="none"/>
        </w:rPr>
        <w:t>发包人提供的施工设备或临时设施范围：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7.3 </w:t>
      </w:r>
      <w:r>
        <w:rPr>
          <w:rFonts w:hint="eastAsia" w:ascii="黑体" w:hAnsi="黑体" w:eastAsia="黑体"/>
          <w:color w:val="auto"/>
          <w:sz w:val="28"/>
          <w:szCs w:val="28"/>
          <w:highlight w:val="none"/>
        </w:rPr>
        <w:t>现场合作</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关于现场合作费用的特别约定：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7.4 </w:t>
      </w:r>
      <w:r>
        <w:rPr>
          <w:rFonts w:hint="eastAsia" w:ascii="黑体" w:hAnsi="黑体" w:eastAsia="黑体"/>
          <w:color w:val="auto"/>
          <w:sz w:val="28"/>
          <w:szCs w:val="28"/>
          <w:highlight w:val="none"/>
        </w:rPr>
        <w:t>测量放线</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7</w:t>
      </w:r>
      <w:r>
        <w:rPr>
          <w:rFonts w:ascii="仿宋_GB2312" w:eastAsia="仿宋_GB2312"/>
          <w:color w:val="auto"/>
          <w:sz w:val="28"/>
          <w:szCs w:val="28"/>
          <w:highlight w:val="none"/>
        </w:rPr>
        <w:t xml:space="preserve">.4.1 </w:t>
      </w:r>
      <w:r>
        <w:rPr>
          <w:rFonts w:hint="eastAsia" w:ascii="仿宋_GB2312" w:eastAsia="仿宋_GB2312"/>
          <w:color w:val="auto"/>
          <w:sz w:val="28"/>
          <w:szCs w:val="28"/>
          <w:highlight w:val="none"/>
        </w:rPr>
        <w:t>关于测量放线的特别约定的技术规范：</w:t>
      </w:r>
      <w:r>
        <w:rPr>
          <w:rFonts w:ascii="仿宋_GB2312" w:eastAsia="仿宋_GB2312"/>
          <w:color w:val="auto"/>
          <w:sz w:val="28"/>
          <w:szCs w:val="28"/>
          <w:highlight w:val="none"/>
          <w:u w:val="single"/>
        </w:rPr>
        <w:t xml:space="preserve"> 符合国家、省、市有关的技术规范</w:t>
      </w:r>
      <w:r>
        <w:rPr>
          <w:rFonts w:ascii="仿宋_GB2312" w:eastAsia="仿宋_GB2312"/>
          <w:color w:val="auto"/>
          <w:sz w:val="28"/>
          <w:szCs w:val="28"/>
          <w:highlight w:val="none"/>
          <w:u w:val="single"/>
        </w:rPr>
        <w:tab/>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。施工控制网资料的告知期限：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开工前7日内</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7.5 </w:t>
      </w:r>
      <w:r>
        <w:rPr>
          <w:rFonts w:hint="eastAsia" w:ascii="黑体" w:hAnsi="黑体" w:eastAsia="黑体"/>
          <w:color w:val="auto"/>
          <w:sz w:val="28"/>
          <w:szCs w:val="28"/>
          <w:highlight w:val="none"/>
        </w:rPr>
        <w:t>现场劳动用工</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7</w:t>
      </w:r>
      <w:r>
        <w:rPr>
          <w:rFonts w:ascii="仿宋_GB2312" w:eastAsia="仿宋_GB2312"/>
          <w:color w:val="auto"/>
          <w:sz w:val="28"/>
          <w:szCs w:val="28"/>
          <w:highlight w:val="none"/>
        </w:rPr>
        <w:t xml:space="preserve">.5.2 </w:t>
      </w:r>
      <w:r>
        <w:rPr>
          <w:rFonts w:hint="eastAsia" w:ascii="仿宋_GB2312" w:eastAsia="仿宋_GB2312"/>
          <w:color w:val="auto"/>
          <w:sz w:val="28"/>
          <w:szCs w:val="28"/>
          <w:highlight w:val="none"/>
        </w:rPr>
        <w:t>合同当事人对建筑工人工资清偿事宜和违约责任的约定：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承包人必须按月全额支付民工工资，并且发包人有监督的权利。如承包人未按规定兑现，发包人有权直接从工程款中扣除该费用，用于直接支付民工工资，并扣罚双倍的费用</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7.6 </w:t>
      </w:r>
      <w:r>
        <w:rPr>
          <w:rFonts w:hint="eastAsia" w:ascii="黑体" w:hAnsi="黑体" w:eastAsia="黑体"/>
          <w:color w:val="auto"/>
          <w:sz w:val="28"/>
          <w:szCs w:val="28"/>
          <w:highlight w:val="none"/>
        </w:rPr>
        <w:t>安全文明施工</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合同当事人对安全文明施工的要求：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1、承包人应严格要求按照湖州市建筑工程安全文明标准化工地的要求组织施工，遵守工程建设安全文明施工的有关规定。认真落实各项安全保护措施，并随时接受发包人、监理单位及有关部门的监督检查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承包人要做好安全防护工作，合理安排工程车辆进出。承包人应建立有效安全责任制，落实到人，加强现场施工人员安全教育，提高安全意识。如由于承包人安全措施不力造成事故的责任和由此发生的费用，由承包人承担。发包人及监理单位或建设单位上级主管部门每发出一次安全整改通知书，承包方都应及时整改，如整改不及时，每发生一次在安全文明施工履约保证金中扣罚5000元。受到建设行政主管部门下达通报批评及以上处罚或停工整改通知的，视为承包方在安全生产方面违约，扣罚全部安全文明施工履约保证金。</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3、承包人必须严格执行市安全文明施工及扬尘治理等相关规定，做好车辆冲洗及工程车辆途经路段的道路清洁工作，现场必须配备冲洗设施，配备专人进行道路清扫。出现扬尘及道路污染经发包人及监理单位或建设单位上级主管部门通知限时未见整改的，处于罚款2000元，多次发现现场未整改的，罚款加倍。</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4、承包人因扬尘、环境卫生等原因造成有12345投诉的，承包人需积极处理，且发包人有权对承包人每次处罚5万元。</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5、在施工过程中，承包人应积极采取有效措施，减少对施工现场周边各方面的影响，自行协调好与周边居民等的关系，如果产生有关矛盾、纠纷，由施工单位负责处理，其间发生的费用由承包人承担。如因处理不当造成群体性事件的，每次处罚5万元。</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6、承包人在施工区域内应做好前期协调工作，以保证工程顺利进行。</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7、合同期内（竣工验收并移交发包人前）发生人员死亡事故，受到建设行政主管部门书面下达通报批评及以上处罚或停工整改通知，视承包人在安全生产方面违约，扣罚全部安全无死亡事故履约担保并承担全部责任；</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7.9 </w:t>
      </w:r>
      <w:r>
        <w:rPr>
          <w:rFonts w:hint="eastAsia" w:ascii="黑体" w:hAnsi="黑体" w:eastAsia="黑体"/>
          <w:color w:val="auto"/>
          <w:sz w:val="28"/>
          <w:szCs w:val="28"/>
          <w:highlight w:val="none"/>
        </w:rPr>
        <w:t>临时性公用设施</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关于临时性公用设施的特别约定：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发包人为承包人提供施工用水1处，用电接口</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u w:val="single"/>
        </w:rPr>
        <w:t>处；工程用水、用电费用由承包人自行承担（按表计取水、电用量，并按用量计取相应比例的水、电损失量。用水接口后的水管、阀门、水嘴及用电接口后的电缆线路、各级配电表箱（含防漏电、触电保护设施）等均由承包人自行负责安装、使用及管理。承包人根据提供的变压器容量在确保施工进度前提下，合理安排施工机械设施，如需另外增加供电电源，由承包人自行承担，费用发生后不再另行计取；承包人负责日常维护管理及支付相关运行费用。</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7.10 </w:t>
      </w:r>
      <w:r>
        <w:rPr>
          <w:rFonts w:hint="eastAsia" w:ascii="黑体" w:hAnsi="黑体" w:eastAsia="黑体"/>
          <w:color w:val="auto"/>
          <w:sz w:val="28"/>
          <w:szCs w:val="28"/>
          <w:highlight w:val="none"/>
        </w:rPr>
        <w:t>现场安保</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承包人现场安保义务的特别约定：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①承包人应做好包括生活区在内的管辖区的治安保卫工作。②承包人应对进入施工现场的施工人员进行安全文明施工教育，配备必要的劳动保护用具，保证工程的施工安全和人身安全。③承包人应强化安全意识，抓好安全生产，杜绝事故发生，施工中若发生安全及人身事故均由承包人自行负责处理，并承担全部费用。④承包人必须严格遵守和执行安全生产和劳动保护有关规定和建设工程安全管理条例。⑤承包人应对施工安全负责，确保安全。⑥承包人应配备专职安全负责人，以确保生产安全。⑦承包人应服从当地政府有关部门在社会治安、综合治理、计划生育、交通管理、环境保护等的管理规定，承包人应安排专职人员负责条款的执行，发包人有权对此进行监督、检查。⑧承包人在工程施工期间，必须配备专职用电管理员，全面负责施工用电的管理。</w:t>
      </w:r>
      <w:r>
        <w:rPr>
          <w:rFonts w:ascii="仿宋_GB2312" w:eastAsia="仿宋_GB2312"/>
          <w:color w:val="auto"/>
          <w:sz w:val="28"/>
          <w:szCs w:val="28"/>
          <w:highlight w:val="none"/>
          <w:u w:val="single"/>
        </w:rPr>
        <w:t xml:space="preserve"> </w:t>
      </w:r>
    </w:p>
    <w:p>
      <w:pPr>
        <w:pStyle w:val="39"/>
        <w:outlineLvl w:val="2"/>
        <w:rPr>
          <w:rFonts w:ascii="黑体" w:hAnsi="黑体" w:eastAsia="黑体"/>
          <w:b w:val="0"/>
          <w:color w:val="auto"/>
          <w:sz w:val="28"/>
          <w:szCs w:val="28"/>
          <w:highlight w:val="none"/>
        </w:rPr>
      </w:pPr>
      <w:bookmarkStart w:id="195" w:name="_Toc18066"/>
      <w:bookmarkStart w:id="196" w:name="_Toc54862339"/>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8条</w:t>
      </w:r>
      <w:r>
        <w:rPr>
          <w:rFonts w:hint="eastAsia" w:ascii="黑体" w:hAnsi="黑体" w:eastAsia="黑体"/>
          <w:b w:val="0"/>
          <w:color w:val="auto"/>
          <w:sz w:val="28"/>
          <w:szCs w:val="28"/>
          <w:highlight w:val="none"/>
        </w:rPr>
        <w:t xml:space="preserve"> 工期和进度</w:t>
      </w:r>
      <w:bookmarkEnd w:id="195"/>
      <w:bookmarkEnd w:id="196"/>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8.1 </w:t>
      </w:r>
      <w:r>
        <w:rPr>
          <w:rFonts w:hint="eastAsia" w:ascii="黑体" w:hAnsi="黑体" w:eastAsia="黑体"/>
          <w:color w:val="auto"/>
          <w:sz w:val="28"/>
          <w:szCs w:val="28"/>
          <w:highlight w:val="none"/>
        </w:rPr>
        <w:t>开始工作</w:t>
      </w:r>
    </w:p>
    <w:p>
      <w:pPr>
        <w:ind w:firstLine="600"/>
        <w:rPr>
          <w:rFonts w:ascii="仿宋_GB2312" w:eastAsia="仿宋_GB2312"/>
          <w:color w:val="auto"/>
          <w:sz w:val="28"/>
          <w:szCs w:val="28"/>
          <w:highlight w:val="none"/>
          <w:u w:val="single"/>
        </w:rPr>
      </w:pPr>
      <w:r>
        <w:rPr>
          <w:rFonts w:ascii="仿宋_GB2312" w:eastAsia="仿宋_GB2312"/>
          <w:color w:val="auto"/>
          <w:sz w:val="28"/>
          <w:szCs w:val="28"/>
          <w:highlight w:val="none"/>
        </w:rPr>
        <w:t xml:space="preserve">8.1.1 </w:t>
      </w:r>
      <w:r>
        <w:rPr>
          <w:rFonts w:hint="eastAsia" w:ascii="仿宋_GB2312" w:eastAsia="仿宋_GB2312"/>
          <w:color w:val="auto"/>
          <w:sz w:val="28"/>
          <w:szCs w:val="28"/>
          <w:highlight w:val="none"/>
        </w:rPr>
        <w:t>开始准备工作：</w:t>
      </w:r>
      <w:r>
        <w:rPr>
          <w:rFonts w:hint="eastAsia" w:ascii="仿宋_GB2312" w:eastAsia="仿宋_GB2312"/>
          <w:color w:val="auto"/>
          <w:sz w:val="28"/>
          <w:szCs w:val="28"/>
          <w:highlight w:val="none"/>
          <w:u w:val="single"/>
        </w:rPr>
        <w:t>承包人应在合同签订后编制临时设施方案，</w:t>
      </w:r>
      <w:r>
        <w:rPr>
          <w:rFonts w:ascii="仿宋_GB2312" w:eastAsia="仿宋_GB2312"/>
          <w:color w:val="auto"/>
          <w:sz w:val="28"/>
          <w:szCs w:val="28"/>
          <w:highlight w:val="none"/>
          <w:u w:val="single"/>
        </w:rPr>
        <w:t>15天内完成临时设施</w:t>
      </w:r>
      <w:r>
        <w:rPr>
          <w:rFonts w:hint="eastAsia" w:ascii="仿宋_GB2312" w:eastAsia="仿宋_GB2312"/>
          <w:color w:val="auto"/>
          <w:sz w:val="28"/>
          <w:szCs w:val="28"/>
          <w:highlight w:val="none"/>
          <w:u w:val="single"/>
        </w:rPr>
        <w:t>的搭建工作</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8.1.2 </w:t>
      </w:r>
      <w:r>
        <w:rPr>
          <w:rFonts w:hint="eastAsia" w:ascii="仿宋_GB2312" w:eastAsia="仿宋_GB2312"/>
          <w:color w:val="auto"/>
          <w:sz w:val="28"/>
          <w:szCs w:val="28"/>
          <w:highlight w:val="none"/>
        </w:rPr>
        <w:t>发包人可在计划开始工作之日起</w:t>
      </w:r>
      <w:r>
        <w:rPr>
          <w:rFonts w:ascii="仿宋_GB2312" w:eastAsia="仿宋_GB2312"/>
          <w:color w:val="auto"/>
          <w:sz w:val="28"/>
          <w:szCs w:val="28"/>
          <w:highlight w:val="none"/>
        </w:rPr>
        <w:t>84</w:t>
      </w:r>
      <w:r>
        <w:rPr>
          <w:rFonts w:hint="eastAsia" w:ascii="仿宋_GB2312" w:eastAsia="仿宋_GB2312"/>
          <w:color w:val="auto"/>
          <w:sz w:val="28"/>
          <w:szCs w:val="28"/>
          <w:highlight w:val="none"/>
        </w:rPr>
        <w:t>日后发出开始工作通知的特殊情形：</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8.2 </w:t>
      </w:r>
      <w:r>
        <w:rPr>
          <w:rFonts w:hint="eastAsia" w:ascii="黑体" w:hAnsi="黑体" w:eastAsia="黑体"/>
          <w:color w:val="auto"/>
          <w:sz w:val="28"/>
          <w:szCs w:val="28"/>
          <w:highlight w:val="none"/>
        </w:rPr>
        <w:t>竣工日期</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竣工日期的约定：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8.3 </w:t>
      </w:r>
      <w:r>
        <w:rPr>
          <w:rFonts w:hint="eastAsia" w:ascii="黑体" w:hAnsi="黑体" w:eastAsia="黑体"/>
          <w:color w:val="auto"/>
          <w:sz w:val="28"/>
          <w:szCs w:val="28"/>
          <w:highlight w:val="none"/>
        </w:rPr>
        <w:t>项目实施计划</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8.3.1 </w:t>
      </w:r>
      <w:r>
        <w:rPr>
          <w:rFonts w:hint="eastAsia" w:ascii="仿宋_GB2312" w:eastAsia="仿宋_GB2312"/>
          <w:color w:val="auto"/>
          <w:sz w:val="28"/>
          <w:szCs w:val="28"/>
          <w:highlight w:val="none"/>
        </w:rPr>
        <w:t>项目实施计划的内容</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项目实施计划的内容：</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8.3.2 </w:t>
      </w:r>
      <w:r>
        <w:rPr>
          <w:rFonts w:hint="eastAsia" w:ascii="仿宋_GB2312" w:eastAsia="仿宋_GB2312"/>
          <w:color w:val="auto"/>
          <w:sz w:val="28"/>
          <w:szCs w:val="28"/>
          <w:highlight w:val="none"/>
        </w:rPr>
        <w:t>项目实施计划的提交和修改</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项目实施计划的提交及修改期限：</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8.4 </w:t>
      </w:r>
      <w:r>
        <w:rPr>
          <w:rFonts w:hint="eastAsia" w:ascii="黑体" w:hAnsi="黑体" w:eastAsia="黑体"/>
          <w:color w:val="auto"/>
          <w:sz w:val="28"/>
          <w:szCs w:val="28"/>
          <w:highlight w:val="none"/>
        </w:rPr>
        <w:t>项目进度计划</w:t>
      </w:r>
    </w:p>
    <w:p>
      <w:pPr>
        <w:ind w:firstLine="600"/>
        <w:rPr>
          <w:color w:val="auto"/>
          <w:highlight w:val="none"/>
        </w:rPr>
      </w:pPr>
      <w:r>
        <w:rPr>
          <w:rFonts w:ascii="仿宋_GB2312" w:eastAsia="仿宋_GB2312"/>
          <w:color w:val="auto"/>
          <w:sz w:val="28"/>
          <w:szCs w:val="28"/>
          <w:highlight w:val="none"/>
        </w:rPr>
        <w:t xml:space="preserve">8.4.1 </w:t>
      </w:r>
      <w:r>
        <w:rPr>
          <w:rFonts w:hint="eastAsia" w:ascii="仿宋_GB2312" w:eastAsia="仿宋_GB2312"/>
          <w:color w:val="auto"/>
          <w:sz w:val="28"/>
          <w:szCs w:val="28"/>
          <w:highlight w:val="none"/>
        </w:rPr>
        <w:t>工程师在收到进度计划后确认或提出修改意见的期限：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承包人应在进场后7天内编制详细的进度计划，包括设计、承包人文件提交、采购、制造、检验、运达现场、施工、安装、试验的各个阶段的预期时间以及设计和施工组织方案说明等报送监理人。监理人应在7日内批复或提出修改意见，否则该进度计划视为已得到批准。发包人和监理人的建议和要求，并不能减轻或免除承包人的任何合同责任。经监理人批准的进度计划称合同进度计划，是控制合同工程进度的依据。承包人还应根据合同进度计划，编制更为详细的分阶段或分项进度计划，报监理人批准。 </w:t>
      </w:r>
      <w:r>
        <w:rPr>
          <w:color w:val="auto"/>
          <w:highlight w:val="none"/>
        </w:rPr>
        <w:t xml:space="preserve">                                            </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8.4.2 </w:t>
      </w:r>
      <w:r>
        <w:rPr>
          <w:rFonts w:hint="eastAsia" w:ascii="仿宋_GB2312" w:eastAsia="仿宋_GB2312"/>
          <w:color w:val="auto"/>
          <w:sz w:val="28"/>
          <w:szCs w:val="28"/>
          <w:highlight w:val="none"/>
        </w:rPr>
        <w:t>进度计划的具体要求：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关键路径及关键路径变化的确定原则：</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由承包人上报，经监理审核，发包人审定为准，若由于非发包人及非不可抗力因素而造成项目节点落后，承包人应做出充分说明，并提交书面整改报告</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承包人提交项目进度计划的份数和时间：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8.4.3 </w:t>
      </w:r>
      <w:r>
        <w:rPr>
          <w:rFonts w:hint="eastAsia" w:ascii="仿宋_GB2312" w:eastAsia="仿宋_GB2312"/>
          <w:color w:val="auto"/>
          <w:sz w:val="28"/>
          <w:szCs w:val="28"/>
          <w:highlight w:val="none"/>
        </w:rPr>
        <w:t>进度计划的修订</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承包人提交修订</w:t>
      </w:r>
      <w:r>
        <w:rPr>
          <w:rFonts w:ascii="仿宋_GB2312" w:eastAsia="仿宋_GB2312"/>
          <w:color w:val="auto"/>
          <w:sz w:val="28"/>
          <w:szCs w:val="28"/>
          <w:highlight w:val="none"/>
        </w:rPr>
        <w:t>项目进度计划</w:t>
      </w:r>
      <w:r>
        <w:rPr>
          <w:rFonts w:hint="eastAsia" w:ascii="仿宋_GB2312" w:eastAsia="仿宋_GB2312"/>
          <w:color w:val="auto"/>
          <w:sz w:val="28"/>
          <w:szCs w:val="28"/>
          <w:highlight w:val="none"/>
        </w:rPr>
        <w:t>申请报告的期限：</w:t>
      </w:r>
      <w:r>
        <w:rPr>
          <w:rFonts w:hint="eastAsia" w:ascii="仿宋_GB2312" w:eastAsia="仿宋_GB2312"/>
          <w:color w:val="auto"/>
          <w:sz w:val="28"/>
          <w:szCs w:val="28"/>
          <w:highlight w:val="none"/>
          <w:u w:val="single"/>
        </w:rPr>
        <w:t>按通用合同条件执行</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发包人批复修订</w:t>
      </w:r>
      <w:r>
        <w:rPr>
          <w:rFonts w:ascii="仿宋_GB2312" w:eastAsia="仿宋_GB2312"/>
          <w:color w:val="auto"/>
          <w:sz w:val="28"/>
          <w:szCs w:val="28"/>
          <w:highlight w:val="none"/>
        </w:rPr>
        <w:t>项目进度计划</w:t>
      </w:r>
      <w:r>
        <w:rPr>
          <w:rFonts w:hint="eastAsia" w:ascii="仿宋_GB2312" w:eastAsia="仿宋_GB2312"/>
          <w:color w:val="auto"/>
          <w:sz w:val="28"/>
          <w:szCs w:val="28"/>
          <w:highlight w:val="none"/>
        </w:rPr>
        <w:t>申请报告的期限：</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承包人答复发包人提出修订合同计划的期限：</w:t>
      </w:r>
      <w:r>
        <w:rPr>
          <w:rFonts w:hint="eastAsia" w:ascii="仿宋_GB2312" w:eastAsia="仿宋_GB2312"/>
          <w:color w:val="auto"/>
          <w:sz w:val="28"/>
          <w:szCs w:val="28"/>
          <w:highlight w:val="none"/>
          <w:u w:val="single"/>
        </w:rPr>
        <w:t>按通用合同条件执行</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8.5 </w:t>
      </w:r>
      <w:r>
        <w:rPr>
          <w:rFonts w:hint="eastAsia" w:ascii="黑体" w:hAnsi="黑体" w:eastAsia="黑体"/>
          <w:color w:val="auto"/>
          <w:sz w:val="28"/>
          <w:szCs w:val="28"/>
          <w:highlight w:val="none"/>
        </w:rPr>
        <w:t>进度报告</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进度报告的具体要求：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8.7 </w:t>
      </w:r>
      <w:r>
        <w:rPr>
          <w:rFonts w:hint="eastAsia" w:ascii="黑体" w:hAnsi="黑体" w:eastAsia="黑体"/>
          <w:color w:val="auto"/>
          <w:sz w:val="28"/>
          <w:szCs w:val="28"/>
          <w:highlight w:val="none"/>
        </w:rPr>
        <w:t>工期延误</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8.7.2 </w:t>
      </w:r>
      <w:r>
        <w:rPr>
          <w:rFonts w:hint="eastAsia" w:ascii="仿宋_GB2312" w:eastAsia="仿宋_GB2312"/>
          <w:color w:val="auto"/>
          <w:sz w:val="28"/>
          <w:szCs w:val="28"/>
          <w:highlight w:val="none"/>
        </w:rPr>
        <w:t>因承包人原因导致工期延误</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因承包人原因使竣工日期延误，每延误1日的误期赔偿金额为合同协议书的合同价格的</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万分之一</w:t>
      </w:r>
      <w:r>
        <w:rPr>
          <w:rFonts w:hint="eastAsia" w:ascii="仿宋_GB2312" w:eastAsia="仿宋_GB2312"/>
          <w:color w:val="auto"/>
          <w:sz w:val="28"/>
          <w:szCs w:val="28"/>
          <w:highlight w:val="none"/>
        </w:rPr>
        <w:t>累计最高赔偿金额为合同协议书的合同价格的：</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2</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因发包人原因造成的工期延误，工期可以顺延，但承包人不得以此为由向发包人提出任何形式的索赔或补偿。</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8.7.3 </w:t>
      </w:r>
      <w:r>
        <w:rPr>
          <w:rFonts w:hint="eastAsia" w:ascii="仿宋_GB2312" w:eastAsia="仿宋_GB2312"/>
          <w:color w:val="auto"/>
          <w:sz w:val="28"/>
          <w:szCs w:val="28"/>
          <w:highlight w:val="none"/>
        </w:rPr>
        <w:t>行政审批迟延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行政审批报送的职责分工：</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8.7.4 </w:t>
      </w:r>
      <w:r>
        <w:rPr>
          <w:rFonts w:hint="eastAsia" w:ascii="仿宋_GB2312" w:eastAsia="仿宋_GB2312"/>
          <w:color w:val="auto"/>
          <w:sz w:val="28"/>
          <w:szCs w:val="28"/>
          <w:highlight w:val="none"/>
        </w:rPr>
        <w:t>异常恶劣的气候条件</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双方约定视为异常恶劣的气候条件的情形：</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（1）12级以上持续24小时的大风（台风）；（2）24小时内持续降雨且降水量为200mm以上 ；（3）40摄氏度及以上且持续2天以上的高温天气</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以上恶劣天气造成的损失，发包人只承担因此造成的工期延误，其他损失由承包人自行承担。特殊情况另行协商。</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8.8 </w:t>
      </w:r>
      <w:r>
        <w:rPr>
          <w:rFonts w:hint="eastAsia" w:ascii="黑体" w:hAnsi="黑体" w:eastAsia="黑体"/>
          <w:color w:val="auto"/>
          <w:sz w:val="28"/>
          <w:szCs w:val="28"/>
          <w:highlight w:val="none"/>
        </w:rPr>
        <w:t>工期提前</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8.8.2 </w:t>
      </w:r>
      <w:r>
        <w:rPr>
          <w:rFonts w:hint="eastAsia" w:ascii="仿宋_GB2312" w:eastAsia="仿宋_GB2312"/>
          <w:color w:val="auto"/>
          <w:sz w:val="28"/>
          <w:szCs w:val="28"/>
          <w:highlight w:val="none"/>
        </w:rPr>
        <w:t>承包人提前竣工的奖励：</w:t>
      </w:r>
      <w:r>
        <w:rPr>
          <w:rFonts w:hint="eastAsia" w:ascii="仿宋_GB2312" w:eastAsia="仿宋_GB2312"/>
          <w:color w:val="auto"/>
          <w:sz w:val="28"/>
          <w:szCs w:val="28"/>
          <w:highlight w:val="none"/>
          <w:u w:val="single"/>
        </w:rPr>
        <w:t>不奖励</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197" w:name="_Toc14529"/>
      <w:bookmarkStart w:id="198" w:name="_Toc54862340"/>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9条</w:t>
      </w:r>
      <w:r>
        <w:rPr>
          <w:rFonts w:hint="eastAsia" w:ascii="黑体" w:hAnsi="黑体" w:eastAsia="黑体"/>
          <w:b w:val="0"/>
          <w:color w:val="auto"/>
          <w:sz w:val="28"/>
          <w:szCs w:val="28"/>
          <w:highlight w:val="none"/>
        </w:rPr>
        <w:t xml:space="preserve"> 竣工试验</w:t>
      </w:r>
      <w:bookmarkEnd w:id="197"/>
      <w:bookmarkEnd w:id="198"/>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9.1 </w:t>
      </w:r>
      <w:r>
        <w:rPr>
          <w:rFonts w:hint="eastAsia" w:ascii="黑体" w:hAnsi="黑体" w:eastAsia="黑体"/>
          <w:color w:val="auto"/>
          <w:sz w:val="28"/>
          <w:szCs w:val="28"/>
          <w:highlight w:val="none"/>
        </w:rPr>
        <w:t>竣工试验的义务</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9.1.3 </w:t>
      </w:r>
      <w:r>
        <w:rPr>
          <w:rFonts w:hint="eastAsia" w:ascii="仿宋_GB2312" w:eastAsia="仿宋_GB2312"/>
          <w:color w:val="auto"/>
          <w:sz w:val="28"/>
          <w:szCs w:val="28"/>
          <w:highlight w:val="none"/>
        </w:rPr>
        <w:t>竣工试验的阶段、内容和顺序：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竣工试验的操作要求：</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199" w:name="_Toc4784273"/>
      <w:bookmarkEnd w:id="199"/>
      <w:bookmarkStart w:id="200" w:name="_Toc4784272"/>
      <w:bookmarkEnd w:id="200"/>
      <w:bookmarkStart w:id="201" w:name="_Toc7341"/>
      <w:bookmarkStart w:id="202" w:name="_Toc54862341"/>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10条</w:t>
      </w:r>
      <w:r>
        <w:rPr>
          <w:rFonts w:hint="eastAsia" w:ascii="黑体" w:hAnsi="黑体" w:eastAsia="黑体"/>
          <w:b w:val="0"/>
          <w:color w:val="auto"/>
          <w:sz w:val="28"/>
          <w:szCs w:val="28"/>
          <w:highlight w:val="none"/>
        </w:rPr>
        <w:t xml:space="preserve"> 验收和工程接收</w:t>
      </w:r>
      <w:bookmarkEnd w:id="201"/>
      <w:bookmarkEnd w:id="202"/>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10.1 </w:t>
      </w:r>
      <w:r>
        <w:rPr>
          <w:rFonts w:hint="eastAsia" w:ascii="黑体" w:hAnsi="黑体" w:eastAsia="黑体"/>
          <w:color w:val="auto"/>
          <w:sz w:val="28"/>
          <w:szCs w:val="28"/>
          <w:highlight w:val="none"/>
        </w:rPr>
        <w:t>竣工验收</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10.1.2 </w:t>
      </w:r>
      <w:r>
        <w:rPr>
          <w:rFonts w:hint="eastAsia" w:ascii="仿宋_GB2312" w:eastAsia="仿宋_GB2312"/>
          <w:color w:val="auto"/>
          <w:sz w:val="28"/>
          <w:szCs w:val="28"/>
          <w:highlight w:val="none"/>
        </w:rPr>
        <w:t>关于竣工验收程序的约定：</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bookmarkStart w:id="203" w:name="_Hlk46406260"/>
      <w:r>
        <w:rPr>
          <w:rFonts w:hint="eastAsia" w:ascii="仿宋_GB2312" w:eastAsia="仿宋_GB2312"/>
          <w:color w:val="auto"/>
          <w:sz w:val="28"/>
          <w:szCs w:val="28"/>
          <w:highlight w:val="none"/>
        </w:rPr>
        <w:t>发包人不按照合同约定组织竣工验收、颁发工程接受证书的违约金的计算方式：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bookmarkEnd w:id="203"/>
    <w:p>
      <w:pPr>
        <w:ind w:firstLine="600"/>
        <w:rPr>
          <w:rFonts w:ascii="黑体" w:hAnsi="黑体" w:eastAsia="黑体"/>
          <w:color w:val="auto"/>
          <w:sz w:val="28"/>
          <w:szCs w:val="28"/>
          <w:highlight w:val="none"/>
        </w:rPr>
      </w:pPr>
      <w:r>
        <w:rPr>
          <w:rFonts w:ascii="黑体" w:hAnsi="黑体" w:eastAsia="黑体"/>
          <w:color w:val="auto"/>
          <w:sz w:val="28"/>
          <w:szCs w:val="28"/>
          <w:highlight w:val="none"/>
        </w:rPr>
        <w:t>10.3</w:t>
      </w:r>
      <w:r>
        <w:rPr>
          <w:rFonts w:ascii="黑体" w:hAnsi="黑体" w:eastAsia="黑体"/>
          <w:color w:val="auto"/>
          <w:sz w:val="28"/>
          <w:szCs w:val="28"/>
          <w:highlight w:val="none"/>
        </w:rPr>
        <w:tab/>
      </w:r>
      <w:r>
        <w:rPr>
          <w:rFonts w:ascii="黑体" w:hAnsi="黑体" w:eastAsia="黑体"/>
          <w:color w:val="auto"/>
          <w:sz w:val="28"/>
          <w:szCs w:val="28"/>
          <w:highlight w:val="none"/>
        </w:rPr>
        <w:t xml:space="preserve"> 工程的接收</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10.3.1</w:t>
      </w:r>
      <w:r>
        <w:rPr>
          <w:rFonts w:hint="eastAsia" w:ascii="仿宋_GB2312" w:eastAsia="仿宋_GB2312"/>
          <w:color w:val="auto"/>
          <w:sz w:val="28"/>
          <w:szCs w:val="28"/>
          <w:highlight w:val="none"/>
        </w:rPr>
        <w:t>工程接收的先后顺序、时间安排和其他要求：</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工程竣工验收合格后整体接收</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10.3.2 </w:t>
      </w:r>
      <w:r>
        <w:rPr>
          <w:rFonts w:hint="eastAsia" w:ascii="仿宋_GB2312" w:eastAsia="仿宋_GB2312"/>
          <w:color w:val="auto"/>
          <w:sz w:val="28"/>
          <w:szCs w:val="28"/>
          <w:highlight w:val="none"/>
        </w:rPr>
        <w:t>接受工程时承包人需提交竣工验收资料的类别、内容、份数和提交时间：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承包人负责整理和提交的竣工验收资料应当符合工程所在地建设行政主管部门和(或)城市建设档案管理机构有关施工资料的要求，并满足发包人的要求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10.3.3 </w:t>
      </w:r>
      <w:r>
        <w:rPr>
          <w:rFonts w:hint="eastAsia" w:ascii="仿宋_GB2312" w:eastAsia="仿宋_GB2312"/>
          <w:color w:val="auto"/>
          <w:sz w:val="28"/>
          <w:szCs w:val="28"/>
          <w:highlight w:val="none"/>
        </w:rPr>
        <w:t>发包人逾期接收工程的违约责任：</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10.3.4 </w:t>
      </w:r>
      <w:r>
        <w:rPr>
          <w:rFonts w:hint="eastAsia" w:ascii="仿宋_GB2312" w:eastAsia="仿宋_GB2312"/>
          <w:color w:val="auto"/>
          <w:sz w:val="28"/>
          <w:szCs w:val="28"/>
          <w:highlight w:val="none"/>
        </w:rPr>
        <w:t>承包人无正当理由不移交工程的违约责任：</w:t>
      </w:r>
      <w:r>
        <w:rPr>
          <w:rFonts w:hint="eastAsia" w:ascii="仿宋_GB2312" w:eastAsia="仿宋_GB2312"/>
          <w:color w:val="auto"/>
          <w:sz w:val="28"/>
          <w:szCs w:val="28"/>
          <w:highlight w:val="none"/>
          <w:u w:val="single"/>
        </w:rPr>
        <w:t>因非发包人原因未按时移交工程的，每延误一天扣罚承包人50000元的违约金，且因逾期移交工程而给发包人造成经济损失的，由承包人负责赔偿损失。</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10.4 </w:t>
      </w:r>
      <w:r>
        <w:rPr>
          <w:rFonts w:hint="eastAsia" w:ascii="黑体" w:hAnsi="黑体" w:eastAsia="黑体"/>
          <w:color w:val="auto"/>
          <w:sz w:val="28"/>
          <w:szCs w:val="28"/>
          <w:highlight w:val="none"/>
        </w:rPr>
        <w:t>接收证书</w:t>
      </w:r>
    </w:p>
    <w:p>
      <w:pPr>
        <w:ind w:firstLine="600"/>
        <w:rPr>
          <w:rFonts w:ascii="仿宋_GB2312" w:eastAsia="仿宋_GB2312"/>
          <w:color w:val="auto"/>
          <w:sz w:val="28"/>
          <w:szCs w:val="28"/>
          <w:highlight w:val="none"/>
          <w:u w:val="single"/>
        </w:rPr>
      </w:pPr>
      <w:r>
        <w:rPr>
          <w:rFonts w:ascii="仿宋_GB2312" w:eastAsia="仿宋_GB2312"/>
          <w:color w:val="auto"/>
          <w:sz w:val="28"/>
          <w:szCs w:val="28"/>
          <w:highlight w:val="none"/>
        </w:rPr>
        <w:t xml:space="preserve">10.4.1 </w:t>
      </w:r>
      <w:r>
        <w:rPr>
          <w:rFonts w:hint="eastAsia" w:ascii="仿宋_GB2312" w:eastAsia="仿宋_GB2312"/>
          <w:color w:val="auto"/>
          <w:sz w:val="28"/>
          <w:szCs w:val="28"/>
          <w:highlight w:val="none"/>
        </w:rPr>
        <w:t>工程接收证书颁发时间：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工程全部完工并通过各项验收已具备接收条件的，发包人在</w:t>
      </w:r>
      <w:r>
        <w:rPr>
          <w:rFonts w:ascii="仿宋_GB2312" w:eastAsia="仿宋_GB2312"/>
          <w:color w:val="auto"/>
          <w:sz w:val="28"/>
          <w:szCs w:val="28"/>
          <w:highlight w:val="none"/>
          <w:u w:val="single"/>
        </w:rPr>
        <w:t>7天内开具接收证书。若工程尚有扫尾工程未完成或存在影响交付使用的缺陷需要修</w:t>
      </w:r>
      <w:r>
        <w:rPr>
          <w:rFonts w:hint="eastAsia" w:ascii="仿宋_GB2312" w:eastAsia="仿宋_GB2312"/>
          <w:color w:val="auto"/>
          <w:sz w:val="28"/>
          <w:szCs w:val="28"/>
          <w:highlight w:val="none"/>
          <w:u w:val="single"/>
        </w:rPr>
        <w:t>复的，应当待扫尾工程完成并已将影响交付使用的缺陷问题修复完好通过复验，发包人方可开具接收证书。在正式移交及入住之前的保管费用以及偷盗损失均由承包人负责并承担，相关所需费用含在合同价内</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10.5 </w:t>
      </w:r>
      <w:r>
        <w:rPr>
          <w:rFonts w:hint="eastAsia" w:ascii="黑体" w:hAnsi="黑体" w:eastAsia="黑体"/>
          <w:color w:val="auto"/>
          <w:sz w:val="28"/>
          <w:szCs w:val="28"/>
          <w:highlight w:val="none"/>
        </w:rPr>
        <w:t>竣工退场</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10.5.1 </w:t>
      </w:r>
      <w:r>
        <w:rPr>
          <w:rFonts w:hint="eastAsia" w:ascii="仿宋_GB2312" w:eastAsia="仿宋_GB2312"/>
          <w:color w:val="auto"/>
          <w:sz w:val="28"/>
          <w:szCs w:val="28"/>
          <w:highlight w:val="none"/>
        </w:rPr>
        <w:t>竣工退场的相关约定：</w:t>
      </w:r>
      <w:r>
        <w:rPr>
          <w:rFonts w:hint="eastAsia" w:ascii="仿宋_GB2312" w:eastAsia="仿宋_GB2312"/>
          <w:color w:val="auto"/>
          <w:sz w:val="28"/>
          <w:szCs w:val="28"/>
          <w:highlight w:val="none"/>
          <w:u w:val="single"/>
        </w:rPr>
        <w:t>颁发工程接收证书后14天内。工程交付前要清除场地内的材料设备、临时设施、硬化地坪、施工机械的基础等，以及外运所有的建筑垃圾，所需费用承  包人自理。如逾期退场的，每逾期一日，应按20000元支付违约金。</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10.5.3</w:t>
      </w:r>
      <w:r>
        <w:rPr>
          <w:rFonts w:hint="eastAsia" w:ascii="仿宋_GB2312" w:eastAsia="仿宋_GB2312"/>
          <w:color w:val="auto"/>
          <w:sz w:val="28"/>
          <w:szCs w:val="28"/>
          <w:highlight w:val="none"/>
        </w:rPr>
        <w:t>人员撤离</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工程师同意需在缺陷责任期内继续工作和使用的人员、施工设备和临时工程的内容：</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204" w:name="_Toc54862342"/>
      <w:bookmarkStart w:id="205" w:name="_Toc13936"/>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11条</w:t>
      </w:r>
      <w:r>
        <w:rPr>
          <w:rFonts w:hint="eastAsia" w:ascii="黑体" w:hAnsi="黑体" w:eastAsia="黑体"/>
          <w:b w:val="0"/>
          <w:color w:val="auto"/>
          <w:sz w:val="28"/>
          <w:szCs w:val="28"/>
          <w:highlight w:val="none"/>
        </w:rPr>
        <w:t xml:space="preserve"> 缺陷责任与保修</w:t>
      </w:r>
      <w:bookmarkEnd w:id="204"/>
      <w:bookmarkEnd w:id="205"/>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11.2 </w:t>
      </w:r>
      <w:r>
        <w:rPr>
          <w:rFonts w:hint="eastAsia" w:ascii="黑体" w:hAnsi="黑体" w:eastAsia="黑体"/>
          <w:color w:val="auto"/>
          <w:sz w:val="28"/>
          <w:szCs w:val="28"/>
          <w:highlight w:val="none"/>
        </w:rPr>
        <w:t>缺陷责任期</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缺陷责任期的</w:t>
      </w:r>
      <w:r>
        <w:rPr>
          <w:rFonts w:hint="eastAsia" w:ascii="仿宋_GB2312" w:eastAsia="仿宋_GB2312"/>
          <w:color w:val="auto"/>
          <w:sz w:val="28"/>
          <w:szCs w:val="28"/>
          <w:highlight w:val="none"/>
        </w:rPr>
        <w:t>期限：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24个月</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11.3 </w:t>
      </w:r>
      <w:r>
        <w:rPr>
          <w:rFonts w:hint="eastAsia" w:ascii="黑体" w:hAnsi="黑体" w:eastAsia="黑体"/>
          <w:color w:val="auto"/>
          <w:sz w:val="28"/>
          <w:szCs w:val="28"/>
          <w:highlight w:val="none"/>
        </w:rPr>
        <w:t>缺陷调查</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11.3.4 </w:t>
      </w:r>
      <w:r>
        <w:rPr>
          <w:rFonts w:hint="eastAsia" w:ascii="仿宋_GB2312" w:eastAsia="仿宋_GB2312"/>
          <w:color w:val="auto"/>
          <w:sz w:val="28"/>
          <w:szCs w:val="28"/>
          <w:highlight w:val="none"/>
        </w:rPr>
        <w:t>修复通知</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承包人收到保修通知并到达工程现场的合理时间：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24小时内</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11.6 </w:t>
      </w:r>
      <w:r>
        <w:rPr>
          <w:rFonts w:hint="eastAsia" w:ascii="黑体" w:hAnsi="黑体" w:eastAsia="黑体"/>
          <w:color w:val="auto"/>
          <w:sz w:val="28"/>
          <w:szCs w:val="28"/>
          <w:highlight w:val="none"/>
        </w:rPr>
        <w:t>缺陷责任期终止证书</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承包人应于缺陷责任期届满后</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7</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天内向发包人发出缺陷责任期届满通知，发包人应在收到缺陷责任期满通知后</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7</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天内核实承包人是否履行缺陷修复义务，承包人未能履行缺陷修复义务的，发包人有权扣除相应金额的维修费用。发包人应在收到缺陷责任期届满通知后</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7</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天内，向承包人颁发缺陷责任期终止证书。</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11.7 </w:t>
      </w:r>
      <w:r>
        <w:rPr>
          <w:rFonts w:hint="eastAsia" w:ascii="黑体" w:hAnsi="黑体" w:eastAsia="黑体"/>
          <w:color w:val="auto"/>
          <w:sz w:val="28"/>
          <w:szCs w:val="28"/>
          <w:highlight w:val="none"/>
        </w:rPr>
        <w:t>保修责任</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工程质量保修范围、期限和责任</w:t>
      </w:r>
      <w:r>
        <w:rPr>
          <w:rFonts w:ascii="仿宋_GB2312" w:eastAsia="仿宋_GB2312"/>
          <w:color w:val="auto"/>
          <w:sz w:val="28"/>
          <w:szCs w:val="28"/>
          <w:highlight w:val="none"/>
        </w:rPr>
        <w:t>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详见《工程质量保修书》</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1）属于保修范围、内容的项目，承包人应当在接到保修通知之日起24小时内派人保修。承包人不在约定期限内派人保修的，发包人可以委托他人修理，相关费用由承包人承担。</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2）发生紧急抢修事故的，承包人在接到事故通知后，应当立即到达事故现场抢修。</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凡安装调试、设备试运转过程中发现的设备质量问题，承包人必须无偿返工直至符合质量要求。返工修复二次达不到承诺要求的，更换新机。承包人承担返工发生的一切费用和发包人的直接经济损失，承包人在接到发包人通知后，24小时内派人赴现场处理质量问题。</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5）质量保修完成后，由发包人组织验收。</w:t>
      </w:r>
    </w:p>
    <w:p>
      <w:pPr>
        <w:pStyle w:val="2"/>
        <w:ind w:firstLine="0" w:firstLineChars="0"/>
        <w:rPr>
          <w:color w:val="auto"/>
          <w:sz w:val="28"/>
          <w:szCs w:val="28"/>
          <w:highlight w:val="none"/>
        </w:rPr>
      </w:pPr>
    </w:p>
    <w:p>
      <w:pPr>
        <w:pStyle w:val="39"/>
        <w:outlineLvl w:val="2"/>
        <w:rPr>
          <w:rFonts w:ascii="黑体" w:hAnsi="黑体" w:eastAsia="黑体"/>
          <w:b w:val="0"/>
          <w:color w:val="auto"/>
          <w:sz w:val="28"/>
          <w:szCs w:val="28"/>
          <w:highlight w:val="none"/>
        </w:rPr>
      </w:pPr>
      <w:bookmarkStart w:id="206" w:name="_Toc54862343"/>
      <w:bookmarkStart w:id="207" w:name="_Toc31170"/>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12条</w:t>
      </w:r>
      <w:r>
        <w:rPr>
          <w:rFonts w:hint="eastAsia" w:ascii="黑体" w:hAnsi="黑体" w:eastAsia="黑体"/>
          <w:b w:val="0"/>
          <w:color w:val="auto"/>
          <w:sz w:val="28"/>
          <w:szCs w:val="28"/>
          <w:highlight w:val="none"/>
        </w:rPr>
        <w:t xml:space="preserve"> 竣工后试验</w:t>
      </w:r>
      <w:bookmarkEnd w:id="206"/>
      <w:bookmarkEnd w:id="207"/>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本合同工程是否包含竣工后试验：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是</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12.1 </w:t>
      </w:r>
      <w:r>
        <w:rPr>
          <w:rFonts w:hint="eastAsia" w:ascii="黑体" w:hAnsi="黑体" w:eastAsia="黑体"/>
          <w:color w:val="auto"/>
          <w:sz w:val="28"/>
          <w:szCs w:val="28"/>
          <w:highlight w:val="none"/>
        </w:rPr>
        <w:t>竣工后试验的程序</w:t>
      </w:r>
    </w:p>
    <w:p>
      <w:pPr>
        <w:ind w:firstLine="600"/>
        <w:rPr>
          <w:rFonts w:ascii="仿宋_GB2312" w:eastAsia="仿宋_GB2312"/>
          <w:color w:val="auto"/>
          <w:sz w:val="28"/>
          <w:szCs w:val="28"/>
          <w:highlight w:val="none"/>
          <w:u w:val="single"/>
        </w:rPr>
      </w:pPr>
      <w:r>
        <w:rPr>
          <w:rFonts w:ascii="仿宋_GB2312" w:eastAsia="仿宋_GB2312"/>
          <w:color w:val="auto"/>
          <w:sz w:val="28"/>
          <w:szCs w:val="28"/>
          <w:highlight w:val="none"/>
        </w:rPr>
        <w:t xml:space="preserve">12.1.2 </w:t>
      </w:r>
      <w:r>
        <w:rPr>
          <w:rFonts w:hint="eastAsia" w:ascii="仿宋_GB2312" w:eastAsia="仿宋_GB2312"/>
          <w:color w:val="auto"/>
          <w:sz w:val="28"/>
          <w:szCs w:val="28"/>
          <w:highlight w:val="none"/>
        </w:rPr>
        <w:t>竣工后试验全部电力、水、污水处理、燃料、消耗品和材料，以及全部其他仪器、协助、文件或其他信息、设备、工具、劳力，启动工程设备，并组织安排有适当资质、经验和能力的工作人员等必要条件的提供方：</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由承包人提供并承担相应费用，试运行期间出现的质量问题由承包人免费维修</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208" w:name="_Toc6759"/>
      <w:bookmarkStart w:id="209" w:name="_Toc54862344"/>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13条</w:t>
      </w:r>
      <w:r>
        <w:rPr>
          <w:rFonts w:hint="eastAsia" w:ascii="黑体" w:hAnsi="黑体" w:eastAsia="黑体"/>
          <w:b w:val="0"/>
          <w:color w:val="auto"/>
          <w:sz w:val="28"/>
          <w:szCs w:val="28"/>
          <w:highlight w:val="none"/>
        </w:rPr>
        <w:t xml:space="preserve"> 变更与调整</w:t>
      </w:r>
      <w:bookmarkEnd w:id="208"/>
      <w:bookmarkEnd w:id="209"/>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13.2 </w:t>
      </w:r>
      <w:r>
        <w:rPr>
          <w:rFonts w:hint="eastAsia" w:ascii="黑体" w:hAnsi="黑体" w:eastAsia="黑体"/>
          <w:color w:val="auto"/>
          <w:sz w:val="28"/>
          <w:szCs w:val="28"/>
          <w:highlight w:val="none"/>
        </w:rPr>
        <w:t>承包人的合理化建议</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13.2.2 </w:t>
      </w:r>
      <w:r>
        <w:rPr>
          <w:rFonts w:hint="eastAsia" w:ascii="仿宋_GB2312" w:eastAsia="仿宋_GB2312"/>
          <w:color w:val="auto"/>
          <w:sz w:val="28"/>
          <w:szCs w:val="28"/>
          <w:highlight w:val="none"/>
        </w:rPr>
        <w:t>工程师应在收到承包人提交的合理化建议后</w:t>
      </w:r>
      <w:r>
        <w:rPr>
          <w:rFonts w:hint="eastAsia" w:ascii="仿宋_GB2312" w:eastAsia="仿宋_GB2312"/>
          <w:color w:val="auto"/>
          <w:sz w:val="28"/>
          <w:szCs w:val="28"/>
          <w:highlight w:val="none"/>
          <w:u w:val="single"/>
        </w:rPr>
        <w:t xml:space="preserve"> 7 </w:t>
      </w:r>
      <w:r>
        <w:rPr>
          <w:rFonts w:hint="eastAsia" w:ascii="仿宋_GB2312" w:eastAsia="仿宋_GB2312"/>
          <w:color w:val="auto"/>
          <w:sz w:val="28"/>
          <w:szCs w:val="28"/>
          <w:highlight w:val="none"/>
        </w:rPr>
        <w:t>日内审查完毕并报送发包人，发现其中存在技术上的缺陷，应通知承包人修改。发包人应在收到工程师报送的合理化建议后</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7</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日内审批完毕。合理化建议经发包人批准的，工程师应及时发出变更指示，由此引起的合同价格调整按照</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u w:val="single"/>
        </w:rPr>
        <w:t>13.3.3 变更估价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执行。发包人不同意变更的，工程师应书面通知承包人</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13.2.3 承包人提出的</w:t>
      </w:r>
      <w:r>
        <w:rPr>
          <w:rFonts w:hint="eastAsia" w:ascii="仿宋_GB2312" w:eastAsia="仿宋_GB2312"/>
          <w:color w:val="auto"/>
          <w:sz w:val="28"/>
          <w:szCs w:val="28"/>
          <w:highlight w:val="none"/>
        </w:rPr>
        <w:t>合理化变更</w:t>
      </w:r>
      <w:r>
        <w:rPr>
          <w:rFonts w:ascii="仿宋_GB2312" w:eastAsia="仿宋_GB2312"/>
          <w:color w:val="auto"/>
          <w:sz w:val="28"/>
          <w:szCs w:val="28"/>
          <w:highlight w:val="none"/>
        </w:rPr>
        <w:t>建议的</w:t>
      </w:r>
      <w:r>
        <w:rPr>
          <w:rFonts w:hint="eastAsia" w:ascii="仿宋_GB2312" w:eastAsia="仿宋_GB2312"/>
          <w:color w:val="auto"/>
          <w:sz w:val="28"/>
          <w:szCs w:val="28"/>
          <w:highlight w:val="none"/>
        </w:rPr>
        <w:t>利益分享约定</w:t>
      </w:r>
      <w:r>
        <w:rPr>
          <w:rFonts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无</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13.3 </w:t>
      </w:r>
      <w:r>
        <w:rPr>
          <w:rFonts w:hint="eastAsia" w:ascii="黑体" w:hAnsi="黑体" w:eastAsia="黑体"/>
          <w:color w:val="auto"/>
          <w:sz w:val="28"/>
          <w:szCs w:val="28"/>
          <w:highlight w:val="none"/>
        </w:rPr>
        <w:t>变更程序</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13.3.3 变更估价</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13.3.3.1 变更估价原则</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关于变更估价原则的约定：</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u w:val="single"/>
        </w:rPr>
        <w:t>因发包人原因造成并由发包人发出的书面变更指令，属于工程变更。发包人的变更通过监理人下达承包人。因工程使用要求，发包人对经审查通过的施工图或施工方案进行变更的，应在该项工程施工前7天通知承包人。承包人已经施工的工程，发包人变更设计应及时通知承包人，承包人在接到通知后立即停止施工，因此造成的承包人损失由双方协调解决。由于发包人要求的设计变更造成承包人返工需要的全部追加合同价款和相应损失均由发包人承担，并相应顺延工期。承包人对自身设计、采购、施工、竣工试验、竣工后试验存在的缺陷，应自费修正、调整和完善，不属于变更。施工图图审通过并经发包人、监理、跟踪审计单位、承包人图纸会审确定后，承包人对施工图纸进行完善、调整的，不属于变更。上述修改，承包人需报送监理人及发包人，经发包人同意后方可实施。承包人提交的经相关部门审查通过和发包人确认的施工图，作为施工和最终结算的依据。施工图设计中应考虑而实际未考虑的但直接影响使用功能的细部工程和因承包人原因产生的变更联系单均不得增加造价和工期。承包人应完成施工图设计范围内的全部工程。因承包人原因导致工程量增加的，发包人将不另行增加合同价款，如有减少作相应扣减合同价款。</w:t>
      </w:r>
    </w:p>
    <w:p>
      <w:pPr>
        <w:ind w:firstLine="600"/>
        <w:rPr>
          <w:rFonts w:hint="eastAsia" w:ascii="仿宋_GB2312"/>
          <w:color w:val="auto"/>
          <w:sz w:val="28"/>
          <w:szCs w:val="28"/>
          <w:highlight w:val="none"/>
          <w:u w:val="single"/>
        </w:rPr>
      </w:pPr>
      <w:r>
        <w:rPr>
          <w:rFonts w:hint="eastAsia" w:ascii="仿宋_GB2312" w:eastAsia="仿宋_GB2312"/>
          <w:color w:val="auto"/>
          <w:sz w:val="28"/>
          <w:szCs w:val="28"/>
          <w:highlight w:val="none"/>
          <w:u w:val="single"/>
        </w:rPr>
        <w:t>2、变更部分建安工程费结算办法（同合同14.1.1 条款中第（7）条施工图预算价编制口径</w:t>
      </w:r>
      <w:r>
        <w:rPr>
          <w:rFonts w:hint="eastAsia"/>
          <w:color w:val="auto"/>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13.4 </w:t>
      </w:r>
      <w:r>
        <w:rPr>
          <w:rFonts w:hint="eastAsia" w:ascii="黑体" w:hAnsi="黑体" w:eastAsia="黑体"/>
          <w:color w:val="auto"/>
          <w:sz w:val="28"/>
          <w:szCs w:val="28"/>
          <w:highlight w:val="none"/>
        </w:rPr>
        <w:t>暂估价</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13.4.1 </w:t>
      </w:r>
      <w:r>
        <w:rPr>
          <w:rFonts w:hint="eastAsia" w:ascii="仿宋_GB2312" w:eastAsia="仿宋_GB2312"/>
          <w:color w:val="auto"/>
          <w:sz w:val="28"/>
          <w:szCs w:val="28"/>
          <w:highlight w:val="none"/>
        </w:rPr>
        <w:t>依法必须招标的暂估价项目</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承包人可以参与投标的暂估价项目范围：</w:t>
      </w:r>
      <w:r>
        <w:rPr>
          <w:rFonts w:hint="eastAsia" w:ascii="仿宋_GB2312" w:eastAsia="仿宋_GB2312"/>
          <w:color w:val="auto"/>
          <w:sz w:val="28"/>
          <w:szCs w:val="28"/>
          <w:highlight w:val="none"/>
          <w:u w:val="single"/>
        </w:rPr>
        <w:t>/</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承包人不得参与投标的暂估价项目范围：</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招投标程序及其他约定：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由发包人组织实施</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13.4.2 </w:t>
      </w:r>
      <w:r>
        <w:rPr>
          <w:rFonts w:hint="eastAsia" w:ascii="仿宋_GB2312" w:eastAsia="仿宋_GB2312"/>
          <w:color w:val="auto"/>
          <w:sz w:val="28"/>
          <w:szCs w:val="28"/>
          <w:highlight w:val="none"/>
        </w:rPr>
        <w:t>不属于依法必须招标的暂估价项目</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不属于依法必须招标的暂估价项目的协商及估价的约定：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13.5 </w:t>
      </w:r>
      <w:r>
        <w:rPr>
          <w:rFonts w:hint="eastAsia" w:ascii="黑体" w:hAnsi="黑体" w:eastAsia="黑体"/>
          <w:color w:val="auto"/>
          <w:sz w:val="28"/>
          <w:szCs w:val="28"/>
          <w:highlight w:val="none"/>
        </w:rPr>
        <w:t>暂列金额</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其他关于暂列金额使用的约定：</w:t>
      </w:r>
      <w:r>
        <w:rPr>
          <w:rFonts w:ascii="仿宋_GB2312" w:eastAsia="仿宋_GB2312"/>
          <w:color w:val="auto"/>
          <w:sz w:val="28"/>
          <w:szCs w:val="28"/>
          <w:highlight w:val="none"/>
          <w:u w:val="single"/>
        </w:rPr>
        <w:t xml:space="preserve"> 1、标化工地增加费：根据实际创建等级按照</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浙江省建设工程计价规则（2018）版</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的80%</w:t>
      </w:r>
      <w:r>
        <w:rPr>
          <w:rFonts w:hint="eastAsia" w:ascii="仿宋_GB2312" w:eastAsia="仿宋_GB2312"/>
          <w:color w:val="auto"/>
          <w:sz w:val="28"/>
          <w:szCs w:val="28"/>
          <w:highlight w:val="none"/>
          <w:u w:val="single"/>
        </w:rPr>
        <w:t>计取，同时按投标报价同比让利</w:t>
      </w:r>
      <w:r>
        <w:rPr>
          <w:rFonts w:ascii="仿宋_GB2312" w:eastAsia="仿宋_GB2312"/>
          <w:color w:val="auto"/>
          <w:sz w:val="28"/>
          <w:szCs w:val="28"/>
          <w:highlight w:val="none"/>
          <w:u w:val="single"/>
        </w:rPr>
        <w:t xml:space="preserve"> ；</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u w:val="single"/>
        </w:rPr>
        <w:t>2、优质工程增加费</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不计</w:t>
      </w:r>
      <w:r>
        <w:rPr>
          <w:rFonts w:hint="eastAsia" w:ascii="仿宋_GB2312" w:eastAsia="仿宋_GB2312"/>
          <w:color w:val="auto"/>
          <w:sz w:val="28"/>
          <w:szCs w:val="28"/>
          <w:highlight w:val="none"/>
          <w:u w:val="single"/>
        </w:rPr>
        <w:t>取</w:t>
      </w:r>
      <w:r>
        <w:rPr>
          <w:rFonts w:ascii="仿宋_GB2312" w:eastAsia="仿宋_GB2312"/>
          <w:color w:val="auto"/>
          <w:sz w:val="28"/>
          <w:szCs w:val="28"/>
          <w:highlight w:val="none"/>
          <w:u w:val="single"/>
        </w:rPr>
        <w:t xml:space="preserve"> ；</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13.8 </w:t>
      </w:r>
      <w:r>
        <w:rPr>
          <w:rFonts w:hint="eastAsia" w:ascii="黑体" w:hAnsi="黑体" w:eastAsia="黑体"/>
          <w:color w:val="auto"/>
          <w:sz w:val="28"/>
          <w:szCs w:val="28"/>
          <w:highlight w:val="none"/>
        </w:rPr>
        <w:t>市场价格波动引起的调整</w:t>
      </w:r>
    </w:p>
    <w:p>
      <w:pPr>
        <w:spacing w:line="360" w:lineRule="auto"/>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3.8.2 </w:t>
      </w:r>
      <w:r>
        <w:rPr>
          <w:rFonts w:hint="eastAsia" w:ascii="仿宋_GB2312" w:eastAsia="仿宋_GB2312"/>
          <w:color w:val="auto"/>
          <w:sz w:val="28"/>
          <w:szCs w:val="28"/>
          <w:highlight w:val="none"/>
        </w:rPr>
        <w:t>关于是否采用《价格指数权重表》的约定：</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w:t>
      </w:r>
    </w:p>
    <w:p>
      <w:pPr>
        <w:spacing w:line="360" w:lineRule="auto"/>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3.8.3 </w:t>
      </w:r>
      <w:r>
        <w:rPr>
          <w:rFonts w:hint="eastAsia" w:ascii="仿宋_GB2312" w:eastAsia="仿宋_GB2312"/>
          <w:color w:val="auto"/>
          <w:sz w:val="28"/>
          <w:szCs w:val="28"/>
          <w:highlight w:val="none"/>
        </w:rPr>
        <w:t>关于采用其他方式调整合同价款的约定：</w:t>
      </w:r>
      <w:r>
        <w:rPr>
          <w:rFonts w:hint="eastAsia" w:ascii="仿宋_GB2312" w:eastAsia="仿宋_GB2312"/>
          <w:color w:val="auto"/>
          <w:sz w:val="28"/>
          <w:szCs w:val="28"/>
          <w:highlight w:val="none"/>
          <w:u w:val="single"/>
        </w:rPr>
        <w:t>部分材料和人工。</w:t>
      </w:r>
    </w:p>
    <w:p>
      <w:pPr>
        <w:ind w:firstLine="600"/>
        <w:rPr>
          <w:rFonts w:hint="eastAsia" w:ascii="仿宋_GB2312" w:eastAsia="仿宋_GB2312"/>
          <w:color w:val="auto"/>
          <w:sz w:val="28"/>
          <w:szCs w:val="28"/>
          <w:highlight w:val="none"/>
          <w:u w:val="single"/>
        </w:rPr>
      </w:pPr>
      <w:r>
        <w:rPr>
          <w:rFonts w:hint="eastAsia" w:ascii="黑体" w:hAnsi="黑体" w:eastAsia="黑体"/>
          <w:color w:val="auto"/>
          <w:sz w:val="28"/>
          <w:szCs w:val="28"/>
          <w:highlight w:val="none"/>
        </w:rPr>
        <w:t>￭材料：</w:t>
      </w:r>
      <w:r>
        <w:rPr>
          <w:rFonts w:hint="eastAsia" w:ascii="仿宋_GB2312" w:eastAsia="仿宋_GB2312"/>
          <w:color w:val="auto"/>
          <w:sz w:val="28"/>
          <w:szCs w:val="28"/>
          <w:highlight w:val="none"/>
          <w:u w:val="single"/>
        </w:rPr>
        <w:t>本工程市场</w:t>
      </w:r>
      <w:r>
        <w:rPr>
          <w:rFonts w:hint="eastAsia" w:ascii="宋体" w:hAnsi="宋体" w:cs="宋体"/>
          <w:color w:val="auto"/>
          <w:sz w:val="28"/>
          <w:szCs w:val="28"/>
          <w:highlight w:val="none"/>
          <w:u w:val="single"/>
        </w:rPr>
        <w:t>波动</w:t>
      </w:r>
      <w:r>
        <w:rPr>
          <w:rFonts w:hint="eastAsia" w:ascii="仿宋_GB2312" w:eastAsia="仿宋_GB2312"/>
          <w:color w:val="auto"/>
          <w:sz w:val="28"/>
          <w:szCs w:val="28"/>
          <w:highlight w:val="none"/>
          <w:u w:val="single"/>
        </w:rPr>
        <w:t>可调工程材料为：</w:t>
      </w:r>
      <w:r>
        <w:rPr>
          <w:rFonts w:hint="eastAsia" w:ascii="仿宋_GB2312" w:hAnsi="Calibri" w:eastAsia="仿宋_GB2312" w:cs="Times New Roman"/>
          <w:color w:val="auto"/>
          <w:sz w:val="28"/>
          <w:szCs w:val="28"/>
          <w:highlight w:val="none"/>
          <w:u w:val="single"/>
        </w:rPr>
        <w:t>钢</w:t>
      </w:r>
      <w:r>
        <w:rPr>
          <w:rFonts w:hint="eastAsia" w:ascii="仿宋_GB2312" w:eastAsia="仿宋_GB2312"/>
          <w:color w:val="auto"/>
          <w:sz w:val="28"/>
          <w:szCs w:val="28"/>
          <w:highlight w:val="none"/>
          <w:u w:val="single"/>
        </w:rPr>
        <w:t>材、水</w:t>
      </w:r>
      <w:r>
        <w:rPr>
          <w:rFonts w:hint="eastAsia" w:ascii="仿宋_GB2312" w:hAnsi="Calibri" w:eastAsia="仿宋_GB2312" w:cs="Times New Roman"/>
          <w:color w:val="auto"/>
          <w:sz w:val="28"/>
          <w:szCs w:val="28"/>
          <w:highlight w:val="none"/>
          <w:u w:val="single"/>
        </w:rPr>
        <w:t>泥</w:t>
      </w:r>
      <w:r>
        <w:rPr>
          <w:rFonts w:hint="eastAsia" w:ascii="仿宋_GB2312" w:eastAsia="仿宋_GB2312"/>
          <w:color w:val="auto"/>
          <w:sz w:val="28"/>
          <w:szCs w:val="28"/>
          <w:highlight w:val="none"/>
          <w:u w:val="single"/>
        </w:rPr>
        <w:t>、商品混凝土、预</w:t>
      </w:r>
      <w:r>
        <w:rPr>
          <w:rFonts w:hint="eastAsia" w:ascii="仿宋_GB2312" w:hAnsi="Calibri" w:eastAsia="仿宋_GB2312" w:cs="Times New Roman"/>
          <w:color w:val="auto"/>
          <w:sz w:val="28"/>
          <w:szCs w:val="28"/>
          <w:highlight w:val="none"/>
          <w:u w:val="single"/>
        </w:rPr>
        <w:t>拌砂浆</w:t>
      </w:r>
      <w:r>
        <w:rPr>
          <w:rFonts w:hint="eastAsia" w:ascii="仿宋_GB2312" w:hAnsi="Calibri" w:eastAsia="仿宋_GB2312" w:cs="Times New Roman"/>
          <w:color w:val="auto"/>
          <w:sz w:val="28"/>
          <w:szCs w:val="28"/>
          <w:highlight w:val="none"/>
          <w:u w:val="single"/>
          <w:lang w:eastAsia="zh-CN"/>
        </w:rPr>
        <w:t>、</w:t>
      </w:r>
      <w:r>
        <w:rPr>
          <w:rFonts w:hint="eastAsia" w:ascii="仿宋_GB2312" w:hAnsi="Calibri" w:eastAsia="仿宋_GB2312" w:cs="Times New Roman"/>
          <w:color w:val="auto"/>
          <w:sz w:val="28"/>
          <w:szCs w:val="28"/>
          <w:highlight w:val="none"/>
          <w:u w:val="single"/>
        </w:rPr>
        <w:t>砌体、PC、铝合金型材、电线电缆、沥青混凝土</w:t>
      </w:r>
      <w:r>
        <w:rPr>
          <w:rFonts w:hint="eastAsia" w:ascii="仿宋_GB2312" w:eastAsia="仿宋_GB2312"/>
          <w:color w:val="auto"/>
          <w:sz w:val="28"/>
          <w:szCs w:val="28"/>
          <w:highlight w:val="none"/>
          <w:u w:val="single"/>
        </w:rPr>
        <w:t>。 材料价款动</w:t>
      </w:r>
      <w:r>
        <w:rPr>
          <w:rFonts w:hint="eastAsia" w:ascii="宋体" w:hAnsi="宋体" w:cs="宋体"/>
          <w:color w:val="auto"/>
          <w:sz w:val="28"/>
          <w:szCs w:val="28"/>
          <w:highlight w:val="none"/>
          <w:u w:val="single"/>
        </w:rPr>
        <w:t>态</w:t>
      </w:r>
      <w:r>
        <w:rPr>
          <w:rFonts w:hint="eastAsia" w:ascii="仿宋_GB2312" w:eastAsia="仿宋_GB2312"/>
          <w:color w:val="auto"/>
          <w:sz w:val="28"/>
          <w:szCs w:val="28"/>
          <w:highlight w:val="none"/>
          <w:u w:val="single"/>
        </w:rPr>
        <w:t>调整结算方式采用竣工后一次性结算调价。价差只计取税金</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合同工期内月份的计算按照日历月份计，遇有小数即进位取整数。风险</w:t>
      </w:r>
      <w:r>
        <w:rPr>
          <w:rFonts w:hint="eastAsia" w:ascii="宋体" w:hAnsi="宋体" w:cs="宋体"/>
          <w:color w:val="auto"/>
          <w:sz w:val="28"/>
          <w:szCs w:val="28"/>
          <w:highlight w:val="none"/>
          <w:u w:val="single"/>
        </w:rPr>
        <w:t>幅</w:t>
      </w:r>
      <w:r>
        <w:rPr>
          <w:rFonts w:hint="eastAsia" w:ascii="仿宋_GB2312" w:eastAsia="仿宋_GB2312"/>
          <w:color w:val="auto"/>
          <w:sz w:val="28"/>
          <w:szCs w:val="28"/>
          <w:highlight w:val="none"/>
          <w:u w:val="single"/>
        </w:rPr>
        <w:t xml:space="preserve">度以外材料价差计算公式如 下：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①当单种规格材料价格上涨超过约定的风险</w:t>
      </w:r>
      <w:r>
        <w:rPr>
          <w:rFonts w:hint="eastAsia" w:ascii="宋体" w:hAnsi="宋体" w:cs="宋体"/>
          <w:color w:val="auto"/>
          <w:sz w:val="28"/>
          <w:szCs w:val="28"/>
          <w:highlight w:val="none"/>
          <w:u w:val="single"/>
        </w:rPr>
        <w:t>幅</w:t>
      </w:r>
      <w:r>
        <w:rPr>
          <w:rFonts w:hint="eastAsia" w:ascii="仿宋_GB2312" w:eastAsia="仿宋_GB2312"/>
          <w:color w:val="auto"/>
          <w:sz w:val="28"/>
          <w:szCs w:val="28"/>
          <w:highlight w:val="none"/>
          <w:u w:val="single"/>
        </w:rPr>
        <w:t xml:space="preserve">度时，材料差价（正值）=〔合同工期内各月份信息价算术平均值-编制期信息价×（1+风险幅度）〕×单种规格材料用量×（工程费用中标价/工程费用招标控制价）。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②当单种规格材料价格下</w:t>
      </w:r>
      <w:r>
        <w:rPr>
          <w:rFonts w:hint="eastAsia" w:ascii="宋体" w:hAnsi="宋体" w:cs="宋体"/>
          <w:color w:val="auto"/>
          <w:sz w:val="28"/>
          <w:szCs w:val="28"/>
          <w:highlight w:val="none"/>
          <w:u w:val="single"/>
        </w:rPr>
        <w:t>跌</w:t>
      </w:r>
      <w:r>
        <w:rPr>
          <w:rFonts w:hint="eastAsia" w:ascii="仿宋_GB2312" w:eastAsia="仿宋_GB2312"/>
          <w:color w:val="auto"/>
          <w:sz w:val="28"/>
          <w:szCs w:val="28"/>
          <w:highlight w:val="none"/>
          <w:u w:val="single"/>
        </w:rPr>
        <w:t>超过约定的风险</w:t>
      </w:r>
      <w:r>
        <w:rPr>
          <w:rFonts w:hint="eastAsia" w:ascii="宋体" w:hAnsi="宋体" w:cs="宋体"/>
          <w:color w:val="auto"/>
          <w:sz w:val="28"/>
          <w:szCs w:val="28"/>
          <w:highlight w:val="none"/>
          <w:u w:val="single"/>
        </w:rPr>
        <w:t>幅</w:t>
      </w:r>
      <w:r>
        <w:rPr>
          <w:rFonts w:hint="eastAsia" w:ascii="仿宋_GB2312" w:eastAsia="仿宋_GB2312"/>
          <w:color w:val="auto"/>
          <w:sz w:val="28"/>
          <w:szCs w:val="28"/>
          <w:highlight w:val="none"/>
          <w:u w:val="single"/>
        </w:rPr>
        <w:t>度时，材料差价（负值）=〔合同工期内各月份信息价算术平均值-编制期信息价×（1-风险幅度)〕×单种规格材料用量×（工程费用中标价/工程费用招标控制价）。 本工程的“编制期信息价”，是指本项目投标截止日前28日历天所在月份的湖州市造价信息 正刊发布的当期信息价。</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本工程的单种规格材料价格风险</w:t>
      </w:r>
      <w:r>
        <w:rPr>
          <w:rFonts w:hint="eastAsia" w:ascii="宋体" w:hAnsi="宋体" w:cs="宋体"/>
          <w:color w:val="auto"/>
          <w:sz w:val="28"/>
          <w:szCs w:val="28"/>
          <w:highlight w:val="none"/>
          <w:u w:val="single"/>
        </w:rPr>
        <w:t>幅</w:t>
      </w:r>
      <w:r>
        <w:rPr>
          <w:rFonts w:hint="eastAsia" w:ascii="仿宋_GB2312" w:eastAsia="仿宋_GB2312"/>
          <w:color w:val="auto"/>
          <w:sz w:val="28"/>
          <w:szCs w:val="28"/>
          <w:highlight w:val="none"/>
          <w:u w:val="single"/>
        </w:rPr>
        <w:t xml:space="preserve">度为5%。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按上述办法计算的材料价差款，待结算办理完毕与工程结算款一并支付。 </w:t>
      </w:r>
    </w:p>
    <w:p>
      <w:pPr>
        <w:ind w:firstLine="600"/>
        <w:rPr>
          <w:rFonts w:hint="eastAsia" w:ascii="仿宋_GB2312" w:eastAsia="仿宋_GB2312"/>
          <w:color w:val="auto"/>
          <w:sz w:val="28"/>
          <w:szCs w:val="28"/>
          <w:highlight w:val="none"/>
          <w:u w:val="single"/>
        </w:rPr>
      </w:pPr>
      <w:r>
        <w:rPr>
          <w:rFonts w:hint="eastAsia" w:ascii="黑体" w:hAnsi="黑体" w:eastAsia="黑体"/>
          <w:b/>
          <w:bCs/>
          <w:color w:val="auto"/>
          <w:sz w:val="28"/>
          <w:szCs w:val="28"/>
          <w:highlight w:val="none"/>
        </w:rPr>
        <w:t>￭</w:t>
      </w:r>
      <w:r>
        <w:rPr>
          <w:rFonts w:hint="eastAsia" w:ascii="仿宋_GB2312" w:eastAsia="仿宋_GB2312"/>
          <w:b/>
          <w:bCs/>
          <w:color w:val="auto"/>
          <w:sz w:val="28"/>
          <w:szCs w:val="28"/>
          <w:highlight w:val="none"/>
        </w:rPr>
        <w:t>人工：</w:t>
      </w:r>
      <w:r>
        <w:rPr>
          <w:rFonts w:hint="eastAsia" w:ascii="仿宋_GB2312" w:eastAsia="仿宋_GB2312"/>
          <w:color w:val="auto"/>
          <w:sz w:val="28"/>
          <w:szCs w:val="28"/>
          <w:highlight w:val="none"/>
          <w:u w:val="single"/>
        </w:rPr>
        <w:t xml:space="preserve">当人工市场价格波动幅度超过合同约定时，发、承包双方按照竣工后一次性结算方式调整人工费价差。人工价差采用价格指数法调价，价差只计取税金。风险幅度以外人工价差计算公式为：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①当施工期人工价格指数平均值相对于编制期人工价格指数的比值上涨超过约定的风险</w:t>
      </w:r>
      <w:r>
        <w:rPr>
          <w:rFonts w:hint="eastAsia" w:ascii="宋体" w:hAnsi="宋体" w:cs="宋体"/>
          <w:color w:val="auto"/>
          <w:sz w:val="28"/>
          <w:szCs w:val="28"/>
          <w:highlight w:val="none"/>
          <w:u w:val="single"/>
        </w:rPr>
        <w:t>幅</w:t>
      </w:r>
      <w:r>
        <w:rPr>
          <w:rFonts w:hint="eastAsia" w:ascii="仿宋_GB2312" w:eastAsia="仿宋_GB2312"/>
          <w:color w:val="auto"/>
          <w:sz w:val="28"/>
          <w:szCs w:val="28"/>
          <w:highlight w:val="none"/>
          <w:u w:val="single"/>
        </w:rPr>
        <w:t xml:space="preserve">度时，人工费价差（正值）=〔合同工期内各月份人工价格指数算术平均值／编制期人工价格指数－（1+风险幅度）〕 ×人工费总额×（工程费用中标价/工程费用招标控制价）。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②当施工期人工价格指数平均值相对于编制期人工价格指数的比值下跌超过约定的风险幅度时，人工 费价差（负值） = 〔合同工期内各月份人工价格指数算术平均值／编制期人工价格指数）－（1-风险幅度)〕 ×人工费总额×（工程费用中标价/工程费用招标控制价）。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（注：公式中的“人工费总额”，是指按合同口径计算的结算造价的人工费。“编制期人工价格指数”， 是指本项目投标截止日前28日历天所在月份由工程造价管理机构发布的人工价格指数。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本工程约定：人工费的风险</w:t>
      </w:r>
      <w:r>
        <w:rPr>
          <w:rFonts w:hint="eastAsia" w:ascii="宋体" w:hAnsi="宋体" w:cs="宋体"/>
          <w:color w:val="auto"/>
          <w:sz w:val="28"/>
          <w:szCs w:val="28"/>
          <w:highlight w:val="none"/>
          <w:u w:val="single"/>
        </w:rPr>
        <w:t>幅</w:t>
      </w:r>
      <w:r>
        <w:rPr>
          <w:rFonts w:hint="eastAsia" w:ascii="仿宋_GB2312" w:eastAsia="仿宋_GB2312"/>
          <w:color w:val="auto"/>
          <w:sz w:val="28"/>
          <w:szCs w:val="28"/>
          <w:highlight w:val="none"/>
          <w:u w:val="single"/>
        </w:rPr>
        <w:t>度为5%。/</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210" w:name="_Toc25433"/>
      <w:bookmarkStart w:id="211" w:name="_Toc54862345"/>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14条</w:t>
      </w:r>
      <w:r>
        <w:rPr>
          <w:rFonts w:hint="eastAsia" w:ascii="黑体" w:hAnsi="黑体" w:eastAsia="黑体"/>
          <w:b w:val="0"/>
          <w:color w:val="auto"/>
          <w:sz w:val="28"/>
          <w:szCs w:val="28"/>
          <w:highlight w:val="none"/>
        </w:rPr>
        <w:t xml:space="preserve"> 合同价格与支付</w:t>
      </w:r>
      <w:bookmarkEnd w:id="210"/>
      <w:bookmarkEnd w:id="211"/>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14.1 </w:t>
      </w:r>
      <w:r>
        <w:rPr>
          <w:rFonts w:hint="eastAsia" w:ascii="黑体" w:hAnsi="黑体" w:eastAsia="黑体"/>
          <w:color w:val="auto"/>
          <w:sz w:val="28"/>
          <w:szCs w:val="28"/>
          <w:highlight w:val="none"/>
        </w:rPr>
        <w:t>合同价格形式</w:t>
      </w:r>
    </w:p>
    <w:p>
      <w:pPr>
        <w:widowControl/>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4.1.1 </w:t>
      </w:r>
      <w:r>
        <w:rPr>
          <w:rFonts w:hint="eastAsia" w:ascii="仿宋_GB2312" w:eastAsia="仿宋_GB2312"/>
          <w:color w:val="auto"/>
          <w:sz w:val="28"/>
          <w:szCs w:val="28"/>
          <w:highlight w:val="none"/>
        </w:rPr>
        <w:t>关于合同价格形式的约定：</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w:t>
      </w:r>
      <w:r>
        <w:rPr>
          <w:rFonts w:ascii="仿宋_GB2312" w:eastAsia="仿宋_GB2312"/>
          <w:color w:val="auto"/>
          <w:sz w:val="28"/>
          <w:szCs w:val="28"/>
          <w:highlight w:val="none"/>
          <w:u w:val="single"/>
        </w:rPr>
        <w:t>）本工程需进行限额设计。承包人应在发包人提供的方案和</w:t>
      </w:r>
      <w:r>
        <w:rPr>
          <w:rFonts w:hint="eastAsia" w:ascii="仿宋_GB2312" w:eastAsia="仿宋_GB2312"/>
          <w:color w:val="auto"/>
          <w:sz w:val="28"/>
          <w:szCs w:val="28"/>
          <w:highlight w:val="none"/>
          <w:u w:val="single"/>
        </w:rPr>
        <w:t>初步设计</w:t>
      </w:r>
      <w:r>
        <w:rPr>
          <w:rFonts w:ascii="仿宋_GB2312" w:eastAsia="仿宋_GB2312"/>
          <w:color w:val="auto"/>
          <w:sz w:val="28"/>
          <w:szCs w:val="28"/>
          <w:highlight w:val="none"/>
          <w:u w:val="single"/>
        </w:rPr>
        <w:t>文件的基础上进</w:t>
      </w:r>
      <w:r>
        <w:rPr>
          <w:rFonts w:hint="eastAsia" w:ascii="仿宋_GB2312" w:eastAsia="仿宋_GB2312"/>
          <w:color w:val="auto"/>
          <w:sz w:val="28"/>
          <w:szCs w:val="28"/>
          <w:highlight w:val="none"/>
          <w:u w:val="single"/>
        </w:rPr>
        <w:t>行</w:t>
      </w:r>
      <w:r>
        <w:rPr>
          <w:rFonts w:ascii="仿宋_GB2312" w:eastAsia="仿宋_GB2312"/>
          <w:color w:val="auto"/>
          <w:sz w:val="28"/>
          <w:szCs w:val="28"/>
          <w:highlight w:val="none"/>
          <w:u w:val="single"/>
        </w:rPr>
        <w:t>深化</w:t>
      </w:r>
      <w:r>
        <w:rPr>
          <w:rFonts w:hint="eastAsia" w:ascii="仿宋_GB2312" w:eastAsia="仿宋_GB2312"/>
          <w:color w:val="auto"/>
          <w:sz w:val="28"/>
          <w:szCs w:val="28"/>
          <w:highlight w:val="none"/>
          <w:u w:val="single"/>
        </w:rPr>
        <w:t>及</w:t>
      </w:r>
      <w:r>
        <w:rPr>
          <w:rFonts w:ascii="仿宋_GB2312" w:eastAsia="仿宋_GB2312"/>
          <w:color w:val="auto"/>
          <w:sz w:val="28"/>
          <w:szCs w:val="28"/>
          <w:highlight w:val="none"/>
          <w:u w:val="single"/>
        </w:rPr>
        <w:t>施工图设计。承包人需对现场进行必要的测绘复核；施工图经</w:t>
      </w:r>
      <w:r>
        <w:rPr>
          <w:rFonts w:hint="eastAsia" w:ascii="仿宋_GB2312" w:eastAsia="仿宋_GB2312"/>
          <w:color w:val="auto"/>
          <w:sz w:val="28"/>
          <w:szCs w:val="28"/>
          <w:highlight w:val="none"/>
          <w:u w:val="single"/>
        </w:rPr>
        <w:t>发包人审核确认后，承包人应根据发包人要求报送工程费用资料（附上工程费用套价及算量软件版电子稿及计算底稿等）</w:t>
      </w:r>
      <w:r>
        <w:rPr>
          <w:rFonts w:ascii="仿宋_GB2312" w:eastAsia="仿宋_GB2312"/>
          <w:color w:val="auto"/>
          <w:sz w:val="28"/>
          <w:szCs w:val="28"/>
          <w:highlight w:val="none"/>
          <w:u w:val="single"/>
        </w:rPr>
        <w:t>。</w:t>
      </w:r>
    </w:p>
    <w:p>
      <w:pPr>
        <w:widowControl/>
        <w:ind w:firstLine="560" w:firstLineChars="200"/>
        <w:rPr>
          <w:rFonts w:ascii="仿宋_GB2312" w:eastAsia="仿宋_GB2312"/>
          <w:strike/>
          <w:color w:val="auto"/>
          <w:sz w:val="28"/>
          <w:szCs w:val="28"/>
          <w:highlight w:val="none"/>
          <w:u w:val="single"/>
        </w:rPr>
      </w:pPr>
      <w:r>
        <w:rPr>
          <w:rFonts w:hint="eastAsia" w:ascii="仿宋_GB2312" w:eastAsia="仿宋_GB2312"/>
          <w:color w:val="auto"/>
          <w:sz w:val="28"/>
          <w:szCs w:val="28"/>
          <w:highlight w:val="none"/>
          <w:u w:val="single"/>
        </w:rPr>
        <w:t>（2）本合同为总价合同，工程费用（建安工程费和设备购置费）合同价定价原则： 发包人有权要求承包人提高施工图设计标准直至达到合同约定设计标准和经济指标标准。经济指标标准核定方式：施工图完成后承包人与发包人共同核对确定工程费用（建安工程费和设备购置费）并经发包人批准同意。其中审定施工图工程费=施工图预算价×（工程费用中标价/工程费用招标控制价）， 经跟踪审计单位审定后作为工程费用合同固定价，若最终审定的施工图工程费超过工程费用中标价，则以工程费用中标价为工程费用固定总价，若最终经审定的施工图工程费低于工程费用中标价，则以审定的施工图工程费为工程费用固定总价。</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3）本工程前期已经发生的费用不包含在本次招标范围内。工程总承包其他费用中</w:t>
      </w:r>
      <w:r>
        <w:rPr>
          <w:rFonts w:hint="eastAsia" w:ascii="仿宋_GB2312" w:eastAsia="仿宋_GB2312"/>
          <w:color w:val="auto"/>
          <w:sz w:val="28"/>
          <w:szCs w:val="28"/>
          <w:highlight w:val="none"/>
          <w:u w:val="single"/>
          <w:lang w:eastAsia="zh-CN"/>
        </w:rPr>
        <w:t>工程总承包专项费为专项检测费，专项检测费</w:t>
      </w:r>
      <w:r>
        <w:rPr>
          <w:rFonts w:ascii="仿宋_GB2312" w:eastAsia="仿宋_GB2312"/>
          <w:color w:val="auto"/>
          <w:sz w:val="28"/>
          <w:szCs w:val="28"/>
          <w:highlight w:val="none"/>
          <w:u w:val="single"/>
        </w:rPr>
        <w:t>如</w:t>
      </w:r>
      <w:r>
        <w:rPr>
          <w:rFonts w:hint="eastAsia" w:ascii="仿宋_GB2312" w:eastAsia="仿宋_GB2312"/>
          <w:color w:val="auto"/>
          <w:sz w:val="28"/>
          <w:szCs w:val="28"/>
          <w:highlight w:val="none"/>
          <w:u w:val="single"/>
        </w:rPr>
        <w:t>有费用不足或缺项部分，在投标报价中综合考虑。</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4）工程设计费是指包括本项目设计工作的全部设计费用</w:t>
      </w:r>
      <w:r>
        <w:rPr>
          <w:rFonts w:hint="eastAsia" w:ascii="仿宋_GB2312" w:eastAsia="仿宋_GB2312"/>
          <w:color w:val="auto"/>
          <w:sz w:val="28"/>
          <w:szCs w:val="28"/>
          <w:highlight w:val="none"/>
          <w:u w:val="single"/>
          <w:lang w:eastAsia="zh-CN"/>
        </w:rPr>
        <w:t>（设计费总价包干，不作调整）</w:t>
      </w:r>
      <w:r>
        <w:rPr>
          <w:rFonts w:ascii="仿宋_GB2312" w:eastAsia="仿宋_GB2312"/>
          <w:color w:val="auto"/>
          <w:sz w:val="28"/>
          <w:szCs w:val="28"/>
          <w:highlight w:val="none"/>
          <w:u w:val="single"/>
        </w:rPr>
        <w:t>，具体详见设计范围要求。</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5）暂列金额</w:t>
      </w:r>
      <w:r>
        <w:rPr>
          <w:rFonts w:hint="eastAsia" w:ascii="仿宋_GB2312" w:eastAsia="仿宋_GB2312"/>
          <w:color w:val="auto"/>
          <w:sz w:val="28"/>
          <w:szCs w:val="28"/>
          <w:highlight w:val="none"/>
          <w:u w:val="single"/>
          <w:lang w:eastAsia="zh-CN"/>
        </w:rPr>
        <w:t>（预留金）</w:t>
      </w:r>
      <w:r>
        <w:rPr>
          <w:rFonts w:hint="eastAsia" w:ascii="仿宋_GB2312" w:eastAsia="仿宋_GB2312"/>
          <w:color w:val="auto"/>
          <w:sz w:val="28"/>
          <w:szCs w:val="28"/>
          <w:highlight w:val="none"/>
          <w:u w:val="single"/>
          <w:lang w:val="en-US" w:eastAsia="zh-CN"/>
        </w:rPr>
        <w:t>14400万元</w:t>
      </w:r>
      <w:r>
        <w:rPr>
          <w:rFonts w:ascii="仿宋_GB2312" w:eastAsia="仿宋_GB2312"/>
          <w:color w:val="auto"/>
          <w:sz w:val="28"/>
          <w:szCs w:val="28"/>
          <w:highlight w:val="none"/>
          <w:u w:val="single"/>
        </w:rPr>
        <w:t>，是不可竞争费用。投标人报价时不得调整。</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w:t>
      </w:r>
      <w:r>
        <w:rPr>
          <w:rFonts w:hint="eastAsia" w:ascii="仿宋_GB2312" w:eastAsia="仿宋_GB2312"/>
          <w:color w:val="auto"/>
          <w:sz w:val="28"/>
          <w:szCs w:val="28"/>
          <w:highlight w:val="none"/>
          <w:u w:val="single"/>
          <w:lang w:val="en-US" w:eastAsia="zh-CN"/>
        </w:rPr>
        <w:t>6</w:t>
      </w:r>
      <w:r>
        <w:rPr>
          <w:rFonts w:ascii="仿宋_GB2312" w:eastAsia="仿宋_GB2312"/>
          <w:color w:val="auto"/>
          <w:sz w:val="28"/>
          <w:szCs w:val="28"/>
          <w:highlight w:val="none"/>
          <w:u w:val="single"/>
        </w:rPr>
        <w:t>）建设工程一切险及第三方责任险、意外伤害保险由承包人负责投保</w:t>
      </w:r>
      <w:r>
        <w:rPr>
          <w:rFonts w:hint="eastAsia" w:ascii="仿宋_GB2312" w:eastAsia="仿宋_GB2312"/>
          <w:color w:val="auto"/>
          <w:sz w:val="28"/>
          <w:szCs w:val="28"/>
          <w:highlight w:val="none"/>
          <w:u w:val="single"/>
        </w:rPr>
        <w:t>（不另计取）</w:t>
      </w:r>
      <w:r>
        <w:rPr>
          <w:rFonts w:ascii="仿宋_GB2312" w:eastAsia="仿宋_GB2312"/>
          <w:color w:val="auto"/>
          <w:sz w:val="28"/>
          <w:szCs w:val="28"/>
          <w:highlight w:val="none"/>
          <w:u w:val="single"/>
        </w:rPr>
        <w:t>。</w:t>
      </w:r>
    </w:p>
    <w:p>
      <w:pPr>
        <w:ind w:firstLine="600"/>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u w:val="single"/>
        </w:rPr>
        <w:t>（</w:t>
      </w:r>
      <w:r>
        <w:rPr>
          <w:rFonts w:hint="eastAsia" w:ascii="黑体" w:hAnsi="黑体" w:eastAsia="黑体"/>
          <w:color w:val="auto"/>
          <w:sz w:val="28"/>
          <w:szCs w:val="28"/>
          <w:highlight w:val="none"/>
          <w:u w:val="single"/>
          <w:lang w:val="en-US" w:eastAsia="zh-CN"/>
        </w:rPr>
        <w:t>7</w:t>
      </w:r>
      <w:r>
        <w:rPr>
          <w:rFonts w:hint="eastAsia" w:ascii="黑体" w:hAnsi="黑体" w:eastAsia="黑体"/>
          <w:color w:val="auto"/>
          <w:sz w:val="28"/>
          <w:szCs w:val="28"/>
          <w:highlight w:val="none"/>
          <w:u w:val="single"/>
        </w:rPr>
        <w:t>）施工图预算价编制口径：</w:t>
      </w:r>
    </w:p>
    <w:p>
      <w:pPr>
        <w:ind w:firstLine="600"/>
        <w:rPr>
          <w:rFonts w:hint="eastAsia" w:ascii="仿宋_GB2312" w:eastAsia="仿宋_GB2312"/>
          <w:color w:val="auto"/>
          <w:sz w:val="28"/>
          <w:szCs w:val="28"/>
          <w:highlight w:val="none"/>
          <w:u w:val="single"/>
        </w:rPr>
      </w:pPr>
      <w:r>
        <w:rPr>
          <w:rFonts w:eastAsia="仿宋_GB2312" w:cs="Calibri"/>
          <w:color w:val="auto"/>
          <w:sz w:val="28"/>
          <w:szCs w:val="28"/>
          <w:highlight w:val="none"/>
          <w:u w:val="single"/>
        </w:rPr>
        <w:t>①</w:t>
      </w:r>
      <w:r>
        <w:rPr>
          <w:rFonts w:hint="eastAsia" w:ascii="仿宋_GB2312" w:eastAsia="仿宋_GB2312"/>
          <w:color w:val="auto"/>
          <w:sz w:val="28"/>
          <w:szCs w:val="28"/>
          <w:highlight w:val="none"/>
          <w:u w:val="single"/>
        </w:rPr>
        <w:t>按照《浙江省建设工程计价规则》（</w:t>
      </w:r>
      <w:r>
        <w:rPr>
          <w:rFonts w:ascii="仿宋_GB2312" w:eastAsia="仿宋_GB2312"/>
          <w:color w:val="auto"/>
          <w:sz w:val="28"/>
          <w:szCs w:val="28"/>
          <w:highlight w:val="none"/>
          <w:u w:val="single"/>
        </w:rPr>
        <w:t>2018版）及浙江省2018版各专业预算定额、一般</w:t>
      </w:r>
      <w:r>
        <w:rPr>
          <w:rFonts w:hint="eastAsia" w:ascii="仿宋_GB2312" w:eastAsia="仿宋_GB2312"/>
          <w:color w:val="auto"/>
          <w:sz w:val="28"/>
          <w:szCs w:val="28"/>
          <w:highlight w:val="none"/>
          <w:u w:val="single"/>
        </w:rPr>
        <w:t>计税法计价及有关政策文件进行编制，按照国有项目招标控制价（国标工程量清单计价）的编制口径进行编制。</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1）《建设工程工程量清单计价规范》（GB 50500-2013）</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2）《建设工程工程量清单计价规范（2013）浙江省补充规定》（浙建站计〔2013〕63号）</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3）《建设工程工程量清单计算规范（2013）浙江省补充规定（二）》（浙建站计〔2014〕31号）。</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4）《浙江省市政工程预算定额》(2018版)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5）《浙江省房屋建筑与装饰工程预算定额》(2018版)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6）《浙江省通用安装工程预算定额》(2018版)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7）《浙江省园林绿化及仿古建筑工程预算定额》(2018版)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8）《浙江省建设工程施工机械台班费用定额》（2018版） </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9）《浙江省建筑安装材料基期价格》(2018版)</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10）浙江省建设工程计价规则（2018版）</w:t>
      </w:r>
    </w:p>
    <w:p>
      <w:pPr>
        <w:ind w:firstLine="600"/>
        <w:rPr>
          <w:color w:val="auto"/>
          <w:highlight w:val="none"/>
        </w:rPr>
      </w:pPr>
      <w:r>
        <w:rPr>
          <w:rFonts w:hint="eastAsia" w:ascii="仿宋_GB2312" w:eastAsia="仿宋_GB2312"/>
          <w:color w:val="auto"/>
          <w:sz w:val="28"/>
          <w:szCs w:val="28"/>
          <w:highlight w:val="none"/>
          <w:u w:val="single"/>
        </w:rPr>
        <w:t>12）根据双方确认的施工范围、图纸及有效签证联系单（有效是指经甲方确认）</w:t>
      </w:r>
    </w:p>
    <w:p>
      <w:pPr>
        <w:spacing w:line="400" w:lineRule="exact"/>
        <w:ind w:firstLine="560" w:firstLineChars="200"/>
        <w:rPr>
          <w:rFonts w:hint="eastAsia" w:ascii="仿宋" w:hAnsi="仿宋" w:eastAsia="仿宋" w:cs="仿宋"/>
          <w:color w:val="auto"/>
          <w:sz w:val="28"/>
          <w:szCs w:val="28"/>
          <w:highlight w:val="none"/>
          <w:u w:val="single"/>
        </w:rPr>
      </w:pPr>
      <w:r>
        <w:rPr>
          <w:rFonts w:eastAsia="仿宋_GB2312" w:cs="Calibri"/>
          <w:color w:val="auto"/>
          <w:sz w:val="28"/>
          <w:szCs w:val="28"/>
          <w:highlight w:val="none"/>
          <w:u w:val="single"/>
        </w:rPr>
        <w:t>②</w:t>
      </w:r>
      <w:r>
        <w:rPr>
          <w:rFonts w:hint="eastAsia" w:ascii="仿宋" w:hAnsi="仿宋" w:eastAsia="仿宋"/>
          <w:color w:val="auto"/>
          <w:sz w:val="28"/>
          <w:szCs w:val="28"/>
          <w:highlight w:val="none"/>
          <w:u w:val="single"/>
        </w:rPr>
        <w:t>各项费用和计取方式：</w:t>
      </w:r>
      <w:r>
        <w:rPr>
          <w:rFonts w:hint="eastAsia" w:ascii="仿宋" w:hAnsi="仿宋" w:eastAsia="仿宋" w:cs="仿宋"/>
          <w:color w:val="auto"/>
          <w:sz w:val="28"/>
          <w:szCs w:val="28"/>
          <w:highlight w:val="none"/>
          <w:u w:val="single"/>
        </w:rPr>
        <w:t>以定额的“人工费＋机械费”作为取费基数，工程专业类别按照相对应的房屋建筑工程、安装工程、市政工程和园林绿化等工程执行，其中风险费用不计取，组织措施费计取安全文明施工基本费和冬雨季施工增加费，其它的组织措施费均不另计取。企业管理费、利润、施工组织措施项目费费率按中值计取（一般计税），其中安全文明施工基本费按市区工程计取。规费、税金按规定费率计取（税金为一般计税）。</w:t>
      </w:r>
    </w:p>
    <w:p>
      <w:pPr>
        <w:ind w:firstLine="600"/>
        <w:rPr>
          <w:rFonts w:hint="eastAsia" w:ascii="仿宋_GB2312" w:eastAsia="仿宋_GB2312"/>
          <w:color w:val="auto"/>
          <w:sz w:val="28"/>
          <w:szCs w:val="28"/>
          <w:highlight w:val="none"/>
          <w:u w:val="single"/>
        </w:rPr>
      </w:pPr>
    </w:p>
    <w:p>
      <w:pPr>
        <w:ind w:firstLine="600"/>
        <w:rPr>
          <w:rFonts w:hint="eastAsia" w:ascii="仿宋_GB2312" w:eastAsia="仿宋_GB2312"/>
          <w:color w:val="auto"/>
          <w:sz w:val="28"/>
          <w:szCs w:val="28"/>
          <w:highlight w:val="none"/>
          <w:u w:val="single"/>
        </w:rPr>
      </w:pPr>
      <w:r>
        <w:rPr>
          <w:rFonts w:ascii="黑体" w:hAnsi="黑体" w:eastAsia="黑体"/>
          <w:color w:val="auto"/>
          <w:sz w:val="28"/>
          <w:szCs w:val="28"/>
          <w:highlight w:val="none"/>
          <w:u w:val="single"/>
        </w:rPr>
        <w:t>③</w:t>
      </w:r>
      <w:r>
        <w:rPr>
          <w:rFonts w:hint="eastAsia" w:ascii="黑体" w:hAnsi="黑体" w:eastAsia="黑体"/>
          <w:color w:val="auto"/>
          <w:sz w:val="28"/>
          <w:szCs w:val="28"/>
          <w:highlight w:val="none"/>
          <w:u w:val="single"/>
        </w:rPr>
        <w:t>人工、材料价格</w:t>
      </w:r>
      <w:r>
        <w:rPr>
          <w:rFonts w:hint="eastAsia" w:ascii="仿宋_GB2312" w:eastAsia="仿宋_GB2312"/>
          <w:color w:val="auto"/>
          <w:sz w:val="28"/>
          <w:szCs w:val="28"/>
          <w:highlight w:val="none"/>
          <w:u w:val="single"/>
        </w:rPr>
        <w:t>按照发包人书面确认的投标截止日前</w:t>
      </w:r>
      <w:r>
        <w:rPr>
          <w:rFonts w:ascii="仿宋_GB2312" w:eastAsia="仿宋_GB2312"/>
          <w:color w:val="auto"/>
          <w:sz w:val="28"/>
          <w:szCs w:val="28"/>
          <w:highlight w:val="none"/>
          <w:u w:val="single"/>
        </w:rPr>
        <w:t>28日历天所在月份的造价管理部</w:t>
      </w:r>
      <w:r>
        <w:rPr>
          <w:rFonts w:hint="eastAsia" w:ascii="仿宋_GB2312" w:eastAsia="仿宋_GB2312"/>
          <w:color w:val="auto"/>
          <w:sz w:val="28"/>
          <w:szCs w:val="28"/>
          <w:highlight w:val="none"/>
          <w:u w:val="single"/>
        </w:rPr>
        <w:t xml:space="preserve">门发布的正刊除税信息价（信息价套用正刊发布的价格顺序：湖州造价信息、浙江省信息价、浙江省信息价中没有的按除税市场价执行（本次招标已作品牌推荐的材料，如信息价（正刊）中有价格，承包人在报价时已综合考虑实际材料采购价格与信息价价格的差异性），机械费按定额机械费计取。 </w:t>
      </w:r>
    </w:p>
    <w:p>
      <w:pPr>
        <w:ind w:firstLine="600"/>
        <w:rPr>
          <w:rFonts w:hint="eastAsia" w:ascii="仿宋_GB2312" w:eastAsia="仿宋_GB2312"/>
          <w:color w:val="auto"/>
          <w:sz w:val="28"/>
          <w:szCs w:val="28"/>
          <w:highlight w:val="none"/>
          <w:u w:val="single"/>
        </w:rPr>
      </w:pPr>
      <w:r>
        <w:rPr>
          <w:rFonts w:eastAsia="仿宋_GB2312" w:cs="Calibri"/>
          <w:color w:val="auto"/>
          <w:sz w:val="28"/>
          <w:szCs w:val="28"/>
          <w:highlight w:val="none"/>
          <w:u w:val="single"/>
        </w:rPr>
        <w:t>④</w:t>
      </w:r>
      <w:r>
        <w:rPr>
          <w:rFonts w:hint="eastAsia" w:ascii="仿宋_GB2312" w:eastAsia="仿宋_GB2312"/>
          <w:color w:val="auto"/>
          <w:sz w:val="28"/>
          <w:szCs w:val="28"/>
          <w:highlight w:val="none"/>
          <w:u w:val="single"/>
        </w:rPr>
        <w:t>本项目土方原则上场地内平衡利用，如有发生外运的项目，运距不超过5公里的按实际运距计算；运距超过5公里的按5公里计算，超运距部分由承包人自行承担。</w:t>
      </w:r>
    </w:p>
    <w:p>
      <w:pPr>
        <w:ind w:firstLine="600"/>
        <w:rPr>
          <w:rFonts w:ascii="仿宋_GB2312" w:eastAsia="仿宋_GB2312"/>
          <w:strike/>
          <w:color w:val="auto"/>
          <w:sz w:val="28"/>
          <w:szCs w:val="28"/>
          <w:highlight w:val="none"/>
          <w:u w:val="single"/>
        </w:rPr>
      </w:pPr>
      <w:r>
        <w:rPr>
          <w:rFonts w:eastAsia="仿宋_GB2312" w:cs="Calibri"/>
          <w:color w:val="auto"/>
          <w:sz w:val="28"/>
          <w:szCs w:val="28"/>
          <w:highlight w:val="none"/>
          <w:u w:val="single"/>
        </w:rPr>
        <w:t>⑤</w:t>
      </w:r>
      <w:r>
        <w:rPr>
          <w:rFonts w:hint="eastAsia" w:ascii="仿宋_GB2312" w:eastAsia="仿宋_GB2312"/>
          <w:color w:val="auto"/>
          <w:sz w:val="28"/>
          <w:szCs w:val="28"/>
          <w:highlight w:val="none"/>
          <w:u w:val="single"/>
        </w:rPr>
        <w:t>地下障碍物（包括但不限于原民宅的浅基础、房屋老基础村道、排水沟、人防构筑物、电信塔的混凝土基础等）处理：施工场地红线范围和场地内地面及地面下凡埋深在</w:t>
      </w:r>
      <w:r>
        <w:rPr>
          <w:rFonts w:ascii="仿宋_GB2312" w:eastAsia="仿宋_GB2312"/>
          <w:color w:val="auto"/>
          <w:sz w:val="28"/>
          <w:szCs w:val="28"/>
          <w:highlight w:val="none"/>
          <w:u w:val="single"/>
        </w:rPr>
        <w:t>2米及以</w:t>
      </w:r>
      <w:r>
        <w:rPr>
          <w:rFonts w:hint="eastAsia" w:ascii="仿宋_GB2312" w:eastAsia="仿宋_GB2312"/>
          <w:color w:val="auto"/>
          <w:sz w:val="28"/>
          <w:szCs w:val="28"/>
          <w:highlight w:val="none"/>
          <w:u w:val="single"/>
        </w:rPr>
        <w:t>内的地下障碍物由投标单位认真踏勘现场，自行考虑风险含在总报价中，中标后不另行签证。</w:t>
      </w:r>
      <w:r>
        <w:rPr>
          <w:rFonts w:ascii="仿宋_GB2312" w:eastAsia="仿宋_GB2312"/>
          <w:color w:val="auto"/>
          <w:sz w:val="28"/>
          <w:szCs w:val="28"/>
          <w:highlight w:val="none"/>
          <w:u w:val="single"/>
        </w:rPr>
        <w:t>2米以外的按实签证，单独列项计取。</w:t>
      </w:r>
    </w:p>
    <w:p>
      <w:pPr>
        <w:ind w:firstLine="600"/>
        <w:rPr>
          <w:rFonts w:ascii="仿宋_GB2312" w:eastAsia="仿宋_GB2312"/>
          <w:color w:val="auto"/>
          <w:sz w:val="28"/>
          <w:szCs w:val="28"/>
          <w:highlight w:val="none"/>
          <w:u w:val="single"/>
        </w:rPr>
      </w:pPr>
      <w:r>
        <w:rPr>
          <w:rFonts w:eastAsia="仿宋_GB2312" w:cs="Calibri"/>
          <w:strike w:val="0"/>
          <w:color w:val="auto"/>
          <w:sz w:val="28"/>
          <w:szCs w:val="28"/>
          <w:highlight w:val="none"/>
          <w:u w:val="single"/>
        </w:rPr>
        <w:t>⑥</w:t>
      </w:r>
      <w:r>
        <w:rPr>
          <w:rFonts w:hint="eastAsia" w:ascii="仿宋" w:hAnsi="仿宋" w:eastAsia="仿宋" w:cs="仿宋"/>
          <w:color w:val="auto"/>
          <w:sz w:val="28"/>
          <w:szCs w:val="28"/>
          <w:highlight w:val="none"/>
          <w:u w:val="single"/>
        </w:rPr>
        <w:t>本次招标已作品牌推荐的材料，如信息价（正刊）中有价格，承包人在报价时已综合</w:t>
      </w:r>
      <w:r>
        <w:rPr>
          <w:rFonts w:hint="eastAsia" w:ascii="仿宋_GB2312" w:eastAsia="仿宋_GB2312"/>
          <w:color w:val="auto"/>
          <w:sz w:val="28"/>
          <w:szCs w:val="28"/>
          <w:highlight w:val="none"/>
          <w:u w:val="single"/>
        </w:rPr>
        <w:t>考虑实际材料采购价格与信息价价格的差异性。</w:t>
      </w:r>
    </w:p>
    <w:p>
      <w:pPr>
        <w:ind w:firstLine="600"/>
        <w:rPr>
          <w:rFonts w:ascii="仿宋_GB2312" w:eastAsia="仿宋_GB2312"/>
          <w:color w:val="auto"/>
          <w:sz w:val="28"/>
          <w:szCs w:val="28"/>
          <w:highlight w:val="none"/>
          <w:u w:val="single"/>
        </w:rPr>
      </w:pPr>
      <w:r>
        <w:rPr>
          <w:rFonts w:eastAsia="仿宋_GB2312" w:cs="Calibri"/>
          <w:color w:val="auto"/>
          <w:sz w:val="28"/>
          <w:szCs w:val="28"/>
          <w:highlight w:val="none"/>
          <w:u w:val="single"/>
        </w:rPr>
        <w:t>⑦</w:t>
      </w:r>
      <w:r>
        <w:rPr>
          <w:rFonts w:hint="eastAsia" w:ascii="仿宋_GB2312" w:eastAsia="仿宋_GB2312"/>
          <w:color w:val="auto"/>
          <w:sz w:val="28"/>
          <w:szCs w:val="28"/>
          <w:highlight w:val="none"/>
          <w:u w:val="single"/>
        </w:rPr>
        <w:t>其他有关费用问题按招标文件有关规定及投标人须知第10条执行。</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4.1.2 </w:t>
      </w:r>
      <w:r>
        <w:rPr>
          <w:rFonts w:hint="eastAsia" w:ascii="仿宋_GB2312" w:eastAsia="仿宋_GB2312"/>
          <w:color w:val="auto"/>
          <w:sz w:val="28"/>
          <w:szCs w:val="28"/>
          <w:highlight w:val="none"/>
        </w:rPr>
        <w:t>关于合同价格调整的约定：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本工程为总价合同，施工图审核完成、工程费用审核完成后，如总价减少，应签订补充协议调整总价。</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4.1.3 </w:t>
      </w:r>
      <w:r>
        <w:rPr>
          <w:rFonts w:hint="eastAsia" w:ascii="仿宋_GB2312" w:eastAsia="仿宋_GB2312"/>
          <w:color w:val="auto"/>
          <w:sz w:val="28"/>
          <w:szCs w:val="28"/>
          <w:highlight w:val="none"/>
        </w:rPr>
        <w:t>按实际完成的工程量支付工程价款的计量方法、估价方法：</w:t>
      </w:r>
      <w:r>
        <w:rPr>
          <w:rFonts w:hint="eastAsia" w:ascii="仿宋_GB2312" w:eastAsia="仿宋_GB2312"/>
          <w:color w:val="auto"/>
          <w:sz w:val="28"/>
          <w:szCs w:val="28"/>
          <w:highlight w:val="none"/>
          <w:u w:val="single"/>
        </w:rPr>
        <w:t>无</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14.2 </w:t>
      </w:r>
      <w:r>
        <w:rPr>
          <w:rFonts w:hint="eastAsia" w:ascii="黑体" w:hAnsi="黑体" w:eastAsia="黑体"/>
          <w:color w:val="auto"/>
          <w:sz w:val="28"/>
          <w:szCs w:val="28"/>
          <w:highlight w:val="none"/>
        </w:rPr>
        <w:t>预付款</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14.2.1 </w:t>
      </w:r>
      <w:r>
        <w:rPr>
          <w:rFonts w:hint="eastAsia" w:ascii="仿宋_GB2312" w:eastAsia="仿宋_GB2312"/>
          <w:color w:val="auto"/>
          <w:sz w:val="28"/>
          <w:szCs w:val="28"/>
          <w:highlight w:val="none"/>
        </w:rPr>
        <w:t>预付款支付</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预付款的金额或比例为：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每个年度支付一次，每次支付额度为扣除安全文明施工费和暂列金额、暂估价后的当年投资额（按合同价计算）的10%【其中工资性工程预付款为扣除安全文明施工费和暂列金额、暂估价后的当年投资额（按合同价计算）的1%】。其中工资性工程预付款单独支付</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预付款支付期限：</w:t>
      </w:r>
      <w:r>
        <w:rPr>
          <w:rFonts w:hint="eastAsia" w:ascii="仿宋_GB2312" w:eastAsia="仿宋_GB2312"/>
          <w:color w:val="auto"/>
          <w:sz w:val="28"/>
          <w:szCs w:val="28"/>
          <w:highlight w:val="none"/>
          <w:u w:val="single"/>
        </w:rPr>
        <w:t>签订施工合同签订承包人主要管理人员、主要施工机械进场、临时设施搭设完毕，缴纳履约保证金并经承包人、发包人、监理单位签署开工报告后，发包人向承包人支付预付款。</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预付款扣回的方式：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当年预付款在当年的进度款中扣回，当期不足的顺延下期，最终预付款在竣工验收合格后全部扣回（预付款的扣回不含工资性工程预付款）</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4.2.2预付款担保</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提供预付款担保期限：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 xml:space="preserve">在发包人支付预付款之前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预付款担保形式：</w:t>
      </w:r>
      <w:r>
        <w:rPr>
          <w:rFonts w:hint="eastAsia" w:ascii="仿宋_GB2312" w:eastAsia="仿宋_GB2312"/>
          <w:color w:val="auto"/>
          <w:sz w:val="28"/>
          <w:szCs w:val="28"/>
          <w:highlight w:val="none"/>
          <w:u w:val="single"/>
        </w:rPr>
        <w:t xml:space="preserve">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不限</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14.3 </w:t>
      </w:r>
      <w:r>
        <w:rPr>
          <w:rFonts w:hint="eastAsia" w:ascii="黑体" w:hAnsi="黑体" w:eastAsia="黑体"/>
          <w:color w:val="auto"/>
          <w:sz w:val="28"/>
          <w:szCs w:val="28"/>
          <w:highlight w:val="none"/>
        </w:rPr>
        <w:t>工程进度款</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14.3.1 </w:t>
      </w:r>
      <w:r>
        <w:rPr>
          <w:rFonts w:hint="eastAsia" w:ascii="仿宋_GB2312" w:eastAsia="仿宋_GB2312"/>
          <w:color w:val="auto"/>
          <w:sz w:val="28"/>
          <w:szCs w:val="28"/>
          <w:highlight w:val="none"/>
        </w:rPr>
        <w:t>工程进度付款申请</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工程进度付款申请方式：</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承包人提交进度付款申请单的格式、内容、份数和时间：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进度付款申请单应包括的内容：</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14.3.2 </w:t>
      </w:r>
      <w:r>
        <w:rPr>
          <w:rFonts w:hint="eastAsia" w:ascii="仿宋_GB2312" w:eastAsia="仿宋_GB2312"/>
          <w:color w:val="auto"/>
          <w:sz w:val="28"/>
          <w:szCs w:val="28"/>
          <w:highlight w:val="none"/>
        </w:rPr>
        <w:t>进度付款审核和支付</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每月 20 日前（节假日则向后顺延）向发包方和监理工程师报送当月施工（完成情况及下月计划）进度表和工程进度申报单。下月计划须取得发包方和监理方认可，因承包人原因未完成，发包人有权停发下期工程进度款，直至承包人完成当期工程进度计划为止。</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1、设计费的支付：</w:t>
      </w:r>
      <w:r>
        <w:rPr>
          <w:rFonts w:hint="eastAsia" w:ascii="仿宋_GB2312" w:hAnsi="Calibri" w:eastAsia="仿宋_GB2312" w:cs="Times New Roman"/>
          <w:color w:val="auto"/>
          <w:sz w:val="28"/>
          <w:szCs w:val="28"/>
          <w:highlight w:val="none"/>
          <w:u w:val="single"/>
        </w:rPr>
        <w:t>设计合同签订后7个工作日内支付 20%，</w:t>
      </w:r>
      <w:r>
        <w:rPr>
          <w:rFonts w:hint="eastAsia" w:ascii="仿宋_GB2312" w:eastAsia="仿宋_GB2312" w:cs="Times New Roman"/>
          <w:color w:val="auto"/>
          <w:sz w:val="28"/>
          <w:szCs w:val="28"/>
          <w:highlight w:val="none"/>
          <w:u w:val="single"/>
          <w:lang w:val="en-US" w:eastAsia="zh-CN"/>
        </w:rPr>
        <w:t>建筑</w:t>
      </w:r>
      <w:r>
        <w:rPr>
          <w:rFonts w:hint="eastAsia" w:ascii="仿宋_GB2312" w:hAnsi="Calibri" w:eastAsia="仿宋_GB2312" w:cs="Times New Roman"/>
          <w:color w:val="auto"/>
          <w:sz w:val="28"/>
          <w:szCs w:val="28"/>
          <w:highlight w:val="none"/>
          <w:u w:val="single"/>
        </w:rPr>
        <w:t>施工图图审通过后7个工作日内50%，其他专项施工图图审通过后7个工作日内15%，工程施工地下室完成后7个工作日内5%，中间验收合格后7个工作日内5%，工程竣工验收盖章后7个工作日内5%</w:t>
      </w:r>
      <w:r>
        <w:rPr>
          <w:rFonts w:hint="eastAsia" w:ascii="仿宋_GB2312" w:eastAsia="仿宋_GB2312"/>
          <w:color w:val="auto"/>
          <w:sz w:val="28"/>
          <w:szCs w:val="28"/>
          <w:highlight w:val="none"/>
          <w:u w:val="single"/>
        </w:rPr>
        <w:t>。</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2、工程进度款支付：每个月支付一次，每次按该付款周期内实际完成工程量的</w:t>
      </w:r>
      <w:r>
        <w:rPr>
          <w:rFonts w:hint="eastAsia" w:ascii="仿宋_GB2312" w:eastAsia="仿宋_GB2312"/>
          <w:color w:val="auto"/>
          <w:sz w:val="28"/>
          <w:szCs w:val="28"/>
          <w:highlight w:val="none"/>
          <w:u w:val="single"/>
          <w:lang w:val="en-US" w:eastAsia="zh-CN"/>
        </w:rPr>
        <w:t>80</w:t>
      </w:r>
      <w:r>
        <w:rPr>
          <w:rFonts w:hint="eastAsia" w:ascii="仿宋_GB2312" w:eastAsia="仿宋_GB2312"/>
          <w:color w:val="auto"/>
          <w:sz w:val="28"/>
          <w:szCs w:val="28"/>
          <w:highlight w:val="none"/>
          <w:u w:val="single"/>
        </w:rPr>
        <w:t>%支付，工程竣工验收完成</w:t>
      </w:r>
      <w:r>
        <w:rPr>
          <w:rFonts w:hint="eastAsia" w:ascii="仿宋_GB2312" w:eastAsia="仿宋_GB2312"/>
          <w:color w:val="auto"/>
          <w:sz w:val="28"/>
          <w:szCs w:val="28"/>
          <w:highlight w:val="none"/>
          <w:u w:val="single"/>
          <w:lang w:val="en-US" w:eastAsia="zh-CN"/>
        </w:rPr>
        <w:t>且</w:t>
      </w:r>
      <w:r>
        <w:rPr>
          <w:rFonts w:hint="eastAsia" w:ascii="仿宋_GB2312" w:eastAsia="仿宋_GB2312"/>
          <w:color w:val="auto"/>
          <w:sz w:val="28"/>
          <w:szCs w:val="28"/>
          <w:highlight w:val="none"/>
          <w:u w:val="single"/>
        </w:rPr>
        <w:t>竣工资料进入城建档案馆备案后付至实际完成工程量的</w:t>
      </w:r>
      <w:r>
        <w:rPr>
          <w:rFonts w:hint="eastAsia" w:ascii="仿宋_GB2312" w:eastAsia="仿宋_GB2312"/>
          <w:color w:val="auto"/>
          <w:sz w:val="28"/>
          <w:szCs w:val="28"/>
          <w:highlight w:val="none"/>
          <w:u w:val="single"/>
          <w:lang w:val="en-US" w:eastAsia="zh-CN"/>
        </w:rPr>
        <w:t>80</w:t>
      </w:r>
      <w:r>
        <w:rPr>
          <w:rFonts w:hint="eastAsia" w:ascii="仿宋_GB2312" w:eastAsia="仿宋_GB2312"/>
          <w:color w:val="auto"/>
          <w:sz w:val="28"/>
          <w:szCs w:val="28"/>
          <w:highlight w:val="none"/>
          <w:u w:val="single"/>
        </w:rPr>
        <w:t>%（不超合同价的</w:t>
      </w:r>
      <w:r>
        <w:rPr>
          <w:rFonts w:hint="eastAsia" w:ascii="仿宋_GB2312" w:eastAsia="仿宋_GB2312"/>
          <w:color w:val="auto"/>
          <w:sz w:val="28"/>
          <w:szCs w:val="28"/>
          <w:highlight w:val="none"/>
          <w:u w:val="single"/>
          <w:lang w:val="en-US" w:eastAsia="zh-CN"/>
        </w:rPr>
        <w:t>80</w:t>
      </w:r>
      <w:r>
        <w:rPr>
          <w:rFonts w:hint="eastAsia" w:ascii="仿宋_GB2312" w:eastAsia="仿宋_GB2312"/>
          <w:color w:val="auto"/>
          <w:sz w:val="28"/>
          <w:szCs w:val="28"/>
          <w:highlight w:val="none"/>
          <w:u w:val="single"/>
        </w:rPr>
        <w:t>%），其余款项待竣工结算审计核实批准后六个月内付至核准价的97.5%，剩余2.5%工程款作为预留质量保修金（无息）。工程项目竣工验收合格后视履约情况返还履约保证金【注：质量保证金采用保函的，审计核准后付清，不再提留2.5%】。</w:t>
      </w:r>
    </w:p>
    <w:p>
      <w:pPr>
        <w:ind w:firstLine="600"/>
        <w:rPr>
          <w:rFonts w:hint="eastAsia" w:ascii="仿宋_GB2312" w:hAnsi="Calibri" w:eastAsia="仿宋_GB2312" w:cs="Times New Roman"/>
          <w:color w:val="auto"/>
          <w:sz w:val="28"/>
          <w:szCs w:val="28"/>
          <w:highlight w:val="none"/>
          <w:u w:val="single"/>
        </w:rPr>
      </w:pPr>
      <w:r>
        <w:rPr>
          <w:rFonts w:hint="eastAsia" w:ascii="仿宋_GB2312" w:eastAsia="仿宋_GB2312"/>
          <w:color w:val="auto"/>
          <w:sz w:val="28"/>
          <w:szCs w:val="28"/>
          <w:highlight w:val="none"/>
          <w:u w:val="single"/>
        </w:rPr>
        <w:t>3、</w:t>
      </w:r>
      <w:r>
        <w:rPr>
          <w:rFonts w:hint="eastAsia" w:ascii="仿宋_GB2312" w:hAnsi="Calibri" w:eastAsia="仿宋_GB2312" w:cs="Times New Roman"/>
          <w:color w:val="auto"/>
          <w:sz w:val="28"/>
          <w:szCs w:val="28"/>
          <w:highlight w:val="none"/>
          <w:u w:val="single"/>
        </w:rPr>
        <w:t>安全文明施工措施费在项目办理开工安全生产条件审查前第一次支付总费用的30%（暂按3000万元支付，并在预算完成后予以调整），其余费用在工程主体结构完成前单独支付完毕。承包人对安全文明施工费应专款专用，在财务账目中应单独列项备查，不得挪作他用。</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注： 1）实际完成工程量由施工方上报监理单位、跟踪审计单位、发包人，经三方审核确认为准。</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2）农民工工资实行分</w:t>
      </w:r>
      <w:r>
        <w:rPr>
          <w:rFonts w:hint="eastAsia" w:ascii="仿宋_GB2312" w:eastAsia="仿宋_GB2312"/>
          <w:color w:val="auto"/>
          <w:sz w:val="28"/>
          <w:szCs w:val="28"/>
          <w:highlight w:val="none"/>
          <w:u w:val="single"/>
          <w:lang w:eastAsia="zh-CN"/>
        </w:rPr>
        <w:t>账</w:t>
      </w:r>
      <w:r>
        <w:rPr>
          <w:rFonts w:hint="eastAsia" w:ascii="仿宋_GB2312" w:eastAsia="仿宋_GB2312"/>
          <w:color w:val="auto"/>
          <w:sz w:val="28"/>
          <w:szCs w:val="28"/>
          <w:highlight w:val="none"/>
          <w:u w:val="single"/>
        </w:rPr>
        <w:t>管理，须严格执行《湖建发（2020）44号》文件相关规定。合同款支付基数为扣除安全文明施工费、暂列金和工资性工程预付款。同时每次付款时还应扣除已支付的相应月份的工资性工程进度款。工资性工程进度款为（工资性工程总款-工资性工程预付款）除以总合同工期月数，并按月支付。工资性工程总款为不低于扣除安全文明施工费、暂列金、暂估价后的合同总价的20%。</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3）工程项目竣工验收合格后视履约情况返还履约保证金，质量保修金按合同约定另行处理。承包人必须按月全额支付民工工资，并且发包人有监督的权利。如承包人未按规定兑现，发包人有权直接从工程款中扣除该费用，用于直接支付民工工资，并扣罚双倍的费用。</w:t>
      </w:r>
    </w:p>
    <w:p>
      <w:pPr>
        <w:ind w:firstLine="600"/>
        <w:rPr>
          <w:rFonts w:hint="eastAsia" w:ascii="仿宋_GB2312" w:eastAsia="仿宋_GB2312"/>
          <w:color w:val="auto"/>
          <w:sz w:val="28"/>
          <w:szCs w:val="28"/>
          <w:highlight w:val="none"/>
          <w:u w:val="single"/>
          <w:lang w:eastAsia="zh-CN"/>
        </w:rPr>
      </w:pPr>
      <w:r>
        <w:rPr>
          <w:rFonts w:hint="eastAsia" w:ascii="仿宋_GB2312" w:eastAsia="仿宋_GB2312"/>
          <w:color w:val="auto"/>
          <w:sz w:val="28"/>
          <w:szCs w:val="28"/>
          <w:highlight w:val="none"/>
          <w:u w:val="single"/>
        </w:rPr>
        <w:t>4</w:t>
      </w:r>
      <w:r>
        <w:rPr>
          <w:rFonts w:hint="eastAsia" w:ascii="仿宋_GB2312" w:eastAsia="仿宋_GB2312"/>
          <w:color w:val="auto"/>
          <w:sz w:val="28"/>
          <w:szCs w:val="28"/>
          <w:highlight w:val="none"/>
          <w:u w:val="single"/>
          <w:lang w:eastAsia="zh-CN"/>
        </w:rPr>
        <w:t>、工程总承包专项检测费，按实际完成费用计取并支付，实际检测费总费超过专项检测费中标价的按中标价结算，实际检测费总费未到专项检测费中标价的按实际发生费用支付。</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u w:val="single"/>
        </w:rPr>
        <w:t>承包人收取各期工程款时应开具正规发票（增值税专票）为付款的前提。</w:t>
      </w:r>
    </w:p>
    <w:p>
      <w:pPr>
        <w:pStyle w:val="2"/>
        <w:ind w:firstLine="0" w:firstLineChars="0"/>
        <w:rPr>
          <w:color w:val="auto"/>
          <w:sz w:val="28"/>
          <w:szCs w:val="28"/>
          <w:highlight w:val="none"/>
        </w:rPr>
      </w:pP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14.4 </w:t>
      </w:r>
      <w:r>
        <w:rPr>
          <w:rFonts w:hint="eastAsia" w:ascii="黑体" w:hAnsi="黑体" w:eastAsia="黑体"/>
          <w:color w:val="auto"/>
          <w:sz w:val="28"/>
          <w:szCs w:val="28"/>
          <w:highlight w:val="none"/>
        </w:rPr>
        <w:t>付款计划表</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14.4.1 付款计划表的编制要求</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14.4.2 </w:t>
      </w:r>
      <w:r>
        <w:rPr>
          <w:rFonts w:hint="eastAsia" w:ascii="仿宋_GB2312" w:eastAsia="仿宋_GB2312"/>
          <w:color w:val="auto"/>
          <w:sz w:val="28"/>
          <w:szCs w:val="28"/>
          <w:highlight w:val="none"/>
        </w:rPr>
        <w:t>付款计划表的编制与审批</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付款计划表的编制：</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14.5 </w:t>
      </w:r>
      <w:r>
        <w:rPr>
          <w:rFonts w:hint="eastAsia" w:ascii="黑体" w:hAnsi="黑体" w:eastAsia="黑体"/>
          <w:color w:val="auto"/>
          <w:sz w:val="28"/>
          <w:szCs w:val="28"/>
          <w:highlight w:val="none"/>
        </w:rPr>
        <w:t>竣工结算</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14.5.1 </w:t>
      </w:r>
      <w:r>
        <w:rPr>
          <w:rFonts w:hint="eastAsia" w:ascii="仿宋_GB2312" w:eastAsia="仿宋_GB2312"/>
          <w:color w:val="auto"/>
          <w:sz w:val="28"/>
          <w:szCs w:val="28"/>
          <w:highlight w:val="none"/>
        </w:rPr>
        <w:t>竣工结算申请</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承包人提交竣工结算申请的时间：</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工程竣工验收达到合格标准后，承包人应在</w:t>
      </w:r>
      <w:r>
        <w:rPr>
          <w:rFonts w:ascii="仿宋_GB2312" w:eastAsia="仿宋_GB2312"/>
          <w:color w:val="auto"/>
          <w:sz w:val="28"/>
          <w:szCs w:val="28"/>
          <w:highlight w:val="none"/>
          <w:u w:val="single"/>
        </w:rPr>
        <w:t>1个月内</w:t>
      </w:r>
      <w:r>
        <w:rPr>
          <w:rFonts w:hint="eastAsia" w:ascii="仿宋_GB2312" w:eastAsia="仿宋_GB2312"/>
          <w:color w:val="auto"/>
          <w:sz w:val="28"/>
          <w:szCs w:val="28"/>
          <w:highlight w:val="none"/>
          <w:u w:val="single"/>
        </w:rPr>
        <w:t>向发包人递交竣工结算报告及完整的结算资料</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竣工结算申请的资料清单和份数：</w:t>
      </w:r>
      <w:r>
        <w:rPr>
          <w:rFonts w:hint="eastAsia" w:ascii="仿宋_GB2312" w:eastAsia="仿宋_GB2312"/>
          <w:color w:val="auto"/>
          <w:sz w:val="28"/>
          <w:szCs w:val="28"/>
          <w:highlight w:val="none"/>
          <w:u w:val="single"/>
        </w:rPr>
        <w:t>完整的竣工结算审计资料一式</w:t>
      </w:r>
      <w:r>
        <w:rPr>
          <w:rFonts w:hint="eastAsia" w:ascii="仿宋_GB2312" w:eastAsia="仿宋_GB2312"/>
          <w:color w:val="auto"/>
          <w:sz w:val="28"/>
          <w:szCs w:val="28"/>
          <w:highlight w:val="none"/>
          <w:u w:val="single"/>
          <w:lang w:eastAsia="zh-CN"/>
        </w:rPr>
        <w:t>四</w:t>
      </w:r>
      <w:r>
        <w:rPr>
          <w:rFonts w:hint="eastAsia" w:ascii="仿宋_GB2312" w:eastAsia="仿宋_GB2312"/>
          <w:color w:val="auto"/>
          <w:sz w:val="28"/>
          <w:szCs w:val="28"/>
          <w:highlight w:val="none"/>
          <w:u w:val="single"/>
        </w:rPr>
        <w:t>套，包括但不限于：工程结算书（附计算底稿，电子版和算量软件版），限额设计预算报告，完整施工图及竣工图，工程变更联系单，工期签证，地质勘察报告、图纸会审纪要、图纸交底资料、施工技术资料（开竣工报告、审批资料、竣工验收证书、隐蔽工程验收资料、质量检验资料、项目实施规划、施工记录等）</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竣工结算申请单的内容应包括：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承包人应向发包人提交承包人盖章、承包人</w:t>
      </w:r>
      <w:r>
        <w:rPr>
          <w:rFonts w:hint="eastAsia" w:ascii="仿宋_GB2312" w:eastAsia="仿宋_GB2312"/>
          <w:color w:val="auto"/>
          <w:sz w:val="28"/>
          <w:szCs w:val="28"/>
          <w:highlight w:val="none"/>
          <w:u w:val="single"/>
          <w:lang w:val="en-US" w:eastAsia="zh-CN"/>
        </w:rPr>
        <w:t>法定代表人</w:t>
      </w:r>
      <w:r>
        <w:rPr>
          <w:rFonts w:hint="eastAsia" w:ascii="仿宋_GB2312" w:eastAsia="仿宋_GB2312"/>
          <w:color w:val="auto"/>
          <w:sz w:val="28"/>
          <w:szCs w:val="28"/>
          <w:highlight w:val="none"/>
          <w:u w:val="single"/>
        </w:rPr>
        <w:t>、总承包项目经理、注册造价工程师签字的竣工结算报告及完整、有效的结算资料。资料包括送审资料清单、结算汇总表、各项结算调整的依据、内容及费用、已经发包人确认的竣工图（一式</w:t>
      </w:r>
      <w:r>
        <w:rPr>
          <w:rFonts w:hint="eastAsia" w:ascii="仿宋_GB2312" w:eastAsia="仿宋_GB2312"/>
          <w:color w:val="auto"/>
          <w:sz w:val="28"/>
          <w:szCs w:val="28"/>
          <w:highlight w:val="none"/>
          <w:u w:val="single"/>
          <w:lang w:eastAsia="zh-CN"/>
        </w:rPr>
        <w:t>四</w:t>
      </w:r>
      <w:r>
        <w:rPr>
          <w:rFonts w:hint="eastAsia" w:ascii="仿宋_GB2312" w:eastAsia="仿宋_GB2312"/>
          <w:color w:val="auto"/>
          <w:sz w:val="28"/>
          <w:szCs w:val="28"/>
          <w:highlight w:val="none"/>
          <w:u w:val="single"/>
        </w:rPr>
        <w:t>份）、已办妥“质量保修书”、已办妥资料归档手续等并提供相应证明材料。在工程结算审核过程中，承包人不得再增加任何结算资料（图纸、签证变更单、价格凭证等）。在结算审核中发现结算资料无效或不完整的，费用将不予计取，审价延误的责任由承包人承担。</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承包人提供竣工图的约定：工程交付使用后，提供按《建设工程文件归档整理规范》（</w:t>
      </w:r>
      <w:r>
        <w:rPr>
          <w:rFonts w:ascii="仿宋_GB2312" w:eastAsia="仿宋_GB2312"/>
          <w:color w:val="auto"/>
          <w:sz w:val="28"/>
          <w:szCs w:val="28"/>
          <w:highlight w:val="none"/>
          <w:u w:val="single"/>
        </w:rPr>
        <w:t>GB/T50328-2001）和</w:t>
      </w:r>
      <w:r>
        <w:rPr>
          <w:rFonts w:hint="eastAsia" w:ascii="仿宋_GB2312" w:eastAsia="仿宋_GB2312"/>
          <w:color w:val="auto"/>
          <w:sz w:val="28"/>
          <w:szCs w:val="28"/>
          <w:highlight w:val="none"/>
          <w:u w:val="single"/>
        </w:rPr>
        <w:t>湖州</w:t>
      </w:r>
      <w:r>
        <w:rPr>
          <w:rFonts w:ascii="仿宋_GB2312" w:eastAsia="仿宋_GB2312"/>
          <w:color w:val="auto"/>
          <w:sz w:val="28"/>
          <w:szCs w:val="28"/>
          <w:highlight w:val="none"/>
          <w:u w:val="single"/>
        </w:rPr>
        <w:t>市城建档案馆进档要求整理的竣工图及施工文件，所发生费用由</w:t>
      </w:r>
      <w:r>
        <w:rPr>
          <w:rFonts w:hint="eastAsia" w:ascii="仿宋_GB2312" w:eastAsia="仿宋_GB2312"/>
          <w:color w:val="auto"/>
          <w:sz w:val="28"/>
          <w:szCs w:val="28"/>
          <w:highlight w:val="none"/>
          <w:u w:val="single"/>
        </w:rPr>
        <w:t>承包人承担。</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14.5.2 </w:t>
      </w:r>
      <w:r>
        <w:rPr>
          <w:rFonts w:hint="eastAsia" w:ascii="仿宋_GB2312" w:eastAsia="仿宋_GB2312"/>
          <w:color w:val="auto"/>
          <w:sz w:val="28"/>
          <w:szCs w:val="28"/>
          <w:highlight w:val="none"/>
        </w:rPr>
        <w:t>竣工结算审核</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（1）竣工结算价由14.1条合同价格、13.3条变更价款和13.8条市场价格波动组成。</w:t>
      </w:r>
      <w:r>
        <w:rPr>
          <w:rFonts w:hint="eastAsia" w:ascii="仿宋_GB2312" w:eastAsia="仿宋_GB2312"/>
          <w:b/>
          <w:bCs/>
          <w:color w:val="auto"/>
          <w:sz w:val="28"/>
          <w:szCs w:val="28"/>
          <w:highlight w:val="none"/>
          <w:u w:val="single"/>
        </w:rPr>
        <w:t>本工程在结算和审计时，对符合工程总承包合同约定包干部分不再另行审计。</w:t>
      </w:r>
      <w:r>
        <w:rPr>
          <w:rFonts w:hint="eastAsia" w:ascii="仿宋_GB2312" w:eastAsia="仿宋_GB2312"/>
          <w:color w:val="auto"/>
          <w:sz w:val="28"/>
          <w:szCs w:val="28"/>
          <w:highlight w:val="none"/>
          <w:u w:val="single"/>
        </w:rPr>
        <w:t>在工程结算审核（审计）时，固定总价部分不再重新计算工程量和费用，重点审核工程项目的建设规模、标准及所用的主要材料、设备等是否满足《发包人要求》，以及是否符合合同的风险条款约定。</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发包人根据国家造价管理的有关规定以发包人委托的第三方审计机构审定的工程结算额，与承包人办理最终工程价款结算手续。结算审核产生的审计费由发包人支付审核基本费，由承包人按《浙价服〔2009〕84号》文件规定支付审核追加费及核增部分费用。如为国家直审或复审项目，结算价格及审核费以财政局、审计局出具的审计报告为准，结算审核相关费用按国家审计成本收费规定计取，发包人支付审核基本取费部分，剩余的审核费均由承包人支付，并由发包人从应付工程价款中扣缴。</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工程最终结算价款以发包人委托的审核单位审定后所出具的审核报告确定的为准。本项目采用限额设计、限额施工。项目结算时，建安费结算价不得超过建筑安装工程费最高投标限价，否则一旦超过，无论何种原因，发包人最高按建筑安装工程费最高投标限价予以支付，不足部分由承包人承担。</w:t>
      </w:r>
    </w:p>
    <w:p>
      <w:pPr>
        <w:pStyle w:val="2"/>
        <w:ind w:firstLine="280"/>
        <w:rPr>
          <w:rFonts w:ascii="仿宋_GB2312" w:eastAsia="仿宋_GB2312"/>
          <w:color w:val="auto"/>
          <w:sz w:val="28"/>
          <w:szCs w:val="28"/>
          <w:highlight w:val="none"/>
          <w:u w:val="single"/>
        </w:rPr>
      </w:pPr>
      <w:r>
        <w:rPr>
          <w:rFonts w:hint="eastAsia" w:ascii="仿宋_GB2312" w:hAnsi="宋体" w:eastAsia="仿宋_GB2312"/>
          <w:color w:val="auto"/>
          <w:sz w:val="28"/>
          <w:szCs w:val="28"/>
          <w:highlight w:val="none"/>
          <w:u w:val="single"/>
        </w:rPr>
        <w:t>（3）在竣工结算价款依据最终审核报告确定后的30日内，承包人应提供收款明细表和财务凭证，会同发包人对已经支付的工程价款、未付的工程结算价款进行对</w:t>
      </w:r>
      <w:r>
        <w:rPr>
          <w:rFonts w:hint="eastAsia" w:ascii="仿宋_GB2312" w:hAnsi="宋体" w:eastAsia="仿宋_GB2312"/>
          <w:color w:val="auto"/>
          <w:sz w:val="28"/>
          <w:szCs w:val="28"/>
          <w:highlight w:val="none"/>
          <w:u w:val="single"/>
          <w:lang w:eastAsia="zh-CN"/>
        </w:rPr>
        <w:t>账</w:t>
      </w:r>
      <w:r>
        <w:rPr>
          <w:rFonts w:hint="eastAsia" w:ascii="仿宋_GB2312" w:hAnsi="宋体" w:eastAsia="仿宋_GB2312"/>
          <w:color w:val="auto"/>
          <w:sz w:val="28"/>
          <w:szCs w:val="28"/>
          <w:highlight w:val="none"/>
          <w:u w:val="single"/>
        </w:rPr>
        <w:t>并确认，多退少补；发包人保留最终工程建安费结算价款的2.5%作为工程质量</w:t>
      </w:r>
      <w:r>
        <w:rPr>
          <w:rFonts w:hint="eastAsia" w:ascii="仿宋_GB2312" w:eastAsia="仿宋_GB2312"/>
          <w:color w:val="auto"/>
          <w:sz w:val="28"/>
          <w:szCs w:val="28"/>
          <w:highlight w:val="none"/>
          <w:u w:val="single"/>
        </w:rPr>
        <w:t>保证</w:t>
      </w:r>
      <w:r>
        <w:rPr>
          <w:rFonts w:hint="eastAsia" w:ascii="仿宋_GB2312" w:hAnsi="宋体" w:eastAsia="仿宋_GB2312"/>
          <w:color w:val="auto"/>
          <w:sz w:val="28"/>
          <w:szCs w:val="28"/>
          <w:highlight w:val="none"/>
          <w:u w:val="single"/>
        </w:rPr>
        <w:t>金（如发包人为承包人代垫审核服务费、施工现场水电费等，可在付款时等额扣除）。</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14.6 </w:t>
      </w:r>
      <w:r>
        <w:rPr>
          <w:rFonts w:hint="eastAsia" w:ascii="黑体" w:hAnsi="黑体" w:eastAsia="黑体"/>
          <w:color w:val="auto"/>
          <w:sz w:val="28"/>
          <w:szCs w:val="28"/>
          <w:highlight w:val="none"/>
        </w:rPr>
        <w:t>质量保证金</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14.6.1 </w:t>
      </w:r>
      <w:r>
        <w:rPr>
          <w:rFonts w:hint="eastAsia" w:ascii="仿宋_GB2312" w:eastAsia="仿宋_GB2312"/>
          <w:color w:val="auto"/>
          <w:sz w:val="28"/>
          <w:szCs w:val="28"/>
          <w:highlight w:val="none"/>
        </w:rPr>
        <w:t>承包人提供质量保证金的方式</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质量</w:t>
      </w:r>
      <w:r>
        <w:rPr>
          <w:rFonts w:hint="eastAsia" w:ascii="仿宋_GB2312" w:eastAsia="仿宋_GB2312"/>
          <w:color w:val="auto"/>
          <w:sz w:val="28"/>
          <w:szCs w:val="28"/>
          <w:highlight w:val="none"/>
        </w:rPr>
        <w:t>保证金</w:t>
      </w:r>
      <w:r>
        <w:rPr>
          <w:rFonts w:ascii="仿宋_GB2312" w:eastAsia="仿宋_GB2312"/>
          <w:color w:val="auto"/>
          <w:sz w:val="28"/>
          <w:szCs w:val="28"/>
          <w:highlight w:val="none"/>
        </w:rPr>
        <w:t>采用以下</w:t>
      </w:r>
      <w:r>
        <w:rPr>
          <w:rFonts w:hint="eastAsia" w:ascii="仿宋_GB2312" w:eastAsia="仿宋_GB2312"/>
          <w:color w:val="auto"/>
          <w:sz w:val="28"/>
          <w:szCs w:val="28"/>
          <w:highlight w:val="none"/>
        </w:rPr>
        <w:t>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（3）</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种</w:t>
      </w:r>
      <w:r>
        <w:rPr>
          <w:rFonts w:ascii="仿宋_GB2312" w:eastAsia="仿宋_GB2312"/>
          <w:color w:val="auto"/>
          <w:sz w:val="28"/>
          <w:szCs w:val="28"/>
          <w:highlight w:val="none"/>
        </w:rPr>
        <w:t>方式：</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 </w:t>
      </w:r>
      <w:r>
        <w:rPr>
          <w:rFonts w:hint="eastAsia" w:ascii="仿宋_GB2312" w:eastAsia="仿宋_GB2312"/>
          <w:color w:val="auto"/>
          <w:sz w:val="28"/>
          <w:szCs w:val="28"/>
          <w:highlight w:val="none"/>
        </w:rPr>
        <w:t>工程质量保证担保</w:t>
      </w:r>
      <w:r>
        <w:rPr>
          <w:rFonts w:ascii="仿宋_GB2312" w:eastAsia="仿宋_GB2312"/>
          <w:color w:val="auto"/>
          <w:sz w:val="28"/>
          <w:szCs w:val="28"/>
          <w:highlight w:val="none"/>
        </w:rPr>
        <w:t>，保证金额为：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(2)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%的工程款；</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(3) </w:t>
      </w:r>
      <w:r>
        <w:rPr>
          <w:rFonts w:hint="eastAsia" w:ascii="仿宋_GB2312" w:eastAsia="仿宋_GB2312"/>
          <w:color w:val="auto"/>
          <w:sz w:val="28"/>
          <w:szCs w:val="28"/>
          <w:highlight w:val="none"/>
        </w:rPr>
        <w:t>其他方式：</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保留最终工程建安费结算价款的2.5%作为工程质量保证金</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14.6.2 </w:t>
      </w:r>
      <w:r>
        <w:rPr>
          <w:rFonts w:hint="eastAsia" w:ascii="仿宋_GB2312" w:eastAsia="仿宋_GB2312"/>
          <w:color w:val="auto"/>
          <w:sz w:val="28"/>
          <w:szCs w:val="28"/>
          <w:highlight w:val="none"/>
        </w:rPr>
        <w:t>质量保证金的预留</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质量</w:t>
      </w:r>
      <w:r>
        <w:rPr>
          <w:rFonts w:hint="eastAsia" w:ascii="仿宋_GB2312" w:eastAsia="仿宋_GB2312"/>
          <w:color w:val="auto"/>
          <w:sz w:val="28"/>
          <w:szCs w:val="28"/>
          <w:highlight w:val="none"/>
        </w:rPr>
        <w:t>保证金</w:t>
      </w:r>
      <w:r>
        <w:rPr>
          <w:rFonts w:ascii="仿宋_GB2312" w:eastAsia="仿宋_GB2312"/>
          <w:color w:val="auto"/>
          <w:sz w:val="28"/>
          <w:szCs w:val="28"/>
          <w:highlight w:val="none"/>
        </w:rPr>
        <w:t>的预留采取以下第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（2）</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种</w:t>
      </w:r>
      <w:r>
        <w:rPr>
          <w:rFonts w:ascii="仿宋_GB2312" w:eastAsia="仿宋_GB2312"/>
          <w:color w:val="auto"/>
          <w:sz w:val="28"/>
          <w:szCs w:val="28"/>
          <w:highlight w:val="none"/>
        </w:rPr>
        <w:t>方式：</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(1) 在支付工程进度款时逐次预留</w:t>
      </w:r>
      <w:r>
        <w:rPr>
          <w:rFonts w:hint="eastAsia" w:ascii="仿宋_GB2312" w:eastAsia="仿宋_GB2312"/>
          <w:color w:val="auto"/>
          <w:sz w:val="28"/>
          <w:szCs w:val="28"/>
          <w:highlight w:val="none"/>
        </w:rPr>
        <w:t>的质量保证金的比例：</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，在此情形下，质量</w:t>
      </w:r>
      <w:r>
        <w:rPr>
          <w:rFonts w:hint="eastAsia" w:ascii="仿宋_GB2312" w:eastAsia="仿宋_GB2312"/>
          <w:color w:val="auto"/>
          <w:sz w:val="28"/>
          <w:szCs w:val="28"/>
          <w:highlight w:val="none"/>
        </w:rPr>
        <w:t>保证金</w:t>
      </w:r>
      <w:r>
        <w:rPr>
          <w:rFonts w:ascii="仿宋_GB2312" w:eastAsia="仿宋_GB2312"/>
          <w:color w:val="auto"/>
          <w:sz w:val="28"/>
          <w:szCs w:val="28"/>
          <w:highlight w:val="none"/>
        </w:rPr>
        <w:t>的计算基数不包括预付款的支付、扣回以及价格调整的金额；</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(2) 工程竣工结算时一次性预留</w:t>
      </w:r>
      <w:r>
        <w:rPr>
          <w:rFonts w:hint="eastAsia" w:ascii="仿宋_GB2312" w:eastAsia="仿宋_GB2312"/>
          <w:color w:val="auto"/>
          <w:sz w:val="28"/>
          <w:szCs w:val="28"/>
          <w:highlight w:val="none"/>
        </w:rPr>
        <w:t>专用合同条件第</w:t>
      </w:r>
      <w:r>
        <w:rPr>
          <w:rFonts w:ascii="仿宋_GB2312" w:eastAsia="仿宋_GB2312"/>
          <w:color w:val="auto"/>
          <w:sz w:val="28"/>
          <w:szCs w:val="28"/>
          <w:highlight w:val="none"/>
        </w:rPr>
        <w:t>14.6.1</w:t>
      </w:r>
      <w:r>
        <w:rPr>
          <w:rFonts w:hint="eastAsia" w:ascii="仿宋_GB2312" w:eastAsia="仿宋_GB2312"/>
          <w:color w:val="auto"/>
          <w:sz w:val="28"/>
          <w:szCs w:val="28"/>
          <w:highlight w:val="none"/>
        </w:rPr>
        <w:t>项第</w:t>
      </w:r>
      <w:r>
        <w:rPr>
          <w:rFonts w:ascii="仿宋_GB2312" w:eastAsia="仿宋_GB2312"/>
          <w:color w:val="auto"/>
          <w:sz w:val="28"/>
          <w:szCs w:val="28"/>
          <w:highlight w:val="none"/>
        </w:rPr>
        <w:t>(2)</w:t>
      </w:r>
      <w:r>
        <w:rPr>
          <w:rFonts w:hint="eastAsia" w:ascii="仿宋_GB2312" w:eastAsia="仿宋_GB2312"/>
          <w:color w:val="auto"/>
          <w:sz w:val="28"/>
          <w:szCs w:val="28"/>
          <w:highlight w:val="none"/>
        </w:rPr>
        <w:t>目约定的工程款预留比例的</w:t>
      </w:r>
      <w:r>
        <w:rPr>
          <w:rFonts w:ascii="仿宋_GB2312" w:eastAsia="仿宋_GB2312"/>
          <w:color w:val="auto"/>
          <w:sz w:val="28"/>
          <w:szCs w:val="28"/>
          <w:highlight w:val="none"/>
        </w:rPr>
        <w:t>质量</w:t>
      </w:r>
      <w:r>
        <w:rPr>
          <w:rFonts w:hint="eastAsia" w:ascii="仿宋_GB2312" w:eastAsia="仿宋_GB2312"/>
          <w:color w:val="auto"/>
          <w:sz w:val="28"/>
          <w:szCs w:val="28"/>
          <w:highlight w:val="none"/>
        </w:rPr>
        <w:t>保证金</w:t>
      </w:r>
      <w:r>
        <w:rPr>
          <w:rFonts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(3) 其他预留方式:</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关于质量保证金的补充约定：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工程竣工验收合格缺陷责任期满后并回访质量符合要求后，退还质量保证金（不计息），退款应扣除已发生的修理费用，赔偿金等款项（如有）。</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14.7 </w:t>
      </w:r>
      <w:r>
        <w:rPr>
          <w:rFonts w:hint="eastAsia" w:ascii="黑体" w:hAnsi="黑体" w:eastAsia="黑体"/>
          <w:color w:val="auto"/>
          <w:sz w:val="28"/>
          <w:szCs w:val="28"/>
          <w:highlight w:val="none"/>
        </w:rPr>
        <w:t>最终结清</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14.7.1 </w:t>
      </w:r>
      <w:r>
        <w:rPr>
          <w:rFonts w:hint="eastAsia" w:ascii="仿宋_GB2312" w:eastAsia="仿宋_GB2312"/>
          <w:color w:val="auto"/>
          <w:sz w:val="28"/>
          <w:szCs w:val="28"/>
          <w:highlight w:val="none"/>
        </w:rPr>
        <w:t>最终结清申请单</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当事人双方关于最终结清申请的其他约定：</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14.7.2 </w:t>
      </w:r>
      <w:r>
        <w:rPr>
          <w:rFonts w:hint="eastAsia" w:ascii="仿宋_GB2312" w:eastAsia="仿宋_GB2312"/>
          <w:color w:val="auto"/>
          <w:sz w:val="28"/>
          <w:szCs w:val="28"/>
          <w:highlight w:val="none"/>
        </w:rPr>
        <w:t>最终结清证书和支付</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当事人双方关于最终结清支付的其他约定：</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212" w:name="_Toc2005"/>
      <w:bookmarkStart w:id="213" w:name="_Toc54862346"/>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15条</w:t>
      </w:r>
      <w:r>
        <w:rPr>
          <w:rFonts w:hint="eastAsia" w:ascii="黑体" w:hAnsi="黑体" w:eastAsia="黑体"/>
          <w:b w:val="0"/>
          <w:color w:val="auto"/>
          <w:sz w:val="28"/>
          <w:szCs w:val="28"/>
          <w:highlight w:val="none"/>
        </w:rPr>
        <w:t xml:space="preserve"> 违约</w:t>
      </w:r>
      <w:bookmarkEnd w:id="212"/>
      <w:bookmarkEnd w:id="213"/>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15.1 </w:t>
      </w:r>
      <w:r>
        <w:rPr>
          <w:rFonts w:hint="eastAsia" w:ascii="黑体" w:hAnsi="黑体" w:eastAsia="黑体"/>
          <w:color w:val="auto"/>
          <w:sz w:val="28"/>
          <w:szCs w:val="28"/>
          <w:highlight w:val="none"/>
        </w:rPr>
        <w:t>发包人违约</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15.1.1 </w:t>
      </w:r>
      <w:r>
        <w:rPr>
          <w:rFonts w:hint="eastAsia" w:ascii="仿宋_GB2312" w:eastAsia="仿宋_GB2312"/>
          <w:color w:val="auto"/>
          <w:sz w:val="28"/>
          <w:szCs w:val="28"/>
          <w:highlight w:val="none"/>
        </w:rPr>
        <w:t>发包人违约的情形</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发包人违约的其他情形</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15.1.3 </w:t>
      </w:r>
      <w:r>
        <w:rPr>
          <w:rFonts w:hint="eastAsia" w:ascii="仿宋_GB2312" w:eastAsia="仿宋_GB2312"/>
          <w:color w:val="auto"/>
          <w:sz w:val="28"/>
          <w:szCs w:val="28"/>
          <w:highlight w:val="none"/>
        </w:rPr>
        <w:t>发包人违约的责任</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发包人违约</w:t>
      </w:r>
      <w:r>
        <w:rPr>
          <w:rFonts w:ascii="仿宋_GB2312" w:eastAsia="仿宋_GB2312"/>
          <w:color w:val="auto"/>
          <w:sz w:val="28"/>
          <w:szCs w:val="28"/>
          <w:highlight w:val="none"/>
        </w:rPr>
        <w:t>责任</w:t>
      </w:r>
      <w:r>
        <w:rPr>
          <w:rFonts w:hint="eastAsia" w:ascii="仿宋_GB2312" w:eastAsia="仿宋_GB2312"/>
          <w:color w:val="auto"/>
          <w:sz w:val="28"/>
          <w:szCs w:val="28"/>
          <w:highlight w:val="none"/>
        </w:rPr>
        <w:t>的</w:t>
      </w:r>
      <w:r>
        <w:rPr>
          <w:rFonts w:ascii="仿宋_GB2312" w:eastAsia="仿宋_GB2312"/>
          <w:color w:val="auto"/>
          <w:sz w:val="28"/>
          <w:szCs w:val="28"/>
          <w:highlight w:val="none"/>
        </w:rPr>
        <w:t>承担方式</w:t>
      </w:r>
      <w:r>
        <w:rPr>
          <w:rFonts w:hint="eastAsia" w:ascii="仿宋_GB2312" w:eastAsia="仿宋_GB2312"/>
          <w:color w:val="auto"/>
          <w:sz w:val="28"/>
          <w:szCs w:val="28"/>
          <w:highlight w:val="none"/>
        </w:rPr>
        <w:t>和</w:t>
      </w:r>
      <w:r>
        <w:rPr>
          <w:rFonts w:ascii="仿宋_GB2312" w:eastAsia="仿宋_GB2312"/>
          <w:color w:val="auto"/>
          <w:sz w:val="28"/>
          <w:szCs w:val="28"/>
          <w:highlight w:val="none"/>
        </w:rPr>
        <w:t>计算方法</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15.2 </w:t>
      </w:r>
      <w:r>
        <w:rPr>
          <w:rFonts w:hint="eastAsia" w:ascii="黑体" w:hAnsi="黑体" w:eastAsia="黑体"/>
          <w:color w:val="auto"/>
          <w:sz w:val="28"/>
          <w:szCs w:val="28"/>
          <w:highlight w:val="none"/>
        </w:rPr>
        <w:t>承包人违约</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15.2.1 </w:t>
      </w:r>
      <w:r>
        <w:rPr>
          <w:rFonts w:hint="eastAsia" w:ascii="仿宋_GB2312" w:eastAsia="仿宋_GB2312"/>
          <w:color w:val="auto"/>
          <w:sz w:val="28"/>
          <w:szCs w:val="28"/>
          <w:highlight w:val="none"/>
        </w:rPr>
        <w:t>承包人违约的情形</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承包人违约的其他情形：</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15.2.2 </w:t>
      </w:r>
      <w:r>
        <w:rPr>
          <w:rFonts w:hint="eastAsia" w:ascii="仿宋_GB2312" w:eastAsia="仿宋_GB2312"/>
          <w:color w:val="auto"/>
          <w:sz w:val="28"/>
          <w:szCs w:val="28"/>
          <w:highlight w:val="none"/>
        </w:rPr>
        <w:t>通知改正</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工程师通知承包人改正的合理期限是：</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15.2.3 </w:t>
      </w:r>
      <w:r>
        <w:rPr>
          <w:rFonts w:hint="eastAsia" w:ascii="仿宋_GB2312" w:eastAsia="仿宋_GB2312"/>
          <w:color w:val="auto"/>
          <w:sz w:val="28"/>
          <w:szCs w:val="28"/>
          <w:highlight w:val="none"/>
        </w:rPr>
        <w:t>承包人违约的责任</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承包人违约</w:t>
      </w:r>
      <w:r>
        <w:rPr>
          <w:rFonts w:ascii="仿宋_GB2312" w:eastAsia="仿宋_GB2312"/>
          <w:color w:val="auto"/>
          <w:sz w:val="28"/>
          <w:szCs w:val="28"/>
          <w:highlight w:val="none"/>
        </w:rPr>
        <w:t>责任</w:t>
      </w:r>
      <w:r>
        <w:rPr>
          <w:rFonts w:hint="eastAsia" w:ascii="仿宋_GB2312" w:eastAsia="仿宋_GB2312"/>
          <w:color w:val="auto"/>
          <w:sz w:val="28"/>
          <w:szCs w:val="28"/>
          <w:highlight w:val="none"/>
        </w:rPr>
        <w:t>的</w:t>
      </w:r>
      <w:r>
        <w:rPr>
          <w:rFonts w:ascii="仿宋_GB2312" w:eastAsia="仿宋_GB2312"/>
          <w:color w:val="auto"/>
          <w:sz w:val="28"/>
          <w:szCs w:val="28"/>
          <w:highlight w:val="none"/>
        </w:rPr>
        <w:t>承担方式</w:t>
      </w:r>
      <w:r>
        <w:rPr>
          <w:rFonts w:hint="eastAsia" w:ascii="仿宋_GB2312" w:eastAsia="仿宋_GB2312"/>
          <w:color w:val="auto"/>
          <w:sz w:val="28"/>
          <w:szCs w:val="28"/>
          <w:highlight w:val="none"/>
        </w:rPr>
        <w:t>和</w:t>
      </w:r>
      <w:r>
        <w:rPr>
          <w:rFonts w:ascii="仿宋_GB2312" w:eastAsia="仿宋_GB2312"/>
          <w:color w:val="auto"/>
          <w:sz w:val="28"/>
          <w:szCs w:val="28"/>
          <w:highlight w:val="none"/>
        </w:rPr>
        <w:t>计算方法</w:t>
      </w:r>
      <w:r>
        <w:rPr>
          <w:rFonts w:hint="eastAsia" w:ascii="仿宋_GB2312" w:eastAsia="仿宋_GB2312"/>
          <w:color w:val="auto"/>
          <w:sz w:val="28"/>
          <w:szCs w:val="28"/>
          <w:highlight w:val="none"/>
        </w:rPr>
        <w:t>：</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1）因承包人原因导致工程质量不符合合格标准的，承包人必须自费返工至约定质量标准；因承包人原因无法使工程一次性验收合格的，将扣罚全额质量履约保证金；对多次返工仍达不到约定质量标准的工程，发包人有权聘请第三方进场施工该部分工程，使其质量达到约定质量等级，第三方修复费用由发包人从承包人的工程款项中扣除，工程款不够扣除的，作为承包人对发包人的债务（含中国人民银行同期活期存款利率）。工程质量不合格返工使工程逾期完成或第三方重新修建使工程逾期，承包人必须承担逾期完工的违约金，在应付工程款中扣除，工程款不够扣除的，作为承包人对发包人的债务（含中国人民银行同期活期存款利率）。承包人应按投标文件中承诺工期完成。如由于承包人原因而引起延期承诺工期，承包人则按每延期一天承担工程造价的万分之一的违约金。因发包人原因造成的工期延误，工期可以顺延，但承包人不得以此为由向发包人提出任何形式的索赔或补偿。</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（2）安全施工、文明施工及环境保护按照国家及浙江省相关文件要求执行。</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（3）如承包人不按合同要求执行发包人指令的，发包人有权解除合同，由此引起的直接、间接经济损失均由承包人负责。</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4）承包人违反合同约定采购和使用不合格的材料和工程设备的，一经发现，发包人或监理人有权制止使用，直至停工、返工或终止合同。无论发包人及监理人是否发现和制止，由于使用劣质材料施工所引起的一切责任及所发生的费用经监理人及发包人确认后，均由承包人自负；若发现承包人以“仿冒品牌”、 “借用品牌”等贴牌产品、以伪劣产品充抵或与发包人确认的材料设备不符，发包人有权让承包人更换直到发包人和监理工程师确认验收合格，并按该批材料、设备价格总额的20%对承包人进行罚款，由发包人从合同价款中直接扣抵。</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5）施工中，承包人已申请监理人或发包人进行中间工序验收，经监理人或发包人检查，发现承包人申请验收的工序存在严重失误，遗漏施工项目或与施工图纸有较大偏差，施工后会造成严重质量问题的，发包人有权要求承包人应无条件及时处理并支付不少于人民币5000元/次的违约金，违约金从履约保证金中扣除。</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（6）承包人在施工过程中，安全、质量受到当地政府相关部门的行政处罚，也应当向发包人支付同等金额的罚金。</w:t>
      </w:r>
    </w:p>
    <w:p>
      <w:pPr>
        <w:ind w:firstLine="600"/>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7）如承包人有转让（转包）、违法分包或者挂靠行为的，发包人有权终止合同，由此产生的损失由承包人自行承担，并按《中华人民共和国建筑法》、《中华人民共和国招标投标法》、《建设工程质量管理条例》等有关法律进行严肃处罚。</w:t>
      </w:r>
    </w:p>
    <w:p>
      <w:pPr>
        <w:pStyle w:val="39"/>
        <w:outlineLvl w:val="2"/>
        <w:rPr>
          <w:rFonts w:ascii="黑体" w:hAnsi="黑体" w:eastAsia="黑体"/>
          <w:b w:val="0"/>
          <w:color w:val="auto"/>
          <w:sz w:val="28"/>
          <w:szCs w:val="28"/>
          <w:highlight w:val="none"/>
        </w:rPr>
      </w:pPr>
      <w:bookmarkStart w:id="214" w:name="_Toc23707"/>
      <w:bookmarkStart w:id="215" w:name="_Toc54862347"/>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16条</w:t>
      </w:r>
      <w:r>
        <w:rPr>
          <w:rFonts w:hint="eastAsia" w:ascii="黑体" w:hAnsi="黑体" w:eastAsia="黑体"/>
          <w:b w:val="0"/>
          <w:color w:val="auto"/>
          <w:sz w:val="28"/>
          <w:szCs w:val="28"/>
          <w:highlight w:val="none"/>
        </w:rPr>
        <w:t xml:space="preserve"> 合同解除</w:t>
      </w:r>
      <w:bookmarkEnd w:id="214"/>
      <w:bookmarkEnd w:id="215"/>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16.1 </w:t>
      </w:r>
      <w:r>
        <w:rPr>
          <w:rFonts w:hint="eastAsia" w:ascii="黑体" w:hAnsi="黑体" w:eastAsia="黑体"/>
          <w:color w:val="auto"/>
          <w:sz w:val="28"/>
          <w:szCs w:val="28"/>
          <w:highlight w:val="none"/>
        </w:rPr>
        <w:t>由发包人解除合同</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16.1.1 </w:t>
      </w:r>
      <w:r>
        <w:rPr>
          <w:rFonts w:hint="eastAsia" w:ascii="仿宋_GB2312" w:eastAsia="仿宋_GB2312"/>
          <w:color w:val="auto"/>
          <w:sz w:val="28"/>
          <w:szCs w:val="28"/>
          <w:highlight w:val="none"/>
        </w:rPr>
        <w:t>因承包人违约解除合同</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双方约定可由发包人解除合同的其他事由：</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16.2 </w:t>
      </w:r>
      <w:r>
        <w:rPr>
          <w:rFonts w:hint="eastAsia" w:ascii="黑体" w:hAnsi="黑体" w:eastAsia="黑体"/>
          <w:color w:val="auto"/>
          <w:sz w:val="28"/>
          <w:szCs w:val="28"/>
          <w:highlight w:val="none"/>
        </w:rPr>
        <w:t>由承包人解除合同</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16.2.1 </w:t>
      </w:r>
      <w:r>
        <w:rPr>
          <w:rFonts w:hint="eastAsia" w:ascii="仿宋_GB2312" w:eastAsia="仿宋_GB2312"/>
          <w:color w:val="auto"/>
          <w:sz w:val="28"/>
          <w:szCs w:val="28"/>
          <w:highlight w:val="none"/>
        </w:rPr>
        <w:t>因发包人违约解除合同</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双方约定可由承包人解除合同的其他事由：</w:t>
      </w:r>
      <w:r>
        <w:rPr>
          <w:rFonts w:hint="eastAsia" w:ascii="仿宋_GB2312" w:eastAsia="仿宋_GB2312"/>
          <w:color w:val="auto"/>
          <w:sz w:val="28"/>
          <w:szCs w:val="28"/>
          <w:highlight w:val="none"/>
          <w:u w:val="single"/>
        </w:rPr>
        <w:t>按通用合同条件执行</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216" w:name="_Toc54862348"/>
      <w:bookmarkStart w:id="217" w:name="_Toc5901"/>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17条</w:t>
      </w:r>
      <w:r>
        <w:rPr>
          <w:rFonts w:hint="eastAsia" w:ascii="黑体" w:hAnsi="黑体" w:eastAsia="黑体"/>
          <w:b w:val="0"/>
          <w:color w:val="auto"/>
          <w:sz w:val="28"/>
          <w:szCs w:val="28"/>
          <w:highlight w:val="none"/>
        </w:rPr>
        <w:t xml:space="preserve"> 不可抗力</w:t>
      </w:r>
      <w:bookmarkEnd w:id="216"/>
      <w:bookmarkEnd w:id="217"/>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17.1 </w:t>
      </w:r>
      <w:r>
        <w:rPr>
          <w:rFonts w:hint="eastAsia" w:ascii="黑体" w:hAnsi="黑体" w:eastAsia="黑体"/>
          <w:color w:val="auto"/>
          <w:sz w:val="28"/>
          <w:szCs w:val="28"/>
          <w:highlight w:val="none"/>
        </w:rPr>
        <w:t>不可抗力的定义</w:t>
      </w:r>
    </w:p>
    <w:p>
      <w:pPr>
        <w:ind w:firstLine="600"/>
        <w:rPr>
          <w:rFonts w:hint="eastAsia" w:ascii="仿宋_GB2312" w:eastAsia="仿宋_GB2312"/>
          <w:color w:val="auto"/>
          <w:sz w:val="28"/>
          <w:szCs w:val="28"/>
          <w:highlight w:val="none"/>
          <w:u w:val="single"/>
        </w:rPr>
      </w:pPr>
      <w:r>
        <w:rPr>
          <w:rFonts w:ascii="仿宋_GB2312" w:eastAsia="仿宋_GB2312"/>
          <w:color w:val="auto"/>
          <w:sz w:val="28"/>
          <w:szCs w:val="28"/>
          <w:highlight w:val="none"/>
        </w:rPr>
        <w:t>除通用合同条件约定的不可抗力事件之外，视为不可抗力的其他情形：</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1）战争、敌对行动（不论宣战与否）、入侵、外敌行为；（2）叛乱、恐怖主义、革命、暴动、军事政变或篡夺政权、内乱；（3）战争军火、爆炸物资、电离辐射或放射性污染；（4）地震、海啸等自然灾害；（5）传染病爆发、瘟疫；（6）火灾、空中飞行物坠落等其他非发包人承包人原因引发的后果；（7）社会异常事件；（8）禁运、禁止令或政府的其他限制政令；（9）国家法律法规变化。</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17.6 </w:t>
      </w:r>
      <w:r>
        <w:rPr>
          <w:rFonts w:hint="eastAsia" w:ascii="黑体" w:hAnsi="黑体" w:eastAsia="黑体"/>
          <w:color w:val="auto"/>
          <w:sz w:val="28"/>
          <w:szCs w:val="28"/>
          <w:highlight w:val="none"/>
        </w:rPr>
        <w:t>因不可抗力解除合同</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合同解除后，发包人应</w:t>
      </w:r>
      <w:r>
        <w:rPr>
          <w:rFonts w:hint="eastAsia" w:ascii="仿宋_GB2312" w:eastAsia="仿宋_GB2312"/>
          <w:color w:val="auto"/>
          <w:sz w:val="28"/>
          <w:szCs w:val="28"/>
          <w:highlight w:val="none"/>
        </w:rPr>
        <w:t>当</w:t>
      </w:r>
      <w:r>
        <w:rPr>
          <w:rFonts w:ascii="仿宋_GB2312" w:eastAsia="仿宋_GB2312"/>
          <w:color w:val="auto"/>
          <w:sz w:val="28"/>
          <w:szCs w:val="28"/>
          <w:highlight w:val="none"/>
        </w:rPr>
        <w:t>在商定或确定发包人应支付款项后</w:t>
      </w:r>
      <w:r>
        <w:rPr>
          <w:rFonts w:hint="eastAsia" w:ascii="仿宋_GB2312" w:eastAsia="仿宋_GB2312"/>
          <w:color w:val="auto"/>
          <w:sz w:val="28"/>
          <w:szCs w:val="28"/>
          <w:highlight w:val="none"/>
        </w:rPr>
        <w:t>的</w:t>
      </w:r>
      <w:r>
        <w:rPr>
          <w:rFonts w:hint="eastAsia" w:ascii="仿宋_GB2312" w:eastAsia="仿宋_GB2312"/>
          <w:color w:val="auto"/>
          <w:sz w:val="28"/>
          <w:szCs w:val="28"/>
          <w:highlight w:val="none"/>
          <w:u w:val="single"/>
        </w:rPr>
        <w:t xml:space="preserve"> 28</w:t>
      </w:r>
      <w:r>
        <w:rPr>
          <w:rFonts w:ascii="仿宋_GB2312" w:eastAsia="仿宋_GB2312"/>
          <w:color w:val="auto"/>
          <w:sz w:val="28"/>
          <w:szCs w:val="28"/>
          <w:highlight w:val="none"/>
        </w:rPr>
        <w:t>天内完成款项的支付。</w:t>
      </w:r>
    </w:p>
    <w:p>
      <w:pPr>
        <w:pStyle w:val="39"/>
        <w:outlineLvl w:val="2"/>
        <w:rPr>
          <w:rFonts w:ascii="黑体" w:hAnsi="黑体" w:eastAsia="黑体"/>
          <w:b w:val="0"/>
          <w:color w:val="auto"/>
          <w:sz w:val="28"/>
          <w:szCs w:val="28"/>
          <w:highlight w:val="none"/>
        </w:rPr>
      </w:pPr>
      <w:bookmarkStart w:id="218" w:name="_Toc4784276"/>
      <w:bookmarkEnd w:id="218"/>
      <w:bookmarkStart w:id="219" w:name="_Toc4784277"/>
      <w:bookmarkEnd w:id="219"/>
      <w:bookmarkStart w:id="220" w:name="_Toc32537"/>
      <w:bookmarkStart w:id="221" w:name="_Toc54862349"/>
      <w:r>
        <w:rPr>
          <w:rFonts w:hint="eastAsia" w:ascii="黑体" w:hAnsi="黑体" w:eastAsia="黑体"/>
          <w:b w:val="0"/>
          <w:color w:val="auto"/>
          <w:sz w:val="28"/>
          <w:szCs w:val="28"/>
          <w:highlight w:val="none"/>
        </w:rPr>
        <w:t>第1</w:t>
      </w:r>
      <w:r>
        <w:rPr>
          <w:rFonts w:ascii="黑体" w:hAnsi="黑体" w:eastAsia="黑体"/>
          <w:b w:val="0"/>
          <w:color w:val="auto"/>
          <w:sz w:val="28"/>
          <w:szCs w:val="28"/>
          <w:highlight w:val="none"/>
        </w:rPr>
        <w:t>8</w:t>
      </w:r>
      <w:r>
        <w:rPr>
          <w:rFonts w:hint="eastAsia" w:ascii="黑体" w:hAnsi="黑体" w:eastAsia="黑体"/>
          <w:b w:val="0"/>
          <w:color w:val="auto"/>
          <w:sz w:val="28"/>
          <w:szCs w:val="28"/>
          <w:highlight w:val="none"/>
        </w:rPr>
        <w:t>条</w:t>
      </w:r>
      <w:r>
        <w:rPr>
          <w:rFonts w:ascii="黑体" w:hAnsi="黑体" w:eastAsia="黑体"/>
          <w:b w:val="0"/>
          <w:color w:val="auto"/>
          <w:sz w:val="28"/>
          <w:szCs w:val="28"/>
          <w:highlight w:val="none"/>
        </w:rPr>
        <w:t xml:space="preserve"> </w:t>
      </w:r>
      <w:r>
        <w:rPr>
          <w:rFonts w:hint="eastAsia" w:ascii="黑体" w:hAnsi="黑体" w:eastAsia="黑体"/>
          <w:b w:val="0"/>
          <w:color w:val="auto"/>
          <w:sz w:val="28"/>
          <w:szCs w:val="28"/>
          <w:highlight w:val="none"/>
        </w:rPr>
        <w:t>保险</w:t>
      </w:r>
      <w:bookmarkEnd w:id="220"/>
      <w:bookmarkEnd w:id="221"/>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18.1 </w:t>
      </w:r>
      <w:r>
        <w:rPr>
          <w:rFonts w:hint="eastAsia" w:ascii="黑体" w:hAnsi="黑体" w:eastAsia="黑体"/>
          <w:color w:val="auto"/>
          <w:sz w:val="28"/>
          <w:szCs w:val="28"/>
          <w:highlight w:val="none"/>
        </w:rPr>
        <w:t>设计和工程保险</w:t>
      </w:r>
    </w:p>
    <w:p>
      <w:pPr>
        <w:ind w:firstLine="6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8.1.1 </w:t>
      </w:r>
      <w:r>
        <w:rPr>
          <w:rFonts w:hint="eastAsia" w:ascii="仿宋_GB2312" w:eastAsia="仿宋_GB2312"/>
          <w:color w:val="auto"/>
          <w:sz w:val="28"/>
          <w:szCs w:val="28"/>
          <w:highlight w:val="none"/>
        </w:rPr>
        <w:t>双方当事人</w:t>
      </w:r>
      <w:r>
        <w:rPr>
          <w:rFonts w:ascii="仿宋_GB2312" w:eastAsia="仿宋_GB2312"/>
          <w:color w:val="auto"/>
          <w:sz w:val="28"/>
          <w:szCs w:val="28"/>
          <w:highlight w:val="none"/>
        </w:rPr>
        <w:t>关于</w:t>
      </w:r>
      <w:r>
        <w:rPr>
          <w:rFonts w:hint="eastAsia" w:ascii="仿宋_GB2312" w:eastAsia="仿宋_GB2312"/>
          <w:color w:val="auto"/>
          <w:sz w:val="28"/>
          <w:szCs w:val="28"/>
          <w:highlight w:val="none"/>
        </w:rPr>
        <w:t>设计和工程保险</w:t>
      </w:r>
      <w:r>
        <w:rPr>
          <w:rFonts w:ascii="仿宋_GB2312" w:eastAsia="仿宋_GB2312"/>
          <w:color w:val="auto"/>
          <w:sz w:val="28"/>
          <w:szCs w:val="28"/>
          <w:highlight w:val="none"/>
        </w:rPr>
        <w:t>的特别</w:t>
      </w:r>
      <w:r>
        <w:rPr>
          <w:rFonts w:hint="eastAsia" w:ascii="仿宋_GB2312" w:eastAsia="仿宋_GB2312"/>
          <w:color w:val="auto"/>
          <w:sz w:val="28"/>
          <w:szCs w:val="28"/>
          <w:highlight w:val="none"/>
        </w:rPr>
        <w:t>约</w:t>
      </w:r>
      <w:r>
        <w:rPr>
          <w:rFonts w:ascii="仿宋_GB2312" w:eastAsia="仿宋_GB2312"/>
          <w:color w:val="auto"/>
          <w:sz w:val="28"/>
          <w:szCs w:val="28"/>
          <w:highlight w:val="none"/>
        </w:rPr>
        <w:t>定</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由承包人负责办理，相关费用已含在合同价中</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8.1.2 </w:t>
      </w:r>
      <w:r>
        <w:rPr>
          <w:rFonts w:hint="eastAsia" w:ascii="仿宋_GB2312" w:eastAsia="仿宋_GB2312"/>
          <w:color w:val="auto"/>
          <w:sz w:val="28"/>
          <w:szCs w:val="28"/>
          <w:highlight w:val="none"/>
        </w:rPr>
        <w:t>双方当事人</w:t>
      </w:r>
      <w:r>
        <w:rPr>
          <w:rFonts w:ascii="仿宋_GB2312" w:eastAsia="仿宋_GB2312"/>
          <w:color w:val="auto"/>
          <w:sz w:val="28"/>
          <w:szCs w:val="28"/>
          <w:highlight w:val="none"/>
        </w:rPr>
        <w:t>关于</w:t>
      </w:r>
      <w:r>
        <w:rPr>
          <w:rFonts w:hint="eastAsia" w:ascii="仿宋_GB2312" w:eastAsia="仿宋_GB2312"/>
          <w:color w:val="auto"/>
          <w:sz w:val="28"/>
          <w:szCs w:val="28"/>
          <w:highlight w:val="none"/>
        </w:rPr>
        <w:t>第三方责任险</w:t>
      </w:r>
      <w:r>
        <w:rPr>
          <w:rFonts w:ascii="仿宋_GB2312" w:eastAsia="仿宋_GB2312"/>
          <w:color w:val="auto"/>
          <w:sz w:val="28"/>
          <w:szCs w:val="28"/>
          <w:highlight w:val="none"/>
        </w:rPr>
        <w:t>的特别</w:t>
      </w:r>
      <w:r>
        <w:rPr>
          <w:rFonts w:hint="eastAsia" w:ascii="仿宋_GB2312" w:eastAsia="仿宋_GB2312"/>
          <w:color w:val="auto"/>
          <w:sz w:val="28"/>
          <w:szCs w:val="28"/>
          <w:highlight w:val="none"/>
        </w:rPr>
        <w:t>约</w:t>
      </w:r>
      <w:r>
        <w:rPr>
          <w:rFonts w:ascii="仿宋_GB2312" w:eastAsia="仿宋_GB2312"/>
          <w:color w:val="auto"/>
          <w:sz w:val="28"/>
          <w:szCs w:val="28"/>
          <w:highlight w:val="none"/>
        </w:rPr>
        <w:t>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由承包人负责办理，相关费用已含在合同价中</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18.2 </w:t>
      </w:r>
      <w:r>
        <w:rPr>
          <w:rFonts w:hint="eastAsia" w:ascii="黑体" w:hAnsi="黑体" w:eastAsia="黑体"/>
          <w:color w:val="auto"/>
          <w:sz w:val="28"/>
          <w:szCs w:val="28"/>
          <w:highlight w:val="none"/>
        </w:rPr>
        <w:t>工伤和意外伤害保险</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8.2.3 关于</w:t>
      </w:r>
      <w:r>
        <w:rPr>
          <w:rFonts w:hint="eastAsia" w:ascii="仿宋_GB2312" w:eastAsia="仿宋_GB2312"/>
          <w:color w:val="auto"/>
          <w:sz w:val="28"/>
          <w:szCs w:val="28"/>
          <w:highlight w:val="none"/>
        </w:rPr>
        <w:t>工伤保险和意外伤害保险</w:t>
      </w:r>
      <w:r>
        <w:rPr>
          <w:rFonts w:ascii="仿宋_GB2312" w:eastAsia="仿宋_GB2312"/>
          <w:color w:val="auto"/>
          <w:sz w:val="28"/>
          <w:szCs w:val="28"/>
          <w:highlight w:val="none"/>
        </w:rPr>
        <w:t>的特别</w:t>
      </w:r>
      <w:r>
        <w:rPr>
          <w:rFonts w:hint="eastAsia" w:ascii="仿宋_GB2312" w:eastAsia="仿宋_GB2312"/>
          <w:color w:val="auto"/>
          <w:sz w:val="28"/>
          <w:szCs w:val="28"/>
          <w:highlight w:val="none"/>
        </w:rPr>
        <w:t>约</w:t>
      </w:r>
      <w:r>
        <w:rPr>
          <w:rFonts w:ascii="仿宋_GB2312" w:eastAsia="仿宋_GB2312"/>
          <w:color w:val="auto"/>
          <w:sz w:val="28"/>
          <w:szCs w:val="28"/>
          <w:highlight w:val="none"/>
        </w:rPr>
        <w:t>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由承包人负责办理，相关费用已含在合同价中</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18.3 </w:t>
      </w:r>
      <w:r>
        <w:rPr>
          <w:rFonts w:hint="eastAsia" w:ascii="黑体" w:hAnsi="黑体" w:eastAsia="黑体"/>
          <w:color w:val="auto"/>
          <w:sz w:val="28"/>
          <w:szCs w:val="28"/>
          <w:highlight w:val="none"/>
        </w:rPr>
        <w:t>货物保险</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关于承包人应为其施工设备、材料、工程设备和临时工程等办理财产</w:t>
      </w:r>
      <w:r>
        <w:rPr>
          <w:rFonts w:ascii="仿宋_GB2312" w:eastAsia="仿宋_GB2312"/>
          <w:color w:val="auto"/>
          <w:sz w:val="28"/>
          <w:szCs w:val="28"/>
          <w:highlight w:val="none"/>
        </w:rPr>
        <w:t>保险的特别</w:t>
      </w:r>
      <w:r>
        <w:rPr>
          <w:rFonts w:hint="eastAsia" w:ascii="仿宋_GB2312" w:eastAsia="仿宋_GB2312"/>
          <w:color w:val="auto"/>
          <w:sz w:val="28"/>
          <w:szCs w:val="28"/>
          <w:highlight w:val="none"/>
        </w:rPr>
        <w:t>约</w:t>
      </w:r>
      <w:r>
        <w:rPr>
          <w:rFonts w:ascii="仿宋_GB2312" w:eastAsia="仿宋_GB2312"/>
          <w:color w:val="auto"/>
          <w:sz w:val="28"/>
          <w:szCs w:val="28"/>
          <w:highlight w:val="none"/>
        </w:rPr>
        <w:t>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由承包人负责办理，相关费用已含在合同价中</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18.4 </w:t>
      </w:r>
      <w:r>
        <w:rPr>
          <w:rFonts w:hint="eastAsia" w:ascii="黑体" w:hAnsi="黑体" w:eastAsia="黑体"/>
          <w:color w:val="auto"/>
          <w:sz w:val="28"/>
          <w:szCs w:val="28"/>
          <w:highlight w:val="none"/>
        </w:rPr>
        <w:t>其他保险</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关于其他保险的约定：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由承包人负责办理，相关费用已含在合同价中</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18.5 </w:t>
      </w:r>
      <w:r>
        <w:rPr>
          <w:rFonts w:hint="eastAsia" w:ascii="黑体" w:hAnsi="黑体" w:eastAsia="黑体"/>
          <w:color w:val="auto"/>
          <w:sz w:val="28"/>
          <w:szCs w:val="28"/>
          <w:highlight w:val="none"/>
        </w:rPr>
        <w:t>对各项保险的一般要求</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18.5.2 保险凭证</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保险单的条件：</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18.5.4 通知义务</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关于变更保险合同时的通知义务的约定：</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pStyle w:val="39"/>
        <w:outlineLvl w:val="2"/>
        <w:rPr>
          <w:rFonts w:ascii="黑体" w:hAnsi="黑体" w:eastAsia="黑体"/>
          <w:b w:val="0"/>
          <w:color w:val="auto"/>
          <w:sz w:val="28"/>
          <w:szCs w:val="28"/>
          <w:highlight w:val="none"/>
        </w:rPr>
      </w:pPr>
      <w:bookmarkStart w:id="222" w:name="_Toc54862350"/>
      <w:bookmarkStart w:id="223" w:name="_Toc31680"/>
      <w:r>
        <w:rPr>
          <w:rFonts w:hint="eastAsia" w:ascii="黑体" w:hAnsi="黑体" w:eastAsia="黑体"/>
          <w:b w:val="0"/>
          <w:color w:val="auto"/>
          <w:sz w:val="28"/>
          <w:szCs w:val="28"/>
          <w:highlight w:val="none"/>
        </w:rPr>
        <w:t>第</w:t>
      </w:r>
      <w:r>
        <w:rPr>
          <w:rFonts w:ascii="黑体" w:hAnsi="黑体" w:eastAsia="黑体"/>
          <w:b w:val="0"/>
          <w:color w:val="auto"/>
          <w:sz w:val="28"/>
          <w:szCs w:val="28"/>
          <w:highlight w:val="none"/>
        </w:rPr>
        <w:t>20条</w:t>
      </w:r>
      <w:r>
        <w:rPr>
          <w:rFonts w:hint="eastAsia" w:ascii="黑体" w:hAnsi="黑体" w:eastAsia="黑体"/>
          <w:b w:val="0"/>
          <w:color w:val="auto"/>
          <w:sz w:val="28"/>
          <w:szCs w:val="28"/>
          <w:highlight w:val="none"/>
        </w:rPr>
        <w:t xml:space="preserve"> 争议解决</w:t>
      </w:r>
      <w:bookmarkEnd w:id="222"/>
      <w:bookmarkEnd w:id="223"/>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20.3 </w:t>
      </w:r>
      <w:r>
        <w:rPr>
          <w:rFonts w:hint="eastAsia" w:ascii="黑体" w:hAnsi="黑体" w:eastAsia="黑体"/>
          <w:color w:val="auto"/>
          <w:sz w:val="28"/>
          <w:szCs w:val="28"/>
          <w:highlight w:val="none"/>
        </w:rPr>
        <w:t>争议评审</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合同当事人是否同意将工程争议提交争议评审小组决定： </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不提交</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ascii="黑体" w:hAnsi="黑体" w:eastAsia="黑体"/>
          <w:color w:val="auto"/>
          <w:sz w:val="28"/>
          <w:szCs w:val="28"/>
          <w:highlight w:val="none"/>
        </w:rPr>
        <w:t xml:space="preserve">20.4 </w:t>
      </w:r>
      <w:r>
        <w:rPr>
          <w:rFonts w:hint="eastAsia" w:ascii="黑体" w:hAnsi="黑体" w:eastAsia="黑体"/>
          <w:color w:val="auto"/>
          <w:sz w:val="28"/>
          <w:szCs w:val="28"/>
          <w:highlight w:val="none"/>
        </w:rPr>
        <w:t>仲裁或诉讼</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因合同及合同有关事项发生的争议，按下列第</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（2）</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种方式解决：</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1）向</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仲裁委员会申请仲裁；</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2）向</w:t>
      </w:r>
      <w:r>
        <w:rPr>
          <w:rFonts w:hint="eastAsia" w:ascii="仿宋_GB2312" w:eastAsia="仿宋_GB2312"/>
          <w:color w:val="auto"/>
          <w:sz w:val="28"/>
          <w:szCs w:val="28"/>
          <w:highlight w:val="none"/>
          <w:u w:val="single"/>
        </w:rPr>
        <w:t>项目所在地</w:t>
      </w:r>
      <w:r>
        <w:rPr>
          <w:rFonts w:ascii="仿宋_GB2312" w:eastAsia="仿宋_GB2312"/>
          <w:color w:val="auto"/>
          <w:sz w:val="28"/>
          <w:szCs w:val="28"/>
          <w:highlight w:val="none"/>
          <w:u w:val="single"/>
        </w:rPr>
        <w:t xml:space="preserve">  </w:t>
      </w:r>
      <w:r>
        <w:rPr>
          <w:rFonts w:ascii="仿宋_GB2312" w:eastAsia="仿宋_GB2312"/>
          <w:color w:val="auto"/>
          <w:sz w:val="28"/>
          <w:szCs w:val="28"/>
          <w:highlight w:val="none"/>
        </w:rPr>
        <w:t>人民法院起诉。</w:t>
      </w:r>
    </w:p>
    <w:p>
      <w:pPr>
        <w:pStyle w:val="39"/>
        <w:outlineLvl w:val="0"/>
        <w:rPr>
          <w:rFonts w:ascii="黑体" w:hAnsi="黑体" w:eastAsia="黑体"/>
          <w:b w:val="0"/>
          <w:color w:val="auto"/>
          <w:sz w:val="28"/>
          <w:szCs w:val="28"/>
          <w:highlight w:val="none"/>
        </w:rPr>
      </w:pPr>
      <w:bookmarkStart w:id="224" w:name="_Toc13981"/>
      <w:r>
        <w:rPr>
          <w:rFonts w:ascii="黑体" w:hAnsi="黑体" w:eastAsia="黑体"/>
          <w:b w:val="0"/>
          <w:color w:val="auto"/>
          <w:sz w:val="28"/>
          <w:szCs w:val="28"/>
          <w:highlight w:val="none"/>
        </w:rPr>
        <w:t>21 本项目其他约定</w:t>
      </w:r>
      <w:bookmarkEnd w:id="224"/>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 xml:space="preserve">21.1 </w:t>
      </w:r>
      <w:r>
        <w:rPr>
          <w:rFonts w:hint="eastAsia" w:ascii="仿宋_GB2312" w:eastAsia="仿宋_GB2312"/>
          <w:color w:val="auto"/>
          <w:sz w:val="28"/>
          <w:szCs w:val="28"/>
          <w:highlight w:val="none"/>
        </w:rPr>
        <w:t>本项目招标文件中《投标人须知》第10条内容均为本合同约定内容</w:t>
      </w:r>
      <w:r>
        <w:rPr>
          <w:rFonts w:ascii="仿宋_GB2312" w:eastAsia="仿宋_GB2312"/>
          <w:color w:val="auto"/>
          <w:sz w:val="28"/>
          <w:szCs w:val="28"/>
          <w:highlight w:val="none"/>
        </w:rPr>
        <w:t>。</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21.</w:t>
      </w:r>
      <w:r>
        <w:rPr>
          <w:rFonts w:hint="eastAsia" w:ascii="仿宋_GB2312" w:eastAsia="仿宋_GB2312"/>
          <w:color w:val="auto"/>
          <w:sz w:val="28"/>
          <w:szCs w:val="28"/>
          <w:highlight w:val="none"/>
        </w:rPr>
        <w:t>2</w:t>
      </w:r>
      <w:r>
        <w:rPr>
          <w:rFonts w:ascii="仿宋_GB2312" w:eastAsia="仿宋_GB2312"/>
          <w:color w:val="auto"/>
          <w:sz w:val="28"/>
          <w:szCs w:val="28"/>
          <w:highlight w:val="none"/>
        </w:rPr>
        <w:t xml:space="preserve"> 项目竣工验收合格后，承包人需安排人员看管（所需看管费用含在合同价中），</w:t>
      </w:r>
      <w:r>
        <w:rPr>
          <w:rFonts w:hint="eastAsia" w:ascii="仿宋_GB2312" w:eastAsia="仿宋_GB2312"/>
          <w:color w:val="auto"/>
          <w:sz w:val="28"/>
          <w:szCs w:val="28"/>
          <w:highlight w:val="none"/>
        </w:rPr>
        <w:t>直至将项目整体移交为止。在项目未移交前的现场看管费，成品保护费、偷盗损失均由承包人承担。</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21.</w:t>
      </w:r>
      <w:r>
        <w:rPr>
          <w:rFonts w:hint="eastAsia" w:ascii="仿宋_GB2312" w:eastAsia="仿宋_GB2312"/>
          <w:color w:val="auto"/>
          <w:sz w:val="28"/>
          <w:szCs w:val="28"/>
          <w:highlight w:val="none"/>
        </w:rPr>
        <w:t>3</w:t>
      </w:r>
      <w:r>
        <w:rPr>
          <w:rFonts w:ascii="仿宋_GB2312" w:eastAsia="仿宋_GB2312"/>
          <w:color w:val="auto"/>
          <w:sz w:val="28"/>
          <w:szCs w:val="28"/>
          <w:highlight w:val="none"/>
        </w:rPr>
        <w:t xml:space="preserve"> 本项目的合同及附件中如有以下描述：费用由承包人承担或费用由承包人负责等</w:t>
      </w:r>
      <w:r>
        <w:rPr>
          <w:rFonts w:hint="eastAsia" w:ascii="仿宋_GB2312" w:eastAsia="仿宋_GB2312"/>
          <w:color w:val="auto"/>
          <w:sz w:val="28"/>
          <w:szCs w:val="28"/>
          <w:highlight w:val="none"/>
        </w:rPr>
        <w:t>类似描述，均指相关费用已在工程费用投标报价中考虑，中标后不签证，不另计取。</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21.</w:t>
      </w:r>
      <w:r>
        <w:rPr>
          <w:rFonts w:hint="eastAsia" w:ascii="仿宋_GB2312" w:eastAsia="仿宋_GB2312"/>
          <w:color w:val="auto"/>
          <w:sz w:val="28"/>
          <w:szCs w:val="28"/>
          <w:highlight w:val="none"/>
        </w:rPr>
        <w:t>4</w:t>
      </w:r>
      <w:r>
        <w:rPr>
          <w:rFonts w:ascii="仿宋_GB2312" w:eastAsia="仿宋_GB2312"/>
          <w:color w:val="auto"/>
          <w:sz w:val="28"/>
          <w:szCs w:val="28"/>
          <w:highlight w:val="none"/>
        </w:rPr>
        <w:t>承包人理解并同意，已认真踏勘工程现场，熟悉施工现场及周围的地形、地貌、</w:t>
      </w:r>
      <w:r>
        <w:rPr>
          <w:rFonts w:hint="eastAsia" w:ascii="仿宋_GB2312" w:eastAsia="仿宋_GB2312"/>
          <w:color w:val="auto"/>
          <w:sz w:val="28"/>
          <w:szCs w:val="28"/>
          <w:highlight w:val="none"/>
        </w:rPr>
        <w:t>水文、地质、交通道路、装卸储存条件、场内运输限制，充分考虑场地布置、占用市政道路、租用场地及二次布置等情况，以获得一切可能影响投标报价的直接资料。本合同签订后，承包人不得以不完全了解现场情况为由而提出追加费用或延长工期等要求。对此类要求，发包人将不予任何考虑。场地</w:t>
      </w:r>
      <w:r>
        <w:rPr>
          <w:rFonts w:hint="eastAsia" w:ascii="仿宋_GB2312" w:eastAsia="仿宋_GB2312"/>
          <w:color w:val="auto"/>
          <w:sz w:val="28"/>
          <w:szCs w:val="28"/>
          <w:highlight w:val="none"/>
          <w:lang w:eastAsia="zh-CN"/>
        </w:rPr>
        <w:t>内</w:t>
      </w:r>
      <w:r>
        <w:rPr>
          <w:rFonts w:hint="eastAsia" w:ascii="仿宋_GB2312" w:eastAsia="仿宋_GB2312"/>
          <w:color w:val="auto"/>
          <w:sz w:val="28"/>
          <w:szCs w:val="28"/>
          <w:highlight w:val="none"/>
        </w:rPr>
        <w:t>清理、平整、硬化、临时设施、道路、围墙、排水及完工后的拆除并清运（含破除场地硬化、道路、围墙、临时设施）等相关工作由承包人负责实施，相关费用</w:t>
      </w:r>
      <w:r>
        <w:rPr>
          <w:rFonts w:ascii="仿宋_GB2312" w:eastAsia="仿宋_GB2312"/>
          <w:color w:val="auto"/>
          <w:sz w:val="28"/>
          <w:szCs w:val="28"/>
          <w:highlight w:val="none"/>
        </w:rPr>
        <w:t>由承包人承担</w:t>
      </w:r>
      <w:r>
        <w:rPr>
          <w:rFonts w:hint="eastAsia" w:ascii="仿宋_GB2312" w:eastAsia="仿宋_GB2312"/>
          <w:color w:val="auto"/>
          <w:sz w:val="28"/>
          <w:szCs w:val="28"/>
          <w:highlight w:val="none"/>
        </w:rPr>
        <w:t>。</w:t>
      </w:r>
    </w:p>
    <w:p>
      <w:pPr>
        <w:pStyle w:val="48"/>
        <w:numPr>
          <w:ilvl w:val="0"/>
          <w:numId w:val="0"/>
        </w:numPr>
        <w:rPr>
          <w:rFonts w:hint="eastAsia"/>
          <w:color w:val="auto"/>
          <w:highlight w:val="none"/>
        </w:rPr>
      </w:pPr>
      <w:bookmarkStart w:id="225" w:name="_Toc54862351"/>
      <w:bookmarkStart w:id="226" w:name="_Toc17920"/>
      <w:r>
        <w:rPr>
          <w:rFonts w:hint="eastAsia"/>
          <w:color w:val="auto"/>
          <w:highlight w:val="none"/>
        </w:rPr>
        <w:t>专用合同条件附件</w:t>
      </w:r>
      <w:bookmarkEnd w:id="225"/>
      <w:bookmarkEnd w:id="226"/>
    </w:p>
    <w:p>
      <w:pPr>
        <w:rPr>
          <w:color w:val="auto"/>
          <w:highlight w:val="none"/>
        </w:rPr>
      </w:pPr>
    </w:p>
    <w:p>
      <w:pPr>
        <w:ind w:firstLine="600"/>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附件1：发包人要求</w:t>
      </w:r>
    </w:p>
    <w:p>
      <w:pPr>
        <w:ind w:firstLine="600"/>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附件2：发包人供应材料设备一览表</w:t>
      </w:r>
    </w:p>
    <w:p>
      <w:pPr>
        <w:ind w:firstLine="600"/>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附件3：工程质量保修书</w:t>
      </w:r>
    </w:p>
    <w:p>
      <w:pPr>
        <w:ind w:firstLine="600"/>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附件4：主要建设工程文件目录</w:t>
      </w:r>
    </w:p>
    <w:p>
      <w:pPr>
        <w:ind w:firstLine="600"/>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附件5：承包人主要管理人员表</w:t>
      </w:r>
    </w:p>
    <w:p>
      <w:pPr>
        <w:ind w:firstLine="600"/>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附件</w:t>
      </w:r>
      <w:r>
        <w:rPr>
          <w:rFonts w:ascii="仿宋_GB2312" w:hAnsi="仿宋_GB2312" w:eastAsia="仿宋_GB2312" w:cs="仿宋_GB2312"/>
          <w:color w:val="auto"/>
          <w:sz w:val="30"/>
          <w:szCs w:val="30"/>
          <w:highlight w:val="none"/>
        </w:rPr>
        <w:t>6</w:t>
      </w:r>
      <w:r>
        <w:rPr>
          <w:rFonts w:hint="eastAsia" w:ascii="仿宋_GB2312" w:hAnsi="仿宋_GB2312" w:eastAsia="仿宋_GB2312" w:cs="仿宋_GB2312"/>
          <w:color w:val="auto"/>
          <w:sz w:val="30"/>
          <w:szCs w:val="30"/>
          <w:highlight w:val="none"/>
        </w:rPr>
        <w:t>：价格指数权重表</w:t>
      </w:r>
    </w:p>
    <w:p>
      <w:pPr>
        <w:rPr>
          <w:color w:val="auto"/>
          <w:highlight w:val="none"/>
        </w:rPr>
      </w:pPr>
    </w:p>
    <w:p>
      <w:pPr>
        <w:rPr>
          <w:color w:val="auto"/>
          <w:highlight w:val="none"/>
        </w:rPr>
      </w:pPr>
    </w:p>
    <w:p>
      <w:pPr>
        <w:rPr>
          <w:color w:val="auto"/>
          <w:highlight w:val="none"/>
        </w:rPr>
      </w:pPr>
    </w:p>
    <w:p>
      <w:pPr>
        <w:adjustRightInd/>
        <w:rPr>
          <w:color w:val="auto"/>
          <w:highlight w:val="none"/>
        </w:rPr>
      </w:pPr>
      <w:r>
        <w:rPr>
          <w:color w:val="auto"/>
          <w:highlight w:val="none"/>
        </w:rPr>
        <w:br w:type="page"/>
      </w:r>
      <w:bookmarkStart w:id="227" w:name="_Toc54862352"/>
      <w:bookmarkStart w:id="228" w:name="_Hlk38571789"/>
      <w:r>
        <w:rPr>
          <w:rFonts w:hint="eastAsia" w:ascii="黑体" w:hAnsi="黑体"/>
          <w:b/>
          <w:bCs/>
          <w:color w:val="auto"/>
          <w:sz w:val="30"/>
          <w:szCs w:val="30"/>
          <w:highlight w:val="none"/>
        </w:rPr>
        <w:t>附件1 《发包人要求》</w:t>
      </w:r>
      <w:bookmarkEnd w:id="227"/>
    </w:p>
    <w:bookmarkEnd w:id="228"/>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《发包人要求》通常包括但不限于以下内容：</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一、功能要求</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（一）工程目的。</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（二）工程规模。</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（三）性能保证指标（性能保证表）。</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（四）产能保证指标。</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二、工程范围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（一）概述</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（二）包括的工作</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 永久工程的设计、采购、施工范围。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2. 临时工程的设计与施工范围。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3. 竣工验收工作范围。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4. 技术服务工作范围。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5. 培训工作范围。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6. 保修工作范围。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（三）工作界区</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（四）发包人提供的现场条件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 施工用电。</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2. 施工用水。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3. 施工排水。</w:t>
      </w:r>
    </w:p>
    <w:p>
      <w:pPr>
        <w:ind w:firstLine="600"/>
        <w:rPr>
          <w:rFonts w:ascii="仿宋_GB2312" w:eastAsia="仿宋_GB2312"/>
          <w:color w:val="auto"/>
          <w:sz w:val="28"/>
          <w:szCs w:val="28"/>
          <w:highlight w:val="none"/>
        </w:rPr>
      </w:pPr>
      <w:r>
        <w:rPr>
          <w:rFonts w:ascii="仿宋_GB2312" w:eastAsia="仿宋_GB2312"/>
          <w:color w:val="auto"/>
          <w:sz w:val="28"/>
          <w:szCs w:val="28"/>
          <w:highlight w:val="none"/>
        </w:rPr>
        <w:t>4.</w:t>
      </w:r>
      <w:r>
        <w:rPr>
          <w:rFonts w:hint="eastAsia"/>
          <w:color w:val="auto"/>
          <w:sz w:val="28"/>
          <w:szCs w:val="28"/>
          <w:highlight w:val="none"/>
        </w:rPr>
        <w:t xml:space="preserve"> </w:t>
      </w:r>
      <w:r>
        <w:rPr>
          <w:rFonts w:hint="eastAsia" w:ascii="仿宋_GB2312" w:eastAsia="仿宋_GB2312"/>
          <w:color w:val="auto"/>
          <w:sz w:val="28"/>
          <w:szCs w:val="28"/>
          <w:highlight w:val="none"/>
        </w:rPr>
        <w:t>施工道路。</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（五）发包人提供的技术文件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除另有批准外，承包人的工作需要遵照发包人的下列技术文件: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 发包人需求任务书。</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2. 发包人已完成的设计文件。</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三、工艺安排或要求（如有）</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四、时间要求</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（一）开始工作时间。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（二）设计完成时间。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（三）进度计划。</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（四）竣工时间。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（五）缺陷责任期。</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（六）其他时间要求。</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五、技术要求</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（一）设计阶段和设计任务。</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（二）设计标准和规范。</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（三）技术标准和要求。</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（四）质量标准。</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（五）设计、施工和设备监造、试验（如有）。</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（六）样品。</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（七）发包人提供的其他条件，如发包人或其委托的第三人提供的设计、工艺包、用于试验检验的工器具等，以及据此对承包人提出的予以配套的要求。</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六、竣工试验</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（一）第一阶段，如对单车试验等的要求，包括试验前准备。</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（二）第二阶段，如对联动试车、投料试车等的要求，包括人员、设备、材料、燃料、电力、消耗品、工具等必要条件。</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（三）第三阶段，如对性能测试及其他竣工试验的要求，包括产能指标、产品质量标准、运营指标、环保指标等。</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七、竣工验收</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八、竣工后试验（如有）</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九、文件要求</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（一）设计文件，及其相关审批、核准、备案要求。</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（二）沟通计划。</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（三）风险管理计划。</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（四）竣工文件和工程的其他记录。</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（五）操作和维修手册。</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（六）其他承包人文件。</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十、工程项目管理规定</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（一）质量。</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（二）进度，包括里程碑进度计划（如果有）。</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（三）支付。</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（四）HSE（健康、安全与环境管理体系）。</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（五）沟通。</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（六）变更。</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十一、其他要求</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（一）对承包人的主要人员资格要求。</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（二）相关审批、核准和备案手续的办理。</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（三）对项目业主人员的操作培训。</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（四）分包。</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（五）设备供应商。</w:t>
      </w:r>
    </w:p>
    <w:p>
      <w:pPr>
        <w:ind w:left="600"/>
        <w:rPr>
          <w:rFonts w:ascii="仿宋_GB2312" w:eastAsia="仿宋_GB2312"/>
          <w:color w:val="auto"/>
          <w:sz w:val="28"/>
          <w:szCs w:val="28"/>
          <w:highlight w:val="none"/>
        </w:rPr>
      </w:pPr>
      <w:r>
        <w:rPr>
          <w:rFonts w:hint="eastAsia" w:ascii="仿宋_GB2312" w:eastAsia="仿宋_GB2312"/>
          <w:color w:val="auto"/>
          <w:sz w:val="28"/>
          <w:szCs w:val="28"/>
          <w:highlight w:val="none"/>
        </w:rPr>
        <w:t>（六）缺陷责任期的服务要求。</w:t>
      </w:r>
    </w:p>
    <w:p>
      <w:pPr>
        <w:adjustRightInd/>
        <w:rPr>
          <w:color w:val="auto"/>
          <w:highlight w:val="none"/>
        </w:rPr>
      </w:pPr>
    </w:p>
    <w:p>
      <w:pPr>
        <w:adjustRightInd/>
        <w:rPr>
          <w:color w:val="auto"/>
          <w:highlight w:val="none"/>
        </w:rPr>
      </w:pPr>
    </w:p>
    <w:p>
      <w:pPr>
        <w:pStyle w:val="48"/>
        <w:numPr>
          <w:ilvl w:val="0"/>
          <w:numId w:val="0"/>
        </w:numPr>
        <w:rPr>
          <w:color w:val="auto"/>
          <w:highlight w:val="none"/>
        </w:rPr>
      </w:pPr>
      <w:bookmarkStart w:id="229" w:name="_Toc8343"/>
      <w:bookmarkStart w:id="230" w:name="_Toc20171894"/>
      <w:bookmarkStart w:id="231" w:name="_Toc54862353"/>
      <w:r>
        <w:rPr>
          <w:rFonts w:hint="eastAsia"/>
          <w:color w:val="auto"/>
          <w:highlight w:val="none"/>
        </w:rPr>
        <w:t>附件2</w:t>
      </w:r>
      <w:r>
        <w:rPr>
          <w:color w:val="auto"/>
          <w:highlight w:val="none"/>
        </w:rPr>
        <w:t xml:space="preserve"> 发包人供应材料设备一览表</w:t>
      </w:r>
      <w:bookmarkEnd w:id="229"/>
      <w:bookmarkEnd w:id="230"/>
      <w:bookmarkEnd w:id="231"/>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1165"/>
        <w:gridCol w:w="1126"/>
        <w:gridCol w:w="567"/>
        <w:gridCol w:w="686"/>
        <w:gridCol w:w="992"/>
        <w:gridCol w:w="1134"/>
        <w:gridCol w:w="1134"/>
        <w:gridCol w:w="1134"/>
        <w:gridCol w:w="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52"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序号</w:t>
            </w:r>
          </w:p>
        </w:tc>
        <w:tc>
          <w:tcPr>
            <w:tcW w:w="1165"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材料、设备品种</w:t>
            </w:r>
          </w:p>
        </w:tc>
        <w:tc>
          <w:tcPr>
            <w:tcW w:w="1126"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规格型号</w:t>
            </w:r>
          </w:p>
        </w:tc>
        <w:tc>
          <w:tcPr>
            <w:tcW w:w="567"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单位</w:t>
            </w:r>
          </w:p>
        </w:tc>
        <w:tc>
          <w:tcPr>
            <w:tcW w:w="686"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数量</w:t>
            </w:r>
          </w:p>
        </w:tc>
        <w:tc>
          <w:tcPr>
            <w:tcW w:w="992"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单价（元）</w:t>
            </w:r>
          </w:p>
        </w:tc>
        <w:tc>
          <w:tcPr>
            <w:tcW w:w="1134"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质量等级</w:t>
            </w:r>
          </w:p>
        </w:tc>
        <w:tc>
          <w:tcPr>
            <w:tcW w:w="1134"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供应时间</w:t>
            </w:r>
          </w:p>
        </w:tc>
        <w:tc>
          <w:tcPr>
            <w:tcW w:w="1134"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送达地点</w:t>
            </w:r>
          </w:p>
        </w:tc>
        <w:tc>
          <w:tcPr>
            <w:tcW w:w="709"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1165"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1126"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567"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686"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992" w:type="dxa"/>
            <w:tcBorders>
              <w:top w:val="double" w:color="auto" w:sz="6" w:space="0"/>
              <w:bottom w:val="single" w:color="auto" w:sz="6" w:space="0"/>
            </w:tcBorders>
            <w:noWrap w:val="0"/>
            <w:vAlign w:val="top"/>
          </w:tcPr>
          <w:p>
            <w:pPr>
              <w:pStyle w:val="3"/>
              <w:rPr>
                <w:rFonts w:ascii="仿宋_GB2312" w:hAnsi="宋体" w:eastAsia="仿宋_GB2312"/>
                <w:color w:val="auto"/>
                <w:szCs w:val="20"/>
                <w:highlight w:val="none"/>
              </w:rPr>
            </w:pPr>
          </w:p>
        </w:tc>
        <w:tc>
          <w:tcPr>
            <w:tcW w:w="1134"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1134"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1134"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709"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nil"/>
            </w:tcBorders>
            <w:noWrap w:val="0"/>
            <w:vAlign w:val="center"/>
          </w:tcPr>
          <w:p>
            <w:pPr>
              <w:pStyle w:val="3"/>
              <w:rPr>
                <w:rFonts w:ascii="仿宋_GB2312" w:hAnsi="宋体" w:eastAsia="仿宋_GB2312"/>
                <w:color w:val="auto"/>
                <w:szCs w:val="20"/>
                <w:highlight w:val="none"/>
              </w:rPr>
            </w:pPr>
          </w:p>
        </w:tc>
        <w:tc>
          <w:tcPr>
            <w:tcW w:w="1165" w:type="dxa"/>
            <w:tcBorders>
              <w:top w:val="nil"/>
            </w:tcBorders>
            <w:noWrap w:val="0"/>
            <w:vAlign w:val="center"/>
          </w:tcPr>
          <w:p>
            <w:pPr>
              <w:pStyle w:val="3"/>
              <w:rPr>
                <w:rFonts w:ascii="仿宋_GB2312" w:hAnsi="宋体" w:eastAsia="仿宋_GB2312"/>
                <w:color w:val="auto"/>
                <w:szCs w:val="20"/>
                <w:highlight w:val="none"/>
              </w:rPr>
            </w:pPr>
          </w:p>
        </w:tc>
        <w:tc>
          <w:tcPr>
            <w:tcW w:w="1126" w:type="dxa"/>
            <w:tcBorders>
              <w:top w:val="nil"/>
            </w:tcBorders>
            <w:noWrap w:val="0"/>
            <w:vAlign w:val="center"/>
          </w:tcPr>
          <w:p>
            <w:pPr>
              <w:pStyle w:val="3"/>
              <w:rPr>
                <w:rFonts w:ascii="仿宋_GB2312" w:hAnsi="宋体" w:eastAsia="仿宋_GB2312"/>
                <w:color w:val="auto"/>
                <w:szCs w:val="20"/>
                <w:highlight w:val="none"/>
              </w:rPr>
            </w:pPr>
          </w:p>
        </w:tc>
        <w:tc>
          <w:tcPr>
            <w:tcW w:w="567" w:type="dxa"/>
            <w:tcBorders>
              <w:top w:val="nil"/>
            </w:tcBorders>
            <w:noWrap w:val="0"/>
            <w:vAlign w:val="center"/>
          </w:tcPr>
          <w:p>
            <w:pPr>
              <w:pStyle w:val="3"/>
              <w:rPr>
                <w:rFonts w:ascii="仿宋_GB2312" w:hAnsi="宋体" w:eastAsia="仿宋_GB2312"/>
                <w:color w:val="auto"/>
                <w:szCs w:val="20"/>
                <w:highlight w:val="none"/>
              </w:rPr>
            </w:pPr>
          </w:p>
        </w:tc>
        <w:tc>
          <w:tcPr>
            <w:tcW w:w="686" w:type="dxa"/>
            <w:tcBorders>
              <w:top w:val="nil"/>
            </w:tcBorders>
            <w:noWrap w:val="0"/>
            <w:vAlign w:val="center"/>
          </w:tcPr>
          <w:p>
            <w:pPr>
              <w:pStyle w:val="3"/>
              <w:rPr>
                <w:rFonts w:ascii="仿宋_GB2312" w:hAnsi="宋体" w:eastAsia="仿宋_GB2312"/>
                <w:color w:val="auto"/>
                <w:szCs w:val="20"/>
                <w:highlight w:val="none"/>
              </w:rPr>
            </w:pPr>
          </w:p>
        </w:tc>
        <w:tc>
          <w:tcPr>
            <w:tcW w:w="992" w:type="dxa"/>
            <w:tcBorders>
              <w:top w:val="nil"/>
            </w:tcBorders>
            <w:noWrap w:val="0"/>
            <w:vAlign w:val="top"/>
          </w:tcPr>
          <w:p>
            <w:pPr>
              <w:pStyle w:val="3"/>
              <w:rPr>
                <w:rFonts w:ascii="仿宋_GB2312" w:hAnsi="宋体" w:eastAsia="仿宋_GB2312"/>
                <w:color w:val="auto"/>
                <w:szCs w:val="20"/>
                <w:highlight w:val="none"/>
              </w:rPr>
            </w:pPr>
          </w:p>
        </w:tc>
        <w:tc>
          <w:tcPr>
            <w:tcW w:w="1134" w:type="dxa"/>
            <w:tcBorders>
              <w:top w:val="nil"/>
            </w:tcBorders>
            <w:noWrap w:val="0"/>
            <w:vAlign w:val="center"/>
          </w:tcPr>
          <w:p>
            <w:pPr>
              <w:pStyle w:val="3"/>
              <w:rPr>
                <w:rFonts w:ascii="仿宋_GB2312" w:hAnsi="宋体" w:eastAsia="仿宋_GB2312"/>
                <w:color w:val="auto"/>
                <w:szCs w:val="20"/>
                <w:highlight w:val="none"/>
              </w:rPr>
            </w:pPr>
          </w:p>
        </w:tc>
        <w:tc>
          <w:tcPr>
            <w:tcW w:w="1134" w:type="dxa"/>
            <w:tcBorders>
              <w:top w:val="nil"/>
            </w:tcBorders>
            <w:noWrap w:val="0"/>
            <w:vAlign w:val="center"/>
          </w:tcPr>
          <w:p>
            <w:pPr>
              <w:pStyle w:val="3"/>
              <w:rPr>
                <w:rFonts w:ascii="仿宋_GB2312" w:hAnsi="宋体" w:eastAsia="仿宋_GB2312"/>
                <w:color w:val="auto"/>
                <w:szCs w:val="20"/>
                <w:highlight w:val="none"/>
              </w:rPr>
            </w:pPr>
          </w:p>
        </w:tc>
        <w:tc>
          <w:tcPr>
            <w:tcW w:w="1134" w:type="dxa"/>
            <w:tcBorders>
              <w:top w:val="nil"/>
            </w:tcBorders>
            <w:noWrap w:val="0"/>
            <w:vAlign w:val="center"/>
          </w:tcPr>
          <w:p>
            <w:pPr>
              <w:pStyle w:val="3"/>
              <w:rPr>
                <w:rFonts w:ascii="仿宋_GB2312" w:hAnsi="宋体" w:eastAsia="仿宋_GB2312"/>
                <w:color w:val="auto"/>
                <w:szCs w:val="20"/>
                <w:highlight w:val="none"/>
              </w:rPr>
            </w:pPr>
          </w:p>
        </w:tc>
        <w:tc>
          <w:tcPr>
            <w:tcW w:w="709" w:type="dxa"/>
            <w:tcBorders>
              <w:top w:val="nil"/>
            </w:tcBorders>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rPr>
                <w:rFonts w:ascii="仿宋_GB2312" w:hAnsi="宋体" w:eastAsia="仿宋_GB2312"/>
                <w:color w:val="auto"/>
                <w:szCs w:val="20"/>
                <w:highlight w:val="none"/>
              </w:rPr>
            </w:pPr>
          </w:p>
        </w:tc>
        <w:tc>
          <w:tcPr>
            <w:tcW w:w="1165" w:type="dxa"/>
            <w:noWrap w:val="0"/>
            <w:vAlign w:val="center"/>
          </w:tcPr>
          <w:p>
            <w:pPr>
              <w:pStyle w:val="3"/>
              <w:rPr>
                <w:rFonts w:ascii="仿宋_GB2312" w:hAnsi="宋体" w:eastAsia="仿宋_GB2312"/>
                <w:color w:val="auto"/>
                <w:szCs w:val="20"/>
                <w:highlight w:val="none"/>
              </w:rPr>
            </w:pPr>
          </w:p>
        </w:tc>
        <w:tc>
          <w:tcPr>
            <w:tcW w:w="1126" w:type="dxa"/>
            <w:noWrap w:val="0"/>
            <w:vAlign w:val="center"/>
          </w:tcPr>
          <w:p>
            <w:pPr>
              <w:pStyle w:val="3"/>
              <w:rPr>
                <w:rFonts w:ascii="仿宋_GB2312" w:hAnsi="宋体" w:eastAsia="仿宋_GB2312"/>
                <w:color w:val="auto"/>
                <w:szCs w:val="20"/>
                <w:highlight w:val="none"/>
              </w:rPr>
            </w:pPr>
          </w:p>
        </w:tc>
        <w:tc>
          <w:tcPr>
            <w:tcW w:w="567" w:type="dxa"/>
            <w:noWrap w:val="0"/>
            <w:vAlign w:val="center"/>
          </w:tcPr>
          <w:p>
            <w:pPr>
              <w:pStyle w:val="3"/>
              <w:rPr>
                <w:rFonts w:ascii="仿宋_GB2312" w:hAnsi="宋体" w:eastAsia="仿宋_GB2312"/>
                <w:color w:val="auto"/>
                <w:szCs w:val="20"/>
                <w:highlight w:val="none"/>
              </w:rPr>
            </w:pPr>
          </w:p>
        </w:tc>
        <w:tc>
          <w:tcPr>
            <w:tcW w:w="686" w:type="dxa"/>
            <w:noWrap w:val="0"/>
            <w:vAlign w:val="center"/>
          </w:tcPr>
          <w:p>
            <w:pPr>
              <w:pStyle w:val="3"/>
              <w:rPr>
                <w:rFonts w:ascii="仿宋_GB2312" w:hAnsi="宋体" w:eastAsia="仿宋_GB2312"/>
                <w:color w:val="auto"/>
                <w:szCs w:val="20"/>
                <w:highlight w:val="none"/>
              </w:rPr>
            </w:pPr>
          </w:p>
        </w:tc>
        <w:tc>
          <w:tcPr>
            <w:tcW w:w="992" w:type="dxa"/>
            <w:noWrap w:val="0"/>
            <w:vAlign w:val="top"/>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709"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rPr>
                <w:rFonts w:ascii="仿宋_GB2312" w:hAnsi="宋体" w:eastAsia="仿宋_GB2312"/>
                <w:color w:val="auto"/>
                <w:szCs w:val="20"/>
                <w:highlight w:val="none"/>
              </w:rPr>
            </w:pPr>
          </w:p>
        </w:tc>
        <w:tc>
          <w:tcPr>
            <w:tcW w:w="1165" w:type="dxa"/>
            <w:noWrap w:val="0"/>
            <w:vAlign w:val="center"/>
          </w:tcPr>
          <w:p>
            <w:pPr>
              <w:pStyle w:val="3"/>
              <w:rPr>
                <w:rFonts w:ascii="仿宋_GB2312" w:hAnsi="宋体" w:eastAsia="仿宋_GB2312"/>
                <w:color w:val="auto"/>
                <w:szCs w:val="20"/>
                <w:highlight w:val="none"/>
              </w:rPr>
            </w:pPr>
          </w:p>
        </w:tc>
        <w:tc>
          <w:tcPr>
            <w:tcW w:w="1126" w:type="dxa"/>
            <w:noWrap w:val="0"/>
            <w:vAlign w:val="center"/>
          </w:tcPr>
          <w:p>
            <w:pPr>
              <w:pStyle w:val="3"/>
              <w:rPr>
                <w:rFonts w:ascii="仿宋_GB2312" w:hAnsi="宋体" w:eastAsia="仿宋_GB2312"/>
                <w:color w:val="auto"/>
                <w:szCs w:val="20"/>
                <w:highlight w:val="none"/>
              </w:rPr>
            </w:pPr>
          </w:p>
        </w:tc>
        <w:tc>
          <w:tcPr>
            <w:tcW w:w="567" w:type="dxa"/>
            <w:noWrap w:val="0"/>
            <w:vAlign w:val="center"/>
          </w:tcPr>
          <w:p>
            <w:pPr>
              <w:pStyle w:val="3"/>
              <w:rPr>
                <w:rFonts w:ascii="仿宋_GB2312" w:hAnsi="宋体" w:eastAsia="仿宋_GB2312"/>
                <w:color w:val="auto"/>
                <w:szCs w:val="20"/>
                <w:highlight w:val="none"/>
              </w:rPr>
            </w:pPr>
          </w:p>
        </w:tc>
        <w:tc>
          <w:tcPr>
            <w:tcW w:w="686" w:type="dxa"/>
            <w:noWrap w:val="0"/>
            <w:vAlign w:val="center"/>
          </w:tcPr>
          <w:p>
            <w:pPr>
              <w:pStyle w:val="3"/>
              <w:rPr>
                <w:rFonts w:ascii="仿宋_GB2312" w:hAnsi="宋体" w:eastAsia="仿宋_GB2312"/>
                <w:color w:val="auto"/>
                <w:szCs w:val="20"/>
                <w:highlight w:val="none"/>
              </w:rPr>
            </w:pPr>
          </w:p>
        </w:tc>
        <w:tc>
          <w:tcPr>
            <w:tcW w:w="992" w:type="dxa"/>
            <w:noWrap w:val="0"/>
            <w:vAlign w:val="top"/>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709"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rPr>
                <w:rFonts w:ascii="仿宋_GB2312" w:hAnsi="宋体" w:eastAsia="仿宋_GB2312"/>
                <w:color w:val="auto"/>
                <w:szCs w:val="20"/>
                <w:highlight w:val="none"/>
              </w:rPr>
            </w:pPr>
          </w:p>
        </w:tc>
        <w:tc>
          <w:tcPr>
            <w:tcW w:w="1165" w:type="dxa"/>
            <w:noWrap w:val="0"/>
            <w:vAlign w:val="center"/>
          </w:tcPr>
          <w:p>
            <w:pPr>
              <w:pStyle w:val="3"/>
              <w:rPr>
                <w:rFonts w:ascii="仿宋_GB2312" w:hAnsi="宋体" w:eastAsia="仿宋_GB2312"/>
                <w:color w:val="auto"/>
                <w:szCs w:val="20"/>
                <w:highlight w:val="none"/>
              </w:rPr>
            </w:pPr>
          </w:p>
        </w:tc>
        <w:tc>
          <w:tcPr>
            <w:tcW w:w="1126" w:type="dxa"/>
            <w:noWrap w:val="0"/>
            <w:vAlign w:val="center"/>
          </w:tcPr>
          <w:p>
            <w:pPr>
              <w:pStyle w:val="3"/>
              <w:rPr>
                <w:rFonts w:ascii="仿宋_GB2312" w:hAnsi="宋体" w:eastAsia="仿宋_GB2312"/>
                <w:color w:val="auto"/>
                <w:szCs w:val="20"/>
                <w:highlight w:val="none"/>
              </w:rPr>
            </w:pPr>
          </w:p>
        </w:tc>
        <w:tc>
          <w:tcPr>
            <w:tcW w:w="567" w:type="dxa"/>
            <w:noWrap w:val="0"/>
            <w:vAlign w:val="center"/>
          </w:tcPr>
          <w:p>
            <w:pPr>
              <w:pStyle w:val="3"/>
              <w:rPr>
                <w:rFonts w:ascii="仿宋_GB2312" w:hAnsi="宋体" w:eastAsia="仿宋_GB2312"/>
                <w:color w:val="auto"/>
                <w:szCs w:val="20"/>
                <w:highlight w:val="none"/>
              </w:rPr>
            </w:pPr>
          </w:p>
        </w:tc>
        <w:tc>
          <w:tcPr>
            <w:tcW w:w="686" w:type="dxa"/>
            <w:noWrap w:val="0"/>
            <w:vAlign w:val="center"/>
          </w:tcPr>
          <w:p>
            <w:pPr>
              <w:pStyle w:val="3"/>
              <w:rPr>
                <w:rFonts w:ascii="仿宋_GB2312" w:hAnsi="宋体" w:eastAsia="仿宋_GB2312"/>
                <w:color w:val="auto"/>
                <w:szCs w:val="20"/>
                <w:highlight w:val="none"/>
              </w:rPr>
            </w:pPr>
          </w:p>
        </w:tc>
        <w:tc>
          <w:tcPr>
            <w:tcW w:w="992" w:type="dxa"/>
            <w:noWrap w:val="0"/>
            <w:vAlign w:val="top"/>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709"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rPr>
                <w:rFonts w:ascii="仿宋_GB2312" w:hAnsi="宋体" w:eastAsia="仿宋_GB2312"/>
                <w:color w:val="auto"/>
                <w:szCs w:val="20"/>
                <w:highlight w:val="none"/>
              </w:rPr>
            </w:pPr>
          </w:p>
        </w:tc>
        <w:tc>
          <w:tcPr>
            <w:tcW w:w="1165" w:type="dxa"/>
            <w:noWrap w:val="0"/>
            <w:vAlign w:val="center"/>
          </w:tcPr>
          <w:p>
            <w:pPr>
              <w:pStyle w:val="3"/>
              <w:rPr>
                <w:rFonts w:ascii="仿宋_GB2312" w:hAnsi="宋体" w:eastAsia="仿宋_GB2312"/>
                <w:color w:val="auto"/>
                <w:szCs w:val="20"/>
                <w:highlight w:val="none"/>
              </w:rPr>
            </w:pPr>
          </w:p>
        </w:tc>
        <w:tc>
          <w:tcPr>
            <w:tcW w:w="1126" w:type="dxa"/>
            <w:noWrap w:val="0"/>
            <w:vAlign w:val="center"/>
          </w:tcPr>
          <w:p>
            <w:pPr>
              <w:pStyle w:val="3"/>
              <w:rPr>
                <w:rFonts w:ascii="仿宋_GB2312" w:hAnsi="宋体" w:eastAsia="仿宋_GB2312"/>
                <w:color w:val="auto"/>
                <w:szCs w:val="20"/>
                <w:highlight w:val="none"/>
              </w:rPr>
            </w:pPr>
          </w:p>
        </w:tc>
        <w:tc>
          <w:tcPr>
            <w:tcW w:w="567" w:type="dxa"/>
            <w:noWrap w:val="0"/>
            <w:vAlign w:val="center"/>
          </w:tcPr>
          <w:p>
            <w:pPr>
              <w:pStyle w:val="3"/>
              <w:rPr>
                <w:rFonts w:ascii="仿宋_GB2312" w:hAnsi="宋体" w:eastAsia="仿宋_GB2312"/>
                <w:color w:val="auto"/>
                <w:szCs w:val="20"/>
                <w:highlight w:val="none"/>
              </w:rPr>
            </w:pPr>
          </w:p>
        </w:tc>
        <w:tc>
          <w:tcPr>
            <w:tcW w:w="686" w:type="dxa"/>
            <w:noWrap w:val="0"/>
            <w:vAlign w:val="center"/>
          </w:tcPr>
          <w:p>
            <w:pPr>
              <w:pStyle w:val="3"/>
              <w:rPr>
                <w:rFonts w:ascii="仿宋_GB2312" w:hAnsi="宋体" w:eastAsia="仿宋_GB2312"/>
                <w:color w:val="auto"/>
                <w:szCs w:val="20"/>
                <w:highlight w:val="none"/>
              </w:rPr>
            </w:pPr>
          </w:p>
        </w:tc>
        <w:tc>
          <w:tcPr>
            <w:tcW w:w="992" w:type="dxa"/>
            <w:noWrap w:val="0"/>
            <w:vAlign w:val="top"/>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709"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rPr>
                <w:rFonts w:ascii="仿宋_GB2312" w:hAnsi="宋体" w:eastAsia="仿宋_GB2312"/>
                <w:color w:val="auto"/>
                <w:szCs w:val="20"/>
                <w:highlight w:val="none"/>
              </w:rPr>
            </w:pPr>
          </w:p>
        </w:tc>
        <w:tc>
          <w:tcPr>
            <w:tcW w:w="1165" w:type="dxa"/>
            <w:noWrap w:val="0"/>
            <w:vAlign w:val="center"/>
          </w:tcPr>
          <w:p>
            <w:pPr>
              <w:pStyle w:val="3"/>
              <w:rPr>
                <w:rFonts w:ascii="仿宋_GB2312" w:hAnsi="宋体" w:eastAsia="仿宋_GB2312"/>
                <w:color w:val="auto"/>
                <w:szCs w:val="20"/>
                <w:highlight w:val="none"/>
              </w:rPr>
            </w:pPr>
          </w:p>
        </w:tc>
        <w:tc>
          <w:tcPr>
            <w:tcW w:w="1126" w:type="dxa"/>
            <w:noWrap w:val="0"/>
            <w:vAlign w:val="center"/>
          </w:tcPr>
          <w:p>
            <w:pPr>
              <w:pStyle w:val="3"/>
              <w:rPr>
                <w:rFonts w:ascii="仿宋_GB2312" w:hAnsi="宋体" w:eastAsia="仿宋_GB2312"/>
                <w:color w:val="auto"/>
                <w:szCs w:val="20"/>
                <w:highlight w:val="none"/>
              </w:rPr>
            </w:pPr>
          </w:p>
        </w:tc>
        <w:tc>
          <w:tcPr>
            <w:tcW w:w="567" w:type="dxa"/>
            <w:noWrap w:val="0"/>
            <w:vAlign w:val="center"/>
          </w:tcPr>
          <w:p>
            <w:pPr>
              <w:pStyle w:val="3"/>
              <w:rPr>
                <w:rFonts w:ascii="仿宋_GB2312" w:hAnsi="宋体" w:eastAsia="仿宋_GB2312"/>
                <w:color w:val="auto"/>
                <w:szCs w:val="20"/>
                <w:highlight w:val="none"/>
              </w:rPr>
            </w:pPr>
          </w:p>
        </w:tc>
        <w:tc>
          <w:tcPr>
            <w:tcW w:w="686" w:type="dxa"/>
            <w:noWrap w:val="0"/>
            <w:vAlign w:val="center"/>
          </w:tcPr>
          <w:p>
            <w:pPr>
              <w:pStyle w:val="3"/>
              <w:rPr>
                <w:rFonts w:ascii="仿宋_GB2312" w:hAnsi="宋体" w:eastAsia="仿宋_GB2312"/>
                <w:color w:val="auto"/>
                <w:szCs w:val="20"/>
                <w:highlight w:val="none"/>
              </w:rPr>
            </w:pPr>
          </w:p>
        </w:tc>
        <w:tc>
          <w:tcPr>
            <w:tcW w:w="992" w:type="dxa"/>
            <w:noWrap w:val="0"/>
            <w:vAlign w:val="top"/>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709"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rPr>
                <w:rFonts w:ascii="仿宋_GB2312" w:hAnsi="宋体" w:eastAsia="仿宋_GB2312"/>
                <w:color w:val="auto"/>
                <w:szCs w:val="20"/>
                <w:highlight w:val="none"/>
              </w:rPr>
            </w:pPr>
          </w:p>
        </w:tc>
        <w:tc>
          <w:tcPr>
            <w:tcW w:w="1165" w:type="dxa"/>
            <w:noWrap w:val="0"/>
            <w:vAlign w:val="center"/>
          </w:tcPr>
          <w:p>
            <w:pPr>
              <w:pStyle w:val="3"/>
              <w:rPr>
                <w:rFonts w:ascii="仿宋_GB2312" w:hAnsi="宋体" w:eastAsia="仿宋_GB2312"/>
                <w:color w:val="auto"/>
                <w:szCs w:val="20"/>
                <w:highlight w:val="none"/>
              </w:rPr>
            </w:pPr>
          </w:p>
        </w:tc>
        <w:tc>
          <w:tcPr>
            <w:tcW w:w="1126" w:type="dxa"/>
            <w:noWrap w:val="0"/>
            <w:vAlign w:val="center"/>
          </w:tcPr>
          <w:p>
            <w:pPr>
              <w:pStyle w:val="3"/>
              <w:rPr>
                <w:rFonts w:ascii="仿宋_GB2312" w:hAnsi="宋体" w:eastAsia="仿宋_GB2312"/>
                <w:color w:val="auto"/>
                <w:szCs w:val="20"/>
                <w:highlight w:val="none"/>
              </w:rPr>
            </w:pPr>
          </w:p>
        </w:tc>
        <w:tc>
          <w:tcPr>
            <w:tcW w:w="567" w:type="dxa"/>
            <w:noWrap w:val="0"/>
            <w:vAlign w:val="center"/>
          </w:tcPr>
          <w:p>
            <w:pPr>
              <w:pStyle w:val="3"/>
              <w:rPr>
                <w:rFonts w:ascii="仿宋_GB2312" w:hAnsi="宋体" w:eastAsia="仿宋_GB2312"/>
                <w:color w:val="auto"/>
                <w:szCs w:val="20"/>
                <w:highlight w:val="none"/>
              </w:rPr>
            </w:pPr>
          </w:p>
        </w:tc>
        <w:tc>
          <w:tcPr>
            <w:tcW w:w="686" w:type="dxa"/>
            <w:noWrap w:val="0"/>
            <w:vAlign w:val="center"/>
          </w:tcPr>
          <w:p>
            <w:pPr>
              <w:pStyle w:val="3"/>
              <w:rPr>
                <w:rFonts w:ascii="仿宋_GB2312" w:hAnsi="宋体" w:eastAsia="仿宋_GB2312"/>
                <w:color w:val="auto"/>
                <w:szCs w:val="20"/>
                <w:highlight w:val="none"/>
              </w:rPr>
            </w:pPr>
          </w:p>
        </w:tc>
        <w:tc>
          <w:tcPr>
            <w:tcW w:w="992" w:type="dxa"/>
            <w:noWrap w:val="0"/>
            <w:vAlign w:val="top"/>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709"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rPr>
                <w:rFonts w:ascii="仿宋_GB2312" w:eastAsia="仿宋_GB2312"/>
                <w:color w:val="auto"/>
                <w:highlight w:val="none"/>
              </w:rPr>
            </w:pPr>
          </w:p>
        </w:tc>
        <w:tc>
          <w:tcPr>
            <w:tcW w:w="1165" w:type="dxa"/>
            <w:noWrap w:val="0"/>
            <w:vAlign w:val="center"/>
          </w:tcPr>
          <w:p>
            <w:pPr>
              <w:rPr>
                <w:rFonts w:ascii="仿宋_GB2312" w:eastAsia="仿宋_GB2312"/>
                <w:color w:val="auto"/>
                <w:highlight w:val="none"/>
              </w:rPr>
            </w:pPr>
          </w:p>
        </w:tc>
        <w:tc>
          <w:tcPr>
            <w:tcW w:w="1126" w:type="dxa"/>
            <w:noWrap w:val="0"/>
            <w:vAlign w:val="center"/>
          </w:tcPr>
          <w:p>
            <w:pPr>
              <w:rPr>
                <w:rFonts w:ascii="仿宋_GB2312" w:eastAsia="仿宋_GB2312"/>
                <w:color w:val="auto"/>
                <w:highlight w:val="none"/>
              </w:rPr>
            </w:pPr>
          </w:p>
        </w:tc>
        <w:tc>
          <w:tcPr>
            <w:tcW w:w="567" w:type="dxa"/>
            <w:noWrap w:val="0"/>
            <w:vAlign w:val="center"/>
          </w:tcPr>
          <w:p>
            <w:pPr>
              <w:rPr>
                <w:rFonts w:ascii="仿宋_GB2312" w:eastAsia="仿宋_GB2312"/>
                <w:color w:val="auto"/>
                <w:highlight w:val="none"/>
              </w:rPr>
            </w:pPr>
          </w:p>
        </w:tc>
        <w:tc>
          <w:tcPr>
            <w:tcW w:w="686" w:type="dxa"/>
            <w:noWrap w:val="0"/>
            <w:vAlign w:val="center"/>
          </w:tcPr>
          <w:p>
            <w:pPr>
              <w:rPr>
                <w:rFonts w:ascii="仿宋_GB2312" w:eastAsia="仿宋_GB2312"/>
                <w:color w:val="auto"/>
                <w:highlight w:val="none"/>
              </w:rPr>
            </w:pPr>
          </w:p>
        </w:tc>
        <w:tc>
          <w:tcPr>
            <w:tcW w:w="992" w:type="dxa"/>
            <w:noWrap w:val="0"/>
            <w:vAlign w:val="top"/>
          </w:tcPr>
          <w:p>
            <w:pPr>
              <w:rPr>
                <w:rFonts w:ascii="仿宋_GB2312" w:eastAsia="仿宋_GB2312"/>
                <w:color w:val="auto"/>
                <w:highlight w:val="none"/>
              </w:rPr>
            </w:pPr>
          </w:p>
        </w:tc>
        <w:tc>
          <w:tcPr>
            <w:tcW w:w="1134" w:type="dxa"/>
            <w:noWrap w:val="0"/>
            <w:vAlign w:val="center"/>
          </w:tcPr>
          <w:p>
            <w:pPr>
              <w:rPr>
                <w:rFonts w:ascii="仿宋_GB2312" w:eastAsia="仿宋_GB2312"/>
                <w:color w:val="auto"/>
                <w:highlight w:val="none"/>
              </w:rPr>
            </w:pPr>
          </w:p>
        </w:tc>
        <w:tc>
          <w:tcPr>
            <w:tcW w:w="1134" w:type="dxa"/>
            <w:noWrap w:val="0"/>
            <w:vAlign w:val="center"/>
          </w:tcPr>
          <w:p>
            <w:pPr>
              <w:rPr>
                <w:rFonts w:ascii="仿宋_GB2312" w:eastAsia="仿宋_GB2312"/>
                <w:color w:val="auto"/>
                <w:highlight w:val="none"/>
              </w:rPr>
            </w:pPr>
          </w:p>
        </w:tc>
        <w:tc>
          <w:tcPr>
            <w:tcW w:w="1134" w:type="dxa"/>
            <w:noWrap w:val="0"/>
            <w:vAlign w:val="center"/>
          </w:tcPr>
          <w:p>
            <w:pPr>
              <w:rPr>
                <w:rFonts w:ascii="仿宋_GB2312" w:eastAsia="仿宋_GB2312"/>
                <w:color w:val="auto"/>
                <w:highlight w:val="none"/>
              </w:rPr>
            </w:pPr>
          </w:p>
        </w:tc>
        <w:tc>
          <w:tcPr>
            <w:tcW w:w="709" w:type="dxa"/>
            <w:noWrap w:val="0"/>
            <w:vAlign w:val="center"/>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rPr>
                <w:rFonts w:ascii="仿宋_GB2312" w:hAnsi="宋体" w:eastAsia="仿宋_GB2312"/>
                <w:color w:val="auto"/>
                <w:szCs w:val="20"/>
                <w:highlight w:val="none"/>
              </w:rPr>
            </w:pPr>
          </w:p>
        </w:tc>
        <w:tc>
          <w:tcPr>
            <w:tcW w:w="1165" w:type="dxa"/>
            <w:noWrap w:val="0"/>
            <w:vAlign w:val="center"/>
          </w:tcPr>
          <w:p>
            <w:pPr>
              <w:pStyle w:val="3"/>
              <w:rPr>
                <w:rFonts w:ascii="仿宋_GB2312" w:hAnsi="宋体" w:eastAsia="仿宋_GB2312"/>
                <w:color w:val="auto"/>
                <w:szCs w:val="20"/>
                <w:highlight w:val="none"/>
              </w:rPr>
            </w:pPr>
          </w:p>
        </w:tc>
        <w:tc>
          <w:tcPr>
            <w:tcW w:w="1126" w:type="dxa"/>
            <w:noWrap w:val="0"/>
            <w:vAlign w:val="center"/>
          </w:tcPr>
          <w:p>
            <w:pPr>
              <w:pStyle w:val="3"/>
              <w:rPr>
                <w:rFonts w:ascii="仿宋_GB2312" w:hAnsi="宋体" w:eastAsia="仿宋_GB2312"/>
                <w:color w:val="auto"/>
                <w:szCs w:val="20"/>
                <w:highlight w:val="none"/>
              </w:rPr>
            </w:pPr>
          </w:p>
        </w:tc>
        <w:tc>
          <w:tcPr>
            <w:tcW w:w="567" w:type="dxa"/>
            <w:noWrap w:val="0"/>
            <w:vAlign w:val="center"/>
          </w:tcPr>
          <w:p>
            <w:pPr>
              <w:pStyle w:val="3"/>
              <w:rPr>
                <w:rFonts w:ascii="仿宋_GB2312" w:hAnsi="宋体" w:eastAsia="仿宋_GB2312"/>
                <w:color w:val="auto"/>
                <w:szCs w:val="20"/>
                <w:highlight w:val="none"/>
              </w:rPr>
            </w:pPr>
          </w:p>
        </w:tc>
        <w:tc>
          <w:tcPr>
            <w:tcW w:w="686" w:type="dxa"/>
            <w:noWrap w:val="0"/>
            <w:vAlign w:val="center"/>
          </w:tcPr>
          <w:p>
            <w:pPr>
              <w:pStyle w:val="3"/>
              <w:rPr>
                <w:rFonts w:ascii="仿宋_GB2312" w:hAnsi="宋体" w:eastAsia="仿宋_GB2312"/>
                <w:color w:val="auto"/>
                <w:szCs w:val="20"/>
                <w:highlight w:val="none"/>
              </w:rPr>
            </w:pPr>
          </w:p>
        </w:tc>
        <w:tc>
          <w:tcPr>
            <w:tcW w:w="992" w:type="dxa"/>
            <w:noWrap w:val="0"/>
            <w:vAlign w:val="top"/>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1134" w:type="dxa"/>
            <w:noWrap w:val="0"/>
            <w:vAlign w:val="center"/>
          </w:tcPr>
          <w:p>
            <w:pPr>
              <w:pStyle w:val="3"/>
              <w:rPr>
                <w:rFonts w:ascii="仿宋_GB2312" w:hAnsi="宋体" w:eastAsia="仿宋_GB2312"/>
                <w:color w:val="auto"/>
                <w:szCs w:val="20"/>
                <w:highlight w:val="none"/>
              </w:rPr>
            </w:pPr>
          </w:p>
        </w:tc>
        <w:tc>
          <w:tcPr>
            <w:tcW w:w="709"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rPr>
                <w:rFonts w:ascii="仿宋_GB2312" w:eastAsia="仿宋_GB2312"/>
                <w:color w:val="auto"/>
                <w:highlight w:val="none"/>
              </w:rPr>
            </w:pPr>
          </w:p>
        </w:tc>
        <w:tc>
          <w:tcPr>
            <w:tcW w:w="1165" w:type="dxa"/>
            <w:noWrap w:val="0"/>
            <w:vAlign w:val="center"/>
          </w:tcPr>
          <w:p>
            <w:pPr>
              <w:rPr>
                <w:rFonts w:ascii="仿宋_GB2312" w:eastAsia="仿宋_GB2312"/>
                <w:color w:val="auto"/>
                <w:highlight w:val="none"/>
              </w:rPr>
            </w:pPr>
          </w:p>
        </w:tc>
        <w:tc>
          <w:tcPr>
            <w:tcW w:w="1126" w:type="dxa"/>
            <w:noWrap w:val="0"/>
            <w:vAlign w:val="center"/>
          </w:tcPr>
          <w:p>
            <w:pPr>
              <w:rPr>
                <w:rFonts w:ascii="仿宋_GB2312" w:eastAsia="仿宋_GB2312"/>
                <w:color w:val="auto"/>
                <w:highlight w:val="none"/>
              </w:rPr>
            </w:pPr>
          </w:p>
        </w:tc>
        <w:tc>
          <w:tcPr>
            <w:tcW w:w="567" w:type="dxa"/>
            <w:noWrap w:val="0"/>
            <w:vAlign w:val="center"/>
          </w:tcPr>
          <w:p>
            <w:pPr>
              <w:rPr>
                <w:rFonts w:ascii="仿宋_GB2312" w:eastAsia="仿宋_GB2312"/>
                <w:color w:val="auto"/>
                <w:highlight w:val="none"/>
              </w:rPr>
            </w:pPr>
          </w:p>
        </w:tc>
        <w:tc>
          <w:tcPr>
            <w:tcW w:w="686" w:type="dxa"/>
            <w:noWrap w:val="0"/>
            <w:vAlign w:val="center"/>
          </w:tcPr>
          <w:p>
            <w:pPr>
              <w:rPr>
                <w:rFonts w:ascii="仿宋_GB2312" w:eastAsia="仿宋_GB2312"/>
                <w:color w:val="auto"/>
                <w:highlight w:val="none"/>
              </w:rPr>
            </w:pPr>
          </w:p>
        </w:tc>
        <w:tc>
          <w:tcPr>
            <w:tcW w:w="992" w:type="dxa"/>
            <w:noWrap w:val="0"/>
            <w:vAlign w:val="top"/>
          </w:tcPr>
          <w:p>
            <w:pPr>
              <w:rPr>
                <w:rFonts w:ascii="仿宋_GB2312" w:eastAsia="仿宋_GB2312"/>
                <w:color w:val="auto"/>
                <w:highlight w:val="none"/>
              </w:rPr>
            </w:pPr>
          </w:p>
        </w:tc>
        <w:tc>
          <w:tcPr>
            <w:tcW w:w="1134" w:type="dxa"/>
            <w:noWrap w:val="0"/>
            <w:vAlign w:val="center"/>
          </w:tcPr>
          <w:p>
            <w:pPr>
              <w:rPr>
                <w:rFonts w:ascii="仿宋_GB2312" w:eastAsia="仿宋_GB2312"/>
                <w:color w:val="auto"/>
                <w:highlight w:val="none"/>
              </w:rPr>
            </w:pPr>
          </w:p>
        </w:tc>
        <w:tc>
          <w:tcPr>
            <w:tcW w:w="1134" w:type="dxa"/>
            <w:noWrap w:val="0"/>
            <w:vAlign w:val="center"/>
          </w:tcPr>
          <w:p>
            <w:pPr>
              <w:rPr>
                <w:rFonts w:ascii="仿宋_GB2312" w:eastAsia="仿宋_GB2312"/>
                <w:color w:val="auto"/>
                <w:highlight w:val="none"/>
              </w:rPr>
            </w:pPr>
          </w:p>
        </w:tc>
        <w:tc>
          <w:tcPr>
            <w:tcW w:w="1134" w:type="dxa"/>
            <w:noWrap w:val="0"/>
            <w:vAlign w:val="center"/>
          </w:tcPr>
          <w:p>
            <w:pPr>
              <w:rPr>
                <w:rFonts w:ascii="仿宋_GB2312" w:eastAsia="仿宋_GB2312"/>
                <w:color w:val="auto"/>
                <w:highlight w:val="none"/>
              </w:rPr>
            </w:pPr>
          </w:p>
        </w:tc>
        <w:tc>
          <w:tcPr>
            <w:tcW w:w="709" w:type="dxa"/>
            <w:noWrap w:val="0"/>
            <w:vAlign w:val="center"/>
          </w:tcPr>
          <w:p>
            <w:pPr>
              <w:rPr>
                <w:rFonts w:ascii="仿宋_GB2312" w:eastAsia="仿宋_GB2312"/>
                <w:color w:val="auto"/>
                <w:highlight w:val="none"/>
              </w:rPr>
            </w:pPr>
          </w:p>
        </w:tc>
      </w:tr>
    </w:tbl>
    <w:p>
      <w:pPr>
        <w:rPr>
          <w:color w:val="auto"/>
          <w:highlight w:val="none"/>
        </w:rPr>
      </w:pPr>
    </w:p>
    <w:p>
      <w:pPr>
        <w:rPr>
          <w:color w:val="auto"/>
          <w:highlight w:val="none"/>
        </w:rPr>
      </w:pPr>
      <w:r>
        <w:rPr>
          <w:color w:val="auto"/>
          <w:highlight w:val="none"/>
        </w:rPr>
        <w:br w:type="page"/>
      </w:r>
    </w:p>
    <w:p>
      <w:pPr>
        <w:pStyle w:val="48"/>
        <w:numPr>
          <w:ilvl w:val="0"/>
          <w:numId w:val="0"/>
        </w:numPr>
        <w:rPr>
          <w:color w:val="auto"/>
          <w:highlight w:val="none"/>
        </w:rPr>
      </w:pPr>
      <w:bookmarkStart w:id="232" w:name="_Toc23681"/>
      <w:bookmarkStart w:id="233" w:name="_Toc54862354"/>
      <w:bookmarkStart w:id="234" w:name="_Toc20171895"/>
      <w:r>
        <w:rPr>
          <w:rFonts w:hint="eastAsia"/>
          <w:color w:val="auto"/>
          <w:highlight w:val="none"/>
        </w:rPr>
        <w:t>附件</w:t>
      </w:r>
      <w:r>
        <w:rPr>
          <w:color w:val="auto"/>
          <w:highlight w:val="none"/>
        </w:rPr>
        <w:t>3 工程质量保修书</w:t>
      </w:r>
      <w:bookmarkEnd w:id="232"/>
      <w:bookmarkEnd w:id="233"/>
      <w:bookmarkEnd w:id="234"/>
    </w:p>
    <w:p>
      <w:pPr>
        <w:rPr>
          <w:rFonts w:ascii="仿宋_GB2312" w:eastAsia="仿宋_GB2312"/>
          <w:color w:val="auto"/>
          <w:sz w:val="28"/>
          <w:szCs w:val="28"/>
          <w:highlight w:val="none"/>
        </w:rPr>
      </w:pPr>
      <w:r>
        <w:rPr>
          <w:rFonts w:hint="eastAsia" w:ascii="仿宋_GB2312" w:eastAsia="仿宋_GB2312"/>
          <w:color w:val="auto"/>
          <w:sz w:val="28"/>
          <w:szCs w:val="28"/>
          <w:highlight w:val="none"/>
        </w:rPr>
        <w:t>发包人（全称）：</w:t>
      </w:r>
      <w:r>
        <w:rPr>
          <w:rFonts w:ascii="仿宋_GB2312" w:eastAsia="仿宋_GB2312"/>
          <w:color w:val="auto"/>
          <w:sz w:val="28"/>
          <w:szCs w:val="28"/>
          <w:highlight w:val="none"/>
          <w:u w:val="single"/>
        </w:rPr>
        <w:t xml:space="preserve">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承包人（全称）：</w:t>
      </w:r>
      <w:r>
        <w:rPr>
          <w:rFonts w:ascii="仿宋_GB2312" w:eastAsia="仿宋_GB2312"/>
          <w:color w:val="auto"/>
          <w:sz w:val="28"/>
          <w:szCs w:val="28"/>
          <w:highlight w:val="none"/>
          <w:u w:val="single"/>
        </w:rPr>
        <w:t xml:space="preserve">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发包人和承包人根据《中华人民共和国建筑法》和《建设工程质量管理条例》，经协商一致就</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湖州市</w:t>
      </w:r>
      <w:r>
        <w:rPr>
          <w:rFonts w:hint="eastAsia" w:ascii="宋体" w:hAnsi="宋体" w:cs="宋体"/>
          <w:color w:val="auto"/>
          <w:sz w:val="28"/>
          <w:szCs w:val="28"/>
          <w:highlight w:val="none"/>
          <w:u w:val="single"/>
        </w:rPr>
        <w:t>南太</w:t>
      </w:r>
      <w:r>
        <w:rPr>
          <w:rFonts w:hint="eastAsia" w:ascii="仿宋_GB2312" w:eastAsia="仿宋_GB2312"/>
          <w:color w:val="auto"/>
          <w:sz w:val="28"/>
          <w:szCs w:val="28"/>
          <w:highlight w:val="none"/>
          <w:u w:val="single"/>
        </w:rPr>
        <w:t>湖新区</w:t>
      </w:r>
      <w:r>
        <w:rPr>
          <w:rFonts w:hint="eastAsia" w:ascii="宋体" w:hAnsi="宋体" w:cs="宋体"/>
          <w:color w:val="auto"/>
          <w:sz w:val="28"/>
          <w:szCs w:val="28"/>
          <w:highlight w:val="none"/>
          <w:u w:val="single"/>
        </w:rPr>
        <w:t>太</w:t>
      </w:r>
      <w:r>
        <w:rPr>
          <w:rFonts w:hint="eastAsia" w:ascii="仿宋_GB2312" w:eastAsia="仿宋_GB2312"/>
          <w:color w:val="auto"/>
          <w:sz w:val="28"/>
          <w:szCs w:val="28"/>
          <w:highlight w:val="none"/>
          <w:u w:val="single"/>
        </w:rPr>
        <w:t>湖</w:t>
      </w:r>
      <w:r>
        <w:rPr>
          <w:rFonts w:hint="eastAsia" w:ascii="宋体" w:hAnsi="宋体" w:cs="宋体"/>
          <w:color w:val="auto"/>
          <w:sz w:val="28"/>
          <w:szCs w:val="28"/>
          <w:highlight w:val="none"/>
          <w:u w:val="single"/>
        </w:rPr>
        <w:t>湾</w:t>
      </w:r>
      <w:r>
        <w:rPr>
          <w:rFonts w:hint="eastAsia" w:ascii="仿宋_GB2312" w:eastAsia="仿宋_GB2312"/>
          <w:color w:val="auto"/>
          <w:sz w:val="28"/>
          <w:szCs w:val="28"/>
          <w:highlight w:val="none"/>
          <w:u w:val="single"/>
        </w:rPr>
        <w:t>单元（TH-08-02）13E、14C、15B、16A-1、16A-2、16B、17A、17B-1、17B-2、17C、18B-1、18B-2、20B-1、20B-2、27E、28B-1、28B-2、29B、13E-1、20B-3号地块（长</w:t>
      </w:r>
      <w:r>
        <w:rPr>
          <w:rFonts w:hint="eastAsia" w:ascii="宋体" w:hAnsi="宋体" w:cs="宋体"/>
          <w:color w:val="auto"/>
          <w:sz w:val="28"/>
          <w:szCs w:val="28"/>
          <w:highlight w:val="none"/>
          <w:u w:val="single"/>
        </w:rPr>
        <w:t>东</w:t>
      </w:r>
      <w:r>
        <w:rPr>
          <w:rFonts w:hint="eastAsia" w:ascii="仿宋_GB2312" w:eastAsia="仿宋_GB2312"/>
          <w:color w:val="auto"/>
          <w:sz w:val="28"/>
          <w:szCs w:val="28"/>
          <w:highlight w:val="none"/>
          <w:u w:val="single"/>
        </w:rPr>
        <w:t>未来社区）开发建设项目工程总承包项目</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（工程全称）订立工程质量保修书。</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一、工程质量保修范围和内容</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承包人在质量保修期内，按照有关法律规定和合同约定，承担工程质量保修责任。</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承包人在质量保修期内按照有关法律、法规、规章的管理规定和双方约定，承担本工程质量保修责任。质量保修范围包括本次招标范围内的所有工程   </w:t>
      </w:r>
      <w:r>
        <w:rPr>
          <w:rFonts w:hint="eastAsia" w:ascii="仿宋_GB2312" w:eastAsia="仿宋_GB2312"/>
          <w:color w:val="auto"/>
          <w:sz w:val="28"/>
          <w:szCs w:val="28"/>
          <w:highlight w:val="none"/>
        </w:rPr>
        <w:t>。</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二、质量保修期</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根据《建设工程质量管理条例》及有关规定，工程的质量保修期如下：</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1．地基基础工程和主体结构工程为设计文件规定的工程合理使用年限；</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2．屋面防水工程、有防水要求的卫生间、房间和外墙面的防渗为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8</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3．装修工程为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2</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4．电气管线、给排水管道、设备安装工程为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5．供热与供冷系统为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2</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个采暖期、供冷期；</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6．住宅小区内的给排水设施、道路等配套工程为</w:t>
      </w:r>
      <w:r>
        <w:rPr>
          <w:rFonts w:hint="eastAsia" w:ascii="仿宋_GB2312" w:eastAsia="仿宋_GB2312"/>
          <w:color w:val="auto"/>
          <w:sz w:val="28"/>
          <w:szCs w:val="28"/>
          <w:highlight w:val="none"/>
          <w:u w:val="single"/>
        </w:rPr>
        <w:t>2</w:t>
      </w:r>
      <w:r>
        <w:rPr>
          <w:rFonts w:hint="eastAsia" w:ascii="仿宋_GB2312" w:eastAsia="仿宋_GB2312"/>
          <w:color w:val="auto"/>
          <w:sz w:val="28"/>
          <w:szCs w:val="28"/>
          <w:highlight w:val="none"/>
        </w:rPr>
        <w:t>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7．其他项目保修期限约定如下：</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室外附属工程为2年；绿化养护期2年；保温工程为5年；埋设于墙体、地面内的电气网络管线和给排水管道等隐蔽工程为8年；屋面防水工程、有防水要求的</w:t>
      </w:r>
      <w:r>
        <w:rPr>
          <w:rFonts w:hint="eastAsia" w:ascii="仿宋_GB2312" w:eastAsia="仿宋_GB2312"/>
          <w:color w:val="auto"/>
          <w:sz w:val="28"/>
          <w:szCs w:val="28"/>
          <w:highlight w:val="none"/>
          <w:u w:val="single"/>
          <w:lang w:val="en-US" w:eastAsia="zh-CN"/>
        </w:rPr>
        <w:t>区域或部位（厨房、地下室的防水及防渗漏、管道防渗漏等）为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8</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年</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rPr>
        <w:t>其他工程：2年。</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质量保修期自工程竣工验收合格之日起计算。</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三、缺陷责任期</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工程缺陷责任期为</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24</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个月，缺陷责任期自工程通过竣工验收之日起计算。单位/区段工程先于全部工程进行验收，单位/区段工程缺陷责任期自单位/区段工程验收合格之日起算。</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缺陷责任期终止后，发包人应返还剩余的质量保证金。</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四、质量保修责任</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1．属于保修范围、内容的项目，承包人应当在接到保修通知之日起24小时内派人保修。承包人不在约定期限内派人保修的，发包人可以委托他人修理。</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2．发生紧急事故需抢修的，承包人在接到事故通知后，应当立即到达事故现场抢修。</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4．质量保修完成后，由发包人组织验收。</w:t>
      </w:r>
    </w:p>
    <w:p>
      <w:pPr>
        <w:ind w:firstLine="600"/>
        <w:rPr>
          <w:rFonts w:ascii="黑体" w:hAnsi="黑体" w:eastAsia="黑体"/>
          <w:color w:val="auto"/>
          <w:sz w:val="28"/>
          <w:szCs w:val="28"/>
          <w:highlight w:val="none"/>
        </w:rPr>
      </w:pPr>
      <w:r>
        <w:rPr>
          <w:rFonts w:hint="eastAsia" w:ascii="黑体" w:hAnsi="黑体" w:eastAsia="黑体"/>
          <w:color w:val="auto"/>
          <w:sz w:val="28"/>
          <w:szCs w:val="28"/>
          <w:highlight w:val="none"/>
        </w:rPr>
        <w:t>五、保修费用</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保修费用由造成质量缺陷的责任方承担。</w:t>
      </w:r>
    </w:p>
    <w:p>
      <w:pPr>
        <w:ind w:firstLine="600"/>
        <w:rPr>
          <w:rFonts w:ascii="仿宋_GB2312" w:eastAsia="仿宋_GB2312"/>
          <w:color w:val="auto"/>
          <w:sz w:val="28"/>
          <w:szCs w:val="28"/>
          <w:highlight w:val="none"/>
          <w:u w:val="single"/>
        </w:rPr>
      </w:pPr>
      <w:r>
        <w:rPr>
          <w:rFonts w:hint="eastAsia" w:ascii="黑体" w:hAnsi="黑体" w:eastAsia="黑体"/>
          <w:color w:val="auto"/>
          <w:sz w:val="28"/>
          <w:szCs w:val="28"/>
          <w:highlight w:val="none"/>
        </w:rPr>
        <w:t>六、双方约定的其他工程质量保修事项</w:t>
      </w:r>
      <w:r>
        <w:rPr>
          <w:rFonts w:hint="eastAsia" w:ascii="仿宋_GB2312" w:eastAsia="仿宋_GB2312"/>
          <w:color w:val="auto"/>
          <w:sz w:val="28"/>
          <w:szCs w:val="28"/>
          <w:highlight w:val="none"/>
        </w:rPr>
        <w:t>：</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t>发包人保留最终工程建安费结算价款的2.5%作为工程质量保证金，工程竣工验收合格缺陷责任期满后并回访质量符合要求后，退还质量保证金（不计息），退款应扣除已发生的修理费用，赔偿金等款项（如有）。缺陷责任期满后，承包人仍应按合同约定的工程各保修年限承担保修义务。</w:t>
      </w:r>
      <w:r>
        <w:rPr>
          <w:rFonts w:ascii="仿宋_GB2312" w:eastAsia="仿宋_GB2312"/>
          <w:color w:val="auto"/>
          <w:sz w:val="28"/>
          <w:szCs w:val="28"/>
          <w:highlight w:val="none"/>
          <w:u w:val="single"/>
        </w:rPr>
        <w:t xml:space="preserve">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工程质量保修书由发包人、承包人在工程竣工验收前共同签署，作为工程总承包合同附件，其有效期限至保修期满。</w:t>
      </w:r>
    </w:p>
    <w:p>
      <w:pPr>
        <w:ind w:firstLine="600"/>
        <w:rPr>
          <w:rFonts w:ascii="仿宋_GB2312" w:eastAsia="仿宋_GB2312"/>
          <w:color w:val="auto"/>
          <w:sz w:val="28"/>
          <w:szCs w:val="28"/>
          <w:highlight w:val="none"/>
        </w:rPr>
      </w:pP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发包人(公章)：               承包人(公章)：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地  址：                     地  址：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法定代表人(签字)：           法定代表人(签字)：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委托代理人(签字)：           委托代理人(签字)：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电  话：                     电  话：</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传  真：                     传  真：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开户银行：                   开户银行：</w:t>
      </w:r>
    </w:p>
    <w:p>
      <w:pPr>
        <w:ind w:firstLine="6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账  号：                     账  号： </w:t>
      </w:r>
    </w:p>
    <w:p>
      <w:pPr>
        <w:ind w:firstLine="6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邮政编码：                   邮政编码：   </w:t>
      </w:r>
    </w:p>
    <w:p>
      <w:pPr>
        <w:adjustRightInd/>
        <w:rPr>
          <w:color w:val="auto"/>
          <w:sz w:val="30"/>
          <w:szCs w:val="30"/>
          <w:highlight w:val="none"/>
        </w:rPr>
      </w:pPr>
      <w:r>
        <w:rPr>
          <w:color w:val="auto"/>
          <w:sz w:val="28"/>
          <w:szCs w:val="28"/>
          <w:highlight w:val="none"/>
        </w:rPr>
        <w:br w:type="page"/>
      </w:r>
    </w:p>
    <w:p>
      <w:pPr>
        <w:pStyle w:val="48"/>
        <w:numPr>
          <w:ilvl w:val="0"/>
          <w:numId w:val="0"/>
        </w:numPr>
        <w:rPr>
          <w:color w:val="auto"/>
          <w:highlight w:val="none"/>
        </w:rPr>
      </w:pPr>
      <w:bookmarkStart w:id="235" w:name="_Toc21481"/>
      <w:bookmarkStart w:id="236" w:name="_Toc54862355"/>
      <w:bookmarkStart w:id="237" w:name="_Toc20171896"/>
      <w:r>
        <w:rPr>
          <w:rFonts w:hint="eastAsia"/>
          <w:color w:val="auto"/>
          <w:highlight w:val="none"/>
        </w:rPr>
        <w:t>附件4</w:t>
      </w:r>
      <w:r>
        <w:rPr>
          <w:color w:val="auto"/>
          <w:highlight w:val="none"/>
        </w:rPr>
        <w:t xml:space="preserve"> 主要建设工程文件目录</w:t>
      </w:r>
      <w:bookmarkEnd w:id="235"/>
      <w:bookmarkEnd w:id="236"/>
      <w:bookmarkEnd w:id="237"/>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125"/>
        <w:gridCol w:w="1276"/>
        <w:gridCol w:w="1450"/>
        <w:gridCol w:w="1243"/>
        <w:gridCol w:w="1450"/>
        <w:gridCol w:w="16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125"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文件名称</w:t>
            </w:r>
          </w:p>
        </w:tc>
        <w:tc>
          <w:tcPr>
            <w:tcW w:w="1276"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套数</w:t>
            </w:r>
          </w:p>
        </w:tc>
        <w:tc>
          <w:tcPr>
            <w:tcW w:w="1450"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费用（元）</w:t>
            </w:r>
          </w:p>
        </w:tc>
        <w:tc>
          <w:tcPr>
            <w:tcW w:w="1243" w:type="dxa"/>
            <w:tcBorders>
              <w:top w:val="single" w:color="auto" w:sz="12" w:space="0"/>
              <w:bottom w:val="double" w:color="auto" w:sz="6" w:space="0"/>
            </w:tcBorders>
            <w:noWrap w:val="0"/>
            <w:vAlign w:val="center"/>
          </w:tcPr>
          <w:p>
            <w:pPr>
              <w:pStyle w:val="3"/>
              <w:spacing w:after="0"/>
              <w:jc w:val="center"/>
              <w:rPr>
                <w:rFonts w:ascii="仿宋_GB2312" w:hAnsi="宋体" w:eastAsia="仿宋_GB2312"/>
                <w:color w:val="auto"/>
                <w:sz w:val="21"/>
                <w:szCs w:val="20"/>
                <w:highlight w:val="none"/>
              </w:rPr>
            </w:pPr>
            <w:r>
              <w:rPr>
                <w:rFonts w:hint="eastAsia" w:ascii="仿宋_GB2312" w:hAnsi="宋体" w:eastAsia="仿宋_GB2312"/>
                <w:color w:val="auto"/>
                <w:sz w:val="21"/>
                <w:szCs w:val="20"/>
                <w:highlight w:val="none"/>
              </w:rPr>
              <w:t>质量</w:t>
            </w:r>
          </w:p>
        </w:tc>
        <w:tc>
          <w:tcPr>
            <w:tcW w:w="1450" w:type="dxa"/>
            <w:tcBorders>
              <w:top w:val="single" w:color="auto" w:sz="12" w:space="0"/>
              <w:bottom w:val="double" w:color="auto" w:sz="6" w:space="0"/>
            </w:tcBorders>
            <w:noWrap w:val="0"/>
            <w:vAlign w:val="top"/>
          </w:tcPr>
          <w:p>
            <w:pPr>
              <w:jc w:val="center"/>
              <w:rPr>
                <w:rFonts w:ascii="仿宋_GB2312" w:eastAsia="仿宋_GB2312"/>
                <w:color w:val="auto"/>
                <w:sz w:val="21"/>
                <w:highlight w:val="none"/>
              </w:rPr>
            </w:pPr>
            <w:r>
              <w:rPr>
                <w:rFonts w:hint="eastAsia" w:ascii="仿宋_GB2312" w:eastAsia="仿宋_GB2312"/>
                <w:color w:val="auto"/>
                <w:sz w:val="21"/>
                <w:highlight w:val="none"/>
              </w:rPr>
              <w:t>移交时间</w:t>
            </w:r>
          </w:p>
        </w:tc>
        <w:tc>
          <w:tcPr>
            <w:tcW w:w="1670" w:type="dxa"/>
            <w:tcBorders>
              <w:top w:val="single" w:color="auto" w:sz="12" w:space="0"/>
              <w:bottom w:val="double" w:color="auto" w:sz="6" w:space="0"/>
            </w:tcBorders>
            <w:noWrap w:val="0"/>
            <w:vAlign w:val="top"/>
          </w:tcPr>
          <w:p>
            <w:pPr>
              <w:jc w:val="center"/>
              <w:rPr>
                <w:rFonts w:ascii="仿宋_GB2312" w:eastAsia="仿宋_GB2312"/>
                <w:color w:val="auto"/>
                <w:sz w:val="21"/>
                <w:highlight w:val="none"/>
              </w:rPr>
            </w:pPr>
            <w:r>
              <w:rPr>
                <w:rFonts w:hint="eastAsia" w:ascii="仿宋_GB2312" w:eastAsia="仿宋_GB2312"/>
                <w:color w:val="auto"/>
                <w:sz w:val="21"/>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1276"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1450"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1243"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1450"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c>
          <w:tcPr>
            <w:tcW w:w="1670" w:type="dxa"/>
            <w:tcBorders>
              <w:top w:val="double" w:color="auto" w:sz="6" w:space="0"/>
              <w:bottom w:val="single" w:color="auto" w:sz="6" w:space="0"/>
            </w:tcBorders>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nil"/>
            </w:tcBorders>
            <w:noWrap w:val="0"/>
            <w:vAlign w:val="center"/>
          </w:tcPr>
          <w:p>
            <w:pPr>
              <w:pStyle w:val="3"/>
              <w:rPr>
                <w:rFonts w:ascii="仿宋_GB2312" w:hAnsi="宋体" w:eastAsia="仿宋_GB2312"/>
                <w:color w:val="auto"/>
                <w:szCs w:val="20"/>
                <w:highlight w:val="none"/>
              </w:rPr>
            </w:pPr>
          </w:p>
        </w:tc>
        <w:tc>
          <w:tcPr>
            <w:tcW w:w="1276" w:type="dxa"/>
            <w:tcBorders>
              <w:top w:val="nil"/>
            </w:tcBorders>
            <w:noWrap w:val="0"/>
            <w:vAlign w:val="center"/>
          </w:tcPr>
          <w:p>
            <w:pPr>
              <w:pStyle w:val="3"/>
              <w:rPr>
                <w:rFonts w:ascii="仿宋_GB2312" w:hAnsi="宋体" w:eastAsia="仿宋_GB2312"/>
                <w:color w:val="auto"/>
                <w:szCs w:val="20"/>
                <w:highlight w:val="none"/>
              </w:rPr>
            </w:pPr>
          </w:p>
        </w:tc>
        <w:tc>
          <w:tcPr>
            <w:tcW w:w="1450" w:type="dxa"/>
            <w:tcBorders>
              <w:top w:val="nil"/>
            </w:tcBorders>
            <w:noWrap w:val="0"/>
            <w:vAlign w:val="center"/>
          </w:tcPr>
          <w:p>
            <w:pPr>
              <w:pStyle w:val="3"/>
              <w:rPr>
                <w:rFonts w:ascii="仿宋_GB2312" w:hAnsi="宋体" w:eastAsia="仿宋_GB2312"/>
                <w:color w:val="auto"/>
                <w:szCs w:val="20"/>
                <w:highlight w:val="none"/>
              </w:rPr>
            </w:pPr>
          </w:p>
        </w:tc>
        <w:tc>
          <w:tcPr>
            <w:tcW w:w="1243" w:type="dxa"/>
            <w:tcBorders>
              <w:top w:val="nil"/>
            </w:tcBorders>
            <w:noWrap w:val="0"/>
            <w:vAlign w:val="center"/>
          </w:tcPr>
          <w:p>
            <w:pPr>
              <w:pStyle w:val="3"/>
              <w:rPr>
                <w:rFonts w:ascii="仿宋_GB2312" w:hAnsi="宋体" w:eastAsia="仿宋_GB2312"/>
                <w:color w:val="auto"/>
                <w:szCs w:val="20"/>
                <w:highlight w:val="none"/>
              </w:rPr>
            </w:pPr>
          </w:p>
        </w:tc>
        <w:tc>
          <w:tcPr>
            <w:tcW w:w="1450" w:type="dxa"/>
            <w:tcBorders>
              <w:top w:val="nil"/>
            </w:tcBorders>
            <w:noWrap w:val="0"/>
            <w:vAlign w:val="center"/>
          </w:tcPr>
          <w:p>
            <w:pPr>
              <w:pStyle w:val="3"/>
              <w:rPr>
                <w:rFonts w:ascii="仿宋_GB2312" w:hAnsi="宋体" w:eastAsia="仿宋_GB2312"/>
                <w:color w:val="auto"/>
                <w:szCs w:val="20"/>
                <w:highlight w:val="none"/>
              </w:rPr>
            </w:pPr>
          </w:p>
        </w:tc>
        <w:tc>
          <w:tcPr>
            <w:tcW w:w="1670" w:type="dxa"/>
            <w:tcBorders>
              <w:top w:val="nil"/>
            </w:tcBorders>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rPr>
                <w:rFonts w:ascii="仿宋_GB2312" w:hAnsi="宋体" w:eastAsia="仿宋_GB2312"/>
                <w:color w:val="auto"/>
                <w:szCs w:val="20"/>
                <w:highlight w:val="none"/>
              </w:rPr>
            </w:pPr>
          </w:p>
        </w:tc>
        <w:tc>
          <w:tcPr>
            <w:tcW w:w="1276"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243"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670"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rPr>
                <w:rFonts w:ascii="仿宋_GB2312" w:hAnsi="宋体" w:eastAsia="仿宋_GB2312"/>
                <w:color w:val="auto"/>
                <w:szCs w:val="20"/>
                <w:highlight w:val="none"/>
              </w:rPr>
            </w:pPr>
          </w:p>
        </w:tc>
        <w:tc>
          <w:tcPr>
            <w:tcW w:w="1276"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243"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670"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rPr>
                <w:rFonts w:ascii="仿宋_GB2312" w:hAnsi="宋体" w:eastAsia="仿宋_GB2312"/>
                <w:color w:val="auto"/>
                <w:szCs w:val="20"/>
                <w:highlight w:val="none"/>
              </w:rPr>
            </w:pPr>
          </w:p>
        </w:tc>
        <w:tc>
          <w:tcPr>
            <w:tcW w:w="1276"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243"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670"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rPr>
                <w:rFonts w:ascii="仿宋_GB2312" w:hAnsi="宋体" w:eastAsia="仿宋_GB2312"/>
                <w:color w:val="auto"/>
                <w:szCs w:val="20"/>
                <w:highlight w:val="none"/>
              </w:rPr>
            </w:pPr>
          </w:p>
        </w:tc>
        <w:tc>
          <w:tcPr>
            <w:tcW w:w="1276"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243"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670"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rPr>
                <w:rFonts w:ascii="仿宋_GB2312" w:hAnsi="宋体" w:eastAsia="仿宋_GB2312"/>
                <w:color w:val="auto"/>
                <w:szCs w:val="20"/>
                <w:highlight w:val="none"/>
              </w:rPr>
            </w:pPr>
          </w:p>
        </w:tc>
        <w:tc>
          <w:tcPr>
            <w:tcW w:w="1276"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243"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670"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rPr>
                <w:rFonts w:ascii="仿宋_GB2312" w:hAnsi="宋体" w:eastAsia="仿宋_GB2312"/>
                <w:color w:val="auto"/>
                <w:szCs w:val="20"/>
                <w:highlight w:val="none"/>
              </w:rPr>
            </w:pPr>
          </w:p>
        </w:tc>
        <w:tc>
          <w:tcPr>
            <w:tcW w:w="1276"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243"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670"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rPr>
                <w:rFonts w:ascii="仿宋_GB2312" w:hAnsi="宋体" w:eastAsia="仿宋_GB2312"/>
                <w:color w:val="auto"/>
                <w:szCs w:val="20"/>
                <w:highlight w:val="none"/>
              </w:rPr>
            </w:pPr>
          </w:p>
        </w:tc>
        <w:tc>
          <w:tcPr>
            <w:tcW w:w="1276"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243" w:type="dxa"/>
            <w:noWrap w:val="0"/>
            <w:vAlign w:val="center"/>
          </w:tcPr>
          <w:p>
            <w:pPr>
              <w:pStyle w:val="3"/>
              <w:rPr>
                <w:rFonts w:ascii="仿宋_GB2312" w:hAnsi="宋体" w:eastAsia="仿宋_GB2312"/>
                <w:color w:val="auto"/>
                <w:szCs w:val="20"/>
                <w:highlight w:val="none"/>
              </w:rPr>
            </w:pPr>
          </w:p>
        </w:tc>
        <w:tc>
          <w:tcPr>
            <w:tcW w:w="1450" w:type="dxa"/>
            <w:noWrap w:val="0"/>
            <w:vAlign w:val="center"/>
          </w:tcPr>
          <w:p>
            <w:pPr>
              <w:pStyle w:val="3"/>
              <w:rPr>
                <w:rFonts w:ascii="仿宋_GB2312" w:hAnsi="宋体" w:eastAsia="仿宋_GB2312"/>
                <w:color w:val="auto"/>
                <w:szCs w:val="20"/>
                <w:highlight w:val="none"/>
              </w:rPr>
            </w:pPr>
          </w:p>
        </w:tc>
        <w:tc>
          <w:tcPr>
            <w:tcW w:w="1670" w:type="dxa"/>
            <w:noWrap w:val="0"/>
            <w:vAlign w:val="center"/>
          </w:tcPr>
          <w:p>
            <w:pPr>
              <w:pStyle w:val="3"/>
              <w:rPr>
                <w:rFonts w:ascii="仿宋_GB2312" w:hAnsi="宋体"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pPr>
              <w:rPr>
                <w:rFonts w:ascii="仿宋_GB2312" w:eastAsia="仿宋_GB2312"/>
                <w:color w:val="auto"/>
                <w:highlight w:val="none"/>
              </w:rPr>
            </w:pPr>
          </w:p>
        </w:tc>
        <w:tc>
          <w:tcPr>
            <w:tcW w:w="1276"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243" w:type="dxa"/>
            <w:noWrap w:val="0"/>
            <w:vAlign w:val="top"/>
          </w:tcPr>
          <w:p>
            <w:pPr>
              <w:rPr>
                <w:rFonts w:ascii="仿宋_GB2312" w:eastAsia="仿宋_GB2312"/>
                <w:color w:val="auto"/>
                <w:highlight w:val="none"/>
              </w:rPr>
            </w:pPr>
          </w:p>
        </w:tc>
        <w:tc>
          <w:tcPr>
            <w:tcW w:w="1450" w:type="dxa"/>
            <w:noWrap w:val="0"/>
            <w:vAlign w:val="top"/>
          </w:tcPr>
          <w:p>
            <w:pPr>
              <w:rPr>
                <w:rFonts w:ascii="仿宋_GB2312" w:eastAsia="仿宋_GB2312"/>
                <w:color w:val="auto"/>
                <w:highlight w:val="none"/>
              </w:rPr>
            </w:pPr>
          </w:p>
        </w:tc>
        <w:tc>
          <w:tcPr>
            <w:tcW w:w="1670" w:type="dxa"/>
            <w:noWrap w:val="0"/>
            <w:vAlign w:val="top"/>
          </w:tcPr>
          <w:p>
            <w:pPr>
              <w:rPr>
                <w:rFonts w:ascii="仿宋_GB2312" w:eastAsia="仿宋_GB2312"/>
                <w:color w:val="auto"/>
                <w:highlight w:val="none"/>
              </w:rPr>
            </w:pPr>
          </w:p>
        </w:tc>
      </w:tr>
    </w:tbl>
    <w:p>
      <w:pPr>
        <w:rPr>
          <w:color w:val="auto"/>
          <w:highlight w:val="none"/>
        </w:rPr>
      </w:pPr>
    </w:p>
    <w:p>
      <w:pPr>
        <w:rPr>
          <w:color w:val="auto"/>
          <w:highlight w:val="none"/>
        </w:rPr>
      </w:pPr>
    </w:p>
    <w:p>
      <w:pPr>
        <w:rPr>
          <w:color w:val="auto"/>
          <w:highlight w:val="none"/>
        </w:rPr>
        <w:sectPr>
          <w:footerReference r:id="rId3" w:type="default"/>
          <w:pgSz w:w="11906" w:h="16838"/>
          <w:pgMar w:top="1440" w:right="1361" w:bottom="1440" w:left="1474" w:header="720" w:footer="998" w:gutter="0"/>
          <w:cols w:space="720" w:num="1"/>
          <w:docGrid w:linePitch="326" w:charSpace="0"/>
        </w:sectPr>
      </w:pPr>
    </w:p>
    <w:p>
      <w:pPr>
        <w:pStyle w:val="48"/>
        <w:numPr>
          <w:ilvl w:val="0"/>
          <w:numId w:val="0"/>
        </w:numPr>
        <w:rPr>
          <w:color w:val="auto"/>
          <w:highlight w:val="none"/>
        </w:rPr>
      </w:pPr>
      <w:bookmarkStart w:id="238" w:name="_Toc54862356"/>
      <w:bookmarkStart w:id="239" w:name="_Toc20171897"/>
      <w:bookmarkStart w:id="240" w:name="_Toc428"/>
      <w:r>
        <w:rPr>
          <w:rFonts w:hint="eastAsia"/>
          <w:color w:val="auto"/>
          <w:highlight w:val="none"/>
        </w:rPr>
        <w:t>附件</w:t>
      </w:r>
      <w:r>
        <w:rPr>
          <w:color w:val="auto"/>
          <w:highlight w:val="none"/>
        </w:rPr>
        <w:t>5 承包人主要管理人员表</w:t>
      </w:r>
      <w:bookmarkEnd w:id="238"/>
      <w:bookmarkEnd w:id="239"/>
      <w:bookmarkEnd w:id="240"/>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12" w:space="0"/>
              <w:bottom w:val="double" w:color="auto" w:sz="6" w:space="0"/>
            </w:tcBorders>
            <w:noWrap w:val="0"/>
            <w:vAlign w:val="center"/>
          </w:tcPr>
          <w:p>
            <w:pPr>
              <w:pStyle w:val="3"/>
              <w:spacing w:after="0"/>
              <w:ind w:firstLine="42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名    称</w:t>
            </w:r>
          </w:p>
        </w:tc>
        <w:tc>
          <w:tcPr>
            <w:tcW w:w="1418" w:type="dxa"/>
            <w:tcBorders>
              <w:top w:val="single" w:color="auto" w:sz="12" w:space="0"/>
              <w:bottom w:val="double" w:color="auto" w:sz="6" w:space="0"/>
            </w:tcBorders>
            <w:noWrap w:val="0"/>
            <w:vAlign w:val="center"/>
          </w:tcPr>
          <w:p>
            <w:pPr>
              <w:pStyle w:val="3"/>
              <w:spacing w:after="0"/>
              <w:ind w:firstLine="42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姓名</w:t>
            </w:r>
          </w:p>
        </w:tc>
        <w:tc>
          <w:tcPr>
            <w:tcW w:w="1134" w:type="dxa"/>
            <w:tcBorders>
              <w:top w:val="single" w:color="auto" w:sz="12" w:space="0"/>
              <w:bottom w:val="double" w:color="auto" w:sz="6" w:space="0"/>
            </w:tcBorders>
            <w:noWrap w:val="0"/>
            <w:vAlign w:val="center"/>
          </w:tcPr>
          <w:p>
            <w:pPr>
              <w:pStyle w:val="3"/>
              <w:spacing w:after="0"/>
              <w:ind w:firstLine="42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职务</w:t>
            </w:r>
          </w:p>
        </w:tc>
        <w:tc>
          <w:tcPr>
            <w:tcW w:w="1134" w:type="dxa"/>
            <w:tcBorders>
              <w:top w:val="single" w:color="auto" w:sz="12" w:space="0"/>
              <w:bottom w:val="double" w:color="auto" w:sz="6" w:space="0"/>
            </w:tcBorders>
            <w:noWrap w:val="0"/>
            <w:vAlign w:val="center"/>
          </w:tcPr>
          <w:p>
            <w:pPr>
              <w:pStyle w:val="3"/>
              <w:spacing w:after="0"/>
              <w:ind w:firstLine="42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职称</w:t>
            </w:r>
          </w:p>
        </w:tc>
        <w:tc>
          <w:tcPr>
            <w:tcW w:w="3896" w:type="dxa"/>
            <w:tcBorders>
              <w:top w:val="single" w:color="auto" w:sz="12" w:space="0"/>
              <w:bottom w:val="double" w:color="auto" w:sz="6" w:space="0"/>
            </w:tcBorders>
            <w:noWrap w:val="0"/>
            <w:vAlign w:val="center"/>
          </w:tcPr>
          <w:p>
            <w:pPr>
              <w:pStyle w:val="3"/>
              <w:spacing w:after="0"/>
              <w:ind w:firstLine="42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noWrap w:val="0"/>
            <w:vAlign w:val="center"/>
          </w:tcPr>
          <w:p>
            <w:pPr>
              <w:pStyle w:val="3"/>
              <w:spacing w:after="0"/>
              <w:ind w:firstLine="42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pPr>
              <w:pStyle w:val="3"/>
              <w:spacing w:after="0"/>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项目主管</w:t>
            </w:r>
          </w:p>
        </w:tc>
        <w:tc>
          <w:tcPr>
            <w:tcW w:w="1418" w:type="dxa"/>
            <w:tcBorders>
              <w:top w:val="nil"/>
            </w:tcBorders>
            <w:noWrap w:val="0"/>
            <w:vAlign w:val="center"/>
          </w:tcPr>
          <w:p>
            <w:pPr>
              <w:pStyle w:val="3"/>
              <w:spacing w:after="0"/>
              <w:ind w:firstLine="420"/>
              <w:rPr>
                <w:rFonts w:ascii="仿宋_GB2312" w:hAnsi="宋体" w:eastAsia="仿宋_GB2312"/>
                <w:color w:val="auto"/>
                <w:sz w:val="21"/>
                <w:szCs w:val="21"/>
                <w:highlight w:val="none"/>
              </w:rPr>
            </w:pPr>
          </w:p>
        </w:tc>
        <w:tc>
          <w:tcPr>
            <w:tcW w:w="1134" w:type="dxa"/>
            <w:tcBorders>
              <w:top w:val="nil"/>
            </w:tcBorders>
            <w:noWrap w:val="0"/>
            <w:vAlign w:val="center"/>
          </w:tcPr>
          <w:p>
            <w:pPr>
              <w:pStyle w:val="3"/>
              <w:spacing w:after="0"/>
              <w:ind w:firstLine="420"/>
              <w:rPr>
                <w:rFonts w:ascii="仿宋_GB2312" w:hAnsi="宋体" w:eastAsia="仿宋_GB2312"/>
                <w:color w:val="auto"/>
                <w:sz w:val="21"/>
                <w:szCs w:val="21"/>
                <w:highlight w:val="none"/>
              </w:rPr>
            </w:pPr>
          </w:p>
        </w:tc>
        <w:tc>
          <w:tcPr>
            <w:tcW w:w="1134" w:type="dxa"/>
            <w:tcBorders>
              <w:top w:val="nil"/>
            </w:tcBorders>
            <w:noWrap w:val="0"/>
            <w:vAlign w:val="center"/>
          </w:tcPr>
          <w:p>
            <w:pPr>
              <w:pStyle w:val="3"/>
              <w:spacing w:after="0"/>
              <w:ind w:firstLine="420"/>
              <w:rPr>
                <w:rFonts w:ascii="仿宋_GB2312" w:hAnsi="宋体" w:eastAsia="仿宋_GB2312"/>
                <w:color w:val="auto"/>
                <w:sz w:val="21"/>
                <w:szCs w:val="21"/>
                <w:highlight w:val="none"/>
              </w:rPr>
            </w:pPr>
          </w:p>
        </w:tc>
        <w:tc>
          <w:tcPr>
            <w:tcW w:w="3896" w:type="dxa"/>
            <w:tcBorders>
              <w:top w:val="nil"/>
            </w:tcBorders>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noWrap w:val="0"/>
            <w:vAlign w:val="center"/>
          </w:tcPr>
          <w:p>
            <w:pPr>
              <w:pStyle w:val="3"/>
              <w:spacing w:after="0"/>
              <w:ind w:firstLine="420"/>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pPr>
              <w:pStyle w:val="3"/>
              <w:spacing w:after="0"/>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其他人员</w:t>
            </w: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pPr>
              <w:pStyle w:val="3"/>
              <w:spacing w:after="0"/>
              <w:ind w:firstLine="420"/>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noWrap w:val="0"/>
            <w:vAlign w:val="center"/>
          </w:tcPr>
          <w:p>
            <w:pPr>
              <w:pStyle w:val="3"/>
              <w:spacing w:after="0"/>
              <w:ind w:firstLine="42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noWrap w:val="0"/>
            <w:vAlign w:val="center"/>
          </w:tcPr>
          <w:p>
            <w:pPr>
              <w:pStyle w:val="3"/>
              <w:spacing w:after="0"/>
              <w:jc w:val="center"/>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pPr>
              <w:pStyle w:val="3"/>
              <w:spacing w:after="0"/>
              <w:ind w:firstLine="420"/>
              <w:rPr>
                <w:rFonts w:ascii="仿宋_GB2312" w:hAnsi="宋体" w:eastAsia="仿宋_GB2312"/>
                <w:color w:val="auto"/>
                <w:sz w:val="21"/>
                <w:szCs w:val="21"/>
                <w:highlight w:val="none"/>
              </w:rPr>
            </w:pPr>
          </w:p>
        </w:tc>
        <w:tc>
          <w:tcPr>
            <w:tcW w:w="1418" w:type="dxa"/>
            <w:tcBorders>
              <w:bottom w:val="nil"/>
            </w:tcBorders>
            <w:noWrap w:val="0"/>
            <w:vAlign w:val="center"/>
          </w:tcPr>
          <w:p>
            <w:pPr>
              <w:pStyle w:val="3"/>
              <w:spacing w:after="0"/>
              <w:ind w:firstLine="420"/>
              <w:rPr>
                <w:rFonts w:ascii="仿宋_GB2312" w:hAnsi="宋体" w:eastAsia="仿宋_GB2312"/>
                <w:color w:val="auto"/>
                <w:sz w:val="21"/>
                <w:szCs w:val="21"/>
                <w:highlight w:val="none"/>
              </w:rPr>
            </w:pPr>
          </w:p>
        </w:tc>
        <w:tc>
          <w:tcPr>
            <w:tcW w:w="1134" w:type="dxa"/>
            <w:tcBorders>
              <w:bottom w:val="nil"/>
            </w:tcBorders>
            <w:noWrap w:val="0"/>
            <w:vAlign w:val="center"/>
          </w:tcPr>
          <w:p>
            <w:pPr>
              <w:pStyle w:val="3"/>
              <w:spacing w:after="0"/>
              <w:ind w:firstLine="420"/>
              <w:rPr>
                <w:rFonts w:ascii="仿宋_GB2312" w:hAnsi="宋体" w:eastAsia="仿宋_GB2312"/>
                <w:color w:val="auto"/>
                <w:sz w:val="21"/>
                <w:szCs w:val="21"/>
                <w:highlight w:val="none"/>
              </w:rPr>
            </w:pPr>
          </w:p>
        </w:tc>
        <w:tc>
          <w:tcPr>
            <w:tcW w:w="1134" w:type="dxa"/>
            <w:tcBorders>
              <w:bottom w:val="nil"/>
            </w:tcBorders>
            <w:noWrap w:val="0"/>
            <w:vAlign w:val="center"/>
          </w:tcPr>
          <w:p>
            <w:pPr>
              <w:pStyle w:val="3"/>
              <w:spacing w:after="0"/>
              <w:ind w:firstLine="420"/>
              <w:rPr>
                <w:rFonts w:ascii="仿宋_GB2312" w:hAnsi="宋体" w:eastAsia="仿宋_GB2312"/>
                <w:color w:val="auto"/>
                <w:sz w:val="21"/>
                <w:szCs w:val="21"/>
                <w:highlight w:val="none"/>
              </w:rPr>
            </w:pPr>
          </w:p>
        </w:tc>
        <w:tc>
          <w:tcPr>
            <w:tcW w:w="3896" w:type="dxa"/>
            <w:tcBorders>
              <w:bottom w:val="nil"/>
            </w:tcBorders>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pPr>
              <w:pStyle w:val="3"/>
              <w:spacing w:after="0"/>
              <w:ind w:firstLine="420"/>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pPr>
              <w:pStyle w:val="3"/>
              <w:spacing w:after="0"/>
              <w:ind w:firstLine="420"/>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pPr>
              <w:pStyle w:val="3"/>
              <w:spacing w:after="0"/>
              <w:ind w:firstLine="420"/>
              <w:rPr>
                <w:rFonts w:ascii="仿宋_GB2312" w:hAnsi="宋体" w:eastAsia="仿宋_GB2312"/>
                <w:color w:val="auto"/>
                <w:sz w:val="21"/>
                <w:szCs w:val="21"/>
                <w:highlight w:val="none"/>
              </w:rPr>
            </w:pPr>
          </w:p>
        </w:tc>
        <w:tc>
          <w:tcPr>
            <w:tcW w:w="1418"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1134" w:type="dxa"/>
            <w:noWrap w:val="0"/>
            <w:vAlign w:val="center"/>
          </w:tcPr>
          <w:p>
            <w:pPr>
              <w:pStyle w:val="3"/>
              <w:spacing w:after="0"/>
              <w:ind w:firstLine="420"/>
              <w:rPr>
                <w:rFonts w:ascii="仿宋_GB2312" w:hAnsi="宋体" w:eastAsia="仿宋_GB2312"/>
                <w:color w:val="auto"/>
                <w:sz w:val="21"/>
                <w:szCs w:val="21"/>
                <w:highlight w:val="none"/>
              </w:rPr>
            </w:pPr>
          </w:p>
        </w:tc>
        <w:tc>
          <w:tcPr>
            <w:tcW w:w="3896" w:type="dxa"/>
            <w:noWrap w:val="0"/>
            <w:vAlign w:val="center"/>
          </w:tcPr>
          <w:p>
            <w:pPr>
              <w:pStyle w:val="3"/>
              <w:spacing w:after="0"/>
              <w:ind w:firstLine="420"/>
              <w:rPr>
                <w:rFonts w:ascii="仿宋_GB2312" w:hAnsi="宋体"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tcBorders>
              <w:bottom w:val="single" w:color="auto" w:sz="12" w:space="0"/>
            </w:tcBorders>
            <w:noWrap w:val="0"/>
            <w:vAlign w:val="center"/>
          </w:tcPr>
          <w:p>
            <w:pPr>
              <w:pStyle w:val="3"/>
              <w:rPr>
                <w:rFonts w:ascii="仿宋_GB2312" w:hAnsi="宋体" w:eastAsia="仿宋_GB2312"/>
                <w:color w:val="auto"/>
                <w:szCs w:val="20"/>
                <w:highlight w:val="none"/>
              </w:rPr>
            </w:pPr>
          </w:p>
        </w:tc>
        <w:tc>
          <w:tcPr>
            <w:tcW w:w="1418" w:type="dxa"/>
            <w:tcBorders>
              <w:bottom w:val="single" w:color="auto" w:sz="12" w:space="0"/>
            </w:tcBorders>
            <w:noWrap w:val="0"/>
            <w:vAlign w:val="center"/>
          </w:tcPr>
          <w:p>
            <w:pPr>
              <w:pStyle w:val="3"/>
              <w:rPr>
                <w:rFonts w:ascii="仿宋_GB2312" w:hAnsi="宋体" w:eastAsia="仿宋_GB2312"/>
                <w:color w:val="auto"/>
                <w:szCs w:val="20"/>
                <w:highlight w:val="none"/>
              </w:rPr>
            </w:pPr>
          </w:p>
        </w:tc>
        <w:tc>
          <w:tcPr>
            <w:tcW w:w="1134" w:type="dxa"/>
            <w:tcBorders>
              <w:bottom w:val="single" w:color="auto" w:sz="12" w:space="0"/>
            </w:tcBorders>
            <w:noWrap w:val="0"/>
            <w:vAlign w:val="center"/>
          </w:tcPr>
          <w:p>
            <w:pPr>
              <w:pStyle w:val="3"/>
              <w:rPr>
                <w:rFonts w:ascii="仿宋_GB2312" w:hAnsi="宋体" w:eastAsia="仿宋_GB2312"/>
                <w:color w:val="auto"/>
                <w:szCs w:val="20"/>
                <w:highlight w:val="none"/>
              </w:rPr>
            </w:pPr>
          </w:p>
        </w:tc>
        <w:tc>
          <w:tcPr>
            <w:tcW w:w="1134" w:type="dxa"/>
            <w:tcBorders>
              <w:bottom w:val="single" w:color="auto" w:sz="12" w:space="0"/>
            </w:tcBorders>
            <w:noWrap w:val="0"/>
            <w:vAlign w:val="center"/>
          </w:tcPr>
          <w:p>
            <w:pPr>
              <w:pStyle w:val="3"/>
              <w:rPr>
                <w:rFonts w:ascii="仿宋_GB2312" w:hAnsi="宋体" w:eastAsia="仿宋_GB2312"/>
                <w:color w:val="auto"/>
                <w:szCs w:val="20"/>
                <w:highlight w:val="none"/>
              </w:rPr>
            </w:pPr>
          </w:p>
        </w:tc>
        <w:tc>
          <w:tcPr>
            <w:tcW w:w="3896" w:type="dxa"/>
            <w:tcBorders>
              <w:bottom w:val="single" w:color="auto" w:sz="12" w:space="0"/>
            </w:tcBorders>
            <w:noWrap w:val="0"/>
            <w:vAlign w:val="center"/>
          </w:tcPr>
          <w:p>
            <w:pPr>
              <w:pStyle w:val="3"/>
              <w:rPr>
                <w:rFonts w:ascii="仿宋_GB2312" w:hAnsi="宋体" w:eastAsia="仿宋_GB2312"/>
                <w:color w:val="auto"/>
                <w:szCs w:val="20"/>
                <w:highlight w:val="none"/>
              </w:rPr>
            </w:pPr>
          </w:p>
        </w:tc>
      </w:tr>
    </w:tbl>
    <w:p>
      <w:pPr>
        <w:rPr>
          <w:color w:val="auto"/>
          <w:highlight w:val="none"/>
        </w:rPr>
      </w:pPr>
      <w:r>
        <w:rPr>
          <w:color w:val="auto"/>
          <w:highlight w:val="none"/>
        </w:rPr>
        <w:br w:type="page"/>
      </w:r>
    </w:p>
    <w:p>
      <w:pPr>
        <w:pStyle w:val="48"/>
        <w:numPr>
          <w:ilvl w:val="0"/>
          <w:numId w:val="0"/>
        </w:numPr>
        <w:rPr>
          <w:color w:val="auto"/>
          <w:highlight w:val="none"/>
        </w:rPr>
      </w:pPr>
      <w:bookmarkStart w:id="241" w:name="_Toc15392"/>
      <w:bookmarkStart w:id="242" w:name="_Toc54862357"/>
      <w:r>
        <w:rPr>
          <w:rFonts w:hint="eastAsia"/>
          <w:color w:val="auto"/>
          <w:highlight w:val="none"/>
        </w:rPr>
        <w:t>附件6</w:t>
      </w:r>
      <w:r>
        <w:rPr>
          <w:color w:val="auto"/>
          <w:highlight w:val="none"/>
        </w:rPr>
        <w:t xml:space="preserve"> </w:t>
      </w:r>
      <w:r>
        <w:rPr>
          <w:rFonts w:hint="eastAsia"/>
          <w:color w:val="auto"/>
          <w:highlight w:val="none"/>
        </w:rPr>
        <w:t>价格指数权重表</w:t>
      </w:r>
      <w:bookmarkEnd w:id="241"/>
      <w:bookmarkEnd w:id="242"/>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84"/>
        <w:gridCol w:w="876"/>
        <w:gridCol w:w="1215"/>
        <w:gridCol w:w="1080"/>
        <w:gridCol w:w="1215"/>
        <w:gridCol w:w="123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29" w:type="dxa"/>
            <w:vMerge w:val="restart"/>
            <w:noWrap w:val="0"/>
            <w:vAlign w:val="top"/>
          </w:tcPr>
          <w:p>
            <w:pPr>
              <w:rPr>
                <w:rFonts w:ascii="仿宋_GB2312" w:eastAsia="仿宋_GB2312"/>
                <w:color w:val="auto"/>
                <w:highlight w:val="none"/>
              </w:rPr>
            </w:pPr>
            <w:r>
              <w:rPr>
                <w:rFonts w:hint="eastAsia" w:ascii="仿宋_GB2312" w:eastAsia="仿宋_GB2312"/>
                <w:color w:val="auto"/>
                <w:highlight w:val="none"/>
              </w:rPr>
              <w:t>序号</w:t>
            </w:r>
          </w:p>
        </w:tc>
        <w:tc>
          <w:tcPr>
            <w:tcW w:w="1460" w:type="dxa"/>
            <w:gridSpan w:val="2"/>
            <w:vMerge w:val="restart"/>
            <w:noWrap w:val="0"/>
            <w:vAlign w:val="top"/>
          </w:tcPr>
          <w:p>
            <w:pPr>
              <w:rPr>
                <w:rFonts w:ascii="仿宋_GB2312" w:eastAsia="仿宋_GB2312"/>
                <w:color w:val="auto"/>
                <w:highlight w:val="none"/>
              </w:rPr>
            </w:pPr>
            <w:r>
              <w:rPr>
                <w:rFonts w:hint="eastAsia" w:ascii="仿宋_GB2312" w:eastAsia="仿宋_GB2312"/>
                <w:color w:val="auto"/>
                <w:highlight w:val="none"/>
              </w:rPr>
              <w:t>名称</w:t>
            </w:r>
          </w:p>
        </w:tc>
        <w:tc>
          <w:tcPr>
            <w:tcW w:w="2295" w:type="dxa"/>
            <w:gridSpan w:val="2"/>
            <w:noWrap w:val="0"/>
            <w:vAlign w:val="top"/>
          </w:tcPr>
          <w:p>
            <w:pPr>
              <w:rPr>
                <w:rFonts w:ascii="仿宋_GB2312" w:eastAsia="仿宋_GB2312"/>
                <w:color w:val="auto"/>
                <w:highlight w:val="none"/>
              </w:rPr>
            </w:pPr>
            <w:r>
              <w:rPr>
                <w:rFonts w:hint="eastAsia" w:ascii="仿宋_GB2312" w:eastAsia="仿宋_GB2312"/>
                <w:color w:val="auto"/>
                <w:highlight w:val="none"/>
              </w:rPr>
              <w:t>变更权重B</w:t>
            </w:r>
          </w:p>
        </w:tc>
        <w:tc>
          <w:tcPr>
            <w:tcW w:w="2445" w:type="dxa"/>
            <w:gridSpan w:val="2"/>
            <w:noWrap w:val="0"/>
            <w:vAlign w:val="top"/>
          </w:tcPr>
          <w:p>
            <w:pPr>
              <w:rPr>
                <w:rFonts w:ascii="仿宋_GB2312" w:eastAsia="仿宋_GB2312"/>
                <w:color w:val="auto"/>
                <w:highlight w:val="none"/>
              </w:rPr>
            </w:pPr>
            <w:r>
              <w:rPr>
                <w:rFonts w:hint="eastAsia" w:ascii="仿宋_GB2312" w:eastAsia="仿宋_GB2312"/>
                <w:color w:val="auto"/>
                <w:highlight w:val="none"/>
              </w:rPr>
              <w:t>基本价格指数F0</w:t>
            </w:r>
          </w:p>
        </w:tc>
        <w:tc>
          <w:tcPr>
            <w:tcW w:w="1380" w:type="dxa"/>
            <w:noWrap w:val="0"/>
            <w:vAlign w:val="top"/>
          </w:tcPr>
          <w:p>
            <w:pPr>
              <w:rPr>
                <w:rFonts w:ascii="仿宋_GB2312" w:eastAsia="仿宋_GB2312"/>
                <w:color w:val="auto"/>
                <w:highlight w:val="none"/>
              </w:rPr>
            </w:pPr>
            <w:r>
              <w:rPr>
                <w:rFonts w:hint="eastAsia" w:ascii="仿宋_GB2312" w:eastAsia="仿宋_GB2312"/>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9" w:type="dxa"/>
            <w:vMerge w:val="continue"/>
            <w:noWrap w:val="0"/>
            <w:vAlign w:val="top"/>
          </w:tcPr>
          <w:p>
            <w:pPr>
              <w:rPr>
                <w:rFonts w:ascii="仿宋_GB2312" w:eastAsia="仿宋_GB2312"/>
                <w:color w:val="auto"/>
                <w:highlight w:val="none"/>
              </w:rPr>
            </w:pPr>
          </w:p>
        </w:tc>
        <w:tc>
          <w:tcPr>
            <w:tcW w:w="1460" w:type="dxa"/>
            <w:gridSpan w:val="2"/>
            <w:vMerge w:val="continue"/>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代号</w:t>
            </w:r>
          </w:p>
        </w:tc>
        <w:tc>
          <w:tcPr>
            <w:tcW w:w="1080" w:type="dxa"/>
            <w:noWrap w:val="0"/>
            <w:vAlign w:val="top"/>
          </w:tcPr>
          <w:p>
            <w:pPr>
              <w:rPr>
                <w:rFonts w:ascii="仿宋_GB2312" w:eastAsia="仿宋_GB2312"/>
                <w:color w:val="auto"/>
                <w:highlight w:val="none"/>
              </w:rPr>
            </w:pPr>
            <w:r>
              <w:rPr>
                <w:rFonts w:hint="eastAsia" w:ascii="仿宋_GB2312" w:eastAsia="仿宋_GB2312"/>
                <w:color w:val="auto"/>
                <w:highlight w:val="none"/>
              </w:rPr>
              <w:t>权重</w:t>
            </w: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代号</w:t>
            </w:r>
          </w:p>
        </w:tc>
        <w:tc>
          <w:tcPr>
            <w:tcW w:w="1230" w:type="dxa"/>
            <w:noWrap w:val="0"/>
            <w:vAlign w:val="top"/>
          </w:tcPr>
          <w:p>
            <w:pPr>
              <w:rPr>
                <w:rFonts w:ascii="仿宋_GB2312" w:eastAsia="仿宋_GB2312"/>
                <w:color w:val="auto"/>
                <w:highlight w:val="none"/>
              </w:rPr>
            </w:pPr>
            <w:r>
              <w:rPr>
                <w:rFonts w:hint="eastAsia" w:ascii="仿宋_GB2312" w:eastAsia="仿宋_GB2312"/>
                <w:color w:val="auto"/>
                <w:highlight w:val="none"/>
              </w:rPr>
              <w:t>指数</w:t>
            </w:r>
          </w:p>
        </w:tc>
        <w:tc>
          <w:tcPr>
            <w:tcW w:w="1380" w:type="dxa"/>
            <w:noWrap w:val="0"/>
            <w:vAlign w:val="top"/>
          </w:tcPr>
          <w:p>
            <w:pPr>
              <w:rPr>
                <w:rFonts w:ascii="仿宋_GB2312"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color w:val="auto"/>
                <w:highlight w:val="none"/>
              </w:rPr>
            </w:pPr>
          </w:p>
        </w:tc>
        <w:tc>
          <w:tcPr>
            <w:tcW w:w="584" w:type="dxa"/>
            <w:vMerge w:val="restart"/>
            <w:noWrap w:val="0"/>
            <w:vAlign w:val="top"/>
          </w:tcPr>
          <w:p>
            <w:pPr>
              <w:rPr>
                <w:rFonts w:ascii="仿宋_GB2312" w:eastAsia="仿宋_GB2312"/>
                <w:color w:val="auto"/>
                <w:highlight w:val="none"/>
              </w:rPr>
            </w:pPr>
            <w:r>
              <w:rPr>
                <w:rFonts w:hint="eastAsia" w:ascii="仿宋_GB2312" w:eastAsia="仿宋_GB2312"/>
                <w:color w:val="auto"/>
                <w:highlight w:val="none"/>
              </w:rPr>
              <w:t>变</w:t>
            </w:r>
          </w:p>
          <w:p>
            <w:pPr>
              <w:rPr>
                <w:rFonts w:ascii="仿宋_GB2312" w:eastAsia="仿宋_GB2312"/>
                <w:color w:val="auto"/>
                <w:highlight w:val="none"/>
              </w:rPr>
            </w:pPr>
            <w:r>
              <w:rPr>
                <w:rFonts w:hint="eastAsia" w:ascii="仿宋_GB2312" w:eastAsia="仿宋_GB2312"/>
                <w:color w:val="auto"/>
                <w:highlight w:val="none"/>
              </w:rPr>
              <w:t>值</w:t>
            </w:r>
          </w:p>
          <w:p>
            <w:pPr>
              <w:rPr>
                <w:rFonts w:ascii="仿宋_GB2312" w:eastAsia="仿宋_GB2312"/>
                <w:color w:val="auto"/>
                <w:highlight w:val="none"/>
              </w:rPr>
            </w:pPr>
            <w:r>
              <w:rPr>
                <w:rFonts w:hint="eastAsia" w:ascii="仿宋_GB2312" w:eastAsia="仿宋_GB2312"/>
                <w:color w:val="auto"/>
                <w:highlight w:val="none"/>
              </w:rPr>
              <w:t>部</w:t>
            </w:r>
          </w:p>
          <w:p>
            <w:pPr>
              <w:rPr>
                <w:rFonts w:ascii="仿宋_GB2312" w:eastAsia="仿宋_GB2312"/>
                <w:color w:val="auto"/>
                <w:highlight w:val="none"/>
              </w:rPr>
            </w:pPr>
            <w:r>
              <w:rPr>
                <w:rFonts w:hint="eastAsia" w:ascii="仿宋_GB2312" w:eastAsia="仿宋_GB2312"/>
                <w:color w:val="auto"/>
                <w:highlight w:val="none"/>
              </w:rPr>
              <w:t>分</w:t>
            </w:r>
          </w:p>
        </w:tc>
        <w:tc>
          <w:tcPr>
            <w:tcW w:w="876"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B1</w:t>
            </w:r>
          </w:p>
        </w:tc>
        <w:tc>
          <w:tcPr>
            <w:tcW w:w="1080"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F01</w:t>
            </w:r>
          </w:p>
        </w:tc>
        <w:tc>
          <w:tcPr>
            <w:tcW w:w="1230" w:type="dxa"/>
            <w:noWrap w:val="0"/>
            <w:vAlign w:val="top"/>
          </w:tcPr>
          <w:p>
            <w:pPr>
              <w:rPr>
                <w:rFonts w:ascii="仿宋_GB2312" w:eastAsia="仿宋_GB2312"/>
                <w:color w:val="auto"/>
                <w:highlight w:val="none"/>
              </w:rPr>
            </w:pPr>
          </w:p>
        </w:tc>
        <w:tc>
          <w:tcPr>
            <w:tcW w:w="1380" w:type="dxa"/>
            <w:noWrap w:val="0"/>
            <w:vAlign w:val="top"/>
          </w:tcPr>
          <w:p>
            <w:pPr>
              <w:rPr>
                <w:rFonts w:ascii="仿宋_GB2312"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color w:val="auto"/>
                <w:highlight w:val="none"/>
              </w:rPr>
            </w:pPr>
          </w:p>
        </w:tc>
        <w:tc>
          <w:tcPr>
            <w:tcW w:w="584" w:type="dxa"/>
            <w:vMerge w:val="continue"/>
            <w:noWrap w:val="0"/>
            <w:vAlign w:val="top"/>
          </w:tcPr>
          <w:p>
            <w:pPr>
              <w:rPr>
                <w:rFonts w:ascii="仿宋_GB2312" w:eastAsia="仿宋_GB2312"/>
                <w:color w:val="auto"/>
                <w:highlight w:val="none"/>
              </w:rPr>
            </w:pPr>
          </w:p>
        </w:tc>
        <w:tc>
          <w:tcPr>
            <w:tcW w:w="876"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B2</w:t>
            </w:r>
          </w:p>
        </w:tc>
        <w:tc>
          <w:tcPr>
            <w:tcW w:w="1080"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F02</w:t>
            </w:r>
          </w:p>
        </w:tc>
        <w:tc>
          <w:tcPr>
            <w:tcW w:w="1230" w:type="dxa"/>
            <w:noWrap w:val="0"/>
            <w:vAlign w:val="top"/>
          </w:tcPr>
          <w:p>
            <w:pPr>
              <w:rPr>
                <w:rFonts w:ascii="仿宋_GB2312" w:eastAsia="仿宋_GB2312"/>
                <w:color w:val="auto"/>
                <w:highlight w:val="none"/>
              </w:rPr>
            </w:pPr>
          </w:p>
        </w:tc>
        <w:tc>
          <w:tcPr>
            <w:tcW w:w="1380" w:type="dxa"/>
            <w:noWrap w:val="0"/>
            <w:vAlign w:val="top"/>
          </w:tcPr>
          <w:p>
            <w:pPr>
              <w:rPr>
                <w:rFonts w:ascii="仿宋_GB2312"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color w:val="auto"/>
                <w:highlight w:val="none"/>
              </w:rPr>
            </w:pPr>
          </w:p>
        </w:tc>
        <w:tc>
          <w:tcPr>
            <w:tcW w:w="584" w:type="dxa"/>
            <w:vMerge w:val="continue"/>
            <w:noWrap w:val="0"/>
            <w:vAlign w:val="top"/>
          </w:tcPr>
          <w:p>
            <w:pPr>
              <w:rPr>
                <w:rFonts w:ascii="仿宋_GB2312" w:eastAsia="仿宋_GB2312"/>
                <w:color w:val="auto"/>
                <w:highlight w:val="none"/>
              </w:rPr>
            </w:pPr>
          </w:p>
        </w:tc>
        <w:tc>
          <w:tcPr>
            <w:tcW w:w="876"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B3</w:t>
            </w:r>
          </w:p>
        </w:tc>
        <w:tc>
          <w:tcPr>
            <w:tcW w:w="1080"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F03</w:t>
            </w:r>
          </w:p>
        </w:tc>
        <w:tc>
          <w:tcPr>
            <w:tcW w:w="1230" w:type="dxa"/>
            <w:noWrap w:val="0"/>
            <w:vAlign w:val="top"/>
          </w:tcPr>
          <w:p>
            <w:pPr>
              <w:rPr>
                <w:rFonts w:ascii="仿宋_GB2312" w:eastAsia="仿宋_GB2312"/>
                <w:color w:val="auto"/>
                <w:highlight w:val="none"/>
              </w:rPr>
            </w:pPr>
          </w:p>
        </w:tc>
        <w:tc>
          <w:tcPr>
            <w:tcW w:w="1380" w:type="dxa"/>
            <w:noWrap w:val="0"/>
            <w:vAlign w:val="top"/>
          </w:tcPr>
          <w:p>
            <w:pPr>
              <w:rPr>
                <w:rFonts w:ascii="仿宋_GB2312"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color w:val="auto"/>
                <w:highlight w:val="none"/>
              </w:rPr>
            </w:pPr>
          </w:p>
        </w:tc>
        <w:tc>
          <w:tcPr>
            <w:tcW w:w="584" w:type="dxa"/>
            <w:vMerge w:val="continue"/>
            <w:noWrap w:val="0"/>
            <w:vAlign w:val="top"/>
          </w:tcPr>
          <w:p>
            <w:pPr>
              <w:rPr>
                <w:rFonts w:ascii="仿宋_GB2312" w:eastAsia="仿宋_GB2312"/>
                <w:color w:val="auto"/>
                <w:highlight w:val="none"/>
              </w:rPr>
            </w:pPr>
          </w:p>
        </w:tc>
        <w:tc>
          <w:tcPr>
            <w:tcW w:w="876"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B4</w:t>
            </w:r>
          </w:p>
        </w:tc>
        <w:tc>
          <w:tcPr>
            <w:tcW w:w="1080"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r>
              <w:rPr>
                <w:rFonts w:hint="eastAsia" w:ascii="仿宋_GB2312" w:eastAsia="仿宋_GB2312"/>
                <w:color w:val="auto"/>
                <w:highlight w:val="none"/>
              </w:rPr>
              <w:t>F04</w:t>
            </w:r>
          </w:p>
        </w:tc>
        <w:tc>
          <w:tcPr>
            <w:tcW w:w="1230" w:type="dxa"/>
            <w:noWrap w:val="0"/>
            <w:vAlign w:val="top"/>
          </w:tcPr>
          <w:p>
            <w:pPr>
              <w:rPr>
                <w:rFonts w:ascii="仿宋_GB2312" w:eastAsia="仿宋_GB2312"/>
                <w:color w:val="auto"/>
                <w:highlight w:val="none"/>
              </w:rPr>
            </w:pPr>
          </w:p>
        </w:tc>
        <w:tc>
          <w:tcPr>
            <w:tcW w:w="1380" w:type="dxa"/>
            <w:noWrap w:val="0"/>
            <w:vAlign w:val="top"/>
          </w:tcPr>
          <w:p>
            <w:pPr>
              <w:rPr>
                <w:rFonts w:ascii="仿宋_GB2312"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color w:val="auto"/>
                <w:highlight w:val="none"/>
              </w:rPr>
            </w:pPr>
          </w:p>
        </w:tc>
        <w:tc>
          <w:tcPr>
            <w:tcW w:w="584" w:type="dxa"/>
            <w:vMerge w:val="continue"/>
            <w:noWrap w:val="0"/>
            <w:vAlign w:val="top"/>
          </w:tcPr>
          <w:p>
            <w:pPr>
              <w:rPr>
                <w:rFonts w:ascii="仿宋_GB2312" w:eastAsia="仿宋_GB2312"/>
                <w:color w:val="auto"/>
                <w:highlight w:val="none"/>
              </w:rPr>
            </w:pPr>
          </w:p>
        </w:tc>
        <w:tc>
          <w:tcPr>
            <w:tcW w:w="876"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p>
        </w:tc>
        <w:tc>
          <w:tcPr>
            <w:tcW w:w="1080"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p>
        </w:tc>
        <w:tc>
          <w:tcPr>
            <w:tcW w:w="1230" w:type="dxa"/>
            <w:noWrap w:val="0"/>
            <w:vAlign w:val="top"/>
          </w:tcPr>
          <w:p>
            <w:pPr>
              <w:rPr>
                <w:rFonts w:ascii="仿宋_GB2312" w:eastAsia="仿宋_GB2312"/>
                <w:color w:val="auto"/>
                <w:highlight w:val="none"/>
              </w:rPr>
            </w:pPr>
          </w:p>
        </w:tc>
        <w:tc>
          <w:tcPr>
            <w:tcW w:w="1380" w:type="dxa"/>
            <w:noWrap w:val="0"/>
            <w:vAlign w:val="top"/>
          </w:tcPr>
          <w:p>
            <w:pPr>
              <w:rPr>
                <w:rFonts w:ascii="仿宋_GB2312"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color w:val="auto"/>
                <w:highlight w:val="none"/>
              </w:rPr>
            </w:pPr>
          </w:p>
        </w:tc>
        <w:tc>
          <w:tcPr>
            <w:tcW w:w="584" w:type="dxa"/>
            <w:vMerge w:val="continue"/>
            <w:noWrap w:val="0"/>
            <w:vAlign w:val="top"/>
          </w:tcPr>
          <w:p>
            <w:pPr>
              <w:rPr>
                <w:rFonts w:ascii="仿宋_GB2312" w:eastAsia="仿宋_GB2312"/>
                <w:color w:val="auto"/>
                <w:highlight w:val="none"/>
              </w:rPr>
            </w:pPr>
          </w:p>
        </w:tc>
        <w:tc>
          <w:tcPr>
            <w:tcW w:w="876"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p>
        </w:tc>
        <w:tc>
          <w:tcPr>
            <w:tcW w:w="1080"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p>
        </w:tc>
        <w:tc>
          <w:tcPr>
            <w:tcW w:w="1230" w:type="dxa"/>
            <w:noWrap w:val="0"/>
            <w:vAlign w:val="top"/>
          </w:tcPr>
          <w:p>
            <w:pPr>
              <w:rPr>
                <w:rFonts w:ascii="仿宋_GB2312" w:eastAsia="仿宋_GB2312"/>
                <w:color w:val="auto"/>
                <w:highlight w:val="none"/>
              </w:rPr>
            </w:pPr>
          </w:p>
        </w:tc>
        <w:tc>
          <w:tcPr>
            <w:tcW w:w="1380" w:type="dxa"/>
            <w:noWrap w:val="0"/>
            <w:vAlign w:val="top"/>
          </w:tcPr>
          <w:p>
            <w:pPr>
              <w:rPr>
                <w:rFonts w:ascii="仿宋_GB2312"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val="0"/>
            <w:vAlign w:val="top"/>
          </w:tcPr>
          <w:p>
            <w:pPr>
              <w:rPr>
                <w:rFonts w:ascii="仿宋_GB2312" w:eastAsia="仿宋_GB2312"/>
                <w:color w:val="auto"/>
                <w:highlight w:val="none"/>
              </w:rPr>
            </w:pPr>
            <w:r>
              <w:rPr>
                <w:rFonts w:hint="eastAsia" w:ascii="仿宋_GB2312" w:eastAsia="仿宋_GB2312"/>
                <w:color w:val="auto"/>
                <w:highlight w:val="none"/>
              </w:rPr>
              <w:t>定值部分权重A</w:t>
            </w:r>
          </w:p>
        </w:tc>
        <w:tc>
          <w:tcPr>
            <w:tcW w:w="1215" w:type="dxa"/>
            <w:noWrap w:val="0"/>
            <w:vAlign w:val="top"/>
          </w:tcPr>
          <w:p>
            <w:pPr>
              <w:rPr>
                <w:rFonts w:ascii="仿宋_GB2312" w:eastAsia="仿宋_GB2312"/>
                <w:color w:val="auto"/>
                <w:highlight w:val="none"/>
              </w:rPr>
            </w:pPr>
          </w:p>
        </w:tc>
        <w:tc>
          <w:tcPr>
            <w:tcW w:w="1080" w:type="dxa"/>
            <w:noWrap w:val="0"/>
            <w:vAlign w:val="top"/>
          </w:tcPr>
          <w:p>
            <w:pPr>
              <w:rPr>
                <w:rFonts w:ascii="仿宋_GB2312" w:eastAsia="仿宋_GB2312"/>
                <w:color w:val="auto"/>
                <w:highlight w:val="none"/>
              </w:rPr>
            </w:pPr>
          </w:p>
        </w:tc>
        <w:tc>
          <w:tcPr>
            <w:tcW w:w="1215" w:type="dxa"/>
            <w:noWrap w:val="0"/>
            <w:vAlign w:val="top"/>
          </w:tcPr>
          <w:p>
            <w:pPr>
              <w:rPr>
                <w:rFonts w:ascii="仿宋_GB2312" w:eastAsia="仿宋_GB2312"/>
                <w:color w:val="auto"/>
                <w:highlight w:val="none"/>
              </w:rPr>
            </w:pPr>
          </w:p>
        </w:tc>
        <w:tc>
          <w:tcPr>
            <w:tcW w:w="1230" w:type="dxa"/>
            <w:noWrap w:val="0"/>
            <w:vAlign w:val="top"/>
          </w:tcPr>
          <w:p>
            <w:pPr>
              <w:rPr>
                <w:rFonts w:ascii="仿宋_GB2312" w:eastAsia="仿宋_GB2312"/>
                <w:color w:val="auto"/>
                <w:highlight w:val="none"/>
              </w:rPr>
            </w:pPr>
          </w:p>
        </w:tc>
        <w:tc>
          <w:tcPr>
            <w:tcW w:w="1380" w:type="dxa"/>
            <w:noWrap w:val="0"/>
            <w:vAlign w:val="top"/>
          </w:tcPr>
          <w:p>
            <w:pPr>
              <w:rPr>
                <w:rFonts w:ascii="仿宋_GB2312"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val="0"/>
            <w:vAlign w:val="top"/>
          </w:tcPr>
          <w:p>
            <w:pPr>
              <w:rPr>
                <w:rFonts w:ascii="仿宋_GB2312" w:eastAsia="仿宋_GB2312"/>
                <w:color w:val="auto"/>
                <w:highlight w:val="none"/>
              </w:rPr>
            </w:pPr>
            <w:r>
              <w:rPr>
                <w:rFonts w:hint="eastAsia" w:ascii="仿宋_GB2312" w:eastAsia="仿宋_GB2312"/>
                <w:color w:val="auto"/>
                <w:highlight w:val="none"/>
              </w:rPr>
              <w:t>合计</w:t>
            </w:r>
          </w:p>
        </w:tc>
        <w:tc>
          <w:tcPr>
            <w:tcW w:w="2295" w:type="dxa"/>
            <w:gridSpan w:val="2"/>
            <w:noWrap w:val="0"/>
            <w:vAlign w:val="top"/>
          </w:tcPr>
          <w:p>
            <w:pPr>
              <w:rPr>
                <w:rFonts w:ascii="仿宋_GB2312" w:eastAsia="仿宋_GB2312"/>
                <w:color w:val="auto"/>
                <w:highlight w:val="none"/>
              </w:rPr>
            </w:pPr>
          </w:p>
        </w:tc>
        <w:tc>
          <w:tcPr>
            <w:tcW w:w="2445" w:type="dxa"/>
            <w:gridSpan w:val="2"/>
            <w:noWrap w:val="0"/>
            <w:vAlign w:val="top"/>
          </w:tcPr>
          <w:p>
            <w:pPr>
              <w:rPr>
                <w:rFonts w:ascii="仿宋_GB2312" w:eastAsia="仿宋_GB2312"/>
                <w:color w:val="auto"/>
                <w:highlight w:val="none"/>
              </w:rPr>
            </w:pPr>
          </w:p>
        </w:tc>
        <w:tc>
          <w:tcPr>
            <w:tcW w:w="1380" w:type="dxa"/>
            <w:noWrap w:val="0"/>
            <w:vAlign w:val="top"/>
          </w:tcPr>
          <w:p>
            <w:pPr>
              <w:rPr>
                <w:rFonts w:ascii="仿宋_GB2312" w:eastAsia="仿宋_GB2312"/>
                <w:color w:val="auto"/>
                <w:highlight w:val="none"/>
              </w:rPr>
            </w:pPr>
          </w:p>
        </w:tc>
      </w:tr>
    </w:tbl>
    <w:p>
      <w:pPr>
        <w:rPr>
          <w:color w:val="auto"/>
          <w:highlight w:val="none"/>
        </w:rPr>
      </w:pPr>
    </w:p>
    <w:p>
      <w:pPr>
        <w:adjustRightInd/>
        <w:rPr>
          <w:color w:val="auto"/>
          <w:highlight w:val="none"/>
        </w:rPr>
      </w:pPr>
    </w:p>
    <w:p>
      <w:pPr>
        <w:spacing w:line="360" w:lineRule="auto"/>
        <w:ind w:firstLine="482" w:firstLineChars="200"/>
        <w:rPr>
          <w:rFonts w:ascii="宋体" w:hAnsi="宋体" w:cs="宋体"/>
          <w:b/>
          <w:bCs/>
          <w:color w:val="auto"/>
          <w:highlight w:val="none"/>
        </w:rPr>
      </w:pPr>
    </w:p>
    <w:p>
      <w:pPr>
        <w:spacing w:line="360" w:lineRule="auto"/>
        <w:ind w:firstLine="482" w:firstLineChars="200"/>
        <w:rPr>
          <w:rFonts w:ascii="宋体" w:hAnsi="宋体" w:cs="宋体"/>
          <w:b/>
          <w:bCs/>
          <w:color w:val="auto"/>
          <w:highlight w:val="none"/>
        </w:rPr>
      </w:pPr>
    </w:p>
    <w:p>
      <w:pPr>
        <w:rPr>
          <w:rFonts w:ascii="宋体" w:hAnsi="宋体" w:cs="宋体"/>
          <w:color w:val="auto"/>
          <w:sz w:val="32"/>
          <w:highlight w:val="none"/>
        </w:rPr>
      </w:pPr>
      <w:r>
        <w:rPr>
          <w:rFonts w:hint="eastAsia" w:ascii="宋体" w:hAnsi="宋体" w:cs="宋体"/>
          <w:color w:val="auto"/>
          <w:sz w:val="32"/>
          <w:highlight w:val="none"/>
        </w:rPr>
        <w:br w:type="page"/>
      </w:r>
    </w:p>
    <w:p>
      <w:pPr>
        <w:kinsoku w:val="0"/>
        <w:overflowPunct w:val="0"/>
        <w:spacing w:line="360" w:lineRule="auto"/>
        <w:jc w:val="center"/>
        <w:outlineLvl w:val="1"/>
        <w:rPr>
          <w:rFonts w:ascii="宋体" w:hAnsi="宋体" w:cs="宋体"/>
          <w:b/>
          <w:bCs/>
          <w:color w:val="auto"/>
          <w:kern w:val="44"/>
          <w:sz w:val="44"/>
          <w:szCs w:val="44"/>
          <w:highlight w:val="none"/>
        </w:rPr>
      </w:pPr>
      <w:bookmarkStart w:id="243" w:name="_Toc640"/>
      <w:r>
        <w:rPr>
          <w:rFonts w:hint="eastAsia" w:ascii="宋体" w:hAnsi="宋体" w:cs="宋体"/>
          <w:b/>
          <w:bCs/>
          <w:color w:val="auto"/>
          <w:kern w:val="44"/>
          <w:sz w:val="44"/>
          <w:szCs w:val="44"/>
          <w:highlight w:val="none"/>
        </w:rPr>
        <w:t>第五章 发包人要求</w:t>
      </w:r>
      <w:bookmarkEnd w:id="243"/>
    </w:p>
    <w:p>
      <w:pPr>
        <w:spacing w:line="360" w:lineRule="auto"/>
        <w:ind w:firstLine="482" w:firstLineChars="200"/>
        <w:rPr>
          <w:rFonts w:ascii="宋体" w:hAnsi="宋体" w:cs="宋体"/>
          <w:b/>
          <w:bCs/>
          <w:color w:val="auto"/>
          <w:highlight w:val="none"/>
        </w:rPr>
      </w:pPr>
    </w:p>
    <w:p>
      <w:pPr>
        <w:spacing w:line="360" w:lineRule="auto"/>
        <w:ind w:firstLine="482" w:firstLineChars="200"/>
        <w:jc w:val="both"/>
        <w:rPr>
          <w:rFonts w:ascii="宋体" w:hAnsi="宋体" w:cs="宋体"/>
          <w:b/>
          <w:bCs/>
          <w:color w:val="auto"/>
          <w:highlight w:val="none"/>
        </w:rPr>
      </w:pPr>
      <w:r>
        <w:rPr>
          <w:rFonts w:hint="eastAsia" w:ascii="宋体" w:hAnsi="宋体" w:cs="宋体"/>
          <w:b/>
          <w:bCs/>
          <w:color w:val="auto"/>
          <w:highlight w:val="none"/>
        </w:rPr>
        <w:t>发包人应组织设计、工程管理、工程造价等相关专业人员编写发包人要求。《发包人要求》应明确规定建设规模、建设标准、功能要求以及检验、试运行等具体要求。对于承包人负责提供的有关设备和服务，在《发包人要求》中应明确需提供的专用工具、质保期内的备品备件，以及技术培训和售后服务等内容。鼓励发包人委托全过程工程咨询单位编制发包人需求任务书，充分发挥全过程工程咨询单位的设计、造价管理能力，协助做好初步设计文件的质量管控及《发包人要求》编写等工作。</w:t>
      </w:r>
    </w:p>
    <w:p>
      <w:pPr>
        <w:numPr>
          <w:ilvl w:val="0"/>
          <w:numId w:val="19"/>
        </w:numPr>
        <w:spacing w:line="360" w:lineRule="auto"/>
        <w:ind w:firstLine="482"/>
        <w:jc w:val="both"/>
        <w:outlineLvl w:val="2"/>
        <w:rPr>
          <w:rFonts w:ascii="宋体" w:hAnsi="宋体" w:cs="宋体"/>
          <w:b/>
          <w:bCs/>
          <w:color w:val="auto"/>
          <w:highlight w:val="none"/>
        </w:rPr>
      </w:pPr>
      <w:bookmarkStart w:id="244" w:name="_Toc19286"/>
      <w:r>
        <w:rPr>
          <w:rFonts w:hint="eastAsia" w:ascii="宋体" w:hAnsi="宋体" w:cs="宋体"/>
          <w:b/>
          <w:bCs/>
          <w:color w:val="auto"/>
          <w:highlight w:val="none"/>
        </w:rPr>
        <w:t>建设目标</w:t>
      </w:r>
      <w:bookmarkEnd w:id="244"/>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工程深入贯彻落实省委、省政府高标准高质量推进未来社区建设的决策部署，进一步提高湖州市南太湖新区长东片区的定位，对标引领性未来社区，争创全省未来社区标杆，力图打造湖州对外展示的重要名片，以人本化、生态化、数字化为核心的未来社区九大场景，将实现自然与经济的共荣、生活与生产的共荣、人与人的共荣。</w:t>
      </w:r>
    </w:p>
    <w:p>
      <w:pPr>
        <w:numPr>
          <w:ilvl w:val="0"/>
          <w:numId w:val="19"/>
        </w:numPr>
        <w:spacing w:line="360" w:lineRule="auto"/>
        <w:ind w:firstLine="482"/>
        <w:jc w:val="both"/>
        <w:outlineLvl w:val="2"/>
        <w:rPr>
          <w:rFonts w:ascii="宋体" w:hAnsi="宋体" w:cs="宋体"/>
          <w:b/>
          <w:bCs/>
          <w:color w:val="auto"/>
          <w:highlight w:val="none"/>
        </w:rPr>
      </w:pPr>
      <w:bookmarkStart w:id="245" w:name="_Toc25951"/>
      <w:r>
        <w:rPr>
          <w:rFonts w:hint="eastAsia" w:ascii="宋体" w:hAnsi="宋体" w:cs="宋体"/>
          <w:b/>
          <w:bCs/>
          <w:color w:val="auto"/>
          <w:highlight w:val="none"/>
        </w:rPr>
        <w:t>建设规模</w:t>
      </w:r>
      <w:bookmarkEnd w:id="245"/>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项目位于湖州南太湖新区太湖湾单元的未来社区片区，内部分成20个子地块，北侧为长东路，其他侧均临水。建设内容主要包括住宅、人才公寓、配套商业、九大场景与双创空间及代征绿地、规划道路、规划绿地、16B和17A地块公园、部分空中公共廊道（见附件）。本项目建筑面积按国家标准《GB/T 50353-2013》计算，总用地面积199902平方米，新增建筑总面积约624846平方米，其中地上建筑面积约442764平方米，地下建筑面积约182082平方米。其中住宅约328455平方米，人才公寓约70955平方米，九大场景与双创空间及配套商业约45449平方米（含地下文化活动中心兼运动场馆约2095平方米）。本项目建筑面积计算口径：按建筑工程建筑面积计算规范（GB/T50353-2013）计入。</w:t>
      </w:r>
    </w:p>
    <w:p>
      <w:pPr>
        <w:numPr>
          <w:ilvl w:val="0"/>
          <w:numId w:val="19"/>
        </w:numPr>
        <w:spacing w:line="360" w:lineRule="auto"/>
        <w:ind w:firstLine="482"/>
        <w:jc w:val="both"/>
        <w:outlineLvl w:val="2"/>
        <w:rPr>
          <w:rFonts w:ascii="宋体" w:hAnsi="宋体" w:cs="宋体"/>
          <w:b/>
          <w:bCs/>
          <w:color w:val="auto"/>
          <w:highlight w:val="none"/>
        </w:rPr>
      </w:pPr>
      <w:bookmarkStart w:id="246" w:name="_Toc8280"/>
      <w:r>
        <w:rPr>
          <w:rFonts w:hint="eastAsia" w:ascii="宋体" w:hAnsi="宋体" w:cs="宋体"/>
          <w:b/>
          <w:bCs/>
          <w:color w:val="auto"/>
          <w:highlight w:val="none"/>
        </w:rPr>
        <w:t>建设标准</w:t>
      </w:r>
      <w:bookmarkEnd w:id="246"/>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工程包括46栋住宅、8栋公寓、1个幼儿园及周围配套单层商铺、物业用房，满铺单层地下室。46幢住宅和8幢公寓，根据建筑高度和使用功能采用钢筋混凝土剪力墙结构、钢筋混凝土框架-剪力墙结构或钢筋混凝土框架结构。采用剪力墙结构的住宅和公寓，剪力墙抗震等级为四级；采用框架-剪力墙结构的住宅和公寓，剪力墙抗震等级为三级，框架抗震等级四级；采用框架结构的公寓（10层以上）以及幼儿园（重点设防），框架抗震等级三级；独立配套和物业用采用框架结构，框架抗震等级四级。主楼外地下室采用钢筋混凝土框架结构，框架抗震等级在主楼相关范围同主楼，其余范围框架抗震等级为四级。地下室顶板在设计时作为塔楼嵌固层考虑，板厚及配筋满足嵌固端的要求。主楼外配套用房和物业用房在合适位置设置抗震缝与主楼断开。</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住宅布局：住宅为6~17层高度（洋房层高3.15米，住宅层高3米），户型面积高层分别设置95方、120方、140方、160方、199方等类型；多层分别设置199方、245方、300方等3种类型。同时在设计中采用高低楼的布局，使得空间通透性更好，更充分利用景观资源，保证尽量多的户型能最大限度的分享小区内的公共景观及周边城市景观。</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人才公寓（11~1</w:t>
      </w:r>
      <w:r>
        <w:rPr>
          <w:rFonts w:ascii="宋体" w:hAnsi="宋体" w:cs="宋体"/>
          <w:color w:val="auto"/>
          <w:highlight w:val="none"/>
        </w:rPr>
        <w:t>7</w:t>
      </w:r>
      <w:r>
        <w:rPr>
          <w:rFonts w:hint="eastAsia" w:ascii="宋体" w:hAnsi="宋体" w:cs="宋体"/>
          <w:color w:val="auto"/>
          <w:highlight w:val="none"/>
        </w:rPr>
        <w:t>层高度，层高3.3米）设计中尽可能结合景观条件布置房间功能，做到户型平面方正紧凑，使用率高，空间公私分区、动静分区、尺度适宜。结合立面设计统一考虑室外空调机位的放置，做到隐蔽美观。公寓分别设置40方、60方、90方等3种类型。</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为合理开发地下空间，地下地下室连通设置，共1层，主要内容均为汽车库，住宅门厅，非机动车库，设备机房，人防设施等，地下层高3.6、3.9米。人防面积需配建筑</w:t>
      </w:r>
      <w:r>
        <w:rPr>
          <w:rFonts w:hint="eastAsia" w:ascii="宋体" w:hAnsi="宋体" w:cs="宋体"/>
          <w:color w:val="auto"/>
          <w:highlight w:val="none"/>
          <w:lang w:val="en-US" w:eastAsia="zh-CN"/>
        </w:rPr>
        <w:t>不少于</w:t>
      </w:r>
      <w:r>
        <w:rPr>
          <w:rFonts w:hint="eastAsia" w:ascii="宋体" w:hAnsi="宋体" w:cs="宋体"/>
          <w:color w:val="auto"/>
          <w:highlight w:val="none"/>
        </w:rPr>
        <w:t>39945平方米，</w:t>
      </w:r>
      <w:r>
        <w:rPr>
          <w:rFonts w:hint="eastAsia" w:ascii="宋体" w:hAnsi="宋体" w:cs="宋体"/>
          <w:color w:val="auto"/>
          <w:highlight w:val="none"/>
          <w:lang w:val="en-US" w:eastAsia="zh-CN"/>
        </w:rPr>
        <w:t>防护等级为核6级常6级。</w:t>
      </w:r>
      <w:r>
        <w:rPr>
          <w:rFonts w:hint="eastAsia" w:ascii="宋体" w:hAnsi="宋体" w:cs="宋体"/>
          <w:color w:val="auto"/>
          <w:highlight w:val="none"/>
        </w:rPr>
        <w:t>人防地下室分别位于C、D、E、F、L、J地块的地下一层。本次设计内容为平战结合人防工程，平时作汽车库及其附属设备用房使用，战时转换为甲类附建掘开式人防工程。</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本项目根据《湖州市推进新型建筑工业化项目建设管理办法（试行）》，实施装配式建造，单体预制率不低于20%。</w:t>
      </w:r>
    </w:p>
    <w:p>
      <w:pPr>
        <w:numPr>
          <w:ilvl w:val="0"/>
          <w:numId w:val="19"/>
        </w:numPr>
        <w:spacing w:line="360" w:lineRule="auto"/>
        <w:ind w:firstLine="482"/>
        <w:jc w:val="both"/>
        <w:outlineLvl w:val="2"/>
        <w:rPr>
          <w:rFonts w:ascii="宋体" w:hAnsi="宋体" w:cs="宋体"/>
          <w:b/>
          <w:bCs/>
          <w:color w:val="auto"/>
          <w:highlight w:val="none"/>
        </w:rPr>
      </w:pPr>
      <w:bookmarkStart w:id="247" w:name="_Toc24613"/>
      <w:r>
        <w:rPr>
          <w:rFonts w:hint="eastAsia" w:ascii="宋体" w:hAnsi="宋体" w:cs="宋体"/>
          <w:b/>
          <w:bCs/>
          <w:color w:val="auto"/>
          <w:highlight w:val="none"/>
        </w:rPr>
        <w:t>建设条件</w:t>
      </w:r>
      <w:bookmarkEnd w:id="247"/>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（一）基础资料</w:t>
      </w:r>
    </w:p>
    <w:p>
      <w:pPr>
        <w:pStyle w:val="17"/>
        <w:ind w:firstLine="480" w:firstLineChars="200"/>
        <w:jc w:val="both"/>
        <w:rPr>
          <w:rFonts w:ascii="宋体" w:hAnsi="宋体" w:eastAsia="宋体" w:cs="宋体"/>
          <w:color w:val="auto"/>
          <w:highlight w:val="none"/>
        </w:rPr>
      </w:pPr>
      <w:r>
        <w:rPr>
          <w:rFonts w:hint="eastAsia" w:ascii="宋体" w:hAnsi="宋体" w:eastAsia="宋体" w:cs="宋体"/>
          <w:color w:val="auto"/>
          <w:highlight w:val="none"/>
        </w:rPr>
        <w:t>按通用合同条件2.3条和专用合同条件2.3条提供相关资料。</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（二）发包人提供的现场条件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color w:val="auto"/>
          <w:highlight w:val="none"/>
        </w:rPr>
      </w:pPr>
      <w:r>
        <w:rPr>
          <w:rFonts w:hint="eastAsia" w:ascii="宋体" w:hAnsi="宋体" w:cs="宋体"/>
          <w:color w:val="auto"/>
          <w:highlight w:val="none"/>
        </w:rPr>
        <w:t>1.施工用电：本项目提供临时箱变500KVa6个，630KVa5个，</w:t>
      </w:r>
      <w:r>
        <w:rPr>
          <w:rFonts w:hint="eastAsia" w:ascii="宋体" w:hAnsi="宋体" w:cs="宋体"/>
          <w:color w:val="auto"/>
          <w:highlight w:val="none"/>
          <w:lang w:val="en-US" w:eastAsia="zh-CN"/>
        </w:rPr>
        <w:t>共</w:t>
      </w:r>
      <w:r>
        <w:rPr>
          <w:rFonts w:hint="eastAsia" w:ascii="宋体" w:hAnsi="宋体" w:cs="宋体"/>
          <w:color w:val="auto"/>
          <w:highlight w:val="none"/>
        </w:rPr>
        <w:t>四处，分布在东西两侧。</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color w:val="auto"/>
          <w:highlight w:val="none"/>
        </w:rPr>
      </w:pPr>
      <w:r>
        <w:rPr>
          <w:rFonts w:hint="eastAsia" w:ascii="宋体" w:hAnsi="宋体" w:cs="宋体"/>
          <w:color w:val="auto"/>
          <w:highlight w:val="none"/>
        </w:rPr>
        <w:t>2.施工用水：提供一个接入点，位于本项目南侧。</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color w:val="auto"/>
          <w:highlight w:val="none"/>
        </w:rPr>
      </w:pPr>
      <w:r>
        <w:rPr>
          <w:rFonts w:hint="eastAsia" w:ascii="宋体" w:hAnsi="宋体" w:cs="宋体"/>
          <w:color w:val="auto"/>
          <w:highlight w:val="none"/>
        </w:rPr>
        <w:t>3.现场情况：本项目北侧为在建道路，其余三面环河。</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color w:val="auto"/>
          <w:highlight w:val="none"/>
        </w:rPr>
      </w:pPr>
      <w:r>
        <w:rPr>
          <w:rFonts w:hint="eastAsia" w:ascii="宋体" w:hAnsi="宋体" w:cs="宋体"/>
          <w:color w:val="auto"/>
          <w:highlight w:val="none"/>
        </w:rPr>
        <w:t>4.其他情况说明：本地块项目住宅外墙以涂料为主，核心区住宅（F-1#、F-2#）以及所有公寓楼栋外立面以铝板及玻璃幕墙为主，具体设计要满足初步设计的外立面效果。本项目公寓、九大场景等按精装修标准验收竣工备案，住宅、地下室及商业按照毛坯标准验收备案。</w:t>
      </w:r>
    </w:p>
    <w:p>
      <w:pPr>
        <w:numPr>
          <w:ilvl w:val="0"/>
          <w:numId w:val="19"/>
        </w:numPr>
        <w:spacing w:line="360" w:lineRule="auto"/>
        <w:ind w:firstLine="482"/>
        <w:jc w:val="both"/>
        <w:outlineLvl w:val="2"/>
        <w:rPr>
          <w:rFonts w:ascii="宋体" w:hAnsi="宋体" w:cs="宋体"/>
          <w:b/>
          <w:bCs/>
          <w:color w:val="auto"/>
          <w:highlight w:val="none"/>
        </w:rPr>
      </w:pPr>
      <w:bookmarkStart w:id="248" w:name="_Toc27330"/>
      <w:r>
        <w:rPr>
          <w:rFonts w:hint="eastAsia" w:ascii="宋体" w:hAnsi="宋体" w:cs="宋体"/>
          <w:b/>
          <w:bCs/>
          <w:color w:val="auto"/>
          <w:highlight w:val="none"/>
        </w:rPr>
        <w:t>招标范围</w:t>
      </w:r>
      <w:bookmarkEnd w:id="248"/>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本次招标范围为设计、施工、采购工程总承包，包括上述范围内的设计、采购、施工、管理、验收、移交、备案和保修服务，并对工程的质量、安全、工期、造价等全面负责。</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1.设计范围：本项目所涉及的施工图设计（含补勘）、各类专项设计、论证、BIM技术服务（仅包含地下室，具体技术要求详见招标文件）及后期施工全过程配合服务等。【包括但不限于建筑、结构、水电安装、暖通、幕墙、基坑、消防、人防、室外总布、景观绿化、小区周边市政绿化、部分空中公共廊道（见附件</w:t>
      </w:r>
      <w:r>
        <w:rPr>
          <w:rFonts w:hint="eastAsia" w:ascii="宋体" w:hAnsi="宋体" w:cs="宋体"/>
          <w:color w:val="auto"/>
          <w:highlight w:val="none"/>
          <w:lang w:val="en-US" w:eastAsia="zh-CN"/>
        </w:rPr>
        <w:t>1</w:t>
      </w:r>
      <w:r>
        <w:rPr>
          <w:rFonts w:hint="eastAsia" w:ascii="宋体" w:hAnsi="宋体" w:cs="宋体"/>
          <w:color w:val="auto"/>
          <w:highlight w:val="none"/>
        </w:rPr>
        <w:t>）、装修、智能化专项设计、交通标识标牌、</w:t>
      </w:r>
      <w:r>
        <w:rPr>
          <w:rFonts w:hint="eastAsia" w:ascii="宋体" w:hAnsi="宋体" w:cs="宋体"/>
          <w:color w:val="auto"/>
          <w:highlight w:val="none"/>
          <w:lang w:eastAsia="zh-CN"/>
        </w:rPr>
        <w:t>抗震支架、泛光亮化、电梯、PC、绿建（含节能评估、绿建评审及后期施工咨询、验收等）及其他专项</w:t>
      </w:r>
      <w:r>
        <w:rPr>
          <w:rFonts w:hint="eastAsia" w:ascii="宋体" w:hAnsi="宋体" w:cs="宋体"/>
          <w:color w:val="auto"/>
          <w:highlight w:val="none"/>
        </w:rPr>
        <w:t>设计等所有内容（具体以甲方指令为准】。</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2.施工、采购范围：①工程施工及采购，主要包括本次招标设计范围内的工程施工总承包，【包括但不限于场地平整、土建、水电安装、暖通、幕墙、基坑、消防、人防、室外总布、景观绿化、小区周边市政绿化、部分空中公共廊道（见附件</w:t>
      </w:r>
      <w:r>
        <w:rPr>
          <w:rFonts w:hint="eastAsia" w:ascii="宋体" w:hAnsi="宋体" w:cs="宋体"/>
          <w:color w:val="auto"/>
          <w:highlight w:val="none"/>
          <w:lang w:val="en-US" w:eastAsia="zh-CN"/>
        </w:rPr>
        <w:t>1</w:t>
      </w:r>
      <w:r>
        <w:rPr>
          <w:rFonts w:hint="eastAsia" w:ascii="宋体" w:hAnsi="宋体" w:cs="宋体"/>
          <w:color w:val="auto"/>
          <w:highlight w:val="none"/>
        </w:rPr>
        <w:t>）、装修、智能化、交通标识标牌、抗震支架、泛光亮化、</w:t>
      </w:r>
      <w:r>
        <w:rPr>
          <w:rFonts w:hint="eastAsia" w:ascii="宋体" w:hAnsi="宋体" w:cs="宋体"/>
          <w:color w:val="auto"/>
          <w:highlight w:val="none"/>
          <w:lang w:val="en-US" w:eastAsia="zh-CN"/>
        </w:rPr>
        <w:t>充电桩、</w:t>
      </w:r>
      <w:r>
        <w:rPr>
          <w:rFonts w:hint="eastAsia" w:ascii="宋体" w:hAnsi="宋体" w:cs="宋体"/>
          <w:color w:val="auto"/>
          <w:highlight w:val="none"/>
        </w:rPr>
        <w:t>电梯等承包人设计范围内的全部工程施工及相应设备采购安装（具体以甲方指令为准）】；②工程验收，包括但不限于负责法人验收以及政府验收（各阶段、各专项验收，完工验收。）的资料准备及相关配合工作；③工程移交；④缺陷责任期内的缺陷修复、保修服务；⑤按合同约定对项目质量、安全、进度、投资、信息等进行管理和控制。</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3.工程总承包管理服务：包括但不限于承担本项目（除涉及可研相关工作、监理、第三方全过程审计外）的所有审批手续、施工图日照分析、水保竣工报告编制、土地复核（含宗地测量及分摊）、组织验收（含各专项验收）、工规证规费（档案管理费等）、竣工实测、场地测绘（各阶段）、点位放样、坐标、高程控制点、水准点、试桩、分户检测、节能检测、能耗监测、室内环境监测、消防检测、人防检测、水质检测、防雷检测、CCTV检测、电力检测、沉降观测、平战转换方案、人防标识标牌、施工许可证办理、房屋建筑面积测绘</w:t>
      </w:r>
      <w:r>
        <w:rPr>
          <w:rFonts w:hint="eastAsia" w:ascii="宋体" w:hAnsi="宋体" w:eastAsia="宋体" w:cs="宋体"/>
          <w:b w:val="0"/>
          <w:bCs w:val="0"/>
          <w:color w:val="auto"/>
          <w:szCs w:val="21"/>
          <w:highlight w:val="none"/>
          <w:lang w:val="zh-CN" w:bidi="zh-CN"/>
        </w:rPr>
        <w:t>、</w:t>
      </w:r>
      <w:r>
        <w:rPr>
          <w:rFonts w:hint="eastAsia" w:ascii="宋体" w:hAnsi="宋体" w:eastAsia="宋体" w:cs="宋体"/>
          <w:b w:val="0"/>
          <w:bCs w:val="0"/>
          <w:color w:val="auto"/>
          <w:szCs w:val="21"/>
          <w:highlight w:val="none"/>
          <w:lang w:val="en-US" w:bidi="zh-CN"/>
        </w:rPr>
        <w:t>PC、绿色建筑</w:t>
      </w:r>
      <w:r>
        <w:rPr>
          <w:rFonts w:hint="eastAsia" w:ascii="宋体" w:hAnsi="宋体" w:cs="宋体"/>
          <w:color w:val="auto"/>
          <w:highlight w:val="none"/>
        </w:rPr>
        <w:t>，项目全过程施工管理直至各单项验收（如规划、消防、环保、档案、水利、人防、气象、排污、白蚁防治等）和综合竣工验收、竣工备案、资料归档、整体移交等工作）（不包含桩基检测、基坑监测）【以上所涉及的费用已含在总承包管理费中】。</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包括所有的专业配套工程（杆线迁移及拆除、消防绿化表计、给水工程等）及生活水电表的申请和过户、办公经营用房的提留的手续办理申请、设计委托、施工、过户、移交、备案等一切相关资料的办理工作（除电力设计、电力施工、电力设备、电力增容、自来水总布施工、二次供水、消防供水、燃气工程、三网合一综合通信、华数工程外）【以上手续相关的办理服务费用已含在总承包管理费中（按照有关规定必须由招标人支付的费用除外）】。</w:t>
      </w:r>
    </w:p>
    <w:p>
      <w:pPr>
        <w:numPr>
          <w:ilvl w:val="0"/>
          <w:numId w:val="19"/>
        </w:numPr>
        <w:spacing w:line="360" w:lineRule="auto"/>
        <w:ind w:firstLine="482"/>
        <w:jc w:val="both"/>
        <w:outlineLvl w:val="2"/>
        <w:rPr>
          <w:rFonts w:ascii="宋体" w:hAnsi="宋体" w:cs="宋体"/>
          <w:b/>
          <w:bCs/>
          <w:color w:val="auto"/>
          <w:highlight w:val="none"/>
        </w:rPr>
      </w:pPr>
      <w:bookmarkStart w:id="249" w:name="_Toc22607"/>
      <w:r>
        <w:rPr>
          <w:rFonts w:hint="eastAsia" w:ascii="宋体" w:hAnsi="宋体" w:cs="宋体"/>
          <w:b/>
          <w:bCs/>
          <w:color w:val="auto"/>
          <w:highlight w:val="none"/>
        </w:rPr>
        <w:t>发包人需求任务书</w:t>
      </w:r>
      <w:bookmarkEnd w:id="249"/>
    </w:p>
    <w:p>
      <w:pPr>
        <w:spacing w:line="360" w:lineRule="auto"/>
        <w:ind w:firstLine="480" w:firstLineChars="200"/>
        <w:jc w:val="both"/>
        <w:rPr>
          <w:rFonts w:ascii="宋体" w:hAnsi="宋体" w:cs="宋体"/>
          <w:color w:val="auto"/>
          <w:highlight w:val="none"/>
        </w:rPr>
      </w:pPr>
      <w:bookmarkStart w:id="250" w:name="_Toc90641091"/>
      <w:r>
        <w:rPr>
          <w:rFonts w:hint="eastAsia" w:ascii="宋体" w:hAnsi="宋体" w:cs="宋体"/>
          <w:color w:val="auto"/>
          <w:highlight w:val="none"/>
        </w:rPr>
        <w:t>（一）建筑</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1.地下工程</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地下室底板防水主要材料采用1.0厚水泥基渗透结晶型防水涂料（用量不小于1.5kg/m)；钢筋混凝土结构板(自防水，防水等级详结施)；空铺1.2厚高分子自粘胶膜卷材(预铺反粘)。地下室侧墙防水外墙主要材料采用1.0厚水泥基渗透结晶型防水涂料(用量不小于1.5kg/m)；钢筋混凝土结构板(自防水，防水等级详结施)；2.0厚单组份聚氨酯防水涂料（I型）；30厚发泡硬泡聚氨酯保护层（顶板高低跨处设240砖墙保护层）。屋面防水要材料采用4厚SBS改性沥青耐根穿刺防水卷材(II型)。</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地下室停车库、非机动车库地面采用细石混凝土，耐磨地坪涂料；地下室生活泵房、消防泵房地面采用防滑砖；弱电机房、消控室地面采用防静电活动木地板；公变、专变、开闭所地面采用水泥砂浆；其他设备间、工具房等地面采用细石混凝土。地下室消防水泵房、湿式报警房等内墙面采用墙砖或铝板，其他车库、设备间、工具间等房间内墙面采用防霉涂料。地下室消控室、弱电机房天棚采用铝扣板，其他车库、设备间、工具间等房间天棚采用防霉涂料。</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2.住宅工程</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屋面防水采用1.5厚强力交叉膜无胎自粘聚合物改性沥青防水卷材，2.0厚非固化橡胶沥青防水涂料。建筑墙体保温采用无机轻集料保温砂浆内保温，屋面采用B1级挤塑聚苯保温板，套内楼地面保温采用无机保温砂浆。外墙面主要采用玻璃幕墙、铝合金门窗、铝板幕墙、质感外墙涂料饰面。</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住宅的卫生间、阳台、厨房楼地面采用水泥砂浆；其他区域楼地面采用细石混凝土。住宅天棚采用腻子批白，阳台、外走廊、设备平台等室外板底采用外墙涂料。</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3.人才公寓</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屋面防水采用1.5厚强力交叉膜无胎自粘聚合物改性沥青防水卷材，2.0厚非固化橡胶沥青防水涂料。建筑墙体保温采用无机轻集料保温砂浆内保温，岩棉保温层（A级）；屋面采用B1级挤塑聚苯保温板，套内楼地面保温采用无机保温砂浆。外墙面主要采用玻璃幕墙、铝合金门窗、铝板幕墙、质感外墙涂料饰面。</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公寓的卫生间、阳台、厨房、普通房间、商业区域楼地面采用水泥砂浆；公共楼梯间、配套用房、设备管井、设备平台、架空层、门厅、电梯厅合用前室楼地面采用细石混凝土。公寓普通房间天棚采用腻子批白，公共楼梯间、配电房天棚采用乳胶漆，阳台、外走廊、设备平台等室外板底采用外墙涂料，商业区域天棚采用素水泥砂浆，精装修交付的卫生间天棚采用防水涂料和素水泥砂浆，毛坯交付的厨房、卫生间、夹层储藏间、户内楼梯及水管井天棚采用防水腻子，电梯厅天棚采用石膏板天棚刷乳胶漆，架空层天棚采用岩棉板和铝箔保护层。</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4.九大场景与双创空间及18班幼儿园、配套商业</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种植屋面防水采用4厚（II）型SBS聚酯胎改性沥青耐根穿刺防水卷材，2厚高聚物改性沥青防水涂料；上人屋面防水采用4厚SBS高聚物改性沥青防水卷，3厚SBS高聚物改性沥青防水卷材。建筑墙体保温采用无机轻集料保温砂浆内保温，屋面采用B1级挤塑聚苯保温板。外墙面主要采用玻璃幕墙、铝合金门窗、铝板幕墙、金属格栅、仿砼涂料、质感外墙涂料饰面。</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卫生间、架空层、门厅、电梯厅合用前室楼地面采用水泥砂浆；其他区域楼地面采用细石混凝土。天棚采用腻子批白。</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5.本项目绿色建筑星级目标为绿色二星，装配式建筑设计与满足立项、批复、市区《绿色建筑专项规划》等政府文件的要求。</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6.为实现20%的单体预制率，首选水平构件预制，包括楼板、阳台，楼梯及空调板。0.000以上部位标准层除了卫生间、公共走道，电梯厅和局部不规则小块板外，其他楼板和阳台均采用叠合式楼板，预制叠合底板厚度为60mm及70mm，其余上部做现浇。</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（二）结构</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工程包括46栋住宅、8栋公寓、1个幼儿园及周围配套单层商铺、物业用房，满铺单层地下室。46幢住宅和8幢公寓，根据建筑高度和使用功能采用钢筋混凝土剪力墙结构、钢筋混凝土框架-剪力墙结构或钢筋混凝土框架结构。采用剪力墙结构的住宅和公寓，剪力墙抗震等级为四级；采用框架-剪力墙结构的住宅和公寓，剪力墙抗震等级为三级，框架抗震等级四级；采用框架结构的公寓（10层以上）以及幼儿园（重点设防），框架抗震等级三级；独立配套和物业用采用框架结构，框架抗震等级四级。主楼外地下室采用钢筋混凝土框架结构，框架抗震等级在主楼相关范围同主楼，其余范围框架抗震等级为四级。地下室顶板在设计时作为塔楼嵌固层考虑，板厚及配筋满足嵌固端的要求。主楼外配套用房和物业用房在合适位置设置抗震缝与主楼断开。</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桩基工程：单层地下车库桩基采用450预应力离心混凝土空心方桩PHS-AB450(260)；6-8层单体下桩基采用450预应力离心混凝土空心方桩PHS-A450(260)；9-12层单体下桩基采用500预应力离心混凝土空心方桩PHS-A500(310)；13-17层单体下桩基采用500预应力离心混凝土空心方桩PHS-A500(310)。</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主要材料：1.混凝土：现浇混凝土均采用预拌混凝土，地下室部分（含地下室顶板）混凝土强度等级为C35，地下室外墙、外墙处的柱、地下室底板、有覆土的地下室顶板、消防水池混凝土抗渗等级P6；基础垫层采用C15素砼；上部竖向构件结构混凝土强度等级C30~C60，上部梁、板、楼梯混凝土强度等级C30；圈梁、构造柱、现浇过梁混凝土强度等级C25。2.砂浆：建筑砂浆均采用预拌砂浆。3.钢筋：采用HRB400、HRB500级钢筋。4.钢材：采用Q235B和Q355B钢。5．焊条：采用E43xx</w:t>
      </w:r>
      <w:r>
        <w:rPr>
          <w:rFonts w:hint="eastAsia" w:ascii="宋体" w:hAnsi="宋体" w:cs="宋体"/>
          <w:color w:val="auto"/>
          <w:highlight w:val="none"/>
          <w:lang w:eastAsia="zh-CN"/>
        </w:rPr>
        <w:t>，</w:t>
      </w:r>
      <w:r>
        <w:rPr>
          <w:rFonts w:hint="eastAsia" w:ascii="宋体" w:hAnsi="宋体" w:cs="宋体"/>
          <w:color w:val="auto"/>
          <w:highlight w:val="none"/>
        </w:rPr>
        <w:t>E50xx型6．墙体：（1）正负零以上外墙和厨卫隔墙采用“非黏土类烧结保温砖800级”，设计容重10kN/m3（2）正负零以上其余隔墙采用蒸压砂加气混凝土砌块(B06)，设计容重8kN/m3（3）正负零以下地下室范围内采用烧结页岩多孔砖，设计容重16kN/m3；正负零以下与土体接触的砌体、潮湿环境的砌体采用混凝土实心砖，设计容重19kN/m3。</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（三）给排水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1.给水：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水源采用城市自来水。拟分别从两条市政给水管道各引入一根DN200的给水管，形成环网供水，供应室内外消防用水，生活给水管和消防分开。根据当地自来水部门要求，充分利用市政压力供水，加压设备采用变频供水设备，生活水箱贮水量不小于加压部分最高日生活用水量的20%计。</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考虑建筑标准和使用水压的要求,住宅及商业部分给水系统竖向分为三个区：</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低区：地下室至三层，利用市政自来水压力直接供水。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中区：四层至十一层由中区加压给水装置供水。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高区：十二层至十八层由高区加压给水装置供水。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整个区块共分三处加压设备，采用水箱（混凝土水箱内衬不锈钢板）加变频泵供水方式。各分区除顶层及顶层以下共三层外，设分户减压——水务要求；M、K、L、J地块共用加压设备；核心区+D、E区块一套（设在D、E地块）；南侧A、B、C地块一套；——住宅和公寓可共用加压设备，均设于地下一层车库内。最后移交至水务集团；</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M、K、L、J区块生活水箱有效容积为117.08m3，核心区+D、E区块生活水箱容积105m3，南侧A、B、C区块生活水箱有效容积为100m3。</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2.热水：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住宅每户在设备平台采用空气源热泵制热水供应。热水用水定额按40L/人/天。每户按3.5人考虑，每户设置150L储热水箱及空气源热泵主机一台，额定输入功率1.5KW，额定制热量为4.5KW,采用燃气辅助加热。</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幼儿园采用集中式空气源热泵系统，电辅助加热。空气能热泵热水系统应与主体建筑同步施工、同步验收交付使用。</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3.排水：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内采用污、废水分流制。针对高层排水噪音大的特点，考虑在系统中设置专用通气管以改善排水及透气条件；在管材的选用中采用新型复合内螺纹消音UPVC排水塑料管等措施来减少噪音的产生。室外生活污水先经化粪池处理后再接入市政污水管。</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4.雨水：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室内外雨水均采用湖州地区的暴雨强度公式。</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设计重现期：屋面重现期取10年，屋面雨水排放设施总排水能力以50年重现期校核，屋面径流系数取0.9；地下室坡道排水系统重现期取50年；室外场地雨水排水系统重现期取5年。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设计降雨历时：t=5min</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地面集水时间：t1=10min</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屋面径流系数：0.9；室外场地综合径流系数：0.6。</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为防止管道堵塞而引起雨水倒灌，高层的屋面雨水和其他排水自成体系，分别排除。室外雨水在基地内汇总后收集重新利用供灌溉或者浇洒用。</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5.人防给排水：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非人防区的雨、污、废水管均不进入人防区，消防管穿越人防区时，在防护单元内侧加设闸阀，当穿越二个防护单元之间的防护墙时，两侧各加闸阀。</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每个防护单元饮用水按15天计算，生活用水按照10天计算，饮用水用水量每人每天4L，生活用水每人每天4L，口部洗硝用水每个防护单元10吨。人员掩蔽所内使用城市自来水为水源，人防内地漏采用PBD80防爆地漏，每个人防口部密闭通道或洗消间均设置一座排水集水坑，并配置一台SH-38手摇泵排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6.消防系统消火栓系统：</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室外消火栓给水系统采用低压系统，与室外生活给水管道在基地内形成环状，平时运行工作压力不应小于0.14MPa。环状管网上设DN150地上式消火栓。间距不大于</w:t>
      </w:r>
      <w:r>
        <w:rPr>
          <w:rFonts w:ascii="宋体" w:hAnsi="宋体" w:cs="宋体"/>
          <w:color w:val="auto"/>
          <w:highlight w:val="none"/>
        </w:rPr>
        <w:t>120</w:t>
      </w:r>
      <w:r>
        <w:rPr>
          <w:rFonts w:hint="eastAsia" w:ascii="宋体" w:hAnsi="宋体" w:cs="宋体"/>
          <w:color w:val="auto"/>
          <w:highlight w:val="none"/>
        </w:rPr>
        <w:t>米。消火栓距离水泵接合器在15~40米的范围内。</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内消火栓采用临时高压系统，室内消火栓系统布置成环状，商业网点（符合商业网点要求的物业用房、居委会办公、社区活动等小区配套服务用房）至少满足一股充实水柱到达室内任何部位，其它部位室内消火栓的布置应满足同一个平面有2支消防水枪的2股充实水柱同时到达任何部位的要求，消火栓最不利点充实水柱不应小于13米。</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本工程A</w:t>
      </w:r>
      <w:r>
        <w:rPr>
          <w:rFonts w:ascii="宋体" w:hAnsi="宋体" w:cs="宋体"/>
          <w:color w:val="auto"/>
          <w:highlight w:val="none"/>
        </w:rPr>
        <w:t>BC地块设一套消防系统</w:t>
      </w:r>
      <w:r>
        <w:rPr>
          <w:rFonts w:hint="eastAsia" w:ascii="宋体" w:hAnsi="宋体" w:cs="宋体"/>
          <w:color w:val="auto"/>
          <w:highlight w:val="none"/>
        </w:rPr>
        <w:t>，消防水池有效容积</w:t>
      </w:r>
      <w:r>
        <w:rPr>
          <w:rFonts w:ascii="宋体" w:hAnsi="宋体" w:cs="宋体"/>
          <w:color w:val="auto"/>
          <w:highlight w:val="none"/>
        </w:rPr>
        <w:t>432m3</w:t>
      </w:r>
      <w:r>
        <w:rPr>
          <w:rFonts w:hint="eastAsia" w:ascii="宋体" w:hAnsi="宋体" w:cs="宋体"/>
          <w:color w:val="auto"/>
          <w:highlight w:val="none"/>
        </w:rPr>
        <w:t>；DE</w:t>
      </w:r>
      <w:r>
        <w:rPr>
          <w:rFonts w:ascii="宋体" w:hAnsi="宋体" w:cs="宋体"/>
          <w:color w:val="auto"/>
          <w:highlight w:val="none"/>
        </w:rPr>
        <w:t>FMKLJ地块设置一套消防系统</w:t>
      </w:r>
      <w:r>
        <w:rPr>
          <w:rFonts w:hint="eastAsia" w:ascii="宋体" w:hAnsi="宋体" w:cs="宋体"/>
          <w:color w:val="auto"/>
          <w:highlight w:val="none"/>
        </w:rPr>
        <w:t>，</w:t>
      </w:r>
      <w:r>
        <w:rPr>
          <w:rFonts w:ascii="宋体" w:hAnsi="宋体" w:cs="宋体"/>
          <w:color w:val="auto"/>
          <w:highlight w:val="none"/>
        </w:rPr>
        <w:t>消防水池容积432m3</w:t>
      </w:r>
      <w:r>
        <w:rPr>
          <w:rFonts w:hint="eastAsia" w:ascii="宋体" w:hAnsi="宋体" w:cs="宋体"/>
          <w:color w:val="auto"/>
          <w:highlight w:val="none"/>
        </w:rPr>
        <w:t>。</w:t>
      </w:r>
      <w:r>
        <w:rPr>
          <w:rFonts w:ascii="宋体" w:hAnsi="宋体" w:cs="宋体"/>
          <w:color w:val="auto"/>
          <w:highlight w:val="none"/>
        </w:rPr>
        <w:t xml:space="preserve"> </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消防水池及消防水泵房设置在地下一层，消防泵房内设消火栓加压泵二台（1用1备），室内自喷加压泵二台（1用1备），室内消火栓系统增加稳压设备、喷淋增压稳压设备各一套。</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在C地块和D地块分别设置有效</w:t>
      </w:r>
      <w:r>
        <w:rPr>
          <w:rFonts w:ascii="宋体" w:hAnsi="宋体" w:cs="宋体"/>
          <w:color w:val="auto"/>
          <w:highlight w:val="none"/>
        </w:rPr>
        <w:t>容积不小于</w:t>
      </w:r>
      <w:r>
        <w:rPr>
          <w:rFonts w:hint="eastAsia" w:ascii="宋体" w:hAnsi="宋体" w:cs="宋体"/>
          <w:color w:val="auto"/>
          <w:highlight w:val="none"/>
        </w:rPr>
        <w:t>36m</w:t>
      </w:r>
      <w:r>
        <w:rPr>
          <w:rFonts w:ascii="宋体" w:hAnsi="宋体" w:cs="宋体"/>
          <w:color w:val="auto"/>
          <w:highlight w:val="none"/>
          <w:vertAlign w:val="superscript"/>
        </w:rPr>
        <w:t>3</w:t>
      </w:r>
      <w:r>
        <w:rPr>
          <w:rFonts w:hint="eastAsia" w:ascii="宋体" w:hAnsi="宋体" w:cs="宋体"/>
          <w:color w:val="auto"/>
          <w:highlight w:val="none"/>
        </w:rPr>
        <w:t>的屋顶消防水箱。</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 xml:space="preserve">本工程室内消火栓系统采用临时加压供水系统，消火栓栓口处出水压力超过 </w:t>
      </w:r>
      <w:r>
        <w:rPr>
          <w:rFonts w:ascii="宋体" w:hAnsi="宋体" w:cs="宋体"/>
          <w:color w:val="auto"/>
          <w:highlight w:val="none"/>
        </w:rPr>
        <w:t>0.50MPa</w:t>
      </w:r>
      <w:r>
        <w:rPr>
          <w:rFonts w:hint="eastAsia" w:ascii="宋体" w:hAnsi="宋体" w:cs="宋体"/>
          <w:color w:val="auto"/>
          <w:highlight w:val="none"/>
        </w:rPr>
        <w:t>时，应采取减压措施。</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每层均设置一定数量的DN65室内消火栓，DN65×25m消防水带，Ф19水枪及Ф19×30m消防软管卷盘，保证两股充实水柱同时到达室内任何地方。消火栓栓口动压不应小于0.35MPa。</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室内消火栓设在明显易于取用的地点，如走道及楼梯附近等，消防电梯前室设置室内消火栓。其间距应保证同层任何部位有两支消火栓的水枪充实水柱到达，且间距不大于30米。屋顶设试验消火栓。</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室内消火栓给水环状管网用阀门分成若干独立段，以保证检修管道时关闭停用的竖管满足规范的要求。</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为确保安全，在消火栓系统主泵出水管处设系统泄压阀DN100，出口设定泄压值为系统设计压力的1.2倍。</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室外设室内消火栓系统DN150水泵接合器，每个流量10~15L/s。以供消防车向室内消火栓管网加压供水，作救火之用。</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7.自动喷水灭火系统：</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本工程除住宅部分不设置自喷外，其余场所均设置自动喷水灭火系统。</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火灾危险等级地下室为中危险Ⅱ级，喷水强度8L/min.m</w:t>
      </w:r>
      <w:r>
        <w:rPr>
          <w:rFonts w:hint="eastAsia" w:ascii="宋体" w:hAnsi="宋体" w:cs="宋体"/>
          <w:color w:val="auto"/>
          <w:highlight w:val="none"/>
          <w:vertAlign w:val="superscript"/>
        </w:rPr>
        <w:t>2</w:t>
      </w:r>
      <w:r>
        <w:rPr>
          <w:rFonts w:hint="eastAsia" w:ascii="宋体" w:hAnsi="宋体" w:cs="宋体"/>
          <w:color w:val="auto"/>
          <w:highlight w:val="none"/>
        </w:rPr>
        <w:t>，作用面积160m</w:t>
      </w:r>
      <w:r>
        <w:rPr>
          <w:rFonts w:hint="eastAsia" w:ascii="宋体" w:hAnsi="宋体" w:cs="宋体"/>
          <w:color w:val="auto"/>
          <w:highlight w:val="none"/>
          <w:vertAlign w:val="superscript"/>
        </w:rPr>
        <w:t>2</w:t>
      </w:r>
      <w:r>
        <w:rPr>
          <w:rFonts w:hint="eastAsia" w:ascii="宋体" w:hAnsi="宋体" w:cs="宋体"/>
          <w:color w:val="auto"/>
          <w:highlight w:val="none"/>
        </w:rPr>
        <w:t>；其他场所为中危险Ⅰ级，喷水强度6L/min.m</w:t>
      </w:r>
      <w:r>
        <w:rPr>
          <w:rFonts w:hint="eastAsia" w:ascii="宋体" w:hAnsi="宋体" w:cs="宋体"/>
          <w:color w:val="auto"/>
          <w:highlight w:val="none"/>
          <w:vertAlign w:val="superscript"/>
        </w:rPr>
        <w:t>2</w:t>
      </w:r>
      <w:r>
        <w:rPr>
          <w:rFonts w:hint="eastAsia" w:ascii="宋体" w:hAnsi="宋体" w:cs="宋体"/>
          <w:color w:val="auto"/>
          <w:highlight w:val="none"/>
        </w:rPr>
        <w:t>，作用面积160m</w:t>
      </w:r>
      <w:r>
        <w:rPr>
          <w:rFonts w:hint="eastAsia" w:ascii="宋体" w:hAnsi="宋体" w:cs="宋体"/>
          <w:color w:val="auto"/>
          <w:highlight w:val="none"/>
          <w:vertAlign w:val="superscript"/>
        </w:rPr>
        <w:t>2</w:t>
      </w:r>
      <w:r>
        <w:rPr>
          <w:rFonts w:hint="eastAsia" w:ascii="宋体" w:hAnsi="宋体" w:cs="宋体"/>
          <w:color w:val="auto"/>
          <w:highlight w:val="none"/>
        </w:rPr>
        <w:t>。作用时间均为1小时。本工程自喷系统设计用水量按40L/s。</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工程自动喷水灭火系统采用临时加压供水系统。自动喷水灭火系统用水由地下室的消防水池和消防泵房供给，设置自动喷水灭火系统加压泵二台。每层每个防火分区均设一套信号闸阀、水流指示器、末端试水装置（DN25）。</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自动喷水灭火系统自成独立的供水系统，采用湿式报警阀喷水灭火装置，通过湿式报警阀的压力开关或通过消防控制中心启动自动喷水灭火系统加压泵。</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每个湿式报警阀的阀前压力不得大于1.2MPa，每个湿式报警阀控制的喷头数量不超过800个并应预留不少于10%的余量。</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为确保安全，在自动喷水灭火系统主泵出水管处设系统泄压阀，出口设定泄压值为系统设计压力的1.2倍。</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室外设自动喷水灭火系统DN150水泵接合器，每个流量10~15L/s。以供消防车向自动喷水灭火系统管网加压供水，作救火之用。</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喷头形式：有吊顶采用下垂喷头，无吊顶采用直立喷头；厨房区域采用93℃喷头，其余场所采用68℃喷头。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8.消防排水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消防电梯机坑底的侧面设有集水坑，坑内设2台消防潜水泵提升排至室外污水管网。消防泵房由明沟收集后排至集水井，排至室外管网。</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自动喷水灭火系统消防排水，利用就近排水设施排至室外管网。</w:t>
      </w:r>
    </w:p>
    <w:p>
      <w:pPr>
        <w:spacing w:line="360" w:lineRule="auto"/>
        <w:ind w:firstLine="480" w:firstLineChars="200"/>
        <w:jc w:val="both"/>
        <w:rPr>
          <w:rFonts w:ascii="宋体" w:hAnsi="宋体" w:cs="宋体"/>
          <w:color w:val="auto"/>
          <w:highlight w:val="none"/>
        </w:rPr>
      </w:pPr>
      <w:r>
        <w:rPr>
          <w:rFonts w:ascii="宋体" w:hAnsi="宋体" w:cs="宋体"/>
          <w:color w:val="auto"/>
          <w:highlight w:val="none"/>
        </w:rPr>
        <w:t>9.</w:t>
      </w:r>
      <w:r>
        <w:rPr>
          <w:rFonts w:hint="eastAsia" w:ascii="宋体" w:hAnsi="宋体" w:cs="宋体"/>
          <w:color w:val="auto"/>
          <w:highlight w:val="none"/>
        </w:rPr>
        <w:t>灭火器设置</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本工程灭火器配置，人才公寓、幼儿园、</w:t>
      </w:r>
      <w:r>
        <w:rPr>
          <w:rFonts w:ascii="宋体" w:hAnsi="宋体" w:cs="宋体"/>
          <w:color w:val="auto"/>
          <w:highlight w:val="none"/>
        </w:rPr>
        <w:t>车库充电桩区域</w:t>
      </w:r>
      <w:r>
        <w:rPr>
          <w:rFonts w:hint="eastAsia" w:ascii="宋体" w:hAnsi="宋体" w:cs="宋体"/>
          <w:color w:val="auto"/>
          <w:highlight w:val="none"/>
        </w:rPr>
        <w:t>采用严重危险级设计，住宅及商业按及</w:t>
      </w:r>
      <w:r>
        <w:rPr>
          <w:rFonts w:ascii="宋体" w:hAnsi="宋体" w:cs="宋体"/>
          <w:color w:val="auto"/>
          <w:highlight w:val="none"/>
        </w:rPr>
        <w:t>车库其他区域</w:t>
      </w:r>
      <w:r>
        <w:rPr>
          <w:rFonts w:hint="eastAsia" w:ascii="宋体" w:hAnsi="宋体" w:cs="宋体"/>
          <w:color w:val="auto"/>
          <w:highlight w:val="none"/>
        </w:rPr>
        <w:t>中危险级设计。除单独设置灭火器箱，其余灭火器结合消火栓箱设置。</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9.管材选用：</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内DN100及以下管道，管道井给水立管采用304不锈钢管焊接，管道井分户水表至户内管道采用PPR管，生活给水泵房内采用304不锈钢管管焊接。室外DN100及以上管道采用球磨铸铁管，DN100以下管道采用316不锈钢管焊接。</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消火栓及自喷管径≤DN65mm时，采用镀锌钢管，丝接；管径&gt;DN65mm时，采用镀锌钢管，沟槽式连接安装。</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污废水室内管道：临近卧室的厨卫排水立管采用螺旋消音管，其他区域采用UPVC实壁管，厨卫排水支管均采用UPVC实壁管。</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雨水：高层（9层及以上）采用HRS高层专用雨水管，其余单体均采用UPVC实壁排水管，雨水管涂刷与外墙颜色相近涂料。</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10.环保设计：</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生活用水水箱设加锁密闭人孔盖，水箱及水泵共用一个房间，并设有通风系统。生活用水箱采用混凝土</w:t>
      </w:r>
      <w:r>
        <w:rPr>
          <w:rFonts w:ascii="宋体" w:hAnsi="宋体" w:cs="宋体"/>
          <w:color w:val="auto"/>
          <w:highlight w:val="none"/>
        </w:rPr>
        <w:t>板内</w:t>
      </w:r>
      <w:r>
        <w:rPr>
          <w:rFonts w:hint="eastAsia" w:ascii="宋体" w:hAnsi="宋体" w:cs="宋体"/>
          <w:color w:val="auto"/>
          <w:highlight w:val="none"/>
        </w:rPr>
        <w:t>衬不锈钢板材质的水箱。生活用水池上部无污水管道。生活用水池进入管与水泵吸水管对侧设置，以防短流，且水池进水管管口高出池内溢流水位，溢流管和泄水管的出口排至泵房内排水明沟。管底(口)高出排水沟沿不小于0.15m。池顶设通气管。水池通气管及溢水管管口加防虫网罩，防止杂物尘埃进入池内污染水质。</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本工程市政引入管后设倒流防止器，防止红线内给水管网水倒流污染城市给水。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室内污废水排水管道系统设置专用通气管或辅助通气管，保护器具水封不被破坏，改善排水水力条件和卫生间的空气卫生条件。</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设计首先在设备选型时尽量选用低噪声设备，其次对易振动的水泵等设备等采取隔振处理、设置挠性连接等措施，以减少噪声危害。</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室内采用污、废分流制，室外采用雨、污分流制。室内±0.00以上或排水点高于室外地坪的卫生间的污废水重力自流排入室外污水管，地下室污废水采用潜水排污泵提升至室外管网。</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坐便器选用具有冲洗后延时补水（封）功能，地漏存水弯水封不小于50mm，确保水封高度不被破坏。</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集中垃圾收集间设给排水接口。</w:t>
      </w:r>
    </w:p>
    <w:p>
      <w:pPr>
        <w:spacing w:line="360" w:lineRule="auto"/>
        <w:ind w:firstLine="480" w:firstLineChars="200"/>
        <w:jc w:val="both"/>
        <w:rPr>
          <w:color w:val="auto"/>
          <w:highlight w:val="none"/>
        </w:rPr>
      </w:pPr>
      <w:r>
        <w:rPr>
          <w:rFonts w:hint="eastAsia" w:ascii="宋体" w:hAnsi="宋体" w:cs="宋体"/>
          <w:color w:val="auto"/>
          <w:highlight w:val="none"/>
        </w:rPr>
        <w:t>设备机房避开住宅正下方及对噪音敏感的功能性房间。</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（四）暖通</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1.空调设计</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住宅按照变冷媒多联机（VRF）空调系统预留室外机位，空调室外机置于每层设备平台，设备由业主自理。百叶通透率不小于80%，百叶倾角不超过15度。空调冷凝水就近排入设备平台。</w:t>
      </w:r>
    </w:p>
    <w:p>
      <w:pPr>
        <w:tabs>
          <w:tab w:val="left" w:pos="420"/>
          <w:tab w:val="left" w:pos="840"/>
        </w:tabs>
        <w:autoSpaceDE/>
        <w:autoSpaceDN/>
        <w:spacing w:line="360" w:lineRule="auto"/>
        <w:ind w:firstLine="480" w:firstLineChars="200"/>
        <w:jc w:val="both"/>
        <w:textAlignment w:val="baseline"/>
        <w:rPr>
          <w:rFonts w:ascii="宋体" w:hAnsi="宋体" w:cs="宋体"/>
          <w:color w:val="auto"/>
          <w:highlight w:val="none"/>
        </w:rPr>
      </w:pPr>
      <w:r>
        <w:rPr>
          <w:rFonts w:hint="eastAsia" w:ascii="宋体" w:hAnsi="宋体" w:cs="宋体"/>
          <w:color w:val="auto"/>
          <w:highlight w:val="none"/>
        </w:rPr>
        <w:t>公寓按照变冷媒多联机（VRF）空调系统或者分体空调系统设计。</w:t>
      </w:r>
    </w:p>
    <w:p>
      <w:pPr>
        <w:tabs>
          <w:tab w:val="left" w:pos="420"/>
          <w:tab w:val="left" w:pos="840"/>
        </w:tabs>
        <w:autoSpaceDE/>
        <w:autoSpaceDN/>
        <w:spacing w:line="360" w:lineRule="auto"/>
        <w:ind w:firstLine="480" w:firstLineChars="200"/>
        <w:jc w:val="both"/>
        <w:textAlignment w:val="baseline"/>
        <w:rPr>
          <w:rFonts w:ascii="宋体" w:hAnsi="宋体" w:cs="宋体"/>
          <w:color w:val="auto"/>
          <w:highlight w:val="none"/>
        </w:rPr>
      </w:pPr>
      <w:r>
        <w:rPr>
          <w:rFonts w:hint="eastAsia" w:ascii="宋体" w:hAnsi="宋体" w:cs="宋体"/>
          <w:color w:val="auto"/>
          <w:highlight w:val="none"/>
        </w:rPr>
        <w:t>商业服务网点、幼儿园、商业及配套用房根据面积大小预留商用变冷媒多联机或者分体空调，电气预留电量</w:t>
      </w:r>
      <w:r>
        <w:rPr>
          <w:rFonts w:ascii="宋体" w:hAnsi="宋体" w:cs="宋体"/>
          <w:color w:val="auto"/>
          <w:highlight w:val="none"/>
        </w:rPr>
        <w:t>。</w:t>
      </w:r>
    </w:p>
    <w:p>
      <w:pPr>
        <w:tabs>
          <w:tab w:val="left" w:pos="420"/>
          <w:tab w:val="left" w:pos="840"/>
        </w:tabs>
        <w:autoSpaceDE/>
        <w:autoSpaceDN/>
        <w:spacing w:line="360" w:lineRule="auto"/>
        <w:ind w:firstLine="480" w:firstLineChars="200"/>
        <w:jc w:val="both"/>
        <w:textAlignment w:val="baseline"/>
        <w:rPr>
          <w:rFonts w:ascii="宋体" w:hAnsi="宋体" w:cs="宋体"/>
          <w:color w:val="auto"/>
          <w:highlight w:val="none"/>
        </w:rPr>
      </w:pPr>
      <w:r>
        <w:rPr>
          <w:rFonts w:hint="eastAsia" w:ascii="宋体" w:hAnsi="宋体" w:cs="宋体"/>
          <w:color w:val="auto"/>
          <w:highlight w:val="none"/>
        </w:rPr>
        <w:t>消控中心、垃圾房、电梯机房等房间设分体式空调，由建筑预留机位，电气预留电量。</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2.通风设计</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住宅厨房油烟通过变压式油烟井道上至屋面排入大气，油烟机由住户自理，接入管井处的止回阀需选用高品质产品，防止气流倒灌。</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住宅、公寓卫生间采用机械排风系统，换气次数按照大于5次/h计算，采用变压式风道(带逆止防火阀)及吸顶式排气扇，其中住宅吸顶式排气扇由小业主自理。</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公共卫生间采用机械排风措施，换气次数按10次/小时设计。</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地下室汽车库、非机动车库、泵房、变电所等均采用机械通风措施。</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汽车库采用机械排风系统，排风系统结合防烟分区、充电桩防火单元设置，非充电桩防火分区每个防烟分区（充电桩防火分区相邻两个防火单元）设一套机械排风系统，有直接对外的汽车坡道的防火分区以车道自然补风为主。车库废气通过排风机经土建风道排至室外。对于没有直接的对外汽车坡道的防火分区，设机械送风系统作为排风时的补风，其补风量为排风量的80％。</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水泵房、设备间采用机械排风系统，排风系统按防火分区设置，按照上表计算排风量，排风井土建风井出地面排放，采用侧墙防火百叶从车库自然补风。</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变电所采用机械通风系统，通风换气次数按15次/小时设计，同时由于变电所均设置气体灭火装置，故其排风系统在上、下分别设有排风口。上部排风口平时常开，下部排风口平时常闭，当发生火灾时，温、烟感报警信号关闭排风机，并联动关闭上部排风电动防火阀和补风系统防火风口；气体灭火结束后，开启排风机及下部排风阀并开启补风系统防火风口，排除灭火剂残留气体。排除灭火剂残余气体时排风系统下部排风口排风量≥房间换气次数8次/小时的风量。设气体灭火防护的房间，必须保证室内、外便于操作的地点均设置电气开关；火灾时喷放灭火剂前，除泄压口外的开口应能自行关闭；且室内金属管网均应采取防静电接地措施。</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餐饮厨房预留排风及排油烟系统。全面排风与事故通风合用一套系统，事故排风的换气次数按12次/小时预留。排油烟量按60次/h换气次数设计。厨房油烟经过滤及电子除油后利用不锈钢风管由离心式排风机抽至屋顶高空排放，其油烟排放浓度不应大于2.0mg/m3。</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地下室垃圾房设置机械通风系统，并在室内排风口处设置UV除味装置。</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3.自控</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地下车库设CO探测器，根据CO浓度对送、排风机进行启停控制。</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公共卫生间排风设有定时启停控制。</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4.防烟设计</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本项目开窗面积满足自然通风的楼梯间及前室优先采用自然通风，不满足自然通风条件的均设置机械加压送风系统。</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设置机械防烟的楼梯间采用固定式常开单层百叶风口做加压送风口，合用前室采用常闭风口（多叶送风口）用作加压送风口。加压部位设置压差传感器，用于控制旁通阀开度，采用机械加压送风系统的余压值应满足：楼梯间与走道之间为40Pa，(合用)前室与走道之间为30Pa。</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自然防烟的可开启外窗在距地高度1.3~1.5m高度的位置设置手动开启装置，如人员无法手动开启，需采用电动窗。</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机械加压送风系统的设计风量不小于计算风量的1.2倍。</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正压送风系统的正压段采用金属风管，负压段采用土建风道，负压段的集气室和井道应保证施工质量，保证土建风道光滑、密闭不漏风。</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cs="宋体"/>
          <w:color w:val="auto"/>
          <w:highlight w:val="none"/>
        </w:rPr>
        <w:t>5.排烟设计</w:t>
      </w:r>
      <w:r>
        <w:rPr>
          <w:rFonts w:hint="eastAsia" w:ascii="宋体" w:hAnsi="宋体" w:cs="宋体"/>
          <w:color w:val="auto"/>
          <w:highlight w:val="none"/>
          <w:lang w:eastAsia="zh-CN"/>
        </w:rPr>
        <w:t>：</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本地块下列场所均设置排烟措施：建筑面积≥100m</w:t>
      </w:r>
      <w:r>
        <w:rPr>
          <w:rFonts w:ascii="宋体" w:hAnsi="宋体" w:cs="宋体"/>
          <w:color w:val="auto"/>
          <w:highlight w:val="none"/>
        </w:rPr>
        <w:t>2</w:t>
      </w:r>
      <w:r>
        <w:rPr>
          <w:rFonts w:hint="eastAsia" w:ascii="宋体" w:hAnsi="宋体" w:cs="宋体"/>
          <w:color w:val="auto"/>
          <w:highlight w:val="none"/>
        </w:rPr>
        <w:t>的地上商业网点、商业、农贸市场等；总建筑面积≥200m</w:t>
      </w:r>
      <w:r>
        <w:rPr>
          <w:rFonts w:ascii="宋体" w:hAnsi="宋体" w:cs="宋体"/>
          <w:color w:val="auto"/>
          <w:highlight w:val="none"/>
        </w:rPr>
        <w:t>2</w:t>
      </w:r>
      <w:r>
        <w:rPr>
          <w:rFonts w:hint="eastAsia" w:ascii="宋体" w:hAnsi="宋体" w:cs="宋体"/>
          <w:color w:val="auto"/>
          <w:highlight w:val="none"/>
        </w:rPr>
        <w:t>的地下储藏室；地下室汽车库、地下非机动车库；长度大于20m的内走道、面积≥50m</w:t>
      </w:r>
      <w:r>
        <w:rPr>
          <w:rFonts w:ascii="宋体" w:hAnsi="宋体" w:cs="宋体"/>
          <w:color w:val="auto"/>
          <w:highlight w:val="none"/>
        </w:rPr>
        <w:t>2</w:t>
      </w:r>
      <w:r>
        <w:rPr>
          <w:rFonts w:hint="eastAsia" w:ascii="宋体" w:hAnsi="宋体" w:cs="宋体"/>
          <w:color w:val="auto"/>
          <w:highlight w:val="none"/>
        </w:rPr>
        <w:t>的地下房间。上述场所净高均不大于6m。</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地上面积50-100的房间均设有可开启外窗。</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上商业网点、商业、农贸市场等采用自然排烟，可开启外窗均设置在储烟仓内，有效面积均≮房间面积的2%，且距最远点的排烟距离均＜30m。部分商业部分防烟分区不满足自然排烟，采用机械排烟，每个防烟分区排烟量按照60m</w:t>
      </w:r>
      <w:r>
        <w:rPr>
          <w:rFonts w:ascii="宋体" w:hAnsi="宋体" w:cs="宋体"/>
          <w:color w:val="auto"/>
          <w:highlight w:val="none"/>
        </w:rPr>
        <w:t>3</w:t>
      </w:r>
      <w:r>
        <w:rPr>
          <w:rFonts w:hint="eastAsia" w:ascii="宋体" w:hAnsi="宋体" w:cs="宋体"/>
          <w:color w:val="auto"/>
          <w:highlight w:val="none"/>
        </w:rPr>
        <w:t>·h/m</w:t>
      </w:r>
      <w:r>
        <w:rPr>
          <w:rFonts w:ascii="宋体" w:hAnsi="宋体" w:cs="宋体"/>
          <w:color w:val="auto"/>
          <w:highlight w:val="none"/>
        </w:rPr>
        <w:t>2</w:t>
      </w:r>
      <w:r>
        <w:rPr>
          <w:rFonts w:hint="eastAsia" w:ascii="宋体" w:hAnsi="宋体" w:cs="宋体"/>
          <w:color w:val="auto"/>
          <w:highlight w:val="none"/>
        </w:rPr>
        <w:t>计算，且不小于15000m</w:t>
      </w:r>
      <w:r>
        <w:rPr>
          <w:rFonts w:ascii="宋体" w:hAnsi="宋体" w:cs="宋体"/>
          <w:color w:val="auto"/>
          <w:highlight w:val="none"/>
        </w:rPr>
        <w:t>3</w:t>
      </w:r>
      <w:r>
        <w:rPr>
          <w:rFonts w:hint="eastAsia" w:ascii="宋体" w:hAnsi="宋体" w:cs="宋体"/>
          <w:color w:val="auto"/>
          <w:highlight w:val="none"/>
        </w:rPr>
        <w:t>/h。</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地下储藏室均采用机械排烟，因单个储藏室面积均小于50m</w:t>
      </w:r>
      <w:r>
        <w:rPr>
          <w:rFonts w:ascii="宋体" w:hAnsi="宋体" w:cs="宋体"/>
          <w:color w:val="auto"/>
          <w:highlight w:val="none"/>
        </w:rPr>
        <w:t>2</w:t>
      </w:r>
      <w:r>
        <w:rPr>
          <w:rFonts w:hint="eastAsia" w:ascii="宋体" w:hAnsi="宋体" w:cs="宋体"/>
          <w:color w:val="auto"/>
          <w:highlight w:val="none"/>
        </w:rPr>
        <w:t>，故房间可不设置排烟口，仅在内走道设置排烟口。每个防烟分区排烟量按照60m</w:t>
      </w:r>
      <w:r>
        <w:rPr>
          <w:rFonts w:ascii="宋体" w:hAnsi="宋体" w:cs="宋体"/>
          <w:color w:val="auto"/>
          <w:highlight w:val="none"/>
        </w:rPr>
        <w:t>3</w:t>
      </w:r>
      <w:r>
        <w:rPr>
          <w:rFonts w:hint="eastAsia" w:ascii="宋体" w:hAnsi="宋体" w:cs="宋体"/>
          <w:color w:val="auto"/>
          <w:highlight w:val="none"/>
        </w:rPr>
        <w:t>·h/m</w:t>
      </w:r>
      <w:r>
        <w:rPr>
          <w:rFonts w:ascii="宋体" w:hAnsi="宋体" w:cs="宋体"/>
          <w:color w:val="auto"/>
          <w:highlight w:val="none"/>
        </w:rPr>
        <w:t>2</w:t>
      </w:r>
      <w:r>
        <w:rPr>
          <w:rFonts w:hint="eastAsia" w:ascii="宋体" w:hAnsi="宋体" w:cs="宋体"/>
          <w:color w:val="auto"/>
          <w:highlight w:val="none"/>
        </w:rPr>
        <w:t>计算，且不小于20000m</w:t>
      </w:r>
      <w:r>
        <w:rPr>
          <w:rFonts w:ascii="宋体" w:hAnsi="宋体" w:cs="宋体"/>
          <w:color w:val="auto"/>
          <w:highlight w:val="none"/>
        </w:rPr>
        <w:t>3</w:t>
      </w:r>
      <w:r>
        <w:rPr>
          <w:rFonts w:hint="eastAsia" w:ascii="宋体" w:hAnsi="宋体" w:cs="宋体"/>
          <w:color w:val="auto"/>
          <w:highlight w:val="none"/>
        </w:rPr>
        <w:t>/h。走道防烟分区的长度均＜60m。补风均采用机械补风，补风量≮排烟量的50%。</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地下非机动车库无充电设施，当建筑面积均小于500平方，不设排烟。当建筑面积大于5</w:t>
      </w:r>
      <w:r>
        <w:rPr>
          <w:rFonts w:ascii="宋体" w:hAnsi="宋体" w:cs="宋体"/>
          <w:color w:val="auto"/>
          <w:highlight w:val="none"/>
        </w:rPr>
        <w:t>00平方</w:t>
      </w:r>
      <w:r>
        <w:rPr>
          <w:rFonts w:hint="eastAsia" w:ascii="宋体" w:hAnsi="宋体" w:cs="宋体"/>
          <w:color w:val="auto"/>
          <w:highlight w:val="none"/>
        </w:rPr>
        <w:t>，每个防烟分区排烟量按照60m</w:t>
      </w:r>
      <w:r>
        <w:rPr>
          <w:rFonts w:ascii="宋体" w:hAnsi="宋体" w:cs="宋体"/>
          <w:color w:val="auto"/>
          <w:highlight w:val="none"/>
        </w:rPr>
        <w:t>3</w:t>
      </w:r>
      <w:r>
        <w:rPr>
          <w:rFonts w:hint="eastAsia" w:ascii="宋体" w:hAnsi="宋体" w:cs="宋体"/>
          <w:color w:val="auto"/>
          <w:highlight w:val="none"/>
        </w:rPr>
        <w:t>·h/m</w:t>
      </w:r>
      <w:r>
        <w:rPr>
          <w:rFonts w:ascii="宋体" w:hAnsi="宋体" w:cs="宋体"/>
          <w:color w:val="auto"/>
          <w:highlight w:val="none"/>
        </w:rPr>
        <w:t>2</w:t>
      </w:r>
      <w:r>
        <w:rPr>
          <w:rFonts w:hint="eastAsia" w:ascii="宋体" w:hAnsi="宋体" w:cs="宋体"/>
          <w:color w:val="auto"/>
          <w:highlight w:val="none"/>
        </w:rPr>
        <w:t>计算，且不小于1</w:t>
      </w:r>
      <w:r>
        <w:rPr>
          <w:rFonts w:ascii="宋体" w:hAnsi="宋体" w:cs="宋体"/>
          <w:color w:val="auto"/>
          <w:highlight w:val="none"/>
        </w:rPr>
        <w:t>5</w:t>
      </w:r>
      <w:r>
        <w:rPr>
          <w:rFonts w:hint="eastAsia" w:ascii="宋体" w:hAnsi="宋体" w:cs="宋体"/>
          <w:color w:val="auto"/>
          <w:highlight w:val="none"/>
        </w:rPr>
        <w:t>000m</w:t>
      </w:r>
      <w:r>
        <w:rPr>
          <w:rFonts w:ascii="宋体" w:hAnsi="宋体" w:cs="宋体"/>
          <w:color w:val="auto"/>
          <w:highlight w:val="none"/>
        </w:rPr>
        <w:t>3</w:t>
      </w:r>
      <w:r>
        <w:rPr>
          <w:rFonts w:hint="eastAsia" w:ascii="宋体" w:hAnsi="宋体" w:cs="宋体"/>
          <w:color w:val="auto"/>
          <w:highlight w:val="none"/>
        </w:rPr>
        <w:t>/h。</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地下车库排烟方式为机械排烟。防烟分区依照防火分区划分，防烟分区面积均小于</w:t>
      </w:r>
      <w:r>
        <w:rPr>
          <w:rFonts w:ascii="宋体" w:hAnsi="宋体" w:cs="宋体"/>
          <w:color w:val="auto"/>
          <w:highlight w:val="none"/>
        </w:rPr>
        <w:t>2000m2</w:t>
      </w:r>
      <w:r>
        <w:rPr>
          <w:rFonts w:hint="eastAsia" w:ascii="宋体" w:hAnsi="宋体" w:cs="宋体"/>
          <w:color w:val="auto"/>
          <w:highlight w:val="none"/>
        </w:rPr>
        <w:t>。除设置充电车位的防火单元外，机械排烟系统按照防烟分区设置，每个防烟分区均设置一套机械排烟兼排风系统，排烟量按</w:t>
      </w:r>
      <w:r>
        <w:rPr>
          <w:rFonts w:ascii="宋体" w:hAnsi="宋体" w:cs="宋体"/>
          <w:color w:val="auto"/>
          <w:highlight w:val="none"/>
        </w:rPr>
        <w:t>GB50067-2014</w:t>
      </w:r>
      <w:r>
        <w:rPr>
          <w:rFonts w:hint="eastAsia" w:ascii="宋体" w:hAnsi="宋体" w:cs="宋体"/>
          <w:color w:val="auto"/>
          <w:highlight w:val="none"/>
        </w:rPr>
        <w:t>表</w:t>
      </w:r>
      <w:r>
        <w:rPr>
          <w:rFonts w:ascii="宋体" w:hAnsi="宋体" w:cs="宋体"/>
          <w:color w:val="auto"/>
          <w:highlight w:val="none"/>
        </w:rPr>
        <w:t>8.2.5</w:t>
      </w:r>
      <w:r>
        <w:rPr>
          <w:rFonts w:hint="eastAsia" w:ascii="宋体" w:hAnsi="宋体" w:cs="宋体"/>
          <w:color w:val="auto"/>
          <w:highlight w:val="none"/>
        </w:rPr>
        <w:t>选取。地下车库设置充电车位的防火单元，每两个防火单元共用一套排烟系统，各防火单元计算排烟量按</w:t>
      </w:r>
      <w:r>
        <w:rPr>
          <w:rFonts w:ascii="宋体" w:hAnsi="宋体" w:cs="宋体"/>
          <w:color w:val="auto"/>
          <w:highlight w:val="none"/>
        </w:rPr>
        <w:t>GB50067-2014</w:t>
      </w:r>
      <w:r>
        <w:rPr>
          <w:rFonts w:hint="eastAsia" w:ascii="宋体" w:hAnsi="宋体" w:cs="宋体"/>
          <w:color w:val="auto"/>
          <w:highlight w:val="none"/>
        </w:rPr>
        <w:t>表</w:t>
      </w:r>
      <w:r>
        <w:rPr>
          <w:rFonts w:ascii="宋体" w:hAnsi="宋体" w:cs="宋体"/>
          <w:color w:val="auto"/>
          <w:highlight w:val="none"/>
        </w:rPr>
        <w:t>8.2.5</w:t>
      </w:r>
      <w:r>
        <w:rPr>
          <w:rFonts w:hint="eastAsia" w:ascii="宋体" w:hAnsi="宋体" w:cs="宋体"/>
          <w:color w:val="auto"/>
          <w:highlight w:val="none"/>
        </w:rPr>
        <w:t>选取后附加</w:t>
      </w:r>
      <w:r>
        <w:rPr>
          <w:rFonts w:ascii="宋体" w:hAnsi="宋体" w:cs="宋体"/>
          <w:color w:val="auto"/>
          <w:highlight w:val="none"/>
        </w:rPr>
        <w:t>20%</w:t>
      </w:r>
      <w:r>
        <w:rPr>
          <w:rFonts w:hint="eastAsia" w:ascii="宋体" w:hAnsi="宋体" w:cs="宋体"/>
          <w:color w:val="auto"/>
          <w:highlight w:val="none"/>
        </w:rPr>
        <w:t>，设计排烟量在计算排烟量的基础上再附加</w:t>
      </w:r>
      <w:r>
        <w:rPr>
          <w:rFonts w:ascii="宋体" w:hAnsi="宋体" w:cs="宋体"/>
          <w:color w:val="auto"/>
          <w:highlight w:val="none"/>
        </w:rPr>
        <w:t>20%</w:t>
      </w:r>
      <w:r>
        <w:rPr>
          <w:rFonts w:hint="eastAsia" w:ascii="宋体" w:hAnsi="宋体" w:cs="宋体"/>
          <w:color w:val="auto"/>
          <w:highlight w:val="none"/>
        </w:rPr>
        <w:t>。</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cs="宋体"/>
          <w:color w:val="auto"/>
          <w:highlight w:val="none"/>
        </w:rPr>
        <w:t>6.防火设计</w:t>
      </w:r>
      <w:r>
        <w:rPr>
          <w:rFonts w:hint="eastAsia" w:ascii="宋体" w:hAnsi="宋体" w:cs="宋体"/>
          <w:color w:val="auto"/>
          <w:highlight w:val="none"/>
          <w:lang w:eastAsia="zh-CN"/>
        </w:rPr>
        <w:t>：</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通风、空气调节系统的风管应在下列部位设置防火阀：a.穿越防火分区处(BED阀)；b.穿越通风、空气调节机房的房间隔墙和楼板处；c.穿越防火分隔处的变形缝两侧；d.穿越重要或火灾危险性大的场所的房间隔板和楼板处；d.竖向风管与每层水平风管交接处的水平管段上。</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排烟管道下列部位应设置排烟防火阀：a.垂直风管与每层水平风管交接处的水平管段上；b.一个排烟系统负担多个防烟分区的排烟支管上；c.排烟风机入口处；d.穿越防火分区处。</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风机及风管道均采用非燃烧材料制作；通风、排烟系统所采用的设备与材料均符合消防设计的要求。图纸中所标注的防火风管采用防火板或其他能满足耐火极限要求的材料制作或包封，安装完成的风管应符合该产品的制作标准及耐火极限要求。加压送风管技术要求：a.非设置在独立管井内的正压送风管耐火极限≮1h；b.设置在吊顶内的加压送风管耐火极限≮0.5h。排烟风管技术要求：a.设置在独立管井、设备用房及汽车库内的排烟管道耐火极限≮0.5h，b.排烟风管穿越防火分区或走在走道的吊顶内，其耐火极限≮1.0h；c.排烟风管走在吊顶内距可燃物的距离≮150mm，并应采用50mm的不燃材料进行隔热。</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机械加压送风管道及排烟管道厚度应符合现行国家标准GB50243的要求。</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防火阀安装距墙不大于200mm；风管穿越防火隔墙、楼板、防火墙处的防火阀两侧各2m内的风管应采用耐火风管或采用耐火材料包覆，且耐火极限不低于该防火分隔体的耐火极限；所有管道穿墙或楼板缝隙采用不燃材料封堵；穿越防火墙处的管道保温材料采用不燃材料。</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设备具有良好的接地措施；排除有燃烧或爆炸危险气体的排风系统（厨房事故通风），设置导静电的接地装置。通风机房的门均采用甲级防火门。</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排烟风机均采用消防专用风机，满足280℃时连续工作30min的要求，排烟风机应与风机入口的排烟防火阀连锁，当阀门关闭时，排烟风机应能停止运转。</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防火排烟阀门、消防排烟风机、挡烟垂壁等消防防烟排烟设备产品均应采用取得3C认证的合格产品。并严格执行《强制性产品认证实施细则：火灾防护产品，消防防烟排烟设备产品》中相关规定。</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事故通风应根据放散物的种类，设置相应的检测报警及控制系统，事故排风机的手动控制装置应在室内外便于操作的地点分别设置。</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防排烟、事故通风管道及相关设备须采用抗震支吊架。</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7.施工要求</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一般机械通风管和空调风管均采用镀锌钢板制作，风管的制作、配件、钢板厚度和允许漏风量等均应符合规范要求。</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厨房排油烟风管采用厚1.</w:t>
      </w:r>
      <w:r>
        <w:rPr>
          <w:rFonts w:ascii="宋体" w:hAnsi="宋体" w:cs="宋体"/>
          <w:color w:val="auto"/>
          <w:highlight w:val="none"/>
        </w:rPr>
        <w:t>5</w:t>
      </w:r>
      <w:r>
        <w:rPr>
          <w:rFonts w:hint="eastAsia" w:ascii="宋体" w:hAnsi="宋体" w:cs="宋体"/>
          <w:color w:val="auto"/>
          <w:highlight w:val="none"/>
        </w:rPr>
        <w:t>mm不锈钢板制作，并在最低处设置不小于DN20的手动排水阀；水平风管应设不小于0.01的坡度，坡向低处。</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消防风管采用</w:t>
      </w:r>
      <w:r>
        <w:rPr>
          <w:color w:val="auto"/>
          <w:highlight w:val="none"/>
        </w:rPr>
        <w:t>镀锌钢板外包防火板，耐火极限需满足相关规范，并出具相关检测报告</w:t>
      </w:r>
      <w:r>
        <w:rPr>
          <w:rFonts w:hint="eastAsia" w:ascii="宋体" w:hAnsi="宋体" w:cs="宋体"/>
          <w:color w:val="auto"/>
          <w:highlight w:val="none"/>
        </w:rPr>
        <w:t>。</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消防加压送风、排烟管道及排风道个别采用土建风道，应与土建专业配合。</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加压送风机采用轴流风机或离心风机；排烟风机采用离心风机或排烟轴流风机，且排烟风机应能保证在280℃时能连续工作30min。</w:t>
      </w:r>
    </w:p>
    <w:p>
      <w:pPr>
        <w:pStyle w:val="46"/>
        <w:tabs>
          <w:tab w:val="left" w:pos="420"/>
          <w:tab w:val="left" w:pos="840"/>
        </w:tabs>
        <w:autoSpaceDE/>
        <w:autoSpaceDN/>
        <w:spacing w:line="360" w:lineRule="auto"/>
        <w:ind w:firstLine="480"/>
        <w:jc w:val="both"/>
        <w:textAlignment w:val="baseline"/>
        <w:rPr>
          <w:rFonts w:hint="eastAsia" w:ascii="宋体" w:hAnsi="宋体" w:eastAsia="宋体" w:cs="宋体"/>
          <w:color w:val="auto"/>
          <w:highlight w:val="none"/>
        </w:rPr>
      </w:pPr>
      <w:r>
        <w:rPr>
          <w:rFonts w:hint="eastAsia" w:ascii="宋体" w:hAnsi="宋体" w:cs="宋体"/>
          <w:color w:val="auto"/>
          <w:highlight w:val="none"/>
        </w:rPr>
        <w:t>除以上明确到</w:t>
      </w:r>
      <w:r>
        <w:rPr>
          <w:rFonts w:hint="eastAsia" w:ascii="宋体" w:hAnsi="宋体" w:eastAsia="宋体" w:cs="宋体"/>
          <w:color w:val="auto"/>
          <w:highlight w:val="none"/>
        </w:rPr>
        <w:t>的材料及设备外，未明确的管道和设备的保温材料、消声材料和粘结剂应为不燃材料或难燃材料。</w:t>
      </w:r>
    </w:p>
    <w:p>
      <w:pPr>
        <w:pStyle w:val="46"/>
        <w:tabs>
          <w:tab w:val="left" w:pos="420"/>
          <w:tab w:val="left" w:pos="840"/>
        </w:tabs>
        <w:autoSpaceDE/>
        <w:autoSpaceDN/>
        <w:spacing w:line="360" w:lineRule="auto"/>
        <w:ind w:firstLine="48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穿过防火墙和变形缝的风管两侧各2.0m范围内应采用不燃材料及其粘结剂。</w:t>
      </w:r>
    </w:p>
    <w:p>
      <w:pPr>
        <w:pStyle w:val="46"/>
        <w:tabs>
          <w:tab w:val="left" w:pos="420"/>
          <w:tab w:val="left" w:pos="840"/>
        </w:tabs>
        <w:autoSpaceDE/>
        <w:autoSpaceDN/>
        <w:spacing w:line="360" w:lineRule="auto"/>
        <w:ind w:firstLine="480"/>
        <w:jc w:val="both"/>
        <w:textAlignment w:val="baseline"/>
        <w:outlineLvl w:val="2"/>
        <w:rPr>
          <w:rFonts w:hint="eastAsia" w:ascii="宋体" w:hAnsi="宋体" w:cs="宋体"/>
          <w:color w:val="auto"/>
          <w:highlight w:val="none"/>
        </w:rPr>
      </w:pPr>
      <w:bookmarkStart w:id="251" w:name="_Toc25900"/>
      <w:r>
        <w:rPr>
          <w:rFonts w:hint="eastAsia"/>
          <w:color w:val="auto"/>
          <w:highlight w:val="none"/>
          <w:lang w:val="en-US" w:eastAsia="zh-CN"/>
        </w:rPr>
        <w:t>三、深化设计应与概算限额相契合。</w:t>
      </w:r>
      <w:bookmarkEnd w:id="251"/>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8.环保设计</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住宅厨房和暗卫设置变压式排气道出屋面排放，有良好的通风换气条件，以减少并控制空气污染。</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卫生间均设置机械排风系统。</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农贸市场做新风，普通商业预留新风百叶，保证空气品质。</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地下汽车库的排风机选用低噪声风机箱，且做好消声隔振措施。</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ascii="宋体" w:hAnsi="宋体" w:cs="宋体"/>
          <w:color w:val="auto"/>
          <w:highlight w:val="none"/>
        </w:rPr>
        <w:t>空调和通风设备采用消声、隔声、减振、隔振的设施</w:t>
      </w:r>
      <w:r>
        <w:rPr>
          <w:rFonts w:hint="eastAsia" w:ascii="宋体" w:hAnsi="宋体" w:cs="宋体"/>
          <w:color w:val="auto"/>
          <w:highlight w:val="none"/>
        </w:rPr>
        <w:t>。</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ascii="宋体" w:hAnsi="宋体" w:cs="宋体"/>
          <w:color w:val="auto"/>
          <w:highlight w:val="none"/>
        </w:rPr>
        <w:t>选择环保、防霉、抗菌的建筑材料和暖通材料，避免对室内、外环境造成二次污染</w:t>
      </w:r>
      <w:r>
        <w:rPr>
          <w:rFonts w:hint="eastAsia" w:ascii="宋体" w:hAnsi="宋体" w:cs="宋体"/>
          <w:color w:val="auto"/>
          <w:highlight w:val="none"/>
        </w:rPr>
        <w:t>。</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多联机等均采用环保冷媒，以减少对臭氧层的破坏。</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所有新风口均直接取自室外清洁部位，远离排风口。</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所有进、排风口均设防虫。</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避免卫生间、商业、地下车库等区域的空气和污染物串通到其他空间或室外活动场所。</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制冷剂选用</w:t>
      </w:r>
      <w:r>
        <w:rPr>
          <w:rFonts w:ascii="宋体" w:hAnsi="宋体" w:cs="宋体"/>
          <w:color w:val="auto"/>
          <w:highlight w:val="none"/>
        </w:rPr>
        <w:t>环保冷媒，且</w:t>
      </w:r>
      <w:r>
        <w:rPr>
          <w:rFonts w:hint="eastAsia" w:ascii="宋体" w:hAnsi="宋体" w:cs="宋体"/>
          <w:color w:val="auto"/>
          <w:highlight w:val="none"/>
        </w:rPr>
        <w:t>ODP等于0，GWP小于1。</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（五）建筑电气</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1.供配电系统</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根据负荷分布和负荷估算，本工程从市政电网引6路独立10kV电源供电。在C、M、G地块一层各设置一个开闭所；本地块共设置19座变电所，整个工程变压器容量总计为46180kVA，变电所配置见负荷计算。</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本工程公用变配电房均设于小区地面一层，靠近负荷中心设置。（注：本项目变配电房位置、变压器数量及小区进线方向最终由当地供电部门确定为准。</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本工程内部全部为低压设备，电源从相关低压配电屏引来，电压380/220V。</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变电所放射供电至各单元住宅、公寓，每个单元地下室设一间公用配电小间。住户及物业配套用房电费采用一户一表计量方式，多层住宅表箱集中设在地面一层抄表间，高层住宅及公寓表箱集中设置在楼层公共区域抄表间；住宅、公寓建筑公共用电及车库用电在配电间设总表计量。每个表箱内单相电表数量不超过12个，三相电表数不超过6个。住宅每户设一只住宅配电箱，空调、厨房插座、卫生间插座均设单独保护开关，住宅总开关设过电压、欠电压保护器，户内照明只预留灯头接线盒，灯具由住户自选。公寓每户设一只配电箱，普通照明和插座由业主二次装修自选。</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住宅物业配套用房设置单表位表箱单独计量，各计量表箱集中安装在计量小间内，地下车库设置汽车充电桩（慢充）的计量表箱，电源由公变引来。</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每单元的电梯水泵等公用设备用电在地下单元配电间设置计量电表箱，地下室照明、动力部分分区分功能设专用计量箱。二级负荷均由双回路供电，消防负荷在末端配电箱处自动切换。</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商业网点、配套用房设置一户一表，在适当位置设置计量表间。</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幼儿园设专变，高供高计。</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农贸市场、商业按区域设置配电间。</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一级计量CT和电能表由电力部门提供，二级计量：物业配套用房按产权与使用分隔设表计量；空调、照明、普通动力分别设表；采用带有远程通讯功能的多功能表。</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设备选型及安装：灯开关选用86型翘板开关暗装，插座选用86型安全插座暗装。所有的照明或动力配电箱、控制箱设置在相应的专用或设备机房内。电业部门电表箱安装在电气井道附近的抄表间内或地下室抄表内，物业管理的电表箱安装在电气井道或配电小间内。动力配电箱选用QGBD型，安装在配电间或设备间，选用落地式或明装式，其余部分均采用嵌墙安装方式。</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线路敷设：非消防线路除暗敷的线路外，选用低烟无卤阻燃铜芯电缆或导线，消防配线采用低烟无卤耐火铜芯电缆或导线。如消防线路与非消防线路合用电井时，明敷的消防线路选用矿物绝缘类不燃性电缆。高层住宅、公寓采用"4+1"密集型母线槽供电，母线槽沿强电竖井敷设。其它建筑采用铜芯线缆，消防线路采用耐火型。楼内应急照明和疏散指示标志电气线路穿金属管暗敷在非燃体结构内，且保护层厚度大于30MM。多层住宅采用电缆供电。整个工程配电干线选用电缆。普通公共负荷配电干线采用低压无卤阻燃型电缆，配电支线选用低压无卤阻燃型电缆、电线。</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2.照明系统</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照明系统按防火分区或楼层配电，按分区设置普通照明配电箱和应急照明箱。车库和公共走道照明按负荷等级采用双路供电，应急照明集中电源采用双重电源供电，采用放射式与树干式结合的配电方式，末端配电箱设置双电源自动切换。</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工程除有装饰要求外，一般选用高效低耗的节能型荧光灯及高效金属卤化物灯。车库、公共区域、楼梯间及前室、物业用房、设备机房等场所采用节能灯具，普通直管荧光灯采用LED荧光灯，采用高效灯具，荧光灯采用电子镇流器，要求功率因数大于0.9。厨房及卫生间应选择防水型灯具。</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下车库非人防区采用线槽灯，地下车库人防区采用吊链灯，无吊顶的公共区域(楼梯间、前室等)采用吸顶灯具；无吊顶的设备机房、有机电管线的走道等区域，根据设备安装高度及机电管线的遮挡采用壁装、杆吊灯具。有吊顶区域的灯具由二次精装修设计确定。所有灯具(包括二次精装设计的灯具在内)的效率及辅助装置(镇流器等)的要求，各场所的照度及照明功率密度值均应符合现行《建筑照明设计标准》GB50034的有关要求，其中功率密度值要求满足目标值的要求。</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灯具采用控光性能合理、光效高、配电特性稳定、反射或透射多数高的节能灯具。景观/泛光照明/标识系统照明设计详见专项设计单位图纸，本设计仅预留电源，由值班室控制和管理，控制方式为光控、时控和手动控制结合。</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3.防雷与接地</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防雷等级：根据自然条件、当地雷电日数、建筑物的高度和重要程度，本工程除独立设置的变电所及配套用房按照第三类防雷建筑物要求进行防雷设计外，其它高层住宅、公寓、幼儿园均按照第二类防雷建筑物要求进行防雷设计。</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本工程防雷装置设置分外部防雷装置和内部防雷装置，并采取防闪电电涌侵入等措施。</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外部防雷装置：防直击雷，由接闪器、引下线及接地装置等组成；</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内部防雷装置：与防雷装置做等电位连接，包括建筑物金属体、金属装置、建筑物内系统、进出建筑物的金属管线等。</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接闪器：本工程采用专设接闪器，采用φ12热镀锌圆钢沿女儿墙、屋角、屋脊、屋檐、檐角及屋面等易受雷击的部位明敷接闪带，并在整个屋面组成接闪网格（三类不大于24*16米或20*20米，二类不大于12*8米或10*10米），突出屋顶的所有金属物体、金属构件和屋顶防雷装置相连，非金属物体加装接闪器并和屋顶防雷装置相连。</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引下线：利用所有垂直支柱（钢筋混凝土柱子、钢构件等内钢筋）作为防雷引下线，防雷引下线（钢筋混凝土柱子、钢构件等内钢筋）上端与接闪带连接，下端与建筑物基础地梁及基础底板内的钢筋（基础接地体）连接。三类防雷建筑接闪引下线间距周长不大于25米设置，二类防雷建筑接闪引下线间距周长不大于18米设置。</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避雷引下线、均压带、闭合接地装置均利用建筑物钢筋混凝土中的钢筋。防雷接地、保护接地及弱电接地合用，均采用桩主筋及基础地梁主筋沿建筑物四周焊接形成的封闭接地网接地电阻应不大于1欧姆。变电所的接地保护系统为TN-S型。本工程设有总等电位联结，所有金属构件及进出建筑物的金属管路均与MEB箱可靠联结。带洗浴功能的卫生间等处设局部等电位联结。</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各变电所低压配电柜、各楼的楼层配电柜、电梯机房层配电柜、弱电机房的配电柜及弱电设备均设置浪涌保护器。本工程建筑物电子信息系统的雷电防护等级为D级，弱电设备均参照此标准设置浪涌保护器。</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4.消防控制室设置</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lang w:val="en-US" w:eastAsia="zh-CN"/>
        </w:rPr>
        <w:t>考虑</w:t>
      </w:r>
      <w:r>
        <w:rPr>
          <w:rFonts w:hint="eastAsia" w:ascii="宋体" w:hAnsi="宋体" w:cs="宋体"/>
          <w:color w:val="auto"/>
          <w:highlight w:val="none"/>
        </w:rPr>
        <w:t>本工程地块多，设置多个消控室。A、B、C地块共用消控室，设在B地块B</w:t>
      </w:r>
      <w:r>
        <w:rPr>
          <w:rFonts w:ascii="宋体" w:hAnsi="宋体" w:cs="宋体"/>
          <w:color w:val="auto"/>
          <w:highlight w:val="none"/>
        </w:rPr>
        <w:t>10</w:t>
      </w:r>
      <w:r>
        <w:rPr>
          <w:rFonts w:hint="eastAsia" w:ascii="宋体" w:hAnsi="宋体" w:cs="宋体"/>
          <w:color w:val="auto"/>
          <w:highlight w:val="none"/>
        </w:rPr>
        <w:t>#楼1层；D、E地块共用消控室，设在D地块D5#楼1层；J、K、L、M地块共用消控室，设在M2#楼1层。F1~2地块的消控室设在F1号楼1层，F3地块幼儿园单独设一个小消控室，设于1层。</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5.报警系统组成</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本工程采用控制中心报警系统形式，主消防控制室在B</w:t>
      </w:r>
      <w:r>
        <w:rPr>
          <w:rFonts w:ascii="宋体" w:hAnsi="宋体" w:cs="宋体"/>
          <w:color w:val="auto"/>
          <w:highlight w:val="none"/>
        </w:rPr>
        <w:t>10</w:t>
      </w:r>
      <w:r>
        <w:rPr>
          <w:rFonts w:hint="eastAsia" w:ascii="宋体" w:hAnsi="宋体" w:cs="宋体"/>
          <w:color w:val="auto"/>
          <w:highlight w:val="none"/>
        </w:rPr>
        <w:t>#楼。该系统由若干台集中报警控制器、区域报警器及若干楼层显示器、火灾探测器、消防广播、声光报警器、手动报警器、火警电话、防火门监控、漏电火灾报警、消防电源监控、消防应急照明和疏散指示系统、联动设备等组成。负责整个工程的火灾报警信号、消防设备的集中监控、消防指挥及与其它消防系统的联系，并应具有向城市消防远程监控中心传输信息的功能。</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6.消防设施电源供给及接地</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消防设施采用双电源末级配电箱自动切换供电。应急照明和疏散指示采用集中电源集中控制型系统报警系统。消防系统接地与建筑其它接地共用接地体，接地电阻R&lt;1Ω。</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7.消防线路选型及敷设方式</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信号传输干线采用NH-RYS，电源线采用NH-RYY,电话线采用NH-RYS,广播线采用NH-RYYP。传输干线采用防火金属线槽在弱电间、吊顶内明敷，支线采用穿金属管或经不小于B1级的刚性塑料管保护暗敷于不燃烧体的结构层内，且保护层厚度不小于30mm。</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工程普通动力干线、支线均采用WDZ-YJY-0.6/1kV无卤低烟阻燃电力电缆沿电缆沟、金属电缆桥架（汇线槽）或穿金属电线管敷设；消防风机、消防水泵、消防电梯、应急照明等消防用电设备配电干线均采用矿物绝缘电力电缆或WDZN-YJY-0.6/1kV无卤低烟阻燃耐火电力电缆沿封闭金属线槽或穿金属电线管敷设，支线均采用WDZN-YJY-0.6/1kV无卤低烟阻燃耐火电力电缆沿封闭金属线槽或穿金属电线管敷设，明敷时须作防火保护。</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照明配电干线均采用接插母线或WDZ-YJY-0.6/1kV无卤低烟阻燃电力电缆。普通照明支线采用WDZ-BYJ-450/750V2.5平方毫米无卤低烟阻燃铜芯导线穿金属线槽或金属管敷设；应急照明支线采用WDZBN-RVS-4平方毫米无卤低烟阻燃耐火铜芯导线穿金属管暗敷于不燃烧体的结构层内，且保护层厚度不宜小于30毫米。</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8.应急照明</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本工程应急照明采用A型集中电源集中控型系统。控制系统设置于消防控制室，集中电源分楼层及防火分区设置。</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应急照明配电：应急照明配电箱采用专用回路双电源配电，并在末端互投。</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集中电源：由应急照明配电箱供电。</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应急疏散照明：高层住宅、公寓、商业、幼儿园、地下车库、地下门厅及主要通道、疏散走道、楼梯间及前室等，除普通照明外，还需设置应急疏散照明。变电所、消控室、消防泵房等火灾时仍需工作、值守的区域设置应急疏散照明。应急照明和疏散指示采用DC24V消防专用灯具，集中电源连续供电时间不少于90min，其中火灾工况条件，持续应急时间不应少于1.0h，非火灾状态，主电源断电持续应急时间不应超过0.5h。</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备用照明：消防控制室、监控中心、消防泵房、消防风机房、变电所等场所按100%设置备用照明，备用照明持续时间不少于180分钟，且不低于正常照明照度。</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总建筑面积大于5000平方米的地上商店在疏散走道和主要疏散路径的地面上增设能保持视觉连续的灯光疏散指示标志。</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9.报警系统设备选择及设置</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地上部分各楼层、汽车库各防火分区设置楼层显示器。</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住宅、公寓、商业、配套用房、幼儿园、楼梯间、前室、门厅、走道、电气管井、储藏室、车库、设备机房内设置感烟探测器，变电所、车道上/疏散通道上的防火卷帘两侧、厨房及规范规定的相关场所设置感温探测器，在使用天然气的场所(如厨房、锅炉房)，设置可燃气体探测器。</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在各防火分区的走廊、出口、电梯前室等地设手动报警按钮，从防火分区任一位置到最邻近的报警按钮步行距离不大于30m。</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在每个楼层的楼梯口、消防电梯前室、建筑内部拐角等处的明显部位设置声光报警器，每个报警区域内应均匀设置火灾警报器，其声压级不应小于60dB，在环境噪声大于60dB的场所，其声压级应高于背景噪声15dB。</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10.消防联动及控制要求</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当任意一处发生火灾时，消防控制室接受火警信号，并经确认后，联动相关设备：启动喷水泵，消火栓泵，送、排烟风机；关闭失火区防火卷帘门；打开送风口、排烟口；切断火灾区非消防电源；接通事故广播、声光报警器、疏散照明灯；自动开启防火门释放器，关闭常开防火门，各防火门的开启、关闭及故障状态信号反馈至防火门监控器；消防控制室接收各种设备动作返回信号；消防控制室设置消防水池、水箱水位显示和消防水泵供电电源信号显示；重要消防设备除采用总线模块联动外，另设多线直接手动控制。</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气体灭火系统作为一个相对独立的系统，单独配置了自动控制所需的火灾探测器，可独立完成整个灭火过程。消防控制室能显示系统的自动、手动工作状态，能在气体灭火系统报警和喷射阶段有相应的声光信号，并关闭相应的防火门、窗，停止相关的通风空调系统，关闭有关部位的防火阀。该系统同时具有手动控制及应急操作功能。</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电梯的监视与控制：在消防控制中心设置电梯监控盘，能显示建筑内各部电梯的运行状态及所处楼层位置。火灾发生时，由消防控制中心发出指令，将电梯降至首层。</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11.消防广播及火警专用通信</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消防控制室设总线制智能型火灾紧急广播控制器，在本工程走道、电梯厅、车库、商业、幼儿园等公共场所处设火灾紧急广播喇叭。</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消防专用电话网络为独立的消防通信系统，在消防控制室内设置消防专用直通对讲电话总机，除在手动报警按钮上设置消防专用电话塞孔外，在消防水泵房、变配电室、防排烟风机房、电梯机房、建筑设备监控中心、管理值班室等场所还设有消防专用电话分机。电话主机设有自动录音，并配有与市消防局联络的直通电话（119）。</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12.火灾自动报警系统与智能化子系统的接口方式及联动关系</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火灾报警系统与智能化子系统通过通讯线进行通讯。</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当火灾发生时，控制开放疏散通道的门禁系统，将背景广播切换到火灾广播。</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13.消防场所标志</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在消防设施设备设置点设置光致发光消防设施设备标志；重要设备用房的门上设置光致发光场所指示标志。</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14.电气火灾监控系统</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按防火分区设置电气火灾监控系统，总配电箱的报警探测器安装在变电所低压柜出线处，楼层配电箱的进线回路安装报警探测器，通过二总线方式与设于消防控制室的电气火灾控制柜通讯。配电系统设额定漏电电流为300mA~500mA可调，一旦某一回路出现漏电，探测器会发出声光报警讯号，并在电气火灾监控控制柜显示故障回路</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电气火灾监控系统线路采用低烟无卤阻燃耐火导线，穿钢管沿墙、屋面暗敷或在二次装修吊顶内敷设。明敷时必须刷防火涂料。</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15.消防设备电源监控系统</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本工程设置消防设备电源监控系统，在消防风机、防火卷帘、消防水泵、应急照明等消防设备电源双切箱处设置消防设备电源监控模块，当各类为消防设备供电的交流或直流电源(包括主、备电)，发生过压、欠压、缺相、过流、中断供电故障时，消防电源监控器进行声光报警、记录；显示被监测电源的电压、电流值及故障点位置；监控器提供RS232或RS485接口上传信息至消防控制中心图形显示装置。消防电源监控主机设在消控中心。</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16.防火门监控系统</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由常开防火门所在防火分区内的两只独立的火灾探测器或一只火灾探测器与一只于动火灾报警按钮的报警信号，作为常开防火门关闭的联动触发信号，联动触发信号应由火灾报警控制器或消防联动控制器发出，并应由消防联动控制器或防火门监控器联动控制防火门关闭。</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防火门监控系统主机设置在消控中心。</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17.环保设计</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防静电及电击。选用的电气设备与使用环境相适应，电气设备及线路的安装符合电气安装规定；当无法满足时，采用防护措施；对潮湿场所的用电设备采用漏电保护。</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公变低压系统采用TN-S接地系统，各变压器低压侧中性点直接接地，各变电所内所有不带电的设备金属外壳均须可靠接地，接地装置采用建筑的基础内钢筋作综合接地体，接地电阻不大于1Ω；所有电气设备的不带电金属外壳均应可靠接地，电气竖井内敷设专用接地干线（扁钢）；建筑物设置总等电位联结和局部等电位联结。</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电磁辐射污染的防治。为减少电磁干扰的感应效应，宜采取屏蔽措施，将变电所电磁辐射的作用和影响限制在所规定的空间内，防止传播与扩散。通常可采用板状、片状或网状的金属组成的外壳来进行屏蔽。同时为了保证高效率的屏蔽作用，防止屏蔽体成为二次辐射源，屏蔽体应该有良好的接地。此外还可利用反射、吸收等减少辐射源的泄漏来加强防护，并以合适的路径敷设线路，线路屏蔽。</w:t>
      </w:r>
    </w:p>
    <w:p>
      <w:pPr>
        <w:pStyle w:val="46"/>
        <w:tabs>
          <w:tab w:val="left" w:pos="420"/>
          <w:tab w:val="left" w:pos="840"/>
        </w:tabs>
        <w:autoSpaceDE/>
        <w:autoSpaceDN/>
        <w:spacing w:line="360" w:lineRule="auto"/>
        <w:ind w:firstLine="480"/>
        <w:jc w:val="both"/>
        <w:textAlignment w:val="baseline"/>
        <w:rPr>
          <w:rFonts w:ascii="宋体" w:hAnsi="宋体" w:cs="宋体"/>
          <w:color w:val="auto"/>
          <w:highlight w:val="none"/>
        </w:rPr>
      </w:pPr>
      <w:r>
        <w:rPr>
          <w:rFonts w:hint="eastAsia" w:ascii="宋体" w:hAnsi="宋体" w:cs="宋体"/>
          <w:color w:val="auto"/>
          <w:highlight w:val="none"/>
        </w:rPr>
        <w:t>变压器均采用低噪声变压器，设备机房避免设置在对噪声敏感的住宅区域下方。建议变压器下设减震垫，墙上加吸音板，选择低噪音配变电设备以降噪，在距离变压器本体0.3米测试，干变运行噪声&lt;=50dB。</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（六）市政道路</w:t>
      </w:r>
    </w:p>
    <w:p>
      <w:pPr>
        <w:spacing w:line="360" w:lineRule="auto"/>
        <w:ind w:firstLine="480" w:firstLineChars="200"/>
        <w:jc w:val="both"/>
        <w:rPr>
          <w:rFonts w:hint="eastAsia" w:ascii="宋体" w:hAnsi="宋体" w:cs="宋体"/>
          <w:color w:val="auto"/>
          <w:highlight w:val="none"/>
        </w:rPr>
      </w:pPr>
      <w:r>
        <w:rPr>
          <w:rFonts w:hint="eastAsia" w:ascii="宋体" w:hAnsi="宋体" w:cs="宋体"/>
          <w:color w:val="auto"/>
          <w:highlight w:val="none"/>
          <w:lang w:val="en-US" w:eastAsia="zh-CN"/>
        </w:rPr>
        <w:t>1.</w:t>
      </w:r>
      <w:r>
        <w:rPr>
          <w:rFonts w:hint="eastAsia" w:ascii="宋体" w:hAnsi="宋体" w:cs="宋体"/>
          <w:color w:val="auto"/>
          <w:highlight w:val="none"/>
        </w:rPr>
        <w:t>道路：小区内车行道路主要为住宅区沥青道路，线形以圆曲线为主。路面结构：1</w:t>
      </w:r>
      <w:r>
        <w:rPr>
          <w:rFonts w:hint="eastAsia" w:ascii="宋体" w:hAnsi="宋体" w:cs="宋体"/>
          <w:color w:val="auto"/>
          <w:highlight w:val="none"/>
          <w:lang w:eastAsia="zh-CN"/>
        </w:rPr>
        <w:t>）</w:t>
      </w:r>
      <w:r>
        <w:rPr>
          <w:rFonts w:hint="eastAsia" w:ascii="宋体" w:hAnsi="宋体" w:cs="宋体"/>
          <w:color w:val="auto"/>
          <w:highlight w:val="none"/>
        </w:rPr>
        <w:t>花岗岩铺装车行(消防)道路面结构：4cm面层铺装+15cmC30砼(内配∅10@150单层双向筋)+30cm 5%水稳层+10cm1：1砂碎石垫层</w:t>
      </w:r>
      <w:r>
        <w:rPr>
          <w:rFonts w:hint="eastAsia" w:ascii="宋体" w:hAnsi="宋体" w:cs="宋体"/>
          <w:color w:val="auto"/>
          <w:highlight w:val="none"/>
          <w:lang w:eastAsia="zh-CN"/>
        </w:rPr>
        <w:t>。</w:t>
      </w:r>
      <w:r>
        <w:rPr>
          <w:rFonts w:hint="eastAsia" w:ascii="宋体" w:hAnsi="宋体" w:cs="宋体"/>
          <w:color w:val="auto"/>
          <w:highlight w:val="none"/>
        </w:rPr>
        <w:t>2</w:t>
      </w:r>
      <w:r>
        <w:rPr>
          <w:rFonts w:hint="eastAsia" w:ascii="宋体" w:hAnsi="宋体" w:cs="宋体"/>
          <w:color w:val="auto"/>
          <w:highlight w:val="none"/>
          <w:lang w:eastAsia="zh-CN"/>
        </w:rPr>
        <w:t>）</w:t>
      </w:r>
      <w:r>
        <w:rPr>
          <w:rFonts w:hint="eastAsia" w:ascii="宋体" w:hAnsi="宋体" w:cs="宋体"/>
          <w:color w:val="auto"/>
          <w:highlight w:val="none"/>
        </w:rPr>
        <w:t>沥青路面车行道路面结构：5cm细粒式沥青混凝土+10cm中粒式沥青混凝+30cm 5%水稳层+10cm1：1砂碎石垫层</w:t>
      </w:r>
      <w:r>
        <w:rPr>
          <w:rFonts w:hint="eastAsia" w:ascii="宋体" w:hAnsi="宋体" w:cs="宋体"/>
          <w:color w:val="auto"/>
          <w:highlight w:val="none"/>
          <w:lang w:eastAsia="zh-CN"/>
        </w:rPr>
        <w:t>。</w:t>
      </w:r>
      <w:r>
        <w:rPr>
          <w:rFonts w:hint="eastAsia" w:ascii="宋体" w:hAnsi="宋体" w:cs="宋体"/>
          <w:color w:val="auto"/>
          <w:highlight w:val="none"/>
        </w:rPr>
        <w:t>3</w:t>
      </w:r>
      <w:r>
        <w:rPr>
          <w:rFonts w:hint="eastAsia" w:ascii="宋体" w:hAnsi="宋体" w:cs="宋体"/>
          <w:color w:val="auto"/>
          <w:highlight w:val="none"/>
          <w:lang w:eastAsia="zh-CN"/>
        </w:rPr>
        <w:t>）</w:t>
      </w:r>
      <w:r>
        <w:rPr>
          <w:rFonts w:hint="eastAsia" w:ascii="宋体" w:hAnsi="宋体" w:cs="宋体"/>
          <w:color w:val="auto"/>
          <w:highlight w:val="none"/>
        </w:rPr>
        <w:t>消防登高面（带）路面结构：4cm面层铺装+15cmC30砼(内配∅10@150单层双向筋)+30cm 5%水稳层+10cm1：1砂碎石垫层</w:t>
      </w:r>
      <w:r>
        <w:rPr>
          <w:rFonts w:hint="eastAsia" w:ascii="宋体" w:hAnsi="宋体" w:cs="宋体"/>
          <w:color w:val="auto"/>
          <w:highlight w:val="none"/>
          <w:lang w:eastAsia="zh-CN"/>
        </w:rPr>
        <w:t>。</w:t>
      </w:r>
      <w:r>
        <w:rPr>
          <w:rFonts w:hint="eastAsia" w:ascii="宋体" w:hAnsi="宋体" w:cs="宋体"/>
          <w:color w:val="auto"/>
          <w:highlight w:val="none"/>
        </w:rPr>
        <w:t>4</w:t>
      </w:r>
      <w:r>
        <w:rPr>
          <w:rFonts w:hint="eastAsia" w:ascii="宋体" w:hAnsi="宋体" w:cs="宋体"/>
          <w:color w:val="auto"/>
          <w:highlight w:val="none"/>
          <w:lang w:eastAsia="zh-CN"/>
        </w:rPr>
        <w:t>）</w:t>
      </w:r>
      <w:r>
        <w:rPr>
          <w:rFonts w:hint="eastAsia" w:ascii="宋体" w:hAnsi="宋体" w:cs="宋体"/>
          <w:color w:val="auto"/>
          <w:highlight w:val="none"/>
        </w:rPr>
        <w:t>商铺沿街路面结构：4cm面层铺装+15cmC30砼(内配∅10@150单层双向筋)+30cm 5%水稳层+10cm1：1砂碎石垫层</w:t>
      </w:r>
      <w:r>
        <w:rPr>
          <w:rFonts w:hint="eastAsia" w:ascii="宋体" w:hAnsi="宋体" w:cs="宋体"/>
          <w:color w:val="auto"/>
          <w:highlight w:val="none"/>
          <w:lang w:eastAsia="zh-CN"/>
        </w:rPr>
        <w:t>。</w:t>
      </w:r>
      <w:r>
        <w:rPr>
          <w:rFonts w:hint="eastAsia" w:ascii="宋体" w:hAnsi="宋体" w:cs="宋体"/>
          <w:color w:val="auto"/>
          <w:highlight w:val="none"/>
        </w:rPr>
        <w:t>5</w:t>
      </w:r>
      <w:r>
        <w:rPr>
          <w:rFonts w:hint="eastAsia" w:ascii="宋体" w:hAnsi="宋体" w:cs="宋体"/>
          <w:color w:val="auto"/>
          <w:highlight w:val="none"/>
          <w:lang w:eastAsia="zh-CN"/>
        </w:rPr>
        <w:t>）</w:t>
      </w:r>
      <w:r>
        <w:rPr>
          <w:rFonts w:hint="eastAsia" w:ascii="宋体" w:hAnsi="宋体" w:cs="宋体"/>
          <w:color w:val="auto"/>
          <w:highlight w:val="none"/>
        </w:rPr>
        <w:t>单元人行道及室外其它硬铺地：采用4cm面层+20cm 5%水稳层+10cm1：1砂碎石垫层</w:t>
      </w:r>
    </w:p>
    <w:p>
      <w:pPr>
        <w:spacing w:line="360" w:lineRule="auto"/>
        <w:ind w:firstLine="480" w:firstLineChars="200"/>
        <w:jc w:val="both"/>
        <w:rPr>
          <w:rFonts w:hint="eastAsia" w:ascii="宋体" w:hAnsi="宋体" w:cs="宋体"/>
          <w:color w:val="auto"/>
          <w:highlight w:val="none"/>
        </w:rPr>
      </w:pPr>
      <w:r>
        <w:rPr>
          <w:rFonts w:hint="eastAsia" w:ascii="宋体" w:hAnsi="宋体" w:cs="宋体"/>
          <w:color w:val="auto"/>
          <w:highlight w:val="none"/>
          <w:lang w:val="en-US" w:eastAsia="zh-CN"/>
        </w:rPr>
        <w:t>2.</w:t>
      </w:r>
      <w:r>
        <w:rPr>
          <w:rFonts w:hint="eastAsia" w:ascii="宋体" w:hAnsi="宋体" w:cs="宋体"/>
          <w:color w:val="auto"/>
          <w:highlight w:val="none"/>
        </w:rPr>
        <w:t>市政排水</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cs="宋体"/>
          <w:color w:val="auto"/>
          <w:highlight w:val="none"/>
        </w:rPr>
        <w:t>管径要求：设计雨水管管径为D225、D300、D400、D500</w:t>
      </w:r>
      <w:r>
        <w:rPr>
          <w:rFonts w:hint="eastAsia" w:ascii="宋体" w:hAnsi="宋体" w:cs="宋体"/>
          <w:color w:val="auto"/>
          <w:highlight w:val="none"/>
          <w:lang w:eastAsia="zh-CN"/>
        </w:rPr>
        <w:t>、</w:t>
      </w:r>
      <w:r>
        <w:rPr>
          <w:rFonts w:hint="eastAsia" w:ascii="宋体" w:hAnsi="宋体" w:cs="宋体"/>
          <w:color w:val="auto"/>
          <w:highlight w:val="none"/>
        </w:rPr>
        <w:t>D800</w:t>
      </w:r>
      <w:r>
        <w:rPr>
          <w:rFonts w:hint="eastAsia" w:ascii="宋体" w:hAnsi="宋体" w:cs="宋体"/>
          <w:color w:val="auto"/>
          <w:highlight w:val="none"/>
          <w:lang w:eastAsia="zh-CN"/>
        </w:rPr>
        <w:t>，</w:t>
      </w:r>
      <w:r>
        <w:rPr>
          <w:rFonts w:hint="eastAsia" w:ascii="宋体" w:hAnsi="宋体" w:cs="宋体"/>
          <w:color w:val="auto"/>
          <w:highlight w:val="none"/>
        </w:rPr>
        <w:t>设计雨水口连接管管径一般为D225</w:t>
      </w:r>
      <w:r>
        <w:rPr>
          <w:rFonts w:hint="eastAsia" w:ascii="宋体" w:hAnsi="宋体" w:cs="宋体"/>
          <w:color w:val="auto"/>
          <w:highlight w:val="none"/>
          <w:lang w:eastAsia="zh-CN"/>
        </w:rPr>
        <w:t>，</w:t>
      </w:r>
      <w:r>
        <w:rPr>
          <w:rFonts w:hint="eastAsia" w:ascii="宋体" w:hAnsi="宋体" w:cs="宋体"/>
          <w:color w:val="auto"/>
          <w:highlight w:val="none"/>
        </w:rPr>
        <w:t>设计污水管管径为一般为D225</w:t>
      </w:r>
      <w:r>
        <w:rPr>
          <w:rFonts w:hint="eastAsia" w:ascii="宋体" w:hAnsi="宋体" w:cs="宋体"/>
          <w:color w:val="auto"/>
          <w:highlight w:val="none"/>
          <w:lang w:eastAsia="zh-CN"/>
        </w:rPr>
        <w:t>、</w:t>
      </w:r>
      <w:r>
        <w:rPr>
          <w:rFonts w:hint="eastAsia" w:ascii="宋体" w:hAnsi="宋体" w:cs="宋体"/>
          <w:color w:val="auto"/>
          <w:highlight w:val="none"/>
        </w:rPr>
        <w:t>D300</w:t>
      </w:r>
      <w:r>
        <w:rPr>
          <w:rFonts w:hint="eastAsia" w:ascii="宋体" w:hAnsi="宋体" w:cs="宋体"/>
          <w:color w:val="auto"/>
          <w:highlight w:val="none"/>
          <w:lang w:eastAsia="zh-CN"/>
        </w:rPr>
        <w:t>。</w:t>
      </w:r>
    </w:p>
    <w:p>
      <w:pPr>
        <w:spacing w:line="36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管道基础：塑料管采用粗砂坞基础，碎石垫层。钢筋砼管道均采用135°钢筋砼基础，碎石垫层。钢筋砼基础每20m设一道沉降缝，缝宽20mm,内填油浸木屑板。穿越原有河浜</w:t>
      </w:r>
      <w:r>
        <w:rPr>
          <w:rFonts w:hint="eastAsia" w:ascii="宋体" w:hAnsi="宋体" w:cs="宋体"/>
          <w:color w:val="auto"/>
          <w:highlight w:val="none"/>
          <w:lang w:eastAsia="zh-CN"/>
        </w:rPr>
        <w:t>、</w:t>
      </w:r>
      <w:r>
        <w:rPr>
          <w:rFonts w:hint="eastAsia" w:ascii="宋体" w:hAnsi="宋体" w:cs="宋体"/>
          <w:color w:val="auto"/>
          <w:highlight w:val="none"/>
        </w:rPr>
        <w:t>暗沟处,应将淤泥挖尽,超挖部分地基铺300mm厚大块石再用砂石分层回填振实至垫层底.块石间的缝隙用砂石填充密实</w:t>
      </w:r>
      <w:r>
        <w:rPr>
          <w:rFonts w:hint="eastAsia" w:ascii="宋体" w:hAnsi="宋体" w:cs="宋体"/>
          <w:color w:val="auto"/>
          <w:highlight w:val="none"/>
          <w:lang w:eastAsia="zh-CN"/>
        </w:rPr>
        <w:t>，</w:t>
      </w:r>
      <w:r>
        <w:rPr>
          <w:rFonts w:hint="eastAsia" w:ascii="宋体" w:hAnsi="宋体" w:cs="宋体"/>
          <w:color w:val="auto"/>
          <w:highlight w:val="none"/>
        </w:rPr>
        <w:t>密实度不低于90%。</w:t>
      </w:r>
    </w:p>
    <w:p>
      <w:pPr>
        <w:spacing w:line="36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检查井：根据要求，户前检查井均采用D450直壁型成品塑料检查井，其余地下室顶板之上（非车行道）均采用D700直壁型成品塑料检查井；车行道及地下室之外除户前之外均采用混凝土模块式检查井,塑料成品井必须使用配套的专用接口，不得自行开口接管。检查井均需设置防坠落防护网。</w:t>
      </w:r>
    </w:p>
    <w:p>
      <w:pPr>
        <w:spacing w:line="36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雨水口及雨水排水沟：沥青道路采用雨水口，一般采用300x600平蓖式雨水口</w:t>
      </w:r>
      <w:r>
        <w:rPr>
          <w:rFonts w:hint="eastAsia" w:ascii="宋体" w:hAnsi="宋体" w:cs="宋体"/>
          <w:color w:val="auto"/>
          <w:highlight w:val="none"/>
          <w:lang w:eastAsia="zh-CN"/>
        </w:rPr>
        <w:t>，</w:t>
      </w:r>
      <w:r>
        <w:rPr>
          <w:rFonts w:hint="eastAsia" w:ascii="宋体" w:hAnsi="宋体" w:cs="宋体"/>
          <w:color w:val="auto"/>
          <w:highlight w:val="none"/>
        </w:rPr>
        <w:t>其连接管为D225管，坡度为1%。</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cs="宋体"/>
          <w:color w:val="auto"/>
          <w:highlight w:val="none"/>
        </w:rPr>
        <w:t>注：本项目雨污水管需采用C20混凝土全包方处理</w:t>
      </w:r>
      <w:r>
        <w:rPr>
          <w:rFonts w:hint="eastAsia" w:ascii="宋体" w:hAnsi="宋体" w:cs="宋体"/>
          <w:color w:val="auto"/>
          <w:highlight w:val="none"/>
          <w:lang w:eastAsia="zh-CN"/>
        </w:rPr>
        <w:t>。</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（七）幕墙工程</w:t>
      </w:r>
    </w:p>
    <w:p>
      <w:pPr>
        <w:pStyle w:val="12"/>
        <w:ind w:firstLineChars="200"/>
        <w:jc w:val="both"/>
        <w:rPr>
          <w:rFonts w:ascii="宋体" w:hAnsi="宋体" w:eastAsia="宋体" w:cs="宋体"/>
          <w:color w:val="auto"/>
          <w:szCs w:val="24"/>
          <w:highlight w:val="none"/>
        </w:rPr>
      </w:pPr>
      <w:r>
        <w:rPr>
          <w:rFonts w:hint="eastAsia" w:ascii="宋体" w:hAnsi="宋体" w:eastAsia="宋体" w:cs="宋体"/>
          <w:color w:val="auto"/>
          <w:szCs w:val="24"/>
          <w:highlight w:val="none"/>
        </w:rPr>
        <w:t>主要采用玻璃幕墙、铝合金幕墙门窗、铝板幕墙。</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外窗（含阳台门透明部分）类型1断桥铝窗框K=4.0[W/(m²K)]，框面积20%（5mmLow-e+12A+5mm），热工性能：传热系数2.30W/(m2·K)，夏季玻璃太阳得热系数0.52/冬季玻璃太阳得热系数：0.52，夏季玻璃遮阳系数0.60/冬季玻璃遮阳系数：0.60，气密性为6级，可见光透射比0.62。凸窗透明板类型：铝合金窗框(5中透光LOW-E+12空气+5透明)，传热系数2.30W/(m2·K)，夏季玻璃太阳得热系数0.52/冬季玻璃太阳得热系数：0.52，夏季玻璃遮阳系数0.60/冬季玻璃遮阳系数：0.60，气密性为6级，可见光透射比0.62。幼儿园外窗：隔热金属型材多腔密封窗框K≤5.0[W/(m²K)]，框面积≤20%（6mm高透光Low-E+12氩气+6mm透明），热工性能：传热系数2.20W/(m2·K)，夏季玻璃太阳得热系数0.54/冬季玻璃太阳得热系数：0.54，夏季玻璃遮阳系数0.62/冬季玻璃遮阳系数：0.62，气密性为6级，可见光透射比0.72。透明幕墙类型：隔热金属型材多腔密封Kf=5.0W/(m2*K)框面积20%（6透明+12空气+6透明）；热工性能：传热系数3.20W/(m2·K)，夏季玻璃太阳得热系数0.75/冬季玻璃太阳得热系数：0.75，夏季玻璃遮阳系数0.86/冬季玻璃遮阳系数：0.86，气密性为3级，可见光透射比0.81。</w:t>
      </w:r>
    </w:p>
    <w:p>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（八）装修工程</w:t>
      </w:r>
    </w:p>
    <w:p>
      <w:pPr>
        <w:spacing w:line="360" w:lineRule="auto"/>
        <w:ind w:firstLine="480" w:firstLineChars="200"/>
        <w:rPr>
          <w:rFonts w:ascii="宋体" w:hAnsi="宋体"/>
          <w:color w:val="auto"/>
          <w:highlight w:val="none"/>
        </w:rPr>
      </w:pPr>
      <w:r>
        <w:rPr>
          <w:rFonts w:hint="eastAsia" w:ascii="宋体" w:hAnsi="宋体"/>
          <w:color w:val="auto"/>
          <w:highlight w:val="none"/>
        </w:rPr>
        <w:t>1.公区首层做法：顶面石膏板造型乳胶漆饰面，墙地面瓷砖，大理石或者不锈钢电梯门套，混油木饰面防火门、管井门。</w:t>
      </w:r>
    </w:p>
    <w:p>
      <w:pPr>
        <w:spacing w:line="360" w:lineRule="auto"/>
        <w:ind w:firstLine="480" w:firstLineChars="200"/>
        <w:rPr>
          <w:rFonts w:ascii="宋体" w:hAnsi="宋体"/>
          <w:color w:val="auto"/>
          <w:highlight w:val="none"/>
        </w:rPr>
      </w:pPr>
      <w:r>
        <w:rPr>
          <w:rFonts w:hint="eastAsia" w:ascii="宋体" w:hAnsi="宋体"/>
          <w:color w:val="auto"/>
          <w:highlight w:val="none"/>
        </w:rPr>
        <w:t>2.公区标准层做法：顶面石膏板造型乳胶漆饰面，墙地面瓷砖，大理石或者不锈钢电梯门套，混油木饰面防火门、管井门。</w:t>
      </w:r>
    </w:p>
    <w:p>
      <w:pPr>
        <w:spacing w:line="360" w:lineRule="auto"/>
        <w:ind w:firstLine="480" w:firstLineChars="200"/>
        <w:rPr>
          <w:rFonts w:ascii="宋体" w:hAnsi="宋体"/>
          <w:color w:val="auto"/>
          <w:highlight w:val="none"/>
        </w:rPr>
      </w:pPr>
      <w:r>
        <w:rPr>
          <w:rFonts w:hint="eastAsia" w:ascii="宋体" w:hAnsi="宋体"/>
          <w:color w:val="auto"/>
          <w:highlight w:val="none"/>
        </w:rPr>
        <w:t>3.公区地下室做法：铝方通吊顶，墙地面瓷砖，大理石或者不锈钢电梯门套，混油木饰面防火门、管井门。</w:t>
      </w:r>
    </w:p>
    <w:p>
      <w:pPr>
        <w:spacing w:line="360" w:lineRule="auto"/>
        <w:ind w:firstLine="480" w:firstLineChars="200"/>
        <w:rPr>
          <w:rFonts w:ascii="宋体" w:hAnsi="宋体"/>
          <w:color w:val="auto"/>
          <w:highlight w:val="none"/>
        </w:rPr>
      </w:pPr>
      <w:r>
        <w:rPr>
          <w:rFonts w:hint="eastAsia" w:ascii="宋体" w:hAnsi="宋体"/>
          <w:color w:val="auto"/>
          <w:highlight w:val="none"/>
        </w:rPr>
        <w:t>4.架空层做法：地面景观铺装，墙面外墙涂料，顶面铝方通或石膏板吊顶；</w:t>
      </w:r>
    </w:p>
    <w:p>
      <w:pPr>
        <w:spacing w:line="360" w:lineRule="auto"/>
        <w:ind w:firstLine="480" w:firstLineChars="200"/>
        <w:rPr>
          <w:rFonts w:ascii="宋体" w:hAnsi="宋体"/>
          <w:color w:val="auto"/>
          <w:highlight w:val="none"/>
        </w:rPr>
      </w:pPr>
      <w:r>
        <w:rPr>
          <w:rFonts w:hint="eastAsia" w:ascii="宋体" w:hAnsi="宋体"/>
          <w:color w:val="auto"/>
          <w:highlight w:val="none"/>
        </w:rPr>
        <w:t>5.垃圾房做法：水、电、智能化到位，地面及墙裙设置瓷砖</w:t>
      </w:r>
    </w:p>
    <w:p>
      <w:pPr>
        <w:spacing w:line="360" w:lineRule="auto"/>
        <w:ind w:firstLine="480" w:firstLineChars="200"/>
        <w:rPr>
          <w:rFonts w:ascii="宋体" w:hAnsi="宋体"/>
          <w:color w:val="auto"/>
          <w:highlight w:val="none"/>
        </w:rPr>
      </w:pPr>
      <w:r>
        <w:rPr>
          <w:rFonts w:hint="eastAsia" w:ascii="宋体" w:hAnsi="宋体"/>
          <w:color w:val="auto"/>
          <w:highlight w:val="none"/>
        </w:rPr>
        <w:t>6.人才公寓做法：顶面石膏板造型乳胶漆饰面，墙面墙纸或者涂料，地面瓷砖或者木地板，淋浴房地面大理石，卫生间安装淋浴房、台盆柜、镜柜。设备类配置中央空调、弱电系统、开关插座、可视对讲、智能门锁、筒灯、灯带、热水系统，卫生间洁具配置马桶、台盆、龙头、淋浴花洒。</w:t>
      </w:r>
    </w:p>
    <w:p>
      <w:pPr>
        <w:spacing w:line="360" w:lineRule="auto"/>
        <w:ind w:firstLine="480" w:firstLineChars="200"/>
        <w:rPr>
          <w:rFonts w:ascii="宋体" w:hAnsi="宋体"/>
          <w:color w:val="auto"/>
          <w:highlight w:val="none"/>
        </w:rPr>
      </w:pPr>
      <w:r>
        <w:rPr>
          <w:rFonts w:hint="eastAsia" w:ascii="宋体" w:hAnsi="宋体"/>
          <w:color w:val="auto"/>
          <w:highlight w:val="none"/>
        </w:rPr>
        <w:t>7.样板房做法：</w:t>
      </w:r>
    </w:p>
    <w:p>
      <w:pPr>
        <w:spacing w:line="360" w:lineRule="auto"/>
        <w:ind w:firstLine="480" w:firstLineChars="200"/>
        <w:rPr>
          <w:rFonts w:ascii="宋体" w:hAnsi="宋体"/>
          <w:color w:val="auto"/>
          <w:highlight w:val="none"/>
        </w:rPr>
      </w:pPr>
      <w:r>
        <w:rPr>
          <w:rFonts w:hint="eastAsia" w:ascii="宋体" w:hAnsi="宋体"/>
          <w:color w:val="auto"/>
          <w:highlight w:val="none"/>
        </w:rPr>
        <w:t>1）客餐厅：大理石地面，墙纸墙面，局部岩板或者硬包电视背景墙，顶面石膏板造型乳胶漆饰面。</w:t>
      </w:r>
    </w:p>
    <w:p>
      <w:pPr>
        <w:spacing w:line="360" w:lineRule="auto"/>
        <w:ind w:firstLine="480" w:firstLineChars="200"/>
        <w:rPr>
          <w:rFonts w:ascii="宋体" w:hAnsi="宋体"/>
          <w:color w:val="auto"/>
          <w:highlight w:val="none"/>
        </w:rPr>
      </w:pPr>
      <w:r>
        <w:rPr>
          <w:rFonts w:hint="eastAsia" w:ascii="宋体" w:hAnsi="宋体"/>
          <w:color w:val="auto"/>
          <w:highlight w:val="none"/>
        </w:rPr>
        <w:t>2）厨房：墙地面瓷砖，配置橱柜、吊柜，铝扣板吊顶；</w:t>
      </w:r>
    </w:p>
    <w:p>
      <w:pPr>
        <w:spacing w:line="360" w:lineRule="auto"/>
        <w:ind w:firstLine="480" w:firstLineChars="200"/>
        <w:rPr>
          <w:rFonts w:ascii="宋体" w:hAnsi="宋体"/>
          <w:color w:val="auto"/>
          <w:highlight w:val="none"/>
        </w:rPr>
      </w:pPr>
      <w:r>
        <w:rPr>
          <w:rFonts w:hint="eastAsia" w:ascii="宋体" w:hAnsi="宋体"/>
          <w:color w:val="auto"/>
          <w:highlight w:val="none"/>
        </w:rPr>
        <w:t>3）次卧、客卧：地面实木复合地板，墙面墙纸，顶面石膏板造型乳胶漆饰面。</w:t>
      </w:r>
    </w:p>
    <w:p>
      <w:pPr>
        <w:spacing w:line="360" w:lineRule="auto"/>
        <w:ind w:firstLine="480" w:firstLineChars="200"/>
        <w:rPr>
          <w:rFonts w:ascii="宋体" w:hAnsi="宋体"/>
          <w:color w:val="auto"/>
          <w:highlight w:val="none"/>
        </w:rPr>
      </w:pPr>
      <w:r>
        <w:rPr>
          <w:rFonts w:hint="eastAsia" w:ascii="宋体" w:hAnsi="宋体"/>
          <w:color w:val="auto"/>
          <w:highlight w:val="none"/>
        </w:rPr>
        <w:t>4）主卧：地面实木复合地板，墙面墙纸，硬包或者木饰面床背景，顶面石膏板造型乳胶漆饰面。</w:t>
      </w:r>
    </w:p>
    <w:p>
      <w:pPr>
        <w:spacing w:line="360" w:lineRule="auto"/>
        <w:ind w:firstLine="480" w:firstLineChars="200"/>
        <w:rPr>
          <w:rFonts w:ascii="宋体" w:hAnsi="宋体"/>
          <w:color w:val="auto"/>
          <w:highlight w:val="none"/>
        </w:rPr>
      </w:pPr>
      <w:r>
        <w:rPr>
          <w:rFonts w:hint="eastAsia" w:ascii="宋体" w:hAnsi="宋体"/>
          <w:color w:val="auto"/>
          <w:highlight w:val="none"/>
        </w:rPr>
        <w:t>5）公卫：墙地面瓷砖，铝扣板吊顶，淋浴房地面大理石，配置淋浴房、台盆柜，卫生间洁具配置马桶、台盆、龙头、淋浴花洒。</w:t>
      </w:r>
    </w:p>
    <w:p>
      <w:pPr>
        <w:spacing w:line="360" w:lineRule="auto"/>
        <w:ind w:firstLine="480" w:firstLineChars="200"/>
        <w:rPr>
          <w:rFonts w:ascii="宋体" w:hAnsi="宋体"/>
          <w:color w:val="auto"/>
          <w:highlight w:val="none"/>
        </w:rPr>
      </w:pPr>
      <w:r>
        <w:rPr>
          <w:rFonts w:hint="eastAsia" w:ascii="宋体" w:hAnsi="宋体"/>
          <w:color w:val="auto"/>
          <w:highlight w:val="none"/>
        </w:rPr>
        <w:t>6）主卫：墙地面瓷砖，铝扣板吊顶，淋浴房地面大理石，配置淋浴房、台盆柜，卫生间洁具配置马桶、台盆、龙头、淋浴花洒。</w:t>
      </w:r>
    </w:p>
    <w:p>
      <w:pPr>
        <w:spacing w:line="360" w:lineRule="auto"/>
        <w:ind w:firstLine="480" w:firstLineChars="200"/>
        <w:rPr>
          <w:rFonts w:ascii="宋体" w:hAnsi="宋体"/>
          <w:color w:val="auto"/>
          <w:highlight w:val="none"/>
        </w:rPr>
      </w:pPr>
      <w:r>
        <w:rPr>
          <w:rFonts w:hint="eastAsia" w:ascii="宋体" w:hAnsi="宋体"/>
          <w:color w:val="auto"/>
          <w:highlight w:val="none"/>
        </w:rPr>
        <w:t>7）阳台：地面瓷砖,墙面外墙涂料，顶面铝扣板，配置阳台柜吊柜。</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8）安装系统：配置中央空调（美的、格力等）、空气能热水器（美的、海尔等）、厨房配置消毒柜、油烟机、燃气灶（博世或者西门子），配置水槽及水槽龙头（摩恩或者欧琳），卫生间配置台盆、台盆龙头、马桶、淋浴花洒（TOTO或者唯宝、汉斯格雅），可视对接（立林同等品牌），筒灯、灯带、开关插座。</w:t>
      </w:r>
    </w:p>
    <w:p>
      <w:pPr>
        <w:spacing w:line="360" w:lineRule="auto"/>
        <w:ind w:firstLine="480" w:firstLineChars="200"/>
        <w:rPr>
          <w:rFonts w:hint="eastAsia" w:ascii="宋体" w:hAnsi="宋体" w:eastAsia="宋体" w:cs="Times New Roman"/>
          <w:color w:val="auto"/>
          <w:highlight w:val="none"/>
        </w:rPr>
      </w:pPr>
      <w:r>
        <w:rPr>
          <w:rFonts w:hint="eastAsia"/>
          <w:color w:val="auto"/>
          <w:highlight w:val="none"/>
          <w:lang w:val="en-US" w:eastAsia="zh-CN"/>
        </w:rPr>
        <w:t>9）</w:t>
      </w:r>
      <w:r>
        <w:rPr>
          <w:rFonts w:hint="eastAsia" w:ascii="宋体" w:hAnsi="宋体" w:eastAsia="宋体" w:cs="Times New Roman"/>
          <w:color w:val="auto"/>
          <w:highlight w:val="none"/>
          <w:lang w:val="en-US" w:eastAsia="zh-CN"/>
        </w:rPr>
        <w:t>软装范围如下：样板房及公区大堂的软装设计及安装施工。设计及施工要求满足发包人对于安全、质量、进度、效果、成品保护、卫生保洁、质保等要求。深化设计需经过方案设计、施工图阶段，向发包人提供相应成果，成果包括但不限于图纸、效果图、配置清单等。经发包人审核后实施。</w:t>
      </w:r>
      <w:r>
        <w:rPr>
          <w:rFonts w:hint="eastAsia" w:ascii="宋体" w:hAnsi="宋体" w:eastAsia="宋体" w:cs="Times New Roman"/>
          <w:color w:val="auto"/>
          <w:highlight w:val="none"/>
        </w:rPr>
        <w:t>按照甲方确认的图纸和样板验收。乙方向甲方提供未经使用的全新设备，且应符合国家、行业、地方和企业的相关标准、规范。</w:t>
      </w:r>
    </w:p>
    <w:p>
      <w:pPr>
        <w:numPr>
          <w:ilvl w:val="0"/>
          <w:numId w:val="20"/>
        </w:numPr>
        <w:spacing w:line="360" w:lineRule="auto"/>
        <w:ind w:firstLine="480" w:firstLineChars="200"/>
        <w:rPr>
          <w:rFonts w:ascii="宋体" w:hAnsi="宋体" w:cs="宋体"/>
          <w:color w:val="auto"/>
          <w:highlight w:val="none"/>
        </w:rPr>
      </w:pPr>
      <w:r>
        <w:rPr>
          <w:rFonts w:hint="eastAsia" w:ascii="宋体" w:hAnsi="宋体" w:cs="宋体"/>
          <w:color w:val="auto"/>
          <w:highlight w:val="none"/>
        </w:rPr>
        <w:t>景观工程：</w:t>
      </w:r>
    </w:p>
    <w:p>
      <w:pPr>
        <w:pStyle w:val="17"/>
        <w:ind w:firstLine="480" w:firstLineChars="200"/>
        <w:jc w:val="both"/>
        <w:rPr>
          <w:rFonts w:ascii="宋体" w:hAnsi="宋体"/>
          <w:color w:val="auto"/>
          <w:highlight w:val="none"/>
        </w:rPr>
      </w:pPr>
      <w:r>
        <w:rPr>
          <w:rFonts w:hint="eastAsia" w:ascii="宋体" w:hAnsi="宋体"/>
          <w:color w:val="auto"/>
          <w:highlight w:val="none"/>
        </w:rPr>
        <w:t>1.景观范围如下：1）红线内景观及绿化设计及施工；2）代征绿地绿化设计及施工；3）规划绿地绿化设计及施工；4）架空层景观设计及施工；5）部分空中廊道（范围详招标文件附件）除结构外表层装饰设计及施工。设计及施工要求满足规划条件、规范、地方标准及发包人对于安全、质量、进度、效果要求等。</w:t>
      </w:r>
    </w:p>
    <w:p>
      <w:pPr>
        <w:pStyle w:val="17"/>
        <w:ind w:firstLine="480" w:firstLineChars="200"/>
        <w:jc w:val="both"/>
        <w:rPr>
          <w:rFonts w:ascii="宋体" w:hAnsi="宋体"/>
          <w:color w:val="auto"/>
          <w:highlight w:val="none"/>
        </w:rPr>
      </w:pPr>
      <w:r>
        <w:rPr>
          <w:rFonts w:hint="eastAsia" w:ascii="宋体" w:hAnsi="宋体"/>
          <w:color w:val="auto"/>
          <w:highlight w:val="none"/>
        </w:rPr>
        <w:t>2.深化设计需经过概念方案阶段、扩初设计（含软硬景设计）、施工图阶段，分阶段向发包人提供相应成果，成果包括但不限于图纸、效果图、概算表、苗木表、配置清单等。经发包人审核后实施。</w:t>
      </w:r>
    </w:p>
    <w:p>
      <w:pPr>
        <w:pStyle w:val="17"/>
        <w:ind w:firstLine="480" w:firstLineChars="200"/>
        <w:jc w:val="both"/>
        <w:rPr>
          <w:rFonts w:ascii="宋体" w:hAnsi="宋体"/>
          <w:color w:val="auto"/>
          <w:highlight w:val="none"/>
        </w:rPr>
      </w:pPr>
      <w:r>
        <w:rPr>
          <w:rFonts w:hint="eastAsia" w:ascii="宋体" w:hAnsi="宋体"/>
          <w:color w:val="auto"/>
          <w:highlight w:val="none"/>
        </w:rPr>
        <w:t>3.投标人需应配合发包人完成设计图纸报批、图纸会审、验收、进档等事宜。</w:t>
      </w:r>
    </w:p>
    <w:p>
      <w:pPr>
        <w:pStyle w:val="17"/>
        <w:ind w:firstLine="480" w:firstLineChars="200"/>
        <w:jc w:val="both"/>
        <w:rPr>
          <w:rFonts w:ascii="宋体" w:hAnsi="宋体"/>
          <w:color w:val="auto"/>
          <w:highlight w:val="none"/>
        </w:rPr>
      </w:pPr>
      <w:r>
        <w:rPr>
          <w:rFonts w:hint="eastAsia" w:ascii="宋体" w:hAnsi="宋体"/>
          <w:color w:val="auto"/>
          <w:highlight w:val="none"/>
        </w:rPr>
        <w:t>4.深化设计应与概算限额相契合。</w:t>
      </w:r>
    </w:p>
    <w:p>
      <w:pPr>
        <w:numPr>
          <w:ilvl w:val="0"/>
          <w:numId w:val="20"/>
        </w:numPr>
        <w:spacing w:line="360" w:lineRule="auto"/>
        <w:ind w:firstLine="480" w:firstLineChars="200"/>
        <w:rPr>
          <w:rFonts w:ascii="宋体" w:hAnsi="宋体" w:cs="宋体"/>
          <w:color w:val="auto"/>
          <w:highlight w:val="none"/>
        </w:rPr>
      </w:pPr>
      <w:r>
        <w:rPr>
          <w:rFonts w:hint="eastAsia" w:ascii="宋体" w:hAnsi="宋体" w:cs="宋体"/>
          <w:color w:val="auto"/>
          <w:highlight w:val="none"/>
        </w:rPr>
        <w:t>智能化工程</w:t>
      </w:r>
    </w:p>
    <w:p>
      <w:pPr>
        <w:pStyle w:val="17"/>
        <w:ind w:firstLine="480" w:firstLineChars="200"/>
        <w:jc w:val="left"/>
        <w:rPr>
          <w:color w:val="auto"/>
          <w:highlight w:val="none"/>
        </w:rPr>
      </w:pPr>
      <w:r>
        <w:rPr>
          <w:rFonts w:hint="eastAsia"/>
          <w:color w:val="auto"/>
          <w:highlight w:val="none"/>
        </w:rPr>
        <w:t>1.智能化配置范围如下：未来社区场景落地平台搭建、视频监控系统、可视对讲系统、门禁系统、背景音乐系统、车库管理系统、入侵报警系统、电子巡更系统、综合布线系统、大屏幕系统。设计及施工要求满足规划条件、规范、地方标准及发包人对于安全、质量、进度、效果要求等。</w:t>
      </w:r>
    </w:p>
    <w:p>
      <w:pPr>
        <w:pStyle w:val="17"/>
        <w:ind w:firstLine="480" w:firstLineChars="200"/>
        <w:jc w:val="left"/>
        <w:rPr>
          <w:color w:val="auto"/>
          <w:highlight w:val="none"/>
        </w:rPr>
      </w:pPr>
      <w:r>
        <w:rPr>
          <w:rFonts w:hint="eastAsia"/>
          <w:color w:val="auto"/>
          <w:highlight w:val="none"/>
        </w:rPr>
        <w:t>2.深化设计需经过概念方案阶段、扩初设计、施工图阶段，分阶段向发包人提供相应成果。经发包人审核后实施。</w:t>
      </w:r>
    </w:p>
    <w:p>
      <w:pPr>
        <w:pStyle w:val="17"/>
        <w:ind w:firstLine="480" w:firstLineChars="200"/>
        <w:jc w:val="left"/>
        <w:rPr>
          <w:color w:val="auto"/>
          <w:highlight w:val="none"/>
        </w:rPr>
      </w:pPr>
      <w:r>
        <w:rPr>
          <w:rFonts w:hint="eastAsia"/>
          <w:color w:val="auto"/>
          <w:highlight w:val="none"/>
        </w:rPr>
        <w:t>3.投标人需应配合发包人完成设计图纸报批、图纸会审、验收、进档等事宜。</w:t>
      </w:r>
    </w:p>
    <w:p>
      <w:pPr>
        <w:pStyle w:val="17"/>
        <w:ind w:firstLine="480" w:firstLineChars="200"/>
        <w:jc w:val="left"/>
        <w:rPr>
          <w:rFonts w:hint="eastAsia"/>
          <w:color w:val="auto"/>
          <w:highlight w:val="none"/>
        </w:rPr>
      </w:pPr>
      <w:r>
        <w:rPr>
          <w:rFonts w:hint="eastAsia"/>
          <w:color w:val="auto"/>
          <w:highlight w:val="none"/>
        </w:rPr>
        <w:t>4.深化设计应与概算限额相契合。</w:t>
      </w:r>
    </w:p>
    <w:p>
      <w:pPr>
        <w:numPr>
          <w:ilvl w:val="0"/>
          <w:numId w:val="20"/>
        </w:numPr>
        <w:spacing w:line="360" w:lineRule="auto"/>
        <w:ind w:firstLine="480" w:firstLineChars="200"/>
        <w:rPr>
          <w:rFonts w:ascii="宋体" w:hAnsi="宋体" w:cs="宋体"/>
          <w:color w:val="auto"/>
          <w:highlight w:val="none"/>
        </w:rPr>
      </w:pPr>
      <w:r>
        <w:rPr>
          <w:rFonts w:hint="eastAsia" w:ascii="宋体" w:hAnsi="宋体" w:cs="宋体"/>
          <w:color w:val="auto"/>
          <w:highlight w:val="none"/>
        </w:rPr>
        <w:t>其他管理要求</w:t>
      </w:r>
    </w:p>
    <w:bookmarkEnd w:id="250"/>
    <w:p>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本项目主要材料、设备的约定，详见附件1《主要材料、设备要求一览表》</w:t>
      </w:r>
    </w:p>
    <w:p>
      <w:pPr>
        <w:widowControl/>
        <w:autoSpaceDE/>
        <w:autoSpaceDN/>
        <w:adjustRightInd/>
        <w:ind w:firstLine="600"/>
        <w:jc w:val="left"/>
        <w:rPr>
          <w:rFonts w:hint="eastAsia" w:ascii="仿宋_GB2312" w:eastAsia="仿宋_GB2312" w:cs="Times New Roman"/>
          <w:color w:val="auto"/>
          <w:sz w:val="28"/>
          <w:szCs w:val="28"/>
          <w:highlight w:val="none"/>
        </w:rPr>
      </w:pPr>
      <w:r>
        <w:rPr>
          <w:rFonts w:hint="eastAsia" w:ascii="仿宋_GB2312" w:eastAsia="仿宋_GB2312" w:cs="Times New Roman"/>
          <w:color w:val="auto"/>
          <w:sz w:val="28"/>
          <w:szCs w:val="28"/>
          <w:highlight w:val="none"/>
        </w:rPr>
        <w:br w:type="page"/>
      </w:r>
    </w:p>
    <w:p>
      <w:pPr>
        <w:widowControl/>
        <w:spacing w:line="360" w:lineRule="auto"/>
        <w:jc w:val="both"/>
        <w:rPr>
          <w:color w:val="auto"/>
          <w:highlight w:val="none"/>
        </w:rPr>
      </w:pPr>
      <w:r>
        <w:rPr>
          <w:rFonts w:hint="eastAsia"/>
          <w:color w:val="auto"/>
          <w:highlight w:val="none"/>
        </w:rPr>
        <w:t xml:space="preserve">附件1 </w:t>
      </w:r>
    </w:p>
    <w:p>
      <w:pPr>
        <w:widowControl/>
        <w:spacing w:line="360" w:lineRule="auto"/>
        <w:jc w:val="both"/>
        <w:rPr>
          <w:color w:val="auto"/>
          <w:sz w:val="30"/>
          <w:szCs w:val="30"/>
          <w:highlight w:val="none"/>
        </w:rPr>
      </w:pPr>
      <w:r>
        <w:rPr>
          <w:rFonts w:hint="eastAsia" w:ascii="宋体" w:hAnsi="宋体" w:cs="宋体"/>
          <w:b/>
          <w:bCs/>
          <w:color w:val="auto"/>
          <w:sz w:val="30"/>
          <w:szCs w:val="30"/>
          <w:highlight w:val="none"/>
        </w:rPr>
        <w:t>主要材料、设备要求一览表</w:t>
      </w:r>
    </w:p>
    <w:tbl>
      <w:tblPr>
        <w:tblStyle w:val="19"/>
        <w:tblW w:w="0" w:type="auto"/>
        <w:tblInd w:w="0" w:type="dxa"/>
        <w:tblLayout w:type="fixed"/>
        <w:tblCellMar>
          <w:top w:w="15" w:type="dxa"/>
          <w:left w:w="15" w:type="dxa"/>
          <w:bottom w:w="15" w:type="dxa"/>
          <w:right w:w="15" w:type="dxa"/>
        </w:tblCellMar>
      </w:tblPr>
      <w:tblGrid>
        <w:gridCol w:w="574"/>
        <w:gridCol w:w="1568"/>
        <w:gridCol w:w="3543"/>
        <w:gridCol w:w="1701"/>
        <w:gridCol w:w="1134"/>
      </w:tblGrid>
      <w:tr>
        <w:tblPrEx>
          <w:tblCellMar>
            <w:top w:w="15" w:type="dxa"/>
            <w:left w:w="15" w:type="dxa"/>
            <w:bottom w:w="15" w:type="dxa"/>
            <w:right w:w="15" w:type="dxa"/>
          </w:tblCellMar>
        </w:tblPrEx>
        <w:trPr>
          <w:trHeight w:val="63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序</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val="zh-CN"/>
              </w:rPr>
            </w:pPr>
            <w:r>
              <w:rPr>
                <w:rFonts w:hint="eastAsia" w:ascii="宋体" w:hAnsi="宋体" w:cs="宋体"/>
                <w:color w:val="auto"/>
                <w:sz w:val="21"/>
                <w:szCs w:val="21"/>
                <w:highlight w:val="none"/>
              </w:rPr>
              <w:t>材料名称</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val="zh-CN"/>
              </w:rPr>
            </w:pPr>
            <w:r>
              <w:rPr>
                <w:rFonts w:hint="eastAsia" w:ascii="宋体" w:hAnsi="宋体" w:cs="宋体"/>
                <w:color w:val="auto"/>
                <w:sz w:val="21"/>
                <w:szCs w:val="21"/>
                <w:highlight w:val="none"/>
              </w:rPr>
              <w:t>参照（或相当于）品牌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投标选用</w:t>
            </w:r>
          </w:p>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品牌</w:t>
            </w: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备注</w:t>
            </w:r>
          </w:p>
        </w:tc>
      </w:tr>
      <w:tr>
        <w:tblPrEx>
          <w:tblCellMar>
            <w:top w:w="15" w:type="dxa"/>
            <w:left w:w="15" w:type="dxa"/>
            <w:bottom w:w="15" w:type="dxa"/>
            <w:right w:w="15" w:type="dxa"/>
          </w:tblCellMar>
        </w:tblPrEx>
        <w:trPr>
          <w:trHeight w:val="14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防水卷材/防水涂料</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江苏凯伦、辽宁大禹、山东宏源、科顺防水、广东鼎新、东方雨虹、山东大明、北新禹王、春明防水、赛柏斯、蓝盾、永佳、固象、沃弗</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4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保温砂浆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泰富龙、荣山、建特节能、升宝、绿箭、大森、欣阳、臣功、百安居、瑞锦、湖州绿强、衡庄</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岩棉板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江苏凤牌、上海樱花、山东鲁阳、河北万高</w:t>
            </w:r>
            <w:r>
              <w:rPr>
                <w:rFonts w:hint="eastAsia" w:ascii="宋体" w:hAnsi="宋体" w:cs="宋体"/>
                <w:color w:val="auto"/>
                <w:sz w:val="21"/>
                <w:szCs w:val="21"/>
                <w:highlight w:val="none"/>
                <w:lang w:eastAsia="zh-Hans" w:bidi="ar"/>
              </w:rPr>
              <w:t>、烻炜</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铝合金型材（含百叶）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鸿昌铝业、浙江栋梁、米皇铝业、凤铝铝业、豪美、华钇新材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437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玻璃</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上海耀皮、深圳南玻、江苏台玻、杭州杭玻、信义玻璃</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玻璃必须原厂、原片，同时要求先钢化，后镀膜，玻璃原片和深加工（包含但不限于玻璃的切片、磨边、钢化、夹层、镀膜、合中空等全部工序）均应在同一厂区内完成</w:t>
            </w: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铝合金五金配件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香港立新、广州坚朗、浙江春光、兴三星</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地弹簧</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广东雅洁、上海GMT、广东坚朗、皇冠</w:t>
            </w:r>
            <w:r>
              <w:rPr>
                <w:rFonts w:hint="eastAsia" w:ascii="宋体" w:hAnsi="宋体" w:cs="宋体"/>
                <w:color w:val="auto"/>
                <w:sz w:val="21"/>
                <w:szCs w:val="21"/>
                <w:highlight w:val="none"/>
                <w:lang w:eastAsia="zh-Hans" w:bidi="ar"/>
              </w:rPr>
              <w:t>、</w:t>
            </w:r>
            <w:r>
              <w:rPr>
                <w:rFonts w:hint="eastAsia" w:ascii="宋体" w:hAnsi="宋体" w:cs="宋体"/>
                <w:color w:val="auto"/>
                <w:sz w:val="21"/>
                <w:szCs w:val="21"/>
                <w:highlight w:val="none"/>
                <w:lang w:bidi="ar"/>
              </w:rPr>
              <w:t>兴三星</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7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结构胶和耐候密封胶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硅宝、杭州之江、广州白云、宏英</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6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外墙涂料（真石漆）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杭州世爵、亚士漆、浙江永固为华、绿威箭、宝佳丽、三棵树、菲尔卡斯、特丽宇、多乐士、传化、立邦</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防霉涂料</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杭州世爵、亚士漆、宝佳丽、三棵树、立邦、多乐士、传化</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无机涂料</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杭州世爵、亚士漆、宝佳丽、三棵树、立邦、多乐士、传化、立邦</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防火门（含进户门）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王力、富丽华、钱江、群升、申瑞、新多、蓝</w:t>
            </w:r>
            <w:r>
              <w:rPr>
                <w:rFonts w:hint="eastAsia" w:ascii="宋体" w:hAnsi="宋体" w:eastAsia="宋体" w:cs="宋体"/>
                <w:color w:val="auto"/>
                <w:sz w:val="21"/>
                <w:szCs w:val="21"/>
                <w:highlight w:val="none"/>
                <w:lang w:bidi="ar"/>
              </w:rPr>
              <w:t>盾</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杭采</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铝板（穿孔铝板）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浙江墙煌、江苏金近、恒美、安徽辰航、吉祥</w:t>
            </w:r>
            <w:r>
              <w:rPr>
                <w:rFonts w:hint="eastAsia" w:ascii="宋体" w:hAnsi="宋体" w:cs="宋体"/>
                <w:color w:val="auto"/>
                <w:sz w:val="21"/>
                <w:szCs w:val="21"/>
                <w:highlight w:val="none"/>
                <w:lang w:eastAsia="zh-CN" w:bidi="ar"/>
              </w:rPr>
              <w:t>、华钇新材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吸声板内墙</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苏州林轩、星牌优时吉、可耐福、帝龙</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270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钢材</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val="zh-CN" w:bidi="ar"/>
              </w:rPr>
              <w:t>中天钢铁集团有限公司、江苏永钢集团有限公司、江苏沙钢集团有限公司、芜湖新兴铸管股份有限公司、盐城市联鑫钢铁有限公司、无锡新三洲特钢有限公司、江苏省镔鑫钢铁集团有限公司、江苏鸿泰钢铁有限公司、</w:t>
            </w:r>
            <w:r>
              <w:rPr>
                <w:rFonts w:hint="eastAsia" w:ascii="宋体" w:hAnsi="宋体" w:cs="宋体"/>
                <w:color w:val="auto"/>
                <w:sz w:val="21"/>
                <w:szCs w:val="21"/>
                <w:highlight w:val="none"/>
                <w:lang w:bidi="ar"/>
              </w:rPr>
              <w:t>江西萍钢实业股份有限公司、杭州钢铁集团有限公司、江阴市西城钢铁有限公司、安徽宏泰钢铁有限公司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701"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商品混凝土</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湖州众驰建材、湖州南太湖新材科技有限责任公司、浙江湖州市建工集团商品混凝土构件有限公司、湖州雀立混凝土制品有限公司、湖州雀联混凝土制品有限公司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2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PC构件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中建科技（湖州）有限公司、苏州图鸿建筑科技有限公司、湖州明煜建筑科技有限公司</w:t>
            </w:r>
            <w:r>
              <w:rPr>
                <w:rFonts w:hint="eastAsia" w:ascii="宋体" w:hAnsi="宋体" w:cs="宋体"/>
                <w:color w:val="auto"/>
                <w:sz w:val="21"/>
                <w:szCs w:val="21"/>
                <w:highlight w:val="none"/>
                <w:lang w:val="zh-CN" w:bidi="ar"/>
              </w:rPr>
              <w:t>、</w:t>
            </w:r>
            <w:r>
              <w:rPr>
                <w:rFonts w:ascii="宋体" w:hAnsi="宋体" w:cs="宋体"/>
                <w:color w:val="auto"/>
                <w:sz w:val="21"/>
                <w:szCs w:val="21"/>
                <w:highlight w:val="none"/>
                <w:lang w:val="zh-CN" w:bidi="ar"/>
              </w:rPr>
              <w:t>远大</w:t>
            </w:r>
            <w:r>
              <w:rPr>
                <w:rFonts w:hint="eastAsia" w:ascii="宋体" w:hAnsi="宋体" w:cs="宋体"/>
                <w:color w:val="auto"/>
                <w:sz w:val="21"/>
                <w:szCs w:val="21"/>
                <w:highlight w:val="none"/>
                <w:lang w:val="zh-CN" w:bidi="ar"/>
              </w:rPr>
              <w:t>、</w:t>
            </w:r>
            <w:r>
              <w:rPr>
                <w:rFonts w:ascii="宋体" w:hAnsi="宋体" w:cs="宋体"/>
                <w:color w:val="auto"/>
                <w:sz w:val="21"/>
                <w:szCs w:val="21"/>
                <w:highlight w:val="none"/>
                <w:lang w:val="zh-CN" w:bidi="ar"/>
              </w:rPr>
              <w:t>中民筑友</w:t>
            </w:r>
            <w:r>
              <w:rPr>
                <w:rFonts w:hint="eastAsia" w:ascii="宋体" w:hAnsi="宋体" w:cs="宋体"/>
                <w:color w:val="auto"/>
                <w:sz w:val="21"/>
                <w:szCs w:val="21"/>
                <w:highlight w:val="none"/>
                <w:lang w:val="zh-CN" w:bidi="ar"/>
              </w:rPr>
              <w:t>、</w:t>
            </w:r>
            <w:r>
              <w:rPr>
                <w:rFonts w:ascii="宋体" w:hAnsi="宋体" w:cs="宋体"/>
                <w:color w:val="auto"/>
                <w:sz w:val="21"/>
                <w:szCs w:val="21"/>
                <w:highlight w:val="none"/>
                <w:lang w:val="zh-CN" w:bidi="ar"/>
              </w:rPr>
              <w:t>耀华</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墙砖、地砖</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东鹏、嘉俊、马可波罗、冠珠、金意陶、诺宝、箭牌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PVC地板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保利、得嘉、北新</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48"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lang w:bidi="ar"/>
              </w:rPr>
            </w:pPr>
            <w:r>
              <w:rPr>
                <w:rFonts w:hint="eastAsia" w:ascii="宋体" w:hAnsi="宋体" w:cs="宋体"/>
                <w:color w:val="auto"/>
                <w:sz w:val="22"/>
                <w:szCs w:val="22"/>
                <w:highlight w:val="none"/>
                <w:lang w:bidi="ar"/>
              </w:rPr>
              <w:t>20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木地板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森林之星、世友地板、久盛地板、大自然地板、</w:t>
            </w:r>
            <w:r>
              <w:rPr>
                <w:rFonts w:hint="eastAsia" w:ascii="宋体" w:hAnsi="宋体" w:eastAsia="宋体" w:cs="宋体"/>
                <w:color w:val="auto"/>
                <w:sz w:val="21"/>
                <w:szCs w:val="21"/>
                <w:highlight w:val="none"/>
                <w:lang w:bidi="ar"/>
              </w:rPr>
              <w:t>莫干山 、生活家 、悦景阁</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lang w:bidi="ar"/>
              </w:rPr>
            </w:pPr>
            <w:r>
              <w:rPr>
                <w:rFonts w:hint="eastAsia" w:ascii="宋体" w:hAnsi="宋体" w:cs="宋体"/>
                <w:color w:val="auto"/>
                <w:sz w:val="22"/>
                <w:szCs w:val="22"/>
                <w:highlight w:val="none"/>
                <w:lang w:bidi="ar"/>
              </w:rPr>
              <w:t>21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卫生间隔断板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杭州沙特威、杭州日信、杭州鼎亚、广州巴力</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1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强电电线、电缆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江苏广汇、杭州中策、湖州久盛、湖州龙鹰、浙江万马</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50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弱电电线，电缆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深圳市秋叶原实业有限公司、普天通信集团有限公司、宁波韩电、天诚智能集团、江苏金翔线缆有限公司、爱普华顿、春天、联通</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49"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灯具（吸顶节能灯、防水防尘灯、荧光灯等）</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阳光、欧普、三雄极光、JOM-嘉美、万鑫、伟炘、恩佐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43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疏散指示灯、安全出口、应急电源</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color w:val="auto"/>
                <w:highlight w:val="none"/>
              </w:rPr>
              <w:fldChar w:fldCharType="begin"/>
            </w:r>
            <w:r>
              <w:rPr>
                <w:color w:val="auto"/>
                <w:highlight w:val="none"/>
              </w:rPr>
              <w:instrText xml:space="preserve"> HYPERLINK "http://www.so.com/link?m=aeKb57PAW4roMof+FJXf7lLccZMIcK8owR1UazXRswW/OITn9SfhMlPTrhGGfZ/rcaL3v7rGsjQydB6NvfSMShdtteW1NPV7aHBfBpprP8H0=https://www.so.com/_blank" \o "http://www.so.com/link?m=aeKb57PAW4roMof+FJXf7lLccZMIcK8owR1UazXRswW/OITn9SfhMlPTrhGGfZ/rcaL3v7rGsjQydB6NvfSMShdtteW1NPV7aHBfBpprP8H0=https://www.so.com/_blank" </w:instrText>
            </w:r>
            <w:r>
              <w:rPr>
                <w:color w:val="auto"/>
                <w:highlight w:val="none"/>
              </w:rPr>
              <w:fldChar w:fldCharType="separate"/>
            </w:r>
            <w:r>
              <w:rPr>
                <w:rFonts w:hint="eastAsia" w:ascii="宋体" w:hAnsi="宋体" w:cs="宋体"/>
                <w:color w:val="auto"/>
                <w:sz w:val="21"/>
                <w:szCs w:val="21"/>
                <w:highlight w:val="none"/>
                <w:lang w:bidi="ar"/>
              </w:rPr>
              <w:t>广东振辉消防科技有限公司、浙江台谊消防设备有限公司、浙江乐思达消防电器有限公司、金华瑞辉照明电器有限公司、广东嘉美</w:t>
            </w:r>
            <w:r>
              <w:rPr>
                <w:rFonts w:hint="eastAsia" w:ascii="宋体" w:hAnsi="宋体" w:cs="宋体"/>
                <w:color w:val="auto"/>
                <w:sz w:val="21"/>
                <w:szCs w:val="21"/>
                <w:highlight w:val="none"/>
                <w:lang w:bidi="ar"/>
              </w:rPr>
              <w:fldChar w:fldCharType="end"/>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30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配电箱、配电柜内元器件，具体系列、型号参照电气系统图</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施耐德、ABB、西门子、良信</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2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开关、插座</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正泰、施耐德、德力西、鸿雁、菲驰、罗格朗、西门子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热镀锌桥架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索茂特、上海鑫马、浙江浩翔、远大、浙江博天、浙江高得汇</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抗震支架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安固士、奇佩、优力可、江苏迅杰、杭州力图、湖南力衡、浙江巨齿鲨</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38"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PVC电线管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金德管业、爱康-保利、伟星管业、中财、公元</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4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消防报警设备</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上海松江、无锡蓝天、海湾、北大青鸟、成都鑫豪斯、四川久远、泛海三江、海康威视</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6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消防报警设备、电气火灾监控系统、防火门监控系统、消防电源监控系统</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崇正电气、北大青鸟、海湾、鑫豪斯、四川久远、泛海三江</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28"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成套消防栓箱，灭火器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杭州信达消防、杭州之江消防、上海金盾消防、上海瑞泰消防、广东胜捷消防</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71"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七氟丙烷系统</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杭州信达消防、杭州之江消防、上海金盾消防、上海瑞泰消防、广东胜捷消防、新纪元</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高压细水雾泵组</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上海金盾消防、英国浩酷、上海万安达民信、合肥科大立安</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6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风机、风口、调节阀（风机控制箱厂家配套供应）</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浙江上虞上风、浙江双阳、浙江当代、浙江上虞上星、浙江上达</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49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防火卷帘、挡烟垂壁</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杭州莱曼消防科技有限公司、杭州新欣门业有限公司、杭州富阳亚泰防火门有限公司、杭州蓝盾防火卷帘有限公司、浙江龙盾</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8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镀锌钢管、衬塑钢管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上海市劳动钢管厂、金洲管道、上海宝钢集团有限公司、华岐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95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PP-R上水管、U-PVC排水管、螺旋消音管、雨水管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爱康-保利、伟星管业、中财、公元</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6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沟槽式配件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上海瑞孚管路系统有限公司、济南玖德铸造有限公司（迈克）、南京永金管业有限公司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7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压力管软接头</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上海久福减震器有限公司、上海松江减震器厂、马鞍山宏力橡胶制品有限公司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压力传感器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E+H原装进口、ABB、罗斯蒙特3051系列</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2008"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消防</w:t>
            </w:r>
            <w:r>
              <w:rPr>
                <w:rFonts w:hint="eastAsia" w:ascii="宋体" w:hAnsi="宋体" w:cs="宋体"/>
                <w:color w:val="auto"/>
                <w:sz w:val="21"/>
                <w:szCs w:val="21"/>
                <w:highlight w:val="none"/>
                <w:lang w:val="zh-CN" w:bidi="ar"/>
              </w:rPr>
              <w:t>水泵、</w:t>
            </w:r>
            <w:r>
              <w:rPr>
                <w:rFonts w:hint="eastAsia" w:ascii="宋体" w:hAnsi="宋体" w:cs="宋体"/>
                <w:color w:val="auto"/>
                <w:sz w:val="21"/>
                <w:szCs w:val="21"/>
                <w:highlight w:val="none"/>
                <w:lang w:bidi="ar"/>
              </w:rPr>
              <w:t>排污泵</w:t>
            </w:r>
            <w:r>
              <w:rPr>
                <w:rFonts w:hint="eastAsia" w:ascii="宋体" w:hAnsi="宋体" w:cs="宋体"/>
                <w:color w:val="auto"/>
                <w:sz w:val="21"/>
                <w:szCs w:val="21"/>
                <w:highlight w:val="none"/>
                <w:lang w:val="zh-CN" w:bidi="ar"/>
              </w:rPr>
              <w:t>（各类泵</w:t>
            </w:r>
            <w:r>
              <w:rPr>
                <w:rFonts w:hint="eastAsia" w:ascii="宋体" w:hAnsi="宋体" w:cs="宋体"/>
                <w:color w:val="auto"/>
                <w:sz w:val="21"/>
                <w:szCs w:val="21"/>
                <w:highlight w:val="none"/>
                <w:lang w:bidi="ar"/>
              </w:rPr>
              <w:t>的</w:t>
            </w:r>
            <w:r>
              <w:rPr>
                <w:rFonts w:hint="eastAsia" w:ascii="宋体" w:hAnsi="宋体" w:cs="宋体"/>
                <w:color w:val="auto"/>
                <w:sz w:val="21"/>
                <w:szCs w:val="21"/>
                <w:highlight w:val="none"/>
                <w:lang w:val="zh-CN" w:bidi="ar"/>
              </w:rPr>
              <w:t>控制箱（柜）要求厂家配套供应，</w:t>
            </w:r>
            <w:r>
              <w:rPr>
                <w:rFonts w:hint="eastAsia" w:ascii="宋体" w:hAnsi="宋体" w:cs="宋体"/>
                <w:color w:val="auto"/>
                <w:sz w:val="21"/>
                <w:szCs w:val="21"/>
                <w:highlight w:val="none"/>
                <w:lang w:bidi="ar"/>
              </w:rPr>
              <w:t>控制箱内的电气元器件参考配电箱电气元器件技术参数</w:t>
            </w:r>
            <w:r>
              <w:rPr>
                <w:rFonts w:hint="eastAsia" w:ascii="宋体" w:hAnsi="宋体" w:cs="宋体"/>
                <w:color w:val="auto"/>
                <w:sz w:val="21"/>
                <w:szCs w:val="21"/>
                <w:highlight w:val="none"/>
                <w:lang w:val="zh-CN" w:bidi="ar"/>
              </w:rPr>
              <w:t>）</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上海熊猫、</w:t>
            </w:r>
            <w:r>
              <w:rPr>
                <w:rFonts w:hint="eastAsia" w:ascii="宋体" w:hAnsi="宋体" w:cs="宋体"/>
                <w:color w:val="auto"/>
                <w:sz w:val="21"/>
                <w:szCs w:val="21"/>
                <w:highlight w:val="none"/>
                <w:lang w:bidi="ar"/>
              </w:rPr>
              <w:t>山东双轮</w:t>
            </w:r>
            <w:r>
              <w:rPr>
                <w:rFonts w:hint="eastAsia" w:ascii="宋体" w:hAnsi="宋体" w:cs="宋体"/>
                <w:color w:val="auto"/>
                <w:sz w:val="21"/>
                <w:szCs w:val="21"/>
                <w:highlight w:val="none"/>
                <w:lang w:val="zh-CN" w:bidi="ar"/>
              </w:rPr>
              <w:t>、南方泵业</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58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不锈钢多级泵</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格兰富水泵（苏州）有限公司的格兰富（GRUNDFOS）牌、威乐（中国）水泵系统有限公司的威乐（WLLO）牌、苏州滨特尔水处理有限公司滨特尔（PENTAIR）牌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阀门-消防、排水</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宁波杰克龙、宁波埃美柯、上海冠龙、春江</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45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阀门-生活热水、给水（阀门的阀芯采用不锈钢阀芯）</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上海冠龙阀门机械有限公司的冠龙（KARON）牌、AVK阀门（安徽）有限公司、阀安格水处理系统（太仓）有限公司VAG牌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7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47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分户减压阀</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上海冠龙、多若特、卡莱菲、埃美柯</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409"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球墨铸铁管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val="zh-CN" w:bidi="ar"/>
              </w:rPr>
              <w:t>新兴铸管股份有限公司 、安钢集团永通球墨铸铁管有限责任公司、(穆松桥)圣戈班管道系统有限公司、</w:t>
            </w:r>
            <w:r>
              <w:rPr>
                <w:rFonts w:hint="eastAsia" w:ascii="宋体" w:hAnsi="宋体" w:cs="宋体"/>
                <w:color w:val="auto"/>
                <w:sz w:val="21"/>
                <w:szCs w:val="21"/>
                <w:highlight w:val="none"/>
                <w:lang w:bidi="ar"/>
              </w:rPr>
              <w:t>金秋制造有限责任公司</w:t>
            </w:r>
          </w:p>
          <w:p>
            <w:pPr>
              <w:widowControl/>
              <w:textAlignment w:val="center"/>
              <w:rPr>
                <w:rFonts w:ascii="宋体" w:hAnsi="宋体" w:cs="宋体"/>
                <w:color w:val="auto"/>
                <w:sz w:val="21"/>
                <w:szCs w:val="21"/>
                <w:highlight w:val="none"/>
                <w:lang w:val="zh-CN" w:bidi="ar"/>
              </w:rPr>
            </w:pP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JDG电线管、KBG管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杭州天一、河北盛宝、兴泰隆、立泰盛、上海凤图、北京泰瑞安</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50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不锈钢管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久立、共合、永享、共同、金洲</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51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排水井盖</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上海畅途、泊头利盛、上海吉信、长兴骋旭</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52</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LED洗墙灯</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 xml:space="preserve"> 上海光联照明，广州雅江光电，杭州勇电照明，乐雷光电 </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53</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LED芯片</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 xml:space="preserve">CREE、OSRAM、Philips </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54</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电源</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 xml:space="preserve">明纬、英菲特、茂硕 </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5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55</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空气源热泵</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海尔、美的、格力</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57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56</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充电桩</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普天新能源有限公司、万马联合控股集团有限公司、杭州国控电力科技有限公司、浙江超翔新能源有限公司、浙江天和电力安装工程有限公司、湖州鑫拓光电能源有限公司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2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57</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空调</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格力、美的、日立、大金、海尔、东芝</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92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auto"/>
                <w:sz w:val="21"/>
                <w:highlight w:val="none"/>
              </w:rPr>
            </w:pPr>
            <w:r>
              <w:rPr>
                <w:rFonts w:hint="eastAsia" w:ascii="宋体" w:hAnsi="宋体" w:cs="宋体"/>
                <w:color w:val="auto"/>
                <w:sz w:val="22"/>
                <w:szCs w:val="22"/>
                <w:highlight w:val="none"/>
                <w:lang w:bidi="ar"/>
              </w:rPr>
              <w:t>58</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卫浴洁具（含坐便器、淋浴花洒）及龙头</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TOTO、箭牌、摩恩、汉斯格雅、唯宝</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3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59</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洁具配件（含角阀、金属软管、下水、不锈钢排水软管）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雅之杰、蒙特利、江林</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8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lang w:bidi="ar"/>
              </w:rPr>
            </w:pPr>
            <w:r>
              <w:rPr>
                <w:rFonts w:hint="eastAsia" w:ascii="宋体" w:hAnsi="宋体" w:cs="宋体"/>
                <w:color w:val="auto"/>
                <w:sz w:val="22"/>
                <w:szCs w:val="22"/>
                <w:highlight w:val="none"/>
                <w:lang w:bidi="ar"/>
              </w:rPr>
              <w:t>60</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纸面石膏板、防潮石膏板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圣戈班、可耐福、龙牌、拉法基</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hint="eastAsia"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5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59</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龙骨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杰科、可耐福、龙牌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92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60</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夹板、多层板、细木工板等板材类</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千年舟、兔宝宝、莫干山</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8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61</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换气扇/浴霸/凉霸</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松下、名族、奥普</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53"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62</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地漏</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雅洁、潜水艇、汇泰龙</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0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63</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铝扣板吊顶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迪士顿、友邦、奥普</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03"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64</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电梯</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三菱、通力、迅达、蒂森、日立、天津奥的斯</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65</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地暖（集分水器）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沃茨、丹佛斯、威能</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66</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地暖（锅炉、控制面板）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林内、威能，博世、菲斯曼</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67</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地暖（盘管）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伟星，中财，保利</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68</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烟道止回阀</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小米、西门子、潜水艇</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69</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油烟机</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西门子、博世、方太、老板</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70</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橱柜</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金牌、欧派、志邦、名仕</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71</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石膏线条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银桥、杰普、万立</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72</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墙、地砖粘结剂</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壁得宝、壁洪宝、亚细亚、韦伯、德高、汉高</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73</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厨房间台盆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摩恩、箭牌、欧琳、潜水艇</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74</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监控</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大华、海康威视、英飞拓</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4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75</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网络交换机</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华为、</w:t>
            </w:r>
            <w:r>
              <w:rPr>
                <w:rFonts w:ascii="宋体" w:hAnsi="宋体" w:cs="宋体"/>
                <w:color w:val="auto"/>
                <w:sz w:val="21"/>
                <w:szCs w:val="21"/>
                <w:highlight w:val="none"/>
                <w:lang w:bidi="ar"/>
              </w:rPr>
              <w:t>H3C</w:t>
            </w:r>
            <w:r>
              <w:rPr>
                <w:rFonts w:hint="eastAsia" w:ascii="宋体" w:hAnsi="宋体" w:cs="宋体"/>
                <w:color w:val="auto"/>
                <w:sz w:val="21"/>
                <w:szCs w:val="21"/>
                <w:highlight w:val="none"/>
                <w:lang w:bidi="ar"/>
              </w:rPr>
              <w:t>、中兴</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3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76</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喇叭</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ascii="宋体" w:hAnsi="宋体" w:cs="宋体"/>
                <w:color w:val="auto"/>
                <w:sz w:val="21"/>
                <w:szCs w:val="21"/>
                <w:highlight w:val="none"/>
                <w:lang w:bidi="ar"/>
              </w:rPr>
              <w:t>ITC</w:t>
            </w:r>
            <w:r>
              <w:rPr>
                <w:rFonts w:hint="eastAsia" w:ascii="宋体" w:hAnsi="宋体" w:cs="宋体"/>
                <w:color w:val="auto"/>
                <w:sz w:val="21"/>
                <w:szCs w:val="21"/>
                <w:highlight w:val="none"/>
                <w:lang w:bidi="ar"/>
              </w:rPr>
              <w:t>、</w:t>
            </w:r>
            <w:r>
              <w:rPr>
                <w:rFonts w:ascii="宋体" w:hAnsi="宋体" w:cs="宋体"/>
                <w:color w:val="auto"/>
                <w:sz w:val="21"/>
                <w:szCs w:val="21"/>
                <w:highlight w:val="none"/>
                <w:lang w:bidi="ar"/>
              </w:rPr>
              <w:t>TCA</w:t>
            </w:r>
            <w:r>
              <w:rPr>
                <w:rFonts w:hint="eastAsia" w:ascii="宋体" w:hAnsi="宋体" w:cs="宋体"/>
                <w:color w:val="auto"/>
                <w:sz w:val="21"/>
                <w:szCs w:val="21"/>
                <w:highlight w:val="none"/>
                <w:lang w:bidi="ar"/>
              </w:rPr>
              <w:t>、</w:t>
            </w:r>
            <w:r>
              <w:rPr>
                <w:rFonts w:ascii="宋体" w:hAnsi="宋体" w:cs="宋体"/>
                <w:color w:val="auto"/>
                <w:sz w:val="21"/>
                <w:szCs w:val="21"/>
                <w:highlight w:val="none"/>
                <w:lang w:bidi="ar"/>
              </w:rPr>
              <w:t>BOSCH</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3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77</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报警主机</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广拓、豪恩、优周</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7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78</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集中控制器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广拓、豪恩、优周</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79</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UPS</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艾普森、保洛士、伊顿</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80</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智能巡检器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兰德华、蓝卡、真地</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3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81</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数字对讲机</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摩托罗拉、海能达、建伍</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660" w:hRule="atLeast"/>
        </w:trPr>
        <w:tc>
          <w:tcPr>
            <w:tcW w:w="8520" w:type="dxa"/>
            <w:gridSpan w:val="5"/>
            <w:tcBorders>
              <w:top w:val="single" w:color="000000" w:sz="4" w:space="0"/>
              <w:left w:val="single" w:color="000000"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r>
              <w:rPr>
                <w:rFonts w:hint="eastAsia" w:ascii="宋体" w:hAnsi="宋体" w:cs="宋体"/>
                <w:color w:val="auto"/>
                <w:sz w:val="21"/>
                <w:szCs w:val="21"/>
                <w:highlight w:val="none"/>
              </w:rPr>
              <w:t>注：1、各投标人按不低于参照品牌（厂家）档次进行材料报价；2、投标人选用的品牌可为以上参照品牌（厂家），也可选用其他品牌（厂家），但选用的其他品牌（厂家）应等于或优于参照品牌（厂家）档次，必须达到设计要求的技术参数，同时提供相关技术指标等证明材料，否则评委可认为其低于招标品质而否决其投标；3、投标人所选品牌型号必须是该品牌的中等及以上档次；4、投标人需在此表中注明选用品牌（厂家），若未注明的，实际施工时将由招标人在参照品牌中任选，中标人必须无条件服从，价格按投标文件执行，不予调整；5、一旦发现有品牌商故意抬价，地区垄断等恶劣行为，取消其品牌参照或推荐</w:t>
            </w:r>
            <w:r>
              <w:rPr>
                <w:rFonts w:hint="eastAsia" w:ascii="宋体" w:hAnsi="宋体" w:cs="Arial"/>
                <w:color w:val="auto"/>
                <w:sz w:val="21"/>
                <w:highlight w:val="none"/>
              </w:rPr>
              <w:t>。</w:t>
            </w:r>
          </w:p>
        </w:tc>
      </w:tr>
    </w:tbl>
    <w:p>
      <w:pPr>
        <w:widowControl/>
        <w:spacing w:line="360" w:lineRule="auto"/>
        <w:jc w:val="both"/>
        <w:rPr>
          <w:rFonts w:ascii="宋体" w:hAnsi="宋体" w:cs="宋体"/>
          <w:color w:val="auto"/>
          <w:highlight w:val="none"/>
        </w:rPr>
      </w:pPr>
      <w:r>
        <w:rPr>
          <w:rFonts w:hint="eastAsia" w:ascii="宋体" w:hAnsi="宋体" w:cs="宋体"/>
          <w:color w:val="auto"/>
          <w:highlight w:val="none"/>
        </w:rPr>
        <w:t>注：</w:t>
      </w:r>
    </w:p>
    <w:p>
      <w:pPr>
        <w:widowControl/>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1.此表内容均为发包人的要求；</w:t>
      </w:r>
    </w:p>
    <w:p>
      <w:pPr>
        <w:widowControl/>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2.</w:t>
      </w:r>
      <w:r>
        <w:rPr>
          <w:rFonts w:hint="eastAsia" w:ascii="宋体" w:hAnsi="宋体" w:cs="宋体"/>
          <w:i/>
          <w:iCs/>
          <w:color w:val="auto"/>
          <w:highlight w:val="none"/>
        </w:rPr>
        <w:t>招标人需谨慎使用主要材料、设备推荐品牌，有推荐品牌的招标人应明确投标人在投标时是否填报具体品牌</w:t>
      </w:r>
      <w:r>
        <w:rPr>
          <w:rFonts w:hint="eastAsia" w:ascii="宋体" w:hAnsi="宋体" w:cs="宋体"/>
          <w:color w:val="auto"/>
          <w:highlight w:val="none"/>
        </w:rPr>
        <w:t>，投标人中标实施过程中若选择其他相当于的品牌，应事先征得发包人的同意，且所选材料、设备品牌档次不低于推荐品牌，合同总价一般不作调整；</w:t>
      </w:r>
    </w:p>
    <w:p>
      <w:pPr>
        <w:widowControl/>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3.材料、设备的选型，应根据项目的规模、标准及使用功能确定，推荐的品牌系列确保价格相当，提倡使用最广泛的材料、设备，并应与项目使用、维保相匹配；鼓励发包人优先推荐国产大型生产厂家或省级以上知名品牌产品；</w:t>
      </w:r>
    </w:p>
    <w:p>
      <w:pPr>
        <w:spacing w:line="360" w:lineRule="auto"/>
        <w:ind w:firstLine="480" w:firstLineChars="200"/>
        <w:jc w:val="both"/>
        <w:rPr>
          <w:rFonts w:ascii="宋体" w:hAnsi="宋体"/>
          <w:color w:val="auto"/>
          <w:highlight w:val="none"/>
        </w:rPr>
      </w:pPr>
      <w:r>
        <w:rPr>
          <w:rFonts w:hint="eastAsia" w:ascii="宋体" w:hAnsi="宋体" w:cs="宋体"/>
          <w:color w:val="auto"/>
          <w:highlight w:val="none"/>
        </w:rPr>
        <w:t>4.有价格要求的材料、设备，施工前承包人应当把具体材料规格、技术参数、品牌系列和价格报送发包人确定，发包人可委托</w:t>
      </w:r>
      <w:r>
        <w:rPr>
          <w:rFonts w:hint="eastAsia" w:ascii="宋体" w:hAnsi="宋体"/>
          <w:color w:val="auto"/>
          <w:highlight w:val="none"/>
        </w:rPr>
        <w:t>全过程工程咨询单位</w:t>
      </w:r>
      <w:r>
        <w:rPr>
          <w:rFonts w:hint="eastAsia" w:ascii="宋体" w:hAnsi="宋体" w:cs="宋体"/>
          <w:color w:val="auto"/>
          <w:highlight w:val="none"/>
        </w:rPr>
        <w:t>或者第三方进行确认，经确认后符合价格要求的，合同总价一般不作调整。</w:t>
      </w:r>
    </w:p>
    <w:p>
      <w:pPr>
        <w:ind w:firstLine="562" w:firstLineChars="200"/>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（十二）</w:t>
      </w:r>
      <w:r>
        <w:rPr>
          <w:rFonts w:hint="eastAsia" w:ascii="宋体" w:hAnsi="宋体" w:cs="宋体"/>
          <w:b/>
          <w:bCs/>
          <w:color w:val="auto"/>
          <w:sz w:val="28"/>
          <w:szCs w:val="28"/>
          <w:highlight w:val="none"/>
        </w:rPr>
        <w:t>、BIM技术技术要求</w:t>
      </w:r>
    </w:p>
    <w:p>
      <w:pPr>
        <w:pStyle w:val="51"/>
        <w:rPr>
          <w:rFonts w:hint="eastAsia"/>
          <w:color w:val="auto"/>
          <w:highlight w:val="none"/>
        </w:rPr>
      </w:pPr>
    </w:p>
    <w:p>
      <w:pPr>
        <w:spacing w:line="490" w:lineRule="exact"/>
        <w:ind w:firstLine="241" w:firstLineChars="100"/>
        <w:outlineLvl w:val="2"/>
        <w:rPr>
          <w:rFonts w:hint="eastAsia" w:ascii="宋体" w:hAnsi="宋体" w:cs="宋体"/>
          <w:b/>
          <w:color w:val="auto"/>
          <w:szCs w:val="21"/>
          <w:highlight w:val="none"/>
        </w:rPr>
      </w:pPr>
      <w:bookmarkStart w:id="252" w:name="_Toc1270"/>
      <w:r>
        <w:rPr>
          <w:rFonts w:hint="eastAsia" w:ascii="宋体" w:hAnsi="宋体" w:cs="宋体"/>
          <w:b/>
          <w:color w:val="auto"/>
          <w:szCs w:val="21"/>
          <w:highlight w:val="none"/>
        </w:rPr>
        <w:t>一、定义</w:t>
      </w:r>
      <w:bookmarkEnd w:id="252"/>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下列名词和用语，除上下文另有规定外，具有如下含义。</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1.“工程”是指发包人委托承包人进行实体建设，并实施数字化建筑信息模型（BIM）服务的工程项目。</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2.“BIM总包”是指受发包人委托对本项目设计、施工、BIM协同平台的各项BIM技术工作进行全面管理的管理单位，本项目的所有的BIM工作由BIM进行具体管理。</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3.“项目经理”是指承包人派驻服务机构全面履行本合同的全权代表。</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4.“第三方”是指除发包人、承包人以外与建设项目有关的参与人，其中委托人将聘请专家小组，对本项目的BIM技术工作进行全面验收；聘请BIM顾问对本项目的BIM技术工作进行技术支持。</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5.“BIM”是指基于BIM所产生的数字化建筑模型；包括创建模型的过程与技术。BIM模型的信息由几何信息和非几何属性信息两部分组成。</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6.“模型”指的是对该项目物理以及功能特性的一种数码呈现，即以具有符合比例尺的空间关系及大小的电子形式的建筑构件来反映立体物的三维再现。模型中可以包含附加的信息或者数据. 模型可以用来描述模型构件（即，用模型的一部分代表该项目或者项目场地的一个组件，系统或者装置），单独的模型,或在集合或联合中的多个模型。</w:t>
      </w:r>
    </w:p>
    <w:p>
      <w:pPr>
        <w:pStyle w:val="38"/>
        <w:tabs>
          <w:tab w:val="left" w:pos="142"/>
        </w:tabs>
        <w:spacing w:line="490" w:lineRule="exact"/>
        <w:ind w:left="2" w:leftChars="1" w:firstLine="424" w:firstLineChars="202"/>
        <w:rPr>
          <w:rFonts w:hint="eastAsia" w:ascii="宋体" w:hAnsi="宋体" w:cs="宋体"/>
          <w:color w:val="auto"/>
          <w:szCs w:val="21"/>
          <w:highlight w:val="none"/>
        </w:rPr>
      </w:pPr>
      <w:r>
        <w:rPr>
          <w:rFonts w:hint="eastAsia" w:ascii="宋体" w:hAnsi="宋体" w:cs="宋体"/>
          <w:color w:val="auto"/>
          <w:szCs w:val="21"/>
          <w:highlight w:val="none"/>
        </w:rPr>
        <w:t>7.“BIM模型深度”是指模型中信息的详细程度。包括几何信息深度和非几何信息深度。</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8. “几何信息”是指建筑模型内部和外部空间结构的几何表示。</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 xml:space="preserve"> 9. “非几何信息”是指除几何信息之外的所有信息的集合。</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 xml:space="preserve"> 10.“构件”是指构成BIM模型的基本对象或组件。</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11.“图纸”指的是那些单独建立,且非来源于模型的,并且在本协议当中充当合同文件的二维平面图，略图或者其他图纸；经多方指定被充当合同文件的独立图纸及注释所补充的那些来源于模型中的二维投影。</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12. “模型作者”指的是负责开发某种特定模型构件的精密等级至该项目的特定阶段。模型作者可通过模型构件表中标注出来。</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13．“模型用户”指的是经授权使用该项目中模型，例如用于分析，估算，或者进程安排的个人或者实体</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14.“日”是指任何一个午夜至下一个午夜间的时间段，也称“天”。</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15.“月”是指根据公历从一个月份中任何一天开始到下一个月相应日期前一天的时间段。</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16.“协同管理平台”是指由发包人委托BIM总包开发的本项目BIM技术协同平台，所有BIM工作的成果均需满足此平台要求，并根据要求上传至平台进行管理。</w:t>
      </w:r>
    </w:p>
    <w:p>
      <w:pPr>
        <w:pStyle w:val="38"/>
        <w:tabs>
          <w:tab w:val="left" w:pos="142"/>
        </w:tabs>
        <w:spacing w:line="490" w:lineRule="exact"/>
        <w:ind w:left="2" w:firstLine="319" w:firstLineChars="152"/>
        <w:rPr>
          <w:rFonts w:hint="eastAsia" w:ascii="宋体" w:hAnsi="宋体" w:cs="宋体"/>
          <w:color w:val="auto"/>
          <w:szCs w:val="21"/>
          <w:highlight w:val="none"/>
        </w:rPr>
      </w:pPr>
      <w:r>
        <w:rPr>
          <w:rFonts w:hint="eastAsia" w:ascii="宋体" w:hAnsi="宋体" w:cs="宋体"/>
          <w:color w:val="auto"/>
          <w:szCs w:val="21"/>
          <w:highlight w:val="none"/>
        </w:rPr>
        <w:t>17.“BIM施工模型”是指由承包人建立的BIM模型，其几何和非几何信息的深度、精度满足本项目的BIM建模要求，其信息与实体工程已完成的工作保持一致。</w:t>
      </w:r>
    </w:p>
    <w:p>
      <w:pPr>
        <w:spacing w:line="490" w:lineRule="exact"/>
        <w:ind w:firstLine="360" w:firstLineChars="150"/>
        <w:rPr>
          <w:rFonts w:hint="eastAsia" w:ascii="宋体" w:hAnsi="宋体" w:cs="宋体"/>
          <w:color w:val="auto"/>
          <w:szCs w:val="21"/>
          <w:highlight w:val="none"/>
        </w:rPr>
      </w:pPr>
      <w:r>
        <w:rPr>
          <w:rFonts w:hint="eastAsia" w:ascii="宋体" w:hAnsi="宋体" w:cs="宋体"/>
          <w:color w:val="auto"/>
          <w:szCs w:val="21"/>
          <w:highlight w:val="none"/>
        </w:rPr>
        <w:t>18.“BIM竣工模型”是指由承包人进行建立，经监理单位检查、与符合竣工要求的实体工程各类信息一致的，并根据BIM建模要求附加相应的运维信息的BIM模型。</w:t>
      </w:r>
    </w:p>
    <w:p>
      <w:pPr>
        <w:spacing w:line="490" w:lineRule="exact"/>
        <w:outlineLvl w:val="2"/>
        <w:rPr>
          <w:rFonts w:hint="eastAsia" w:ascii="宋体" w:hAnsi="宋体" w:cs="宋体"/>
          <w:b/>
          <w:color w:val="auto"/>
          <w:szCs w:val="21"/>
          <w:highlight w:val="none"/>
        </w:rPr>
      </w:pPr>
      <w:bookmarkStart w:id="253" w:name="_Toc15782"/>
      <w:r>
        <w:rPr>
          <w:rFonts w:hint="eastAsia" w:ascii="宋体" w:hAnsi="宋体" w:cs="宋体"/>
          <w:b/>
          <w:color w:val="auto"/>
          <w:szCs w:val="21"/>
          <w:highlight w:val="none"/>
        </w:rPr>
        <w:t>二、本项目提供的BIM技术基本工作环境</w:t>
      </w:r>
      <w:bookmarkEnd w:id="253"/>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1、本项目的建模软件环境：建筑、结构、机电、装饰装修专业采用Autodesk Revit 2020版系列产品、承包人自行采购自己使用的有关BIM软件，如与本项目的软件不一致，其使用的各种应用软件应确保与本项目软件的相应配置具有兼容性。</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2、对施工总承包要求的硬件环境：承包人应确保提供满足软件操作和模型应用要求的足够数量的硬件设备，具体配置要求不可低于下表中的要求</w:t>
      </w:r>
      <w:r>
        <w:rPr>
          <w:rFonts w:hint="eastAsia" w:ascii="宋体" w:hAnsi="宋体" w:cs="宋体"/>
          <w:color w:val="auto"/>
          <w:szCs w:val="21"/>
          <w:highlight w:val="none"/>
          <w:lang w:eastAsia="zh-CN"/>
        </w:rPr>
        <w:t>，</w:t>
      </w:r>
      <w:r>
        <w:rPr>
          <w:rFonts w:hint="eastAsia" w:ascii="宋体" w:hAnsi="宋体" w:cs="宋体"/>
          <w:color w:val="auto"/>
          <w:szCs w:val="21"/>
          <w:highlight w:val="none"/>
        </w:rPr>
        <w:t>此硬件配置由承包人自行承担费用</w:t>
      </w:r>
      <w:r>
        <w:rPr>
          <w:rFonts w:hint="eastAsia" w:ascii="宋体" w:hAnsi="宋体" w:cs="宋体"/>
          <w:color w:val="auto"/>
          <w:szCs w:val="21"/>
          <w:highlight w:val="none"/>
          <w:lang w:eastAsia="zh-CN"/>
        </w:rPr>
        <w:t>。</w:t>
      </w:r>
      <w:r>
        <w:rPr>
          <w:rFonts w:hint="eastAsia" w:ascii="宋体" w:hAnsi="宋体" w:cs="宋体"/>
          <w:color w:val="auto"/>
          <w:szCs w:val="21"/>
          <w:highlight w:val="none"/>
        </w:rPr>
        <w:t>项目结束后，其资产归属承包人所有。</w:t>
      </w:r>
    </w:p>
    <w:p>
      <w:pPr>
        <w:pStyle w:val="38"/>
        <w:spacing w:line="490" w:lineRule="exact"/>
        <w:ind w:left="993" w:firstLine="0" w:firstLineChars="0"/>
        <w:rPr>
          <w:rFonts w:hint="eastAsia" w:ascii="宋体" w:hAnsi="宋体" w:cs="宋体"/>
          <w:color w:val="auto"/>
          <w:szCs w:val="21"/>
          <w:highlight w:val="none"/>
        </w:rPr>
      </w:pPr>
      <w:r>
        <w:rPr>
          <w:rFonts w:hint="eastAsia" w:ascii="宋体" w:hAnsi="宋体" w:cs="宋体"/>
          <w:color w:val="auto"/>
          <w:szCs w:val="21"/>
          <w:highlight w:val="none"/>
        </w:rPr>
        <w:t>表格 1：BIM工作站硬件基本配置要求</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3145"/>
        <w:gridCol w:w="3612"/>
        <w:gridCol w:w="25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3145" w:type="dxa"/>
            <w:tcBorders>
              <w:top w:val="single" w:color="auto" w:sz="12" w:space="0"/>
              <w:bottom w:val="single" w:color="auto" w:sz="12" w:space="0"/>
              <w:right w:val="single" w:color="auto" w:sz="12" w:space="0"/>
            </w:tcBorders>
            <w:noWrap w:val="0"/>
            <w:vAlign w:val="center"/>
          </w:tcPr>
          <w:p>
            <w:pPr>
              <w:spacing w:line="490" w:lineRule="exact"/>
              <w:jc w:val="center"/>
              <w:rPr>
                <w:rFonts w:hint="eastAsia" w:ascii="宋体" w:hAnsi="宋体" w:cs="宋体"/>
                <w:b/>
                <w:color w:val="auto"/>
                <w:szCs w:val="21"/>
                <w:highlight w:val="none"/>
              </w:rPr>
            </w:pPr>
          </w:p>
        </w:tc>
        <w:tc>
          <w:tcPr>
            <w:tcW w:w="3612" w:type="dxa"/>
            <w:tcBorders>
              <w:top w:val="single" w:color="auto" w:sz="12" w:space="0"/>
              <w:left w:val="single" w:color="auto" w:sz="12" w:space="0"/>
              <w:bottom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操作工作站</w:t>
            </w:r>
          </w:p>
        </w:tc>
        <w:tc>
          <w:tcPr>
            <w:tcW w:w="2506" w:type="dxa"/>
            <w:tcBorders>
              <w:top w:val="single" w:color="auto" w:sz="12" w:space="0"/>
              <w:bottom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移动工作站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3145" w:type="dxa"/>
            <w:tcBorders>
              <w:top w:val="single" w:color="auto" w:sz="12" w:space="0"/>
              <w:righ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CPU</w:t>
            </w:r>
          </w:p>
        </w:tc>
        <w:tc>
          <w:tcPr>
            <w:tcW w:w="3612" w:type="dxa"/>
            <w:tcBorders>
              <w:top w:val="single" w:color="auto" w:sz="12" w:space="0"/>
              <w:lef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英特尔一酷睿i7TM</w:t>
            </w:r>
          </w:p>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四核核处理器</w:t>
            </w:r>
          </w:p>
        </w:tc>
        <w:tc>
          <w:tcPr>
            <w:tcW w:w="2506" w:type="dxa"/>
            <w:tcBorders>
              <w:top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英特尔一酷睿i7TM</w:t>
            </w:r>
          </w:p>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四核处理器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75" w:hRule="atLeast"/>
          <w:jc w:val="center"/>
        </w:trPr>
        <w:tc>
          <w:tcPr>
            <w:tcW w:w="3145" w:type="dxa"/>
            <w:tcBorders>
              <w:righ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内存</w:t>
            </w:r>
          </w:p>
        </w:tc>
        <w:tc>
          <w:tcPr>
            <w:tcW w:w="3612" w:type="dxa"/>
            <w:tcBorders>
              <w:lef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16GI3(8X2GB)</w:t>
            </w:r>
          </w:p>
          <w:p>
            <w:pPr>
              <w:pStyle w:val="10"/>
              <w:rPr>
                <w:color w:val="auto"/>
                <w:highlight w:val="none"/>
              </w:rPr>
            </w:pPr>
            <w:r>
              <w:rPr>
                <w:rFonts w:hint="eastAsia" w:ascii="宋体" w:hAnsi="宋体" w:cs="宋体"/>
                <w:color w:val="auto"/>
                <w:szCs w:val="21"/>
                <w:highlight w:val="none"/>
              </w:rPr>
              <w:t xml:space="preserve">1600MHz DDR3 </w:t>
            </w:r>
            <w:r>
              <w:rPr>
                <w:rFonts w:hint="eastAsia"/>
                <w:color w:val="auto"/>
                <w:highlight w:val="none"/>
              </w:rPr>
              <w:t>32GB(16*2GB)</w:t>
            </w:r>
          </w:p>
          <w:p>
            <w:pPr>
              <w:spacing w:line="490" w:lineRule="exact"/>
              <w:jc w:val="center"/>
              <w:rPr>
                <w:rFonts w:hint="eastAsia" w:ascii="宋体" w:hAnsi="宋体" w:cs="宋体"/>
                <w:b/>
                <w:color w:val="auto"/>
                <w:szCs w:val="21"/>
                <w:highlight w:val="none"/>
              </w:rPr>
            </w:pPr>
          </w:p>
        </w:tc>
        <w:tc>
          <w:tcPr>
            <w:tcW w:w="2506" w:type="dxa"/>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16GB(4×4GB)</w:t>
            </w:r>
          </w:p>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1066MHz双通道 DDR3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75" w:hRule="atLeast"/>
          <w:jc w:val="center"/>
        </w:trPr>
        <w:tc>
          <w:tcPr>
            <w:tcW w:w="3145" w:type="dxa"/>
            <w:tcBorders>
              <w:righ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显卡</w:t>
            </w:r>
          </w:p>
        </w:tc>
        <w:tc>
          <w:tcPr>
            <w:tcW w:w="3612" w:type="dxa"/>
            <w:tcBorders>
              <w:lef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NVIDIAQuadro</w:t>
            </w:r>
          </w:p>
          <w:p>
            <w:pPr>
              <w:pStyle w:val="10"/>
              <w:ind w:firstLine="1680" w:firstLineChars="700"/>
              <w:rPr>
                <w:color w:val="auto"/>
                <w:highlight w:val="none"/>
              </w:rPr>
            </w:pPr>
            <w:r>
              <w:rPr>
                <w:rFonts w:hint="eastAsia"/>
                <w:color w:val="auto"/>
                <w:highlight w:val="none"/>
              </w:rPr>
              <w:t>2GB</w:t>
            </w:r>
          </w:p>
          <w:p>
            <w:pPr>
              <w:spacing w:line="490" w:lineRule="exact"/>
              <w:jc w:val="center"/>
              <w:rPr>
                <w:rFonts w:hint="eastAsia" w:ascii="宋体" w:hAnsi="宋体" w:cs="宋体"/>
                <w:b/>
                <w:color w:val="auto"/>
                <w:szCs w:val="21"/>
                <w:highlight w:val="none"/>
              </w:rPr>
            </w:pPr>
          </w:p>
        </w:tc>
        <w:tc>
          <w:tcPr>
            <w:tcW w:w="2506" w:type="dxa"/>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NVIDIAQuadroT</w:t>
            </w:r>
          </w:p>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FX3700M1GB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75" w:hRule="atLeast"/>
          <w:jc w:val="center"/>
        </w:trPr>
        <w:tc>
          <w:tcPr>
            <w:tcW w:w="3145" w:type="dxa"/>
            <w:tcBorders>
              <w:righ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硬盘</w:t>
            </w:r>
          </w:p>
        </w:tc>
        <w:tc>
          <w:tcPr>
            <w:tcW w:w="3612" w:type="dxa"/>
            <w:tcBorders>
              <w:lef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1T硬盘空间</w:t>
            </w:r>
          </w:p>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SATA硬盘</w:t>
            </w:r>
          </w:p>
        </w:tc>
        <w:tc>
          <w:tcPr>
            <w:tcW w:w="2506" w:type="dxa"/>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200GB硬盘</w:t>
            </w:r>
          </w:p>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SATA硬盘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78" w:hRule="atLeast"/>
          <w:jc w:val="center"/>
        </w:trPr>
        <w:tc>
          <w:tcPr>
            <w:tcW w:w="3145" w:type="dxa"/>
            <w:tcBorders>
              <w:righ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操作系统</w:t>
            </w:r>
          </w:p>
        </w:tc>
        <w:tc>
          <w:tcPr>
            <w:tcW w:w="3612" w:type="dxa"/>
            <w:tcBorders>
              <w:lef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 xml:space="preserve">Windows 10 </w:t>
            </w:r>
          </w:p>
        </w:tc>
        <w:tc>
          <w:tcPr>
            <w:tcW w:w="2506" w:type="dxa"/>
            <w:noWrap w:val="0"/>
            <w:vAlign w:val="center"/>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Windows 7 professional 64位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3145" w:type="dxa"/>
            <w:tcBorders>
              <w:bottom w:val="single" w:color="auto" w:sz="12" w:space="0"/>
              <w:right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网卡</w:t>
            </w:r>
          </w:p>
        </w:tc>
        <w:tc>
          <w:tcPr>
            <w:tcW w:w="3612" w:type="dxa"/>
            <w:tcBorders>
              <w:left w:val="single" w:color="auto" w:sz="12" w:space="0"/>
              <w:bottom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集成千兆网卡</w:t>
            </w:r>
          </w:p>
        </w:tc>
        <w:tc>
          <w:tcPr>
            <w:tcW w:w="2506" w:type="dxa"/>
            <w:tcBorders>
              <w:bottom w:val="single" w:color="auto" w:sz="12" w:space="0"/>
            </w:tcBorders>
            <w:noWrap w:val="0"/>
            <w:vAlign w:val="center"/>
          </w:tcPr>
          <w:p>
            <w:pPr>
              <w:spacing w:line="490" w:lineRule="exact"/>
              <w:jc w:val="center"/>
              <w:rPr>
                <w:rFonts w:hint="eastAsia" w:ascii="宋体" w:hAnsi="宋体" w:cs="宋体"/>
                <w:b/>
                <w:color w:val="auto"/>
                <w:szCs w:val="21"/>
                <w:highlight w:val="none"/>
              </w:rPr>
            </w:pPr>
            <w:r>
              <w:rPr>
                <w:rFonts w:hint="eastAsia" w:ascii="宋体" w:hAnsi="宋体" w:cs="宋体"/>
                <w:color w:val="auto"/>
                <w:szCs w:val="21"/>
                <w:highlight w:val="none"/>
              </w:rPr>
              <w:t>集成千兆网卡</w:t>
            </w:r>
          </w:p>
        </w:tc>
      </w:tr>
    </w:tbl>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3、本项目的BIM room房间设置在项目现场，由承包人提供。</w:t>
      </w:r>
    </w:p>
    <w:p>
      <w:pPr>
        <w:pStyle w:val="38"/>
        <w:spacing w:line="490" w:lineRule="exact"/>
        <w:ind w:left="993" w:firstLine="0" w:firstLineChars="0"/>
        <w:rPr>
          <w:rFonts w:hint="eastAsia" w:ascii="宋体" w:hAnsi="宋体" w:cs="宋体"/>
          <w:color w:val="auto"/>
          <w:szCs w:val="21"/>
          <w:highlight w:val="none"/>
        </w:rPr>
      </w:pPr>
      <w:r>
        <w:rPr>
          <w:rFonts w:hint="eastAsia" w:ascii="宋体" w:hAnsi="宋体" w:cs="宋体"/>
          <w:color w:val="auto"/>
          <w:szCs w:val="21"/>
          <w:highlight w:val="none"/>
        </w:rPr>
        <w:t>表格2：BIM办公场所基本配置要求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2551"/>
        <w:gridCol w:w="142"/>
        <w:gridCol w:w="4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17" w:type="dxa"/>
            <w:vMerge w:val="restart"/>
            <w:shd w:val="clear" w:color="auto" w:fill="auto"/>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BIM会议的配置</w:t>
            </w:r>
          </w:p>
        </w:tc>
        <w:tc>
          <w:tcPr>
            <w:tcW w:w="8531" w:type="dxa"/>
            <w:gridSpan w:val="4"/>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硬件配置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17" w:type="dxa"/>
            <w:vMerge w:val="continue"/>
            <w:shd w:val="clear" w:color="auto" w:fill="auto"/>
            <w:noWrap w:val="0"/>
            <w:vAlign w:val="top"/>
          </w:tcPr>
          <w:p>
            <w:pPr>
              <w:spacing w:line="490" w:lineRule="exact"/>
              <w:rPr>
                <w:rFonts w:hint="eastAsia" w:ascii="宋体" w:hAnsi="宋体" w:cs="宋体"/>
                <w:color w:val="auto"/>
                <w:szCs w:val="21"/>
                <w:highlight w:val="none"/>
              </w:rPr>
            </w:pPr>
          </w:p>
        </w:tc>
        <w:tc>
          <w:tcPr>
            <w:tcW w:w="1418" w:type="dxa"/>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会议室</w:t>
            </w:r>
          </w:p>
        </w:tc>
        <w:tc>
          <w:tcPr>
            <w:tcW w:w="2693" w:type="dxa"/>
            <w:gridSpan w:val="2"/>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桌椅、有线、千兆带宽无线网络覆盖。</w:t>
            </w:r>
          </w:p>
        </w:tc>
        <w:tc>
          <w:tcPr>
            <w:tcW w:w="4420" w:type="dxa"/>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容纳20人开会，BIM技术人员工作区，会议讨论区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17" w:type="dxa"/>
            <w:vMerge w:val="continue"/>
            <w:shd w:val="clear" w:color="auto" w:fill="auto"/>
            <w:noWrap w:val="0"/>
            <w:vAlign w:val="top"/>
          </w:tcPr>
          <w:p>
            <w:pPr>
              <w:spacing w:line="490" w:lineRule="exact"/>
              <w:rPr>
                <w:rFonts w:hint="eastAsia" w:ascii="宋体" w:hAnsi="宋体" w:cs="宋体"/>
                <w:color w:val="auto"/>
                <w:szCs w:val="21"/>
                <w:highlight w:val="none"/>
              </w:rPr>
            </w:pPr>
          </w:p>
        </w:tc>
        <w:tc>
          <w:tcPr>
            <w:tcW w:w="1418" w:type="dxa"/>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会议系统</w:t>
            </w:r>
          </w:p>
        </w:tc>
        <w:tc>
          <w:tcPr>
            <w:tcW w:w="2693" w:type="dxa"/>
            <w:gridSpan w:val="2"/>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1套</w:t>
            </w:r>
          </w:p>
        </w:tc>
        <w:tc>
          <w:tcPr>
            <w:tcW w:w="4420" w:type="dxa"/>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投影系统一套，音响系统一套、无线话筒2个。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17" w:type="dxa"/>
            <w:vMerge w:val="restart"/>
            <w:shd w:val="clear" w:color="auto" w:fill="auto"/>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BIM办公室配置</w:t>
            </w:r>
          </w:p>
        </w:tc>
        <w:tc>
          <w:tcPr>
            <w:tcW w:w="8531" w:type="dxa"/>
            <w:gridSpan w:val="4"/>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硬件配置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17" w:type="dxa"/>
            <w:vMerge w:val="continue"/>
            <w:shd w:val="clear" w:color="auto" w:fill="auto"/>
            <w:noWrap w:val="0"/>
            <w:vAlign w:val="top"/>
          </w:tcPr>
          <w:p>
            <w:pPr>
              <w:spacing w:line="490" w:lineRule="exact"/>
              <w:rPr>
                <w:rFonts w:hint="eastAsia" w:ascii="宋体" w:hAnsi="宋体" w:cs="宋体"/>
                <w:color w:val="auto"/>
                <w:szCs w:val="21"/>
                <w:highlight w:val="none"/>
              </w:rPr>
            </w:pPr>
          </w:p>
        </w:tc>
        <w:tc>
          <w:tcPr>
            <w:tcW w:w="1418" w:type="dxa"/>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办公室</w:t>
            </w:r>
          </w:p>
        </w:tc>
        <w:tc>
          <w:tcPr>
            <w:tcW w:w="2551" w:type="dxa"/>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桌椅、有线网络</w:t>
            </w:r>
          </w:p>
        </w:tc>
        <w:tc>
          <w:tcPr>
            <w:tcW w:w="4562" w:type="dxa"/>
            <w:gridSpan w:val="2"/>
            <w:shd w:val="clear" w:color="auto" w:fill="FFFFFF"/>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容纳10人同时进行办公，BIM技术人员协同工作区。</w:t>
            </w:r>
          </w:p>
        </w:tc>
      </w:tr>
    </w:tbl>
    <w:p>
      <w:pPr>
        <w:spacing w:line="490" w:lineRule="exact"/>
        <w:ind w:firstLine="360" w:firstLineChars="150"/>
        <w:rPr>
          <w:rFonts w:hint="eastAsia" w:ascii="宋体" w:hAnsi="宋体" w:cs="宋体"/>
          <w:color w:val="auto"/>
          <w:szCs w:val="21"/>
          <w:highlight w:val="none"/>
        </w:rPr>
      </w:pPr>
      <w:r>
        <w:rPr>
          <w:rFonts w:hint="eastAsia" w:ascii="宋体" w:hAnsi="宋体" w:cs="宋体"/>
          <w:color w:val="auto"/>
          <w:szCs w:val="21"/>
          <w:highlight w:val="none"/>
        </w:rPr>
        <w:t>4、BIM技术应用人员要求：具有国家人力与社会保障部教育培训中心颁发的BIM高级建模师或AUTDESK培训颁发的BIM应用工程师的岗位能力证书，主要为结构、建筑、设备、施工等专业</w:t>
      </w:r>
      <w:r>
        <w:rPr>
          <w:rFonts w:hint="eastAsia" w:ascii="宋体" w:hAnsi="宋体" w:cs="宋体"/>
          <w:color w:val="auto"/>
          <w:szCs w:val="21"/>
          <w:highlight w:val="none"/>
          <w:lang w:eastAsia="zh-CN"/>
        </w:rPr>
        <w:t>，且</w:t>
      </w:r>
      <w:r>
        <w:rPr>
          <w:rFonts w:hint="eastAsia"/>
          <w:color w:val="auto"/>
          <w:highlight w:val="none"/>
        </w:rPr>
        <w:t>人员到位率一周不少于三天</w:t>
      </w:r>
      <w:r>
        <w:rPr>
          <w:rFonts w:hint="eastAsia" w:ascii="宋体" w:hAnsi="宋体" w:cs="宋体"/>
          <w:color w:val="auto"/>
          <w:szCs w:val="21"/>
          <w:highlight w:val="none"/>
        </w:rPr>
        <w:t>。</w:t>
      </w:r>
    </w:p>
    <w:p>
      <w:pPr>
        <w:spacing w:line="490" w:lineRule="exact"/>
        <w:ind w:firstLine="361" w:firstLineChars="150"/>
        <w:outlineLvl w:val="2"/>
        <w:rPr>
          <w:rFonts w:hint="eastAsia" w:ascii="宋体" w:hAnsi="宋体" w:cs="宋体"/>
          <w:b/>
          <w:color w:val="auto"/>
          <w:szCs w:val="21"/>
          <w:highlight w:val="none"/>
        </w:rPr>
      </w:pPr>
      <w:bookmarkStart w:id="254" w:name="_Toc18911"/>
      <w:r>
        <w:rPr>
          <w:rFonts w:hint="eastAsia" w:ascii="宋体" w:hAnsi="宋体" w:cs="宋体"/>
          <w:b/>
          <w:color w:val="auto"/>
          <w:szCs w:val="21"/>
          <w:highlight w:val="none"/>
        </w:rPr>
        <w:t>三、BIM工作的管理环境</w:t>
      </w:r>
      <w:bookmarkEnd w:id="254"/>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本项目的BIM工作均由承包人负责进行全面实施及管理。</w:t>
      </w:r>
    </w:p>
    <w:p>
      <w:pPr>
        <w:spacing w:line="490" w:lineRule="exact"/>
        <w:ind w:firstLine="361" w:firstLineChars="150"/>
        <w:outlineLvl w:val="2"/>
        <w:rPr>
          <w:rFonts w:hint="eastAsia" w:ascii="宋体" w:hAnsi="宋体" w:cs="宋体"/>
          <w:b/>
          <w:color w:val="auto"/>
          <w:szCs w:val="21"/>
          <w:highlight w:val="none"/>
        </w:rPr>
      </w:pPr>
      <w:bookmarkStart w:id="255" w:name="_Toc18185"/>
      <w:r>
        <w:rPr>
          <w:rFonts w:hint="eastAsia" w:ascii="宋体" w:hAnsi="宋体" w:cs="宋体"/>
          <w:b/>
          <w:color w:val="auto"/>
          <w:szCs w:val="21"/>
          <w:highlight w:val="none"/>
        </w:rPr>
        <w:t>四、施工总承包的BIM工作范围</w:t>
      </w:r>
      <w:bookmarkEnd w:id="255"/>
    </w:p>
    <w:p>
      <w:pPr>
        <w:pStyle w:val="38"/>
        <w:spacing w:line="490" w:lineRule="exact"/>
        <w:ind w:firstLine="422"/>
        <w:rPr>
          <w:rFonts w:hint="eastAsia" w:ascii="宋体" w:hAnsi="宋体" w:cs="宋体"/>
          <w:b/>
          <w:color w:val="auto"/>
          <w:szCs w:val="21"/>
          <w:highlight w:val="none"/>
        </w:rPr>
      </w:pPr>
      <w:r>
        <w:rPr>
          <w:rFonts w:hint="eastAsia" w:ascii="宋体" w:hAnsi="宋体" w:cs="宋体"/>
          <w:b/>
          <w:color w:val="auto"/>
          <w:szCs w:val="21"/>
          <w:highlight w:val="none"/>
        </w:rPr>
        <w:t>1、施工总承包的BIM管理工作</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提供三维BIM模型、二维CAD施工图以及其他工程文字、数据、图表，收集和汇总所需相关信息，根据实际情况将前述资料进行补充、完善、深化，创建、更新和维护BIM模型。BIM模型必须包括建筑、结构和机电等本项目实体工程包含的所有相关专业。</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完成本项目的施工总承包所有工作内容以及各平行分包工作内容的BIM建模，并按要求深化BIM模型，按照施工现场情况实时更新BIM模型，形成各阶段与实体工程一致的施工模型，直至竣工并提交竣工BIM模型。</w:t>
      </w:r>
      <w:r>
        <w:rPr>
          <w:rFonts w:hint="eastAsia" w:ascii="宋体" w:hAnsi="宋体" w:cs="宋体"/>
          <w:color w:val="auto"/>
          <w:szCs w:val="21"/>
          <w:highlight w:val="none"/>
        </w:rPr>
        <w:tab/>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基于BIM模型，以三维可视化方式探讨及展示短期及中期之施工方案。基于BIM模型及施工方的施工进度表进行4D施工模拟，提供图片和动画视频等文件，协调施工各方优化时间安排，基于BIM模型提供能快速浏览的图片和浏览动画，以便各方查看和审阅。</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承包人应督促施工分包商在施工过程中提供信息给总包，以协助总包应用BIM模型。</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基于BIM的施工图深化设计，本工程要求基于BIM模型绘制深化设计施工详图/配置图/翻样图。施工总承包负责建立与BIM建模相结合的深化设计管理体系、基于BIM的深化设计管理流程等。在绘制深化设计详图前需完成相应的碰撞检测，相应阶段的BIM模型需经监理人、设计人、委托人逐级审批。各专业深化设计文件均应基于BIM模型进行管理，总承包人建立与BIM模型组织、命名等相匹配的深化设计文件管理体系。</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承包人应负责集成和验证最终的BIM竣工模型，在项目结束时，向业主提交与实体工程一致真实准确的竣工BIM模型、BIM应用资料和并在模型中添加与设备运维有关的信息等，确保业主和物业管理公司在运营阶段具备充足的信息。相关信息在竣工前由物业管理公司和业主提出，承包人配合添加信息到竣工模型中。</w:t>
      </w:r>
    </w:p>
    <w:p>
      <w:pPr>
        <w:pStyle w:val="38"/>
        <w:spacing w:line="490" w:lineRule="exact"/>
        <w:ind w:firstLine="422"/>
        <w:rPr>
          <w:rFonts w:hint="eastAsia" w:ascii="宋体" w:hAnsi="宋体" w:cs="宋体"/>
          <w:b/>
          <w:color w:val="auto"/>
          <w:szCs w:val="21"/>
          <w:highlight w:val="none"/>
        </w:rPr>
      </w:pPr>
      <w:r>
        <w:rPr>
          <w:rFonts w:hint="eastAsia" w:ascii="宋体" w:hAnsi="宋体" w:cs="宋体"/>
          <w:b/>
          <w:color w:val="auto"/>
          <w:szCs w:val="21"/>
          <w:highlight w:val="none"/>
        </w:rPr>
        <w:t>2、承包人的BIM技术工作</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应在服务期内提供基于BIM模型的以下应用，以下应用重合的工作，以最大的BIM应用范围为工作范围依据：</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2.1每周提交给业主和监理最新的与实体工程一致的BIM施工模型，该模型应及时反映当时施工状况的实际情况，并按照业主和监理提出的BIM应用要求及时制作、更新相关BIM模型，并上传到项目管理协同平台上。</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2.2施工前提交总体施工4D模拟报业主批准，基于BIM模型、施工方的施工进度表、总体施工4D模拟，按工程进度进行各阶段的详细4D施工进度模拟，每2周更新并提交，包括提供图片和动画视频等文件，协调施工各方优化时间安排</w:t>
      </w:r>
      <w:r>
        <w:rPr>
          <w:rFonts w:hint="eastAsia" w:ascii="宋体" w:hAnsi="宋体" w:cs="宋体"/>
          <w:color w:val="auto"/>
          <w:szCs w:val="21"/>
          <w:highlight w:val="none"/>
          <w:lang w:eastAsia="zh-CN"/>
        </w:rPr>
        <w:t>，</w:t>
      </w:r>
      <w:r>
        <w:rPr>
          <w:rFonts w:hint="eastAsia" w:ascii="宋体" w:hAnsi="宋体" w:cs="宋体"/>
          <w:color w:val="auto"/>
          <w:szCs w:val="21"/>
          <w:highlight w:val="none"/>
        </w:rPr>
        <w:t>辅助5D资源管理。</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2.3提交的4D施工方案模拟应有针对性，基于BIM模型探讨项目整体或特殊分项工程短期及中期的施工方案，通过3D协调确定最佳施工方案。每月不少于二次，对于施工方案模拟的具体要求应满足BIM总包的提出有关要求，至少包括并不限于：整个项目主体施工方案模拟，各层机电管线的施工模拟、屋面、幕墙的安装方案模拟，大型空间脚手架搭设的模拟，提交大型机电设备吊装、钢结构吊装的施工方案模拟方案。</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2.4任一实体工程开工前，承包人必须进行各专业的碰撞检测、净高检查，提供包括具体碰撞位置、净高分析的检测报告，并提供相应的解决方案，及时协调解决碰撞问题。碰撞问题解决后，经业主单位批准方可施工</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2.5建立基于BIM模型准备机电综合管道图(CSD)及综合结构留洞图(CBWD)等施工深化图纸；基于BIM模型提供能快速浏览的Navisworks、DWF等格式的模型和图片，以便各方查看和审阅。</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2.6提供有效的管理平台，确保项目信息及时有效地传递。</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2.7将现场视频监视系统与项目管理协同平台整合，实现施工现场的实时监控和管理。承包人负责配合视频监视系统的安装。</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2.8运用BIM模型进行施工质量、进度、成本的管理，及时发现问题并报告给业主、BIM咨询单位和监理单位，解决工地现场实际问题，减少现场签证和变更，节约成本，缩短工期，同时进行模型变更修改，并上传至平台。</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2.9建立基于BIM模型的工程量、材料统计、施工方案探讨、施工现场监控、设备信息输入、更新及维护的工作流程，报业主批准后执行。</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2.10运用BIM模型进行机电、装饰、幕墙等各类管线综合并出具相关报告。</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配合完成项目相关的BIM奖项和科技成果申报、论文撰写等工作。</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为分包商建立BIM基础实体模型并整合到总体BIM模型中是工作范围内的一部分。包括但不限于：</w:t>
      </w:r>
    </w:p>
    <w:p>
      <w:pPr>
        <w:spacing w:line="490" w:lineRule="exact"/>
        <w:outlineLvl w:val="2"/>
        <w:rPr>
          <w:rFonts w:hint="eastAsia" w:ascii="宋体" w:hAnsi="宋体" w:cs="宋体"/>
          <w:color w:val="auto"/>
          <w:szCs w:val="21"/>
          <w:highlight w:val="none"/>
        </w:rPr>
      </w:pPr>
      <w:bookmarkStart w:id="256" w:name="_Toc23551"/>
      <w:r>
        <w:rPr>
          <w:rFonts w:hint="eastAsia" w:ascii="宋体" w:hAnsi="宋体" w:cs="宋体"/>
          <w:color w:val="auto"/>
          <w:szCs w:val="21"/>
          <w:highlight w:val="none"/>
        </w:rPr>
        <w:t></w:t>
      </w:r>
      <w:r>
        <w:rPr>
          <w:rFonts w:hint="eastAsia" w:ascii="宋体" w:hAnsi="宋体" w:cs="宋体"/>
          <w:color w:val="auto"/>
          <w:szCs w:val="21"/>
          <w:highlight w:val="none"/>
        </w:rPr>
        <w:tab/>
      </w:r>
      <w:r>
        <w:rPr>
          <w:rFonts w:hint="eastAsia" w:ascii="宋体" w:hAnsi="宋体" w:cs="宋体"/>
          <w:color w:val="auto"/>
          <w:szCs w:val="21"/>
          <w:highlight w:val="none"/>
        </w:rPr>
        <w:t>基坑及围护工程施工</w:t>
      </w:r>
      <w:bookmarkEnd w:id="256"/>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  桩基工程</w:t>
      </w:r>
    </w:p>
    <w:p>
      <w:pPr>
        <w:spacing w:line="49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主体结构</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rPr>
        <w:tab/>
      </w:r>
      <w:r>
        <w:rPr>
          <w:rFonts w:hint="eastAsia" w:ascii="宋体" w:hAnsi="宋体" w:cs="宋体"/>
          <w:color w:val="auto"/>
          <w:szCs w:val="21"/>
          <w:highlight w:val="none"/>
        </w:rPr>
        <w:t>钢结构、幕墙、屋面</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rPr>
        <w:tab/>
      </w:r>
      <w:r>
        <w:rPr>
          <w:rFonts w:hint="eastAsia" w:ascii="宋体" w:hAnsi="宋体" w:cs="宋体"/>
          <w:color w:val="auto"/>
          <w:szCs w:val="21"/>
          <w:highlight w:val="none"/>
        </w:rPr>
        <w:t>外装、商业配套外装</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  机电模型</w:t>
      </w:r>
    </w:p>
    <w:p>
      <w:pPr>
        <w:spacing w:line="49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室外总体模型、</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rPr>
        <w:tab/>
      </w:r>
      <w:r>
        <w:rPr>
          <w:rFonts w:hint="eastAsia" w:ascii="宋体" w:hAnsi="宋体" w:cs="宋体"/>
          <w:color w:val="auto"/>
          <w:szCs w:val="21"/>
          <w:highlight w:val="none"/>
        </w:rPr>
        <w:t>对于其他未建立BIM模型的分包商和供应商，配合分包商完成BIM模型。</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 xml:space="preserve">   其具体组织形式，由施工总承包自行安排，但模型的深度与信息，应满足业主单位的建模要求和运维要求。</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整个施工阶段的BIM技术应用点，包括但不限于以下工作：</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 xml:space="preserve">   建立本工程的各专业施工模型，竣工模型。</w:t>
      </w:r>
    </w:p>
    <w:p>
      <w:pPr>
        <w:spacing w:line="490" w:lineRule="exact"/>
        <w:ind w:left="-2" w:leftChars="-1" w:firstLine="484" w:firstLineChars="202"/>
        <w:rPr>
          <w:rFonts w:hint="eastAsia" w:ascii="宋体" w:hAnsi="宋体" w:cs="宋体"/>
          <w:color w:val="auto"/>
          <w:szCs w:val="21"/>
          <w:highlight w:val="none"/>
        </w:rPr>
      </w:pPr>
      <w:r>
        <w:rPr>
          <w:rFonts w:hint="eastAsia" w:ascii="宋体" w:hAnsi="宋体" w:cs="宋体"/>
          <w:color w:val="auto"/>
          <w:szCs w:val="21"/>
          <w:highlight w:val="none"/>
        </w:rPr>
        <w:t xml:space="preserve">   应用模型进行基坑围护施工，不少于2次的场地规划、主体施工阶段不少于5次的场地规划，机电施工阶段不少于3次大面积的管线综合，装饰施工阶段不少于2次施工方案模拟，幕墙施工不少于2次节点模拟和3次的施工模拟，室外施工不少于2次3D协调；以上分项的3D协调和4D模拟的应用点深度以BIM总包的指令为准。</w:t>
      </w:r>
    </w:p>
    <w:p>
      <w:pPr>
        <w:spacing w:line="490" w:lineRule="exact"/>
        <w:ind w:left="-2" w:leftChars="-1" w:firstLine="724" w:firstLineChars="302"/>
        <w:rPr>
          <w:rFonts w:hint="eastAsia" w:ascii="宋体" w:hAnsi="宋体" w:cs="宋体"/>
          <w:color w:val="auto"/>
          <w:szCs w:val="21"/>
          <w:highlight w:val="none"/>
        </w:rPr>
      </w:pPr>
      <w:r>
        <w:rPr>
          <w:rFonts w:hint="eastAsia" w:ascii="宋体" w:hAnsi="宋体" w:cs="宋体"/>
          <w:color w:val="auto"/>
          <w:szCs w:val="21"/>
          <w:highlight w:val="none"/>
        </w:rPr>
        <w:t>应用模型进行主体结构的施工方案模拟，施工方案模拟应包括：地下室、主体结构、钢结构、幕墙、机电地下  层必须包括（ 设备区域）、屋面、室内装饰（必须包括 大厅等）</w:t>
      </w:r>
    </w:p>
    <w:p>
      <w:pPr>
        <w:spacing w:line="490" w:lineRule="exact"/>
        <w:ind w:left="-2" w:leftChars="-1" w:firstLine="724" w:firstLineChars="302"/>
        <w:rPr>
          <w:rFonts w:hint="eastAsia" w:ascii="宋体" w:hAnsi="宋体" w:cs="宋体"/>
          <w:color w:val="auto"/>
          <w:szCs w:val="21"/>
          <w:highlight w:val="none"/>
        </w:rPr>
      </w:pPr>
      <w:r>
        <w:rPr>
          <w:rFonts w:hint="eastAsia" w:ascii="宋体" w:hAnsi="宋体" w:cs="宋体"/>
          <w:color w:val="auto"/>
          <w:szCs w:val="21"/>
          <w:highlight w:val="none"/>
        </w:rPr>
        <w:t>依据施工模型的工程量上报、成本控制校核，</w:t>
      </w:r>
    </w:p>
    <w:p>
      <w:pPr>
        <w:spacing w:line="490" w:lineRule="exact"/>
        <w:ind w:left="-2" w:leftChars="-1" w:firstLine="724" w:firstLineChars="302"/>
        <w:rPr>
          <w:rFonts w:hint="eastAsia" w:ascii="宋体" w:hAnsi="宋体" w:cs="宋体"/>
          <w:color w:val="auto"/>
          <w:szCs w:val="21"/>
          <w:highlight w:val="none"/>
        </w:rPr>
      </w:pPr>
      <w:r>
        <w:rPr>
          <w:rFonts w:hint="eastAsia" w:ascii="宋体" w:hAnsi="宋体" w:cs="宋体"/>
          <w:color w:val="auto"/>
          <w:szCs w:val="21"/>
          <w:highlight w:val="none"/>
        </w:rPr>
        <w:t>各专业主要施工节点的模拟</w:t>
      </w:r>
    </w:p>
    <w:p>
      <w:pPr>
        <w:spacing w:line="490" w:lineRule="exact"/>
        <w:ind w:left="-2" w:leftChars="-1" w:firstLine="724" w:firstLineChars="302"/>
        <w:rPr>
          <w:rFonts w:hint="eastAsia" w:ascii="宋体" w:hAnsi="宋体" w:cs="宋体"/>
          <w:color w:val="auto"/>
          <w:szCs w:val="21"/>
          <w:highlight w:val="none"/>
        </w:rPr>
      </w:pPr>
      <w:r>
        <w:rPr>
          <w:rFonts w:hint="eastAsia" w:ascii="宋体" w:hAnsi="宋体" w:cs="宋体"/>
          <w:color w:val="auto"/>
          <w:szCs w:val="21"/>
          <w:highlight w:val="none"/>
        </w:rPr>
        <w:t>大型设备的安装，包括：制冷机组、发电机组、空调机组</w:t>
      </w:r>
    </w:p>
    <w:p>
      <w:pPr>
        <w:spacing w:line="490" w:lineRule="exact"/>
        <w:ind w:firstLine="720" w:firstLineChars="300"/>
        <w:rPr>
          <w:rFonts w:hint="eastAsia" w:ascii="宋体" w:hAnsi="宋体" w:cs="宋体"/>
          <w:color w:val="auto"/>
          <w:szCs w:val="21"/>
          <w:highlight w:val="none"/>
        </w:rPr>
      </w:pPr>
      <w:r>
        <w:rPr>
          <w:rFonts w:hint="eastAsia" w:ascii="宋体" w:hAnsi="宋体" w:cs="宋体"/>
          <w:color w:val="auto"/>
          <w:szCs w:val="21"/>
          <w:highlight w:val="none"/>
        </w:rPr>
        <w:t>对主要节点部位进行3D协调，必须包括，钢结构与土建结构，幕墙与主体结构、屋面与幕墙、幕墙与机电，机电与装饰等。</w:t>
      </w:r>
    </w:p>
    <w:p>
      <w:pPr>
        <w:spacing w:line="490" w:lineRule="exact"/>
        <w:ind w:firstLine="720" w:firstLineChars="300"/>
        <w:rPr>
          <w:rFonts w:hint="eastAsia" w:ascii="宋体" w:hAnsi="宋体" w:cs="宋体"/>
          <w:color w:val="auto"/>
          <w:szCs w:val="21"/>
          <w:highlight w:val="none"/>
        </w:rPr>
      </w:pPr>
      <w:r>
        <w:rPr>
          <w:rFonts w:hint="eastAsia" w:ascii="宋体" w:hAnsi="宋体" w:cs="宋体"/>
          <w:color w:val="auto"/>
          <w:szCs w:val="21"/>
          <w:highlight w:val="none"/>
        </w:rPr>
        <w:t>本项目幕墙与钢结构需采用数字化加工技术，其成品开始加工前，必须提供3D模型。</w:t>
      </w:r>
    </w:p>
    <w:p>
      <w:pPr>
        <w:spacing w:line="490" w:lineRule="exact"/>
        <w:ind w:firstLine="720" w:firstLineChars="300"/>
        <w:rPr>
          <w:rFonts w:hint="eastAsia" w:ascii="宋体" w:hAnsi="宋体" w:cs="宋体"/>
          <w:color w:val="auto"/>
          <w:szCs w:val="21"/>
          <w:highlight w:val="none"/>
        </w:rPr>
      </w:pPr>
      <w:r>
        <w:rPr>
          <w:rFonts w:hint="eastAsia" w:ascii="宋体" w:hAnsi="宋体" w:cs="宋体"/>
          <w:color w:val="auto"/>
          <w:szCs w:val="21"/>
          <w:highlight w:val="none"/>
        </w:rPr>
        <w:t>对基坑围护工程、大型空间的脚手架、高大模板支模、起重设备的安装均需根据要求提交相应施工系统的设计模型和计算书，并进行施工模拟。</w:t>
      </w:r>
    </w:p>
    <w:p>
      <w:pPr>
        <w:spacing w:line="490" w:lineRule="exact"/>
        <w:ind w:firstLine="720" w:firstLineChars="300"/>
        <w:rPr>
          <w:rFonts w:hint="eastAsia" w:ascii="宋体" w:hAnsi="宋体" w:cs="宋体"/>
          <w:color w:val="auto"/>
          <w:szCs w:val="21"/>
          <w:highlight w:val="none"/>
        </w:rPr>
      </w:pPr>
      <w:r>
        <w:rPr>
          <w:rFonts w:hint="eastAsia" w:ascii="宋体" w:hAnsi="宋体" w:cs="宋体"/>
          <w:color w:val="auto"/>
          <w:szCs w:val="21"/>
          <w:highlight w:val="none"/>
        </w:rPr>
        <w:t>3、承包人应督促分包商提供所有设备的设备手册、使用说明书、运行维护说明书等随机文件的电子版或扫描件给予承包人集成。</w:t>
      </w:r>
    </w:p>
    <w:p>
      <w:pPr>
        <w:spacing w:line="490" w:lineRule="exact"/>
        <w:ind w:firstLine="720" w:firstLineChars="300"/>
        <w:rPr>
          <w:rFonts w:hint="eastAsia" w:ascii="宋体" w:hAnsi="宋体" w:cs="宋体"/>
          <w:color w:val="auto"/>
          <w:szCs w:val="21"/>
          <w:highlight w:val="none"/>
        </w:rPr>
      </w:pPr>
      <w:r>
        <w:rPr>
          <w:rFonts w:hint="eastAsia" w:ascii="宋体" w:hAnsi="宋体" w:cs="宋体"/>
          <w:color w:val="auto"/>
          <w:szCs w:val="21"/>
          <w:highlight w:val="none"/>
        </w:rPr>
        <w:t>4、在项目结束时，分包商应负责向承包人提交真实准确的实体工程的竣工BIM模型，BIM应用资料和相关数据等，供BIM总包单位及承包人审核和集成。</w:t>
      </w:r>
    </w:p>
    <w:p>
      <w:pPr>
        <w:spacing w:line="490" w:lineRule="exact"/>
        <w:ind w:firstLine="720" w:firstLineChars="300"/>
        <w:rPr>
          <w:rFonts w:hint="eastAsia" w:ascii="宋体" w:hAnsi="宋体" w:cs="宋体"/>
          <w:color w:val="auto"/>
          <w:szCs w:val="21"/>
          <w:highlight w:val="none"/>
        </w:rPr>
      </w:pPr>
      <w:r>
        <w:rPr>
          <w:rFonts w:hint="eastAsia" w:ascii="宋体" w:hAnsi="宋体" w:cs="宋体"/>
          <w:color w:val="auto"/>
          <w:szCs w:val="21"/>
          <w:highlight w:val="none"/>
        </w:rPr>
        <w:t>5、项目竣工完成后，承包人应将竣工相关数据及相关设备资料录入建筑信息模型，根据实际竣工情况及业主要求交付竣工BIM模型，模型精度须达到LOD400级以上。</w:t>
      </w:r>
    </w:p>
    <w:p>
      <w:pPr>
        <w:spacing w:line="490" w:lineRule="exact"/>
        <w:ind w:firstLine="720" w:firstLineChars="300"/>
        <w:rPr>
          <w:rFonts w:hint="eastAsia" w:ascii="宋体" w:hAnsi="宋体" w:cs="宋体"/>
          <w:color w:val="auto"/>
          <w:szCs w:val="21"/>
          <w:highlight w:val="none"/>
        </w:rPr>
      </w:pPr>
      <w:r>
        <w:rPr>
          <w:rFonts w:hint="eastAsia" w:ascii="宋体" w:hAnsi="宋体" w:cs="宋体"/>
          <w:color w:val="auto"/>
          <w:szCs w:val="21"/>
          <w:highlight w:val="none"/>
        </w:rPr>
        <w:t>6、BIM模型不能满足竣工模型的验收要求，整个实体工程不予以验收通过。</w:t>
      </w:r>
    </w:p>
    <w:p>
      <w:pPr>
        <w:spacing w:line="490" w:lineRule="exact"/>
        <w:ind w:firstLine="361" w:firstLineChars="150"/>
        <w:outlineLvl w:val="2"/>
        <w:rPr>
          <w:rFonts w:hint="eastAsia" w:ascii="宋体" w:hAnsi="宋体" w:cs="宋体"/>
          <w:b/>
          <w:color w:val="auto"/>
          <w:szCs w:val="21"/>
          <w:highlight w:val="none"/>
        </w:rPr>
      </w:pPr>
      <w:bookmarkStart w:id="257" w:name="_Toc25069"/>
      <w:r>
        <w:rPr>
          <w:rFonts w:hint="eastAsia" w:ascii="宋体" w:hAnsi="宋体" w:cs="宋体"/>
          <w:b/>
          <w:color w:val="auto"/>
          <w:szCs w:val="21"/>
          <w:highlight w:val="none"/>
        </w:rPr>
        <w:t>五、施工总承包与分包的工作界面</w:t>
      </w:r>
      <w:bookmarkEnd w:id="257"/>
    </w:p>
    <w:p>
      <w:pPr>
        <w:pStyle w:val="38"/>
        <w:spacing w:line="490" w:lineRule="exact"/>
        <w:ind w:left="163" w:leftChars="68" w:firstLine="371" w:firstLineChars="177"/>
        <w:jc w:val="left"/>
        <w:rPr>
          <w:rFonts w:hint="eastAsia" w:ascii="宋体" w:hAnsi="宋体" w:cs="宋体"/>
          <w:color w:val="auto"/>
          <w:szCs w:val="21"/>
          <w:highlight w:val="none"/>
        </w:rPr>
      </w:pPr>
      <w:r>
        <w:rPr>
          <w:rFonts w:hint="eastAsia" w:ascii="宋体" w:hAnsi="宋体" w:cs="宋体"/>
          <w:color w:val="auto"/>
          <w:szCs w:val="21"/>
          <w:highlight w:val="none"/>
        </w:rPr>
        <w:t>表3：施工总承包与分包的工作界面</w:t>
      </w:r>
    </w:p>
    <w:tbl>
      <w:tblPr>
        <w:tblStyle w:val="19"/>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658"/>
        <w:gridCol w:w="2791"/>
        <w:gridCol w:w="980"/>
        <w:gridCol w:w="980"/>
        <w:gridCol w:w="980"/>
        <w:gridCol w:w="1120"/>
        <w:gridCol w:w="840"/>
        <w:gridCol w:w="8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2" w:hRule="atLeast"/>
          <w:tblHeader/>
        </w:trPr>
        <w:tc>
          <w:tcPr>
            <w:tcW w:w="658" w:type="dxa"/>
            <w:tcBorders>
              <w:top w:val="single" w:color="auto" w:sz="12" w:space="0"/>
              <w:bottom w:val="single" w:color="auto" w:sz="12" w:space="0"/>
            </w:tcBorders>
            <w:shd w:val="clear" w:color="auto" w:fill="FFFFFF"/>
            <w:noWrap w:val="0"/>
            <w:vAlign w:val="top"/>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2791" w:type="dxa"/>
            <w:tcBorders>
              <w:top w:val="single" w:color="auto" w:sz="12" w:space="0"/>
              <w:bottom w:val="single" w:color="auto" w:sz="12" w:space="0"/>
            </w:tcBorders>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工作</w:t>
            </w:r>
          </w:p>
        </w:tc>
        <w:tc>
          <w:tcPr>
            <w:tcW w:w="980" w:type="dxa"/>
            <w:tcBorders>
              <w:top w:val="single" w:color="auto" w:sz="12" w:space="0"/>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总包</w:t>
            </w:r>
          </w:p>
        </w:tc>
        <w:tc>
          <w:tcPr>
            <w:tcW w:w="980" w:type="dxa"/>
            <w:tcBorders>
              <w:top w:val="single" w:color="auto" w:sz="12" w:space="0"/>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精装修分包</w:t>
            </w:r>
            <w:r>
              <w:rPr>
                <w:rFonts w:hint="eastAsia" w:ascii="宋体" w:hAnsi="宋体" w:cs="宋体"/>
                <w:color w:val="auto"/>
                <w:kern w:val="0"/>
                <w:szCs w:val="21"/>
                <w:highlight w:val="none"/>
                <w:lang w:eastAsia="zh-CN"/>
              </w:rPr>
              <w:t>（如有）</w:t>
            </w:r>
          </w:p>
        </w:tc>
        <w:tc>
          <w:tcPr>
            <w:tcW w:w="980" w:type="dxa"/>
            <w:tcBorders>
              <w:top w:val="single" w:color="auto" w:sz="12" w:space="0"/>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机电分包</w:t>
            </w:r>
            <w:r>
              <w:rPr>
                <w:rFonts w:hint="eastAsia" w:ascii="宋体" w:hAnsi="宋体" w:cs="宋体"/>
                <w:color w:val="auto"/>
                <w:kern w:val="0"/>
                <w:szCs w:val="21"/>
                <w:highlight w:val="none"/>
                <w:lang w:eastAsia="zh-CN"/>
              </w:rPr>
              <w:t>（如有）</w:t>
            </w:r>
          </w:p>
        </w:tc>
        <w:tc>
          <w:tcPr>
            <w:tcW w:w="1120" w:type="dxa"/>
            <w:tcBorders>
              <w:top w:val="single" w:color="auto" w:sz="12" w:space="0"/>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智能化分包</w:t>
            </w:r>
          </w:p>
        </w:tc>
        <w:tc>
          <w:tcPr>
            <w:tcW w:w="840" w:type="dxa"/>
            <w:tcBorders>
              <w:top w:val="single" w:color="auto" w:sz="12" w:space="0"/>
              <w:bottom w:val="single" w:color="auto" w:sz="12" w:space="0"/>
            </w:tcBorders>
            <w:shd w:val="clear" w:color="auto" w:fill="FFFFFF"/>
            <w:noWrap w:val="0"/>
            <w:vAlign w:val="center"/>
          </w:tcPr>
          <w:p>
            <w:pPr>
              <w:widowControl/>
              <w:spacing w:line="490" w:lineRule="exact"/>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设备分包</w:t>
            </w:r>
            <w:r>
              <w:rPr>
                <w:rFonts w:hint="eastAsia" w:ascii="宋体" w:hAnsi="宋体" w:cs="宋体"/>
                <w:color w:val="auto"/>
                <w:kern w:val="0"/>
                <w:sz w:val="18"/>
                <w:szCs w:val="18"/>
                <w:highlight w:val="none"/>
                <w:lang w:eastAsia="zh-CN"/>
              </w:rPr>
              <w:t>（如有）</w:t>
            </w:r>
          </w:p>
        </w:tc>
        <w:tc>
          <w:tcPr>
            <w:tcW w:w="840" w:type="dxa"/>
            <w:tcBorders>
              <w:top w:val="single" w:color="auto" w:sz="12" w:space="0"/>
              <w:bottom w:val="single" w:color="auto" w:sz="12" w:space="0"/>
            </w:tcBorders>
            <w:shd w:val="clear" w:color="auto" w:fill="FFFFFF"/>
            <w:noWrap w:val="0"/>
            <w:vAlign w:val="center"/>
          </w:tcPr>
          <w:p>
            <w:pPr>
              <w:widowControl/>
              <w:spacing w:line="490" w:lineRule="exact"/>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其他分包（如有）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325" w:hRule="atLeast"/>
          <w:tblHeader/>
        </w:trPr>
        <w:tc>
          <w:tcPr>
            <w:tcW w:w="658" w:type="dxa"/>
            <w:tcBorders>
              <w:top w:val="single" w:color="auto" w:sz="12" w:space="0"/>
            </w:tcBorders>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tcBorders>
              <w:top w:val="single" w:color="auto" w:sz="12" w:space="0"/>
            </w:tcBorders>
            <w:shd w:val="clear" w:color="auto" w:fill="FFFFFF"/>
            <w:noWrap w:val="0"/>
            <w:vAlign w:val="center"/>
          </w:tcPr>
          <w:p>
            <w:pPr>
              <w:widowControl/>
              <w:spacing w:line="490" w:lineRule="exact"/>
              <w:jc w:val="left"/>
              <w:rPr>
                <w:rFonts w:hint="eastAsia" w:ascii="宋体" w:hAnsi="宋体" w:eastAsia="宋体" w:cs="宋体"/>
                <w:color w:val="auto"/>
                <w:kern w:val="0"/>
                <w:szCs w:val="21"/>
                <w:highlight w:val="none"/>
                <w:lang w:eastAsia="zh-CN"/>
              </w:rPr>
            </w:pPr>
            <w:r>
              <w:rPr>
                <w:rFonts w:hint="eastAsia" w:ascii="宋体" w:hAnsi="宋体" w:cs="宋体"/>
                <w:strike w:val="0"/>
                <w:color w:val="auto"/>
                <w:kern w:val="0"/>
                <w:szCs w:val="21"/>
                <w:highlight w:val="none"/>
                <w:lang w:eastAsia="zh-CN"/>
              </w:rPr>
              <w:t>按项目图纸生成施工</w:t>
            </w:r>
            <w:r>
              <w:rPr>
                <w:rFonts w:hint="eastAsia" w:ascii="宋体" w:hAnsi="宋体" w:cs="宋体"/>
                <w:strike w:val="0"/>
                <w:color w:val="auto"/>
                <w:kern w:val="0"/>
                <w:szCs w:val="21"/>
                <w:highlight w:val="none"/>
                <w:lang w:val="en-US" w:eastAsia="zh-CN"/>
              </w:rPr>
              <w:t>BIM</w:t>
            </w:r>
            <w:r>
              <w:rPr>
                <w:rFonts w:hint="eastAsia" w:ascii="宋体" w:hAnsi="宋体" w:cs="宋体"/>
                <w:strike w:val="0"/>
                <w:color w:val="auto"/>
                <w:kern w:val="0"/>
                <w:szCs w:val="21"/>
                <w:highlight w:val="none"/>
                <w:lang w:eastAsia="zh-CN"/>
              </w:rPr>
              <w:t>模型</w:t>
            </w:r>
          </w:p>
        </w:tc>
        <w:tc>
          <w:tcPr>
            <w:tcW w:w="980" w:type="dxa"/>
            <w:tcBorders>
              <w:top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tcBorders>
              <w:top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tcBorders>
              <w:top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tcBorders>
              <w:top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tcBorders>
              <w:top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tcBorders>
              <w:top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895"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施工总承包范围内的深化设计BIM模型</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27"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更新BIM模型</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895"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各分包各自范围内的深化设计BIM模型和更新模型</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895"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施工总承包输入工程时间、进度数据，</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322"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施工总承包输入生产信息,运输进场信息、进场日期、安装日期、安装单位、操作单位等信息，输入产品运营信息（技术参数，供应商，维护信息等）</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62"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碰撞试验</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822"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动画模拟</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822"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可施工性检验</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822"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分包商和分包专员根据施工模型生成文件。</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制作/整合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822" w:hRule="atLeast"/>
          <w:tblHeader/>
        </w:trPr>
        <w:tc>
          <w:tcPr>
            <w:tcW w:w="658" w:type="dxa"/>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汇总整合BIM信息</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822" w:hRule="atLeast"/>
          <w:tblHeader/>
        </w:trPr>
        <w:tc>
          <w:tcPr>
            <w:tcW w:w="658" w:type="dxa"/>
            <w:tcBorders>
              <w:bottom w:val="single" w:color="auto" w:sz="12" w:space="0"/>
            </w:tcBorders>
            <w:shd w:val="clear" w:color="auto" w:fill="FFFFFF"/>
            <w:noWrap w:val="0"/>
            <w:vAlign w:val="top"/>
          </w:tcPr>
          <w:p>
            <w:pPr>
              <w:pStyle w:val="38"/>
              <w:widowControl/>
              <w:numPr>
                <w:ilvl w:val="0"/>
                <w:numId w:val="21"/>
              </w:numPr>
              <w:spacing w:line="490" w:lineRule="exact"/>
              <w:ind w:firstLineChars="0"/>
              <w:jc w:val="left"/>
              <w:rPr>
                <w:rFonts w:hint="eastAsia" w:ascii="宋体" w:hAnsi="宋体" w:cs="宋体"/>
                <w:color w:val="auto"/>
                <w:kern w:val="0"/>
                <w:szCs w:val="21"/>
                <w:highlight w:val="none"/>
              </w:rPr>
            </w:pPr>
          </w:p>
        </w:tc>
        <w:tc>
          <w:tcPr>
            <w:tcW w:w="2791" w:type="dxa"/>
            <w:tcBorders>
              <w:bottom w:val="single" w:color="auto" w:sz="12" w:space="0"/>
            </w:tcBorders>
            <w:shd w:val="clear" w:color="auto" w:fill="FFFFFF"/>
            <w:noWrap w:val="0"/>
            <w:vAlign w:val="center"/>
          </w:tcPr>
          <w:p>
            <w:pPr>
              <w:widowControl/>
              <w:spacing w:line="49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提交最终竣工模型</w:t>
            </w:r>
          </w:p>
        </w:tc>
        <w:tc>
          <w:tcPr>
            <w:tcW w:w="980" w:type="dxa"/>
            <w:tcBorders>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制作</w:t>
            </w:r>
          </w:p>
        </w:tc>
        <w:tc>
          <w:tcPr>
            <w:tcW w:w="980" w:type="dxa"/>
            <w:tcBorders>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980" w:type="dxa"/>
            <w:tcBorders>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1120" w:type="dxa"/>
            <w:tcBorders>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tcBorders>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配合</w:t>
            </w:r>
          </w:p>
        </w:tc>
        <w:tc>
          <w:tcPr>
            <w:tcW w:w="840" w:type="dxa"/>
            <w:tcBorders>
              <w:bottom w:val="single" w:color="auto" w:sz="12" w:space="0"/>
            </w:tcBorders>
            <w:shd w:val="clear" w:color="auto" w:fill="FFFFFF"/>
            <w:noWrap w:val="0"/>
            <w:vAlign w:val="center"/>
          </w:tcPr>
          <w:p>
            <w:pPr>
              <w:widowControl/>
              <w:spacing w:line="490" w:lineRule="exact"/>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配合</w:t>
            </w:r>
          </w:p>
        </w:tc>
      </w:tr>
    </w:tbl>
    <w:p>
      <w:pPr>
        <w:spacing w:line="490" w:lineRule="exact"/>
        <w:rPr>
          <w:rFonts w:hint="eastAsia" w:ascii="宋体" w:hAnsi="宋体" w:cs="宋体"/>
          <w:b/>
          <w:color w:val="auto"/>
          <w:szCs w:val="21"/>
          <w:highlight w:val="none"/>
        </w:rPr>
      </w:pPr>
      <w:r>
        <w:rPr>
          <w:rFonts w:hint="eastAsia" w:ascii="宋体" w:hAnsi="宋体" w:cs="宋体"/>
          <w:color w:val="auto"/>
          <w:szCs w:val="21"/>
          <w:highlight w:val="none"/>
        </w:rPr>
        <w:t>注：除钢结构、幕墙分包单位需要配备专业的BIM制作团队外，其它分包单位只需配备专业人员配合总包单位</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1、BIM模型应能用于定义施工各方的工作界面。</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2、BIM模型需合理组织和规划，确保能被各方不断深化和应用。</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3、承包人有与其他方互相协调配合、取得信息建模的义务，并减少因其他方使用其BIM模型而产生损害赔偿的风险。</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4、承包人对于设计方提供的BIM模型，如有发现错误或矛盾处，应立即向发包人指派的BIM模型管理者反映，并予澄清，以确保本项目模型的正确性与一致性。</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5、交付物应保证几何信息和非几何信息能够有效传递。</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6、交付物中的 BIM 模型深度应满足规定要求，在项目各阶段需要对模型进行持续修改。应当记录和分类这些修改，尤其是当模型创建任务被分成几个更小的包由不同的人处理时。各专业的BIM协调员负责记录最新加入到模型中的信息。</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7、各专业在创建各自的单专业模型时，项目成员应当与其他项目成员定期共享模型，供相互参考。在特定的重要阶段里，应当对不同专业的模型进行协调，让相关人员提前解决可能存在的碰撞，防止在施工阶段出现返工和耽误工期。</w:t>
      </w:r>
    </w:p>
    <w:p>
      <w:pPr>
        <w:pStyle w:val="38"/>
        <w:spacing w:line="490" w:lineRule="exact"/>
        <w:ind w:left="992" w:firstLine="0" w:firstLineChars="0"/>
        <w:jc w:val="left"/>
        <w:outlineLvl w:val="2"/>
        <w:rPr>
          <w:rFonts w:hint="eastAsia" w:ascii="宋体" w:hAnsi="宋体" w:cs="宋体"/>
          <w:color w:val="auto"/>
          <w:szCs w:val="21"/>
          <w:highlight w:val="none"/>
        </w:rPr>
      </w:pPr>
      <w:bookmarkStart w:id="258" w:name="_Toc798"/>
      <w:r>
        <w:rPr>
          <w:rFonts w:hint="eastAsia" w:ascii="宋体" w:hAnsi="宋体" w:cs="宋体"/>
          <w:color w:val="auto"/>
          <w:szCs w:val="21"/>
          <w:highlight w:val="none"/>
        </w:rPr>
        <w:t>表格4：BIM项目协调图</w:t>
      </w:r>
      <w:bookmarkEnd w:id="258"/>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512"/>
        <w:gridCol w:w="2081"/>
        <w:gridCol w:w="1432"/>
        <w:gridCol w:w="1397"/>
        <w:gridCol w:w="27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95" w:hRule="atLeast"/>
          <w:jc w:val="center"/>
        </w:trPr>
        <w:tc>
          <w:tcPr>
            <w:tcW w:w="1512" w:type="dxa"/>
            <w:tcBorders>
              <w:top w:val="single" w:color="auto" w:sz="12" w:space="0"/>
            </w:tcBorders>
            <w:noWrap w:val="0"/>
            <w:vAlign w:val="center"/>
          </w:tcPr>
          <w:p>
            <w:pPr>
              <w:spacing w:line="490" w:lineRule="exact"/>
              <w:ind w:left="600" w:leftChars="150" w:hanging="240" w:hangingChars="100"/>
              <w:jc w:val="center"/>
              <w:rPr>
                <w:rFonts w:hint="eastAsia" w:ascii="宋体" w:hAnsi="宋体" w:cs="宋体"/>
                <w:color w:val="auto"/>
                <w:szCs w:val="21"/>
                <w:highlight w:val="none"/>
              </w:rPr>
            </w:pPr>
          </w:p>
        </w:tc>
        <w:tc>
          <w:tcPr>
            <w:tcW w:w="2081" w:type="dxa"/>
            <w:tcBorders>
              <w:top w:val="single" w:color="auto" w:sz="12" w:space="0"/>
            </w:tcBorders>
            <w:noWrap w:val="0"/>
            <w:vAlign w:val="center"/>
          </w:tcPr>
          <w:p>
            <w:pPr>
              <w:spacing w:line="49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rPr>
              <w:t>发包人/管理公司</w:t>
            </w:r>
          </w:p>
        </w:tc>
        <w:tc>
          <w:tcPr>
            <w:tcW w:w="1432" w:type="dxa"/>
            <w:tcBorders>
              <w:top w:val="single" w:color="auto" w:sz="12" w:space="0"/>
            </w:tcBorders>
            <w:noWrap w:val="0"/>
            <w:vAlign w:val="center"/>
          </w:tcPr>
          <w:p>
            <w:pPr>
              <w:spacing w:line="49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rPr>
              <w:t>设计院</w:t>
            </w:r>
          </w:p>
        </w:tc>
        <w:tc>
          <w:tcPr>
            <w:tcW w:w="1397" w:type="dxa"/>
            <w:tcBorders>
              <w:top w:val="single" w:color="auto" w:sz="12" w:space="0"/>
            </w:tcBorders>
            <w:noWrap w:val="0"/>
            <w:vAlign w:val="center"/>
          </w:tcPr>
          <w:p>
            <w:pPr>
              <w:spacing w:line="49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rPr>
              <w:t>监理</w:t>
            </w:r>
          </w:p>
        </w:tc>
        <w:tc>
          <w:tcPr>
            <w:tcW w:w="2714" w:type="dxa"/>
            <w:tcBorders>
              <w:top w:val="single" w:color="auto" w:sz="12" w:space="0"/>
            </w:tcBorders>
            <w:noWrap w:val="0"/>
            <w:vAlign w:val="center"/>
          </w:tcPr>
          <w:p>
            <w:pPr>
              <w:spacing w:line="49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rPr>
              <w:t>承包人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21" w:hRule="atLeast"/>
          <w:jc w:val="center"/>
        </w:trPr>
        <w:tc>
          <w:tcPr>
            <w:tcW w:w="1512" w:type="dxa"/>
            <w:noWrap w:val="0"/>
            <w:vAlign w:val="center"/>
          </w:tcPr>
          <w:p>
            <w:pPr>
              <w:spacing w:line="49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rPr>
              <w:t>施工</w:t>
            </w:r>
          </w:p>
        </w:tc>
        <w:tc>
          <w:tcPr>
            <w:tcW w:w="2081"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kern w:val="0"/>
                <w:szCs w:val="21"/>
                <w:highlight w:val="none"/>
              </w:rPr>
              <w:t>监测施工、提供施工变化和问题相关信息</w:t>
            </w:r>
          </w:p>
        </w:tc>
        <w:tc>
          <w:tcPr>
            <w:tcW w:w="1432"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kern w:val="0"/>
                <w:szCs w:val="21"/>
                <w:highlight w:val="none"/>
              </w:rPr>
              <w:t>设计变更，并反映到BIM模型</w:t>
            </w:r>
          </w:p>
        </w:tc>
        <w:tc>
          <w:tcPr>
            <w:tcW w:w="1397"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kern w:val="0"/>
                <w:szCs w:val="21"/>
                <w:highlight w:val="none"/>
              </w:rPr>
              <w:t>监测施工、提供施工变化和问题相关信息</w:t>
            </w:r>
          </w:p>
        </w:tc>
        <w:tc>
          <w:tcPr>
            <w:tcW w:w="2714"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kern w:val="0"/>
                <w:szCs w:val="21"/>
                <w:highlight w:val="none"/>
              </w:rPr>
              <w:t>与分包商和供应商协同管理施工，将工程变化修改到设计/施工模型，并更新专业设计模型。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4" w:hRule="atLeast"/>
          <w:jc w:val="center"/>
        </w:trPr>
        <w:tc>
          <w:tcPr>
            <w:tcW w:w="1512" w:type="dxa"/>
            <w:tcBorders>
              <w:bottom w:val="single" w:color="auto" w:sz="12" w:space="0"/>
            </w:tcBorders>
            <w:noWrap w:val="0"/>
            <w:vAlign w:val="center"/>
          </w:tcPr>
          <w:p>
            <w:pPr>
              <w:spacing w:line="49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rPr>
              <w:t>竣工</w:t>
            </w:r>
          </w:p>
        </w:tc>
        <w:tc>
          <w:tcPr>
            <w:tcW w:w="2081" w:type="dxa"/>
            <w:tcBorders>
              <w:bottom w:val="single" w:color="auto" w:sz="12" w:space="0"/>
            </w:tcBorders>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kern w:val="0"/>
                <w:szCs w:val="21"/>
                <w:highlight w:val="none"/>
              </w:rPr>
              <w:t>验证竣工模型</w:t>
            </w:r>
          </w:p>
        </w:tc>
        <w:tc>
          <w:tcPr>
            <w:tcW w:w="1432" w:type="dxa"/>
            <w:tcBorders>
              <w:bottom w:val="single" w:color="auto" w:sz="12" w:space="0"/>
            </w:tcBorders>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kern w:val="0"/>
                <w:szCs w:val="21"/>
                <w:highlight w:val="none"/>
              </w:rPr>
              <w:t>验证竣工模型</w:t>
            </w:r>
          </w:p>
        </w:tc>
        <w:tc>
          <w:tcPr>
            <w:tcW w:w="1397" w:type="dxa"/>
            <w:tcBorders>
              <w:bottom w:val="single" w:color="auto" w:sz="12" w:space="0"/>
            </w:tcBorders>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kern w:val="0"/>
                <w:szCs w:val="21"/>
                <w:highlight w:val="none"/>
              </w:rPr>
              <w:t>验证竣工模型</w:t>
            </w:r>
          </w:p>
        </w:tc>
        <w:tc>
          <w:tcPr>
            <w:tcW w:w="2714" w:type="dxa"/>
            <w:tcBorders>
              <w:bottom w:val="single" w:color="auto" w:sz="12" w:space="0"/>
            </w:tcBorders>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kern w:val="0"/>
                <w:szCs w:val="21"/>
                <w:highlight w:val="none"/>
              </w:rPr>
              <w:t>准备竣工模型</w:t>
            </w:r>
          </w:p>
        </w:tc>
      </w:tr>
    </w:tbl>
    <w:p>
      <w:pPr>
        <w:spacing w:line="490" w:lineRule="exact"/>
        <w:ind w:firstLine="361" w:firstLineChars="150"/>
        <w:outlineLvl w:val="2"/>
        <w:rPr>
          <w:rFonts w:hint="eastAsia" w:ascii="宋体" w:hAnsi="宋体" w:cs="宋体"/>
          <w:b/>
          <w:color w:val="auto"/>
          <w:szCs w:val="21"/>
          <w:highlight w:val="none"/>
        </w:rPr>
      </w:pPr>
      <w:bookmarkStart w:id="259" w:name="_Toc16971"/>
      <w:r>
        <w:rPr>
          <w:rFonts w:hint="eastAsia" w:ascii="宋体" w:hAnsi="宋体" w:cs="宋体"/>
          <w:b/>
          <w:color w:val="auto"/>
          <w:szCs w:val="21"/>
          <w:highlight w:val="none"/>
        </w:rPr>
        <w:t>六、建模要求</w:t>
      </w:r>
      <w:bookmarkEnd w:id="259"/>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1、BIM建模专业深度</w:t>
      </w:r>
    </w:p>
    <w:p>
      <w:pPr>
        <w:spacing w:line="49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BIM可交付成果的最重要方面是其信息的数量和质量。这些信息以几何和非几何属性的形式存储在每个BIM构件（或构件组）中。其详细内容见表5：</w:t>
      </w:r>
    </w:p>
    <w:p>
      <w:pPr>
        <w:spacing w:line="490" w:lineRule="exact"/>
        <w:jc w:val="left"/>
        <w:rPr>
          <w:rFonts w:hint="eastAsia" w:ascii="宋体" w:hAnsi="宋体" w:cs="宋体"/>
          <w:color w:val="auto"/>
          <w:szCs w:val="21"/>
          <w:highlight w:val="none"/>
        </w:rPr>
      </w:pPr>
      <w:r>
        <w:rPr>
          <w:rFonts w:hint="eastAsia" w:ascii="宋体" w:hAnsi="宋体" w:cs="宋体"/>
          <w:color w:val="auto"/>
          <w:szCs w:val="21"/>
          <w:highlight w:val="none"/>
        </w:rPr>
        <w:t>表格5：BIM构件的几何属性和非几何属性</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05"/>
        <w:gridCol w:w="48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205" w:type="dxa"/>
            <w:tcBorders>
              <w:top w:val="single" w:color="auto" w:sz="12" w:space="0"/>
              <w:bottom w:val="single" w:color="auto" w:sz="12" w:space="0"/>
            </w:tcBorders>
            <w:noWrap w:val="0"/>
            <w:vAlign w:val="top"/>
          </w:tcPr>
          <w:p>
            <w:pPr>
              <w:spacing w:line="490" w:lineRule="exact"/>
              <w:jc w:val="left"/>
              <w:rPr>
                <w:rFonts w:hint="eastAsia" w:ascii="宋体" w:hAnsi="宋体" w:cs="宋体"/>
                <w:color w:val="auto"/>
                <w:szCs w:val="21"/>
                <w:highlight w:val="none"/>
              </w:rPr>
            </w:pPr>
            <w:r>
              <w:rPr>
                <w:rFonts w:hint="eastAsia" w:ascii="宋体" w:hAnsi="宋体" w:cs="宋体"/>
                <w:color w:val="auto"/>
                <w:szCs w:val="21"/>
                <w:highlight w:val="none"/>
              </w:rPr>
              <w:t>几何属性</w:t>
            </w:r>
          </w:p>
        </w:tc>
        <w:tc>
          <w:tcPr>
            <w:tcW w:w="4863" w:type="dxa"/>
            <w:tcBorders>
              <w:top w:val="single" w:color="auto" w:sz="12" w:space="0"/>
              <w:bottom w:val="single" w:color="auto" w:sz="12" w:space="0"/>
            </w:tcBorders>
            <w:noWrap w:val="0"/>
            <w:vAlign w:val="top"/>
          </w:tcPr>
          <w:p>
            <w:pPr>
              <w:spacing w:line="490" w:lineRule="exact"/>
              <w:jc w:val="left"/>
              <w:rPr>
                <w:rFonts w:hint="eastAsia" w:ascii="宋体" w:hAnsi="宋体" w:cs="宋体"/>
                <w:color w:val="auto"/>
                <w:szCs w:val="21"/>
                <w:highlight w:val="none"/>
              </w:rPr>
            </w:pPr>
            <w:r>
              <w:rPr>
                <w:rFonts w:hint="eastAsia" w:ascii="宋体" w:hAnsi="宋体" w:cs="宋体"/>
                <w:color w:val="auto"/>
                <w:szCs w:val="21"/>
                <w:highlight w:val="none"/>
              </w:rPr>
              <w:t>非几何属性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1" w:hRule="atLeast"/>
        </w:trPr>
        <w:tc>
          <w:tcPr>
            <w:tcW w:w="4205" w:type="dxa"/>
            <w:tcBorders>
              <w:top w:val="single" w:color="auto" w:sz="12" w:space="0"/>
              <w:bottom w:val="single" w:color="auto" w:sz="12" w:space="0"/>
            </w:tcBorders>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尺寸</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体积</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形状</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高度</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方位</w:t>
            </w:r>
          </w:p>
        </w:tc>
        <w:tc>
          <w:tcPr>
            <w:tcW w:w="4863" w:type="dxa"/>
            <w:tcBorders>
              <w:top w:val="single" w:color="auto" w:sz="12" w:space="0"/>
              <w:bottom w:val="single" w:color="auto" w:sz="12" w:space="0"/>
            </w:tcBorders>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系统数据</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性能数据</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合规性</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规格</w:t>
            </w:r>
          </w:p>
          <w:p>
            <w:pPr>
              <w:spacing w:line="490" w:lineRule="exact"/>
              <w:rPr>
                <w:rFonts w:hint="eastAsia" w:ascii="宋体" w:hAnsi="宋体" w:cs="宋体"/>
                <w:color w:val="auto"/>
                <w:szCs w:val="21"/>
                <w:highlight w:val="none"/>
              </w:rPr>
            </w:pPr>
          </w:p>
        </w:tc>
      </w:tr>
    </w:tbl>
    <w:p>
      <w:pPr>
        <w:spacing w:line="490" w:lineRule="exact"/>
        <w:jc w:val="left"/>
        <w:rPr>
          <w:rFonts w:hint="eastAsia" w:ascii="宋体" w:hAnsi="宋体" w:cs="宋体"/>
          <w:color w:val="auto"/>
          <w:szCs w:val="21"/>
          <w:highlight w:val="none"/>
        </w:rPr>
      </w:pPr>
      <w:r>
        <w:rPr>
          <w:rFonts w:hint="eastAsia" w:ascii="宋体" w:hAnsi="宋体" w:cs="宋体"/>
          <w:color w:val="auto"/>
          <w:szCs w:val="21"/>
          <w:highlight w:val="none"/>
        </w:rPr>
        <w:t>表格6：项目各个阶段的BIM模型深度</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6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blHeader/>
        </w:trPr>
        <w:tc>
          <w:tcPr>
            <w:tcW w:w="2114"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阶段</w:t>
            </w:r>
          </w:p>
        </w:tc>
        <w:tc>
          <w:tcPr>
            <w:tcW w:w="6954"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深度描述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114"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施工图深化设计</w:t>
            </w:r>
          </w:p>
        </w:tc>
        <w:tc>
          <w:tcPr>
            <w:tcW w:w="6954"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物体主要组成部分必须在几何上表述准确，能够反映物体的实际外形，保证不会在施工模拟和碰撞检查中产生错误判断，构件应包含几何尺寸、材质、产品信息（例如电压、功率）等。模型包含信息量与施工图设计完成时的CAD图纸上的信息量应该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114"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设计变更</w:t>
            </w:r>
          </w:p>
        </w:tc>
        <w:tc>
          <w:tcPr>
            <w:tcW w:w="6954"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114"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施工阶段</w:t>
            </w:r>
          </w:p>
        </w:tc>
        <w:tc>
          <w:tcPr>
            <w:tcW w:w="6954"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详细的模型实体，最终确定模型尺寸，能够根据该模型进行构件的加工制造，构件除包括几何尺寸、材质、产品信息外，还应附加模型的施工信息，包括生产、运输、安装等方面的时间节点、进度、安装操作单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114"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竣工提交阶段</w:t>
            </w:r>
          </w:p>
        </w:tc>
        <w:tc>
          <w:tcPr>
            <w:tcW w:w="6954"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除最终确定的模型尺寸外，还应包括其他竣工资料提交时所需的信息。（资料应包括工艺设备的技术参数、产品说明书/运行操作手册、保养及维修手册、售后信息等）</w:t>
            </w:r>
          </w:p>
        </w:tc>
      </w:tr>
    </w:tbl>
    <w:p>
      <w:pPr>
        <w:spacing w:line="490" w:lineRule="exact"/>
        <w:ind w:right="960"/>
        <w:rPr>
          <w:rFonts w:hint="eastAsia" w:ascii="宋体" w:hAnsi="宋体" w:cs="宋体"/>
          <w:color w:val="auto"/>
          <w:szCs w:val="21"/>
          <w:highlight w:val="none"/>
        </w:rPr>
      </w:pPr>
      <w:r>
        <w:rPr>
          <w:rFonts w:hint="eastAsia" w:ascii="宋体" w:hAnsi="宋体" w:cs="宋体"/>
          <w:color w:val="auto"/>
          <w:szCs w:val="21"/>
          <w:highlight w:val="none"/>
        </w:rPr>
        <w:t>表格7：各专业各阶段的建模深度（建模部位包括但不限于下表）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5"/>
        <w:gridCol w:w="993"/>
        <w:gridCol w:w="1685"/>
        <w:gridCol w:w="1617"/>
        <w:gridCol w:w="1617"/>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blHeader/>
        </w:trPr>
        <w:tc>
          <w:tcPr>
            <w:tcW w:w="595"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专业</w:t>
            </w:r>
          </w:p>
        </w:tc>
        <w:tc>
          <w:tcPr>
            <w:tcW w:w="993"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建模深度</w:t>
            </w:r>
          </w:p>
        </w:tc>
        <w:tc>
          <w:tcPr>
            <w:tcW w:w="1685" w:type="dxa"/>
            <w:noWrap w:val="0"/>
            <w:vAlign w:val="top"/>
          </w:tcPr>
          <w:p>
            <w:pPr>
              <w:spacing w:line="490" w:lineRule="exact"/>
              <w:jc w:val="left"/>
              <w:rPr>
                <w:rFonts w:hint="eastAsia" w:ascii="宋体" w:hAnsi="宋体" w:cs="宋体"/>
                <w:color w:val="auto"/>
                <w:szCs w:val="21"/>
                <w:highlight w:val="none"/>
              </w:rPr>
            </w:pPr>
            <w:r>
              <w:rPr>
                <w:rFonts w:hint="eastAsia" w:ascii="宋体" w:hAnsi="宋体" w:cs="宋体"/>
                <w:color w:val="auto"/>
                <w:szCs w:val="21"/>
                <w:highlight w:val="none"/>
              </w:rPr>
              <w:t>施工图深化设计</w:t>
            </w:r>
          </w:p>
        </w:tc>
        <w:tc>
          <w:tcPr>
            <w:tcW w:w="16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设计变更</w:t>
            </w:r>
          </w:p>
        </w:tc>
        <w:tc>
          <w:tcPr>
            <w:tcW w:w="16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施工阶段</w:t>
            </w:r>
          </w:p>
        </w:tc>
        <w:tc>
          <w:tcPr>
            <w:tcW w:w="2481"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竣工提交阶段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restart"/>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w:t>
            </w: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墙</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增加材质信息，含粗略面层划分</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包含详细面层信息，材质要求，防火等级、附节点详图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墙材生产信息,墙体建造时间、承包人等</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产品运维阶段所需信息（由供应商提供维护信息需求）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建筑柱</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带装饰面，材质</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规格尺寸、砂浆等级、填充图案等</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生产信息,运输进场信息、建造进度、安装操作单位等</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产品运营信息（技术参数，供应商，维护信息等）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7"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门窗</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按实际需求插入门、窗</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门窗大样图，门窗详图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进场日期、安装日期、安装单位</w:t>
            </w:r>
          </w:p>
          <w:p>
            <w:pPr>
              <w:spacing w:line="490" w:lineRule="exact"/>
              <w:rPr>
                <w:rFonts w:hint="eastAsia" w:ascii="宋体" w:hAnsi="宋体" w:cs="宋体"/>
                <w:color w:val="auto"/>
                <w:szCs w:val="21"/>
                <w:highlight w:val="none"/>
              </w:rPr>
            </w:pP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门窗五金件，门窗的厂商信息,物业管理信息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3"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屋顶</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加材质、檐口、封檐带、排水沟</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规格尺寸、砂浆等级、填充图案等</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材料进场日期、建造进度、安装单位</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材质供应商信息、产品技术参数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楼板</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楼板分层，降板，洞口，楼板边缘</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楼板分层细部作法，洞口更全</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材料进场日期、建造进度、安装单位</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产品材料技术参数、供应商信息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天花板</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厚度，局部降板，准确分割，并有材质信息</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龙骨，预留洞口，风口等，带节点详图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材料进场日期、建造进度、安装单位</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全部参数信息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楼梯、坡道、台阶</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详细建模，有栏杆</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楼梯详图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运输进场日期、安装单位、建造进度</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运营信息,技术参数、供应商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电梯</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详细的二维符号表示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节点详图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进场日期、安装日期和单位</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运营信息,技术参数、供应商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家具</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简单布置</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详细布置+二维表示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进场日期、安装日期和单位</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运营信息,技术参数、供应商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restart"/>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结构</w:t>
            </w: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板</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类型属性，材质，二维填充表示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材料信息，分层做法，楼板详图，附带节点详图（钢筋布置图）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板材生产信息,运输进场信息、建造进度、安装操作单位等</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产品运营信息（技术参数，供应商，维护信息等）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梁</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类型属性，具有异形梁表示详细轮廓，材质，二维填充表示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材料信息，梁标识，附带节点详图（钢筋布置图）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生产信息,运输进场信息、建造进度、安装操作单位等</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产品运维阶段所需信息（由供应商提供维护信息需求）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柱</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类型属性，具有异形柱表示详细轮廓，材质，二维填充表示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材料信息，柱标识，附带节点详图（钢筋布置图）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生产信息,运输进场信息、建造进度、安装操作单位等</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产品运维阶段所需信息（由供应商提供维护信息需求）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梁柱节点</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表示锚固长度，材质</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钢筋型号，连接方式，节点详图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生产信息,运输进场信息、建造进度、安装操作单位等</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产品运维阶段所需信息（由供应商提供维护信息需求）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墙</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类型属性，材质，二维填充表示。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材料信息，分层做法，墙身大样详图，空口加固等节点详图（钢筋布置图）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生产信息,运输进场信息、建造进度、安装操作单位等</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产品运维阶段所需信息（由供应商提供维护信息需求）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预埋及吊环</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物理属性，长、宽、高物理轮廓。表面材质颜色类型属性，材质，二维填充表示。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材料信息，大样详图，节点详图（钢筋布置图）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生产信息,运输进场信息、建造进度、安装操作单位等</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产品运维阶段所需信息（由供应商提供维护信息需求）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基础</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物理属性，基础长、宽、高、基础轮廓。表面材质颜色类型属性，材质，二维填充表示。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材料信息，基础大样详图，节点详图（钢筋布置图）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材料进场日期、建造进度、操作单位</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技术参数、材料供应商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基坑工程</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物理属性，基坑长、宽、高表面</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基坑围护结构构件长、宽、高及具体轮廓，节点详图（钢筋布置图）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施工进度、承包人</w:t>
            </w:r>
          </w:p>
        </w:tc>
        <w:tc>
          <w:tcPr>
            <w:tcW w:w="2481" w:type="dxa"/>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钢柱</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类型属性，根据钢材型号表示详细轮廓，材质，二维填充表示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材料要求，钢柱标识，附带节点详图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操作安装日期和进度、</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操作安装单位</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材料技术参数、材料供应商、产品合格证等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钢桁架</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类型属性，根据桁架类型搭建杆件位置，材质，二维填充表示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材料信息，桁架标识，桁架杆件连接构造。附带节点详图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操作安装日期和进度、</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操作安装单位</w:t>
            </w:r>
          </w:p>
        </w:tc>
        <w:tc>
          <w:tcPr>
            <w:tcW w:w="2481" w:type="dxa"/>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钢梁</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类型属性，根据钢材型号表示详细轮廓，材质，二维填充表示材料信息，钢梁标识，附带节点详图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操作安装日期</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操作安装日期和进度、操作安装单位</w:t>
            </w:r>
          </w:p>
        </w:tc>
        <w:tc>
          <w:tcPr>
            <w:tcW w:w="2481" w:type="dxa"/>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钢柱脚</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柱脚长、宽、高用体量表示，二维填充表示</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柱脚详细轮廓信息，材料信息，柱脚标识，附带节点详图</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操作安装日期和进度、</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操作安装单位</w:t>
            </w:r>
          </w:p>
        </w:tc>
        <w:tc>
          <w:tcPr>
            <w:tcW w:w="2481" w:type="dxa"/>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restart"/>
            <w:noWrap w:val="0"/>
            <w:textDirection w:val="tbRlV"/>
            <w:vAlign w:val="center"/>
          </w:tcPr>
          <w:p>
            <w:pPr>
              <w:spacing w:line="490" w:lineRule="exact"/>
              <w:ind w:left="113" w:right="113"/>
              <w:jc w:val="center"/>
              <w:rPr>
                <w:rFonts w:hint="eastAsia" w:ascii="宋体" w:hAnsi="宋体" w:cs="宋体"/>
                <w:color w:val="auto"/>
                <w:szCs w:val="21"/>
                <w:highlight w:val="none"/>
              </w:rPr>
            </w:pPr>
            <w:r>
              <w:rPr>
                <w:rFonts w:hint="eastAsia" w:ascii="宋体" w:hAnsi="宋体" w:cs="宋体"/>
                <w:color w:val="auto"/>
                <w:szCs w:val="21"/>
                <w:highlight w:val="none"/>
              </w:rPr>
              <w:t>给排水</w:t>
            </w: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管道</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有支管标高</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加保温层、管道进设备机房</w:t>
            </w:r>
          </w:p>
        </w:tc>
        <w:tc>
          <w:tcPr>
            <w:tcW w:w="1617"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产品批次、生产日期信息；运输进场日期；施工安装日期、操作单位</w:t>
            </w: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管道技术参数、厂家、型号等信息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阀门</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绘制统一的阀门</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按阀门的分类绘制</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按实际阀门的参数绘制（出产厂家、型号、规格等）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附件</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统一形状</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按类别绘制</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按实际项目中要求的参数绘制（出产厂家、型号、规格等）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仪表</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统一规格的仪表</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按类别绘制</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按实际项目中要求的参数绘制（出产厂家、型号、规格等）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卫生器具</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简单的体量</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具体的类别形状及尺寸</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将产品的参数添加到元素当中（出产厂家、型号、规格等）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设备</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有长宽高的简单体量</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具体的形状及尺寸</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将产品的参数添加到元素当中（出产厂家、型号、规格等）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0" w:hRule="atLeast"/>
        </w:trPr>
        <w:tc>
          <w:tcPr>
            <w:tcW w:w="595" w:type="dxa"/>
            <w:vMerge w:val="restart"/>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暖通</w:t>
            </w: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管道</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按着系统只绘主管线，标高可自行定义，按着系统添加不同的颜色</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按着系统绘制支管线，管线有准确的标高，管径尺寸。添加保温。</w:t>
            </w:r>
          </w:p>
        </w:tc>
        <w:tc>
          <w:tcPr>
            <w:tcW w:w="1617"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产品批次、生产日期信息；运输进场日期；施工安装日期、操作单位</w:t>
            </w:r>
          </w:p>
        </w:tc>
        <w:tc>
          <w:tcPr>
            <w:tcW w:w="2481"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将产品的参数添加到元素当中（出产厂家、型号、规格等）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管件</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绘制主管线上的管件</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绘制支管线上的管件。</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附件</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绘制主管线上的附件</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绘制支管线上的附件，添加连接件</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末端</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只是示意，无尺寸与标高要求</w:t>
            </w:r>
          </w:p>
        </w:tc>
        <w:tc>
          <w:tcPr>
            <w:tcW w:w="1617"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有具体的外形尺寸，添加连接件</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具体几何参数信息，添加连接件</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阀门</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不表示</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设备</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不表示</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仪表</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不表示</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3" w:hRule="atLeast"/>
        </w:trPr>
        <w:tc>
          <w:tcPr>
            <w:tcW w:w="595" w:type="dxa"/>
            <w:vMerge w:val="restart"/>
            <w:noWrap w:val="0"/>
            <w:textDirection w:val="tbRlV"/>
            <w:vAlign w:val="center"/>
          </w:tcPr>
          <w:p>
            <w:pPr>
              <w:spacing w:line="490" w:lineRule="exact"/>
              <w:ind w:left="113" w:right="113"/>
              <w:jc w:val="center"/>
              <w:rPr>
                <w:rFonts w:hint="eastAsia" w:ascii="宋体" w:hAnsi="宋体" w:cs="宋体"/>
                <w:color w:val="auto"/>
                <w:szCs w:val="21"/>
                <w:highlight w:val="none"/>
              </w:rPr>
            </w:pPr>
            <w:r>
              <w:rPr>
                <w:rFonts w:hint="eastAsia" w:ascii="宋体" w:hAnsi="宋体" w:cs="宋体"/>
                <w:color w:val="auto"/>
                <w:szCs w:val="21"/>
                <w:highlight w:val="none"/>
              </w:rPr>
              <w:t>电气工程</w:t>
            </w: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设备</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基本族</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基本族、名称、符合标准的二维符号，相应的标高</w:t>
            </w:r>
          </w:p>
        </w:tc>
        <w:tc>
          <w:tcPr>
            <w:tcW w:w="1617"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添加生产信息、运输进场信息和安装单位、安装日期等信息</w:t>
            </w:r>
          </w:p>
        </w:tc>
        <w:tc>
          <w:tcPr>
            <w:tcW w:w="2481"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按现场实际安装的产品型号深化模型:添加技术参数，说明及厂家信息，材质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textDirection w:val="tbRlV"/>
            <w:vAlign w:val="center"/>
          </w:tcPr>
          <w:p>
            <w:pPr>
              <w:spacing w:line="490" w:lineRule="exact"/>
              <w:ind w:left="113" w:right="113"/>
              <w:jc w:val="center"/>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母线桥架线槽</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基本路由</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基本路由、尺寸标高</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textDirection w:val="tbRlV"/>
            <w:vAlign w:val="center"/>
          </w:tcPr>
          <w:p>
            <w:pPr>
              <w:spacing w:line="490" w:lineRule="exact"/>
              <w:ind w:left="113" w:right="113"/>
              <w:jc w:val="center"/>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管路</w:t>
            </w:r>
          </w:p>
        </w:tc>
        <w:tc>
          <w:tcPr>
            <w:tcW w:w="1685"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基本路由、根数</w:t>
            </w:r>
          </w:p>
        </w:tc>
        <w:tc>
          <w:tcPr>
            <w:tcW w:w="16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基本路由、根数、所属系统</w:t>
            </w: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7" w:hRule="atLeast"/>
        </w:trPr>
        <w:tc>
          <w:tcPr>
            <w:tcW w:w="595" w:type="dxa"/>
            <w:vMerge w:val="restart"/>
            <w:noWrap w:val="0"/>
            <w:textDirection w:val="tbRlV"/>
            <w:vAlign w:val="center"/>
          </w:tcPr>
          <w:p>
            <w:pPr>
              <w:spacing w:line="490" w:lineRule="exact"/>
              <w:ind w:left="113" w:right="113"/>
              <w:jc w:val="center"/>
              <w:rPr>
                <w:rFonts w:hint="eastAsia" w:ascii="宋体" w:hAnsi="宋体" w:cs="宋体"/>
                <w:color w:val="auto"/>
                <w:szCs w:val="21"/>
                <w:highlight w:val="none"/>
              </w:rPr>
            </w:pPr>
            <w:r>
              <w:rPr>
                <w:rFonts w:hint="eastAsia" w:ascii="宋体" w:hAnsi="宋体" w:cs="宋体"/>
                <w:color w:val="auto"/>
                <w:szCs w:val="21"/>
                <w:highlight w:val="none"/>
              </w:rPr>
              <w:t>工艺设备</w:t>
            </w: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水泵</w:t>
            </w:r>
          </w:p>
        </w:tc>
        <w:tc>
          <w:tcPr>
            <w:tcW w:w="1685"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基本类别和族</w:t>
            </w:r>
          </w:p>
        </w:tc>
        <w:tc>
          <w:tcPr>
            <w:tcW w:w="1617"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长、宽、高限制，技术参数和设计要求</w:t>
            </w:r>
          </w:p>
        </w:tc>
        <w:tc>
          <w:tcPr>
            <w:tcW w:w="1617"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添加生产信息、运输进场信息和安装日期信息</w:t>
            </w:r>
          </w:p>
        </w:tc>
        <w:tc>
          <w:tcPr>
            <w:tcW w:w="2481" w:type="dxa"/>
            <w:vMerge w:val="restart"/>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按现场实际安装的产品型号深化模型；添加术参数、产品说明书/运行操作手册、保养及维修手册、售后信息等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污泥泵</w:t>
            </w:r>
          </w:p>
        </w:tc>
        <w:tc>
          <w:tcPr>
            <w:tcW w:w="1685"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风机</w:t>
            </w:r>
          </w:p>
        </w:tc>
        <w:tc>
          <w:tcPr>
            <w:tcW w:w="1685"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流量计</w:t>
            </w:r>
          </w:p>
        </w:tc>
        <w:tc>
          <w:tcPr>
            <w:tcW w:w="1685"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阀门</w:t>
            </w:r>
          </w:p>
        </w:tc>
        <w:tc>
          <w:tcPr>
            <w:tcW w:w="1685"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紫外消毒设备</w:t>
            </w:r>
          </w:p>
        </w:tc>
        <w:tc>
          <w:tcPr>
            <w:tcW w:w="1685"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595" w:type="dxa"/>
            <w:vMerge w:val="continue"/>
            <w:noWrap w:val="0"/>
            <w:vAlign w:val="center"/>
          </w:tcPr>
          <w:p>
            <w:pPr>
              <w:spacing w:line="490" w:lineRule="exact"/>
              <w:rPr>
                <w:rFonts w:hint="eastAsia" w:ascii="宋体" w:hAnsi="宋体" w:cs="宋体"/>
                <w:color w:val="auto"/>
                <w:szCs w:val="21"/>
                <w:highlight w:val="none"/>
              </w:rPr>
            </w:pPr>
          </w:p>
        </w:tc>
        <w:tc>
          <w:tcPr>
            <w:tcW w:w="993" w:type="dxa"/>
            <w:noWrap w:val="0"/>
            <w:vAlign w:val="center"/>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其他设备</w:t>
            </w:r>
          </w:p>
        </w:tc>
        <w:tc>
          <w:tcPr>
            <w:tcW w:w="1685"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1617" w:type="dxa"/>
            <w:vMerge w:val="continue"/>
            <w:noWrap w:val="0"/>
            <w:vAlign w:val="top"/>
          </w:tcPr>
          <w:p>
            <w:pPr>
              <w:spacing w:line="490" w:lineRule="exact"/>
              <w:rPr>
                <w:rFonts w:hint="eastAsia" w:ascii="宋体" w:hAnsi="宋体" w:cs="宋体"/>
                <w:color w:val="auto"/>
                <w:szCs w:val="21"/>
                <w:highlight w:val="none"/>
              </w:rPr>
            </w:pPr>
          </w:p>
        </w:tc>
        <w:tc>
          <w:tcPr>
            <w:tcW w:w="2481" w:type="dxa"/>
            <w:vMerge w:val="continue"/>
            <w:noWrap w:val="0"/>
            <w:vAlign w:val="top"/>
          </w:tcPr>
          <w:p>
            <w:pPr>
              <w:spacing w:line="490" w:lineRule="exact"/>
              <w:rPr>
                <w:rFonts w:hint="eastAsia" w:ascii="宋体" w:hAnsi="宋体" w:cs="宋体"/>
                <w:color w:val="auto"/>
                <w:szCs w:val="21"/>
                <w:highlight w:val="none"/>
              </w:rPr>
            </w:pPr>
          </w:p>
        </w:tc>
      </w:tr>
    </w:tbl>
    <w:p>
      <w:pPr>
        <w:spacing w:line="490" w:lineRule="exact"/>
        <w:rPr>
          <w:rFonts w:hint="eastAsia" w:ascii="宋体" w:hAnsi="宋体" w:cs="宋体"/>
          <w:color w:val="auto"/>
          <w:szCs w:val="21"/>
          <w:highlight w:val="none"/>
        </w:rPr>
      </w:pP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2、建模信息深度</w:t>
      </w:r>
    </w:p>
    <w:p>
      <w:pPr>
        <w:pStyle w:val="38"/>
        <w:spacing w:line="490" w:lineRule="exact"/>
        <w:ind w:left="992"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rPr>
        <w:t>表格:8：建筑专业几何信息深度</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8251"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信息内容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场地：场地边界（用地红线、高程、正北）地形、表面、建筑地坪、场地道路等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2</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建筑主体外观形状：例如体量形状大小、位置等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3</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建筑层数、高度、基本功能分隔构件、基本面积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4</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5</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6</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主要技术经济指标的基础数据（面积、高度、距离、定位等）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7</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主体建筑构件的几何尺寸、定位信息：楼地面、柱、外墙、外幕墙、屋顶、内墙、门窗、楼梯、坡道、电梯、管井、吊顶等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8</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主要建筑设施的几何尺寸、定位信息：卫浴、部分家具、部分厨房设施等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9</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主要建筑细节几何尺寸、定位信息：栏杆、扶手、装饰构件、功能性构件（如防水防潮、保温、隔声吸声）等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10</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主体建筑构件深化几何尺寸、定位信息：构造柱、过梁、基础、排水沟、集水坑等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11</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主要建筑设施深化几何尺寸、定位信息：卫浴、厨房设施等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12</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主要建筑装饰深化：材料位置、分割形式、铺装与划分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13</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主要构造深化与细节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14</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隐蔽工程与预留孔洞的几何尺寸、定位信息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15</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细化建筑经济技术指标的基础数据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16</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精细化构件细节组成与拆分的几何尺寸、定位信息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17</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最终构件的精确定位及外形尺寸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18</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最终确定的洞口的精确定位及尺寸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19</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构件为安装预留的细小孔洞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20</w:t>
            </w:r>
          </w:p>
        </w:tc>
        <w:tc>
          <w:tcPr>
            <w:tcW w:w="82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实际完成的建筑构配件的位置及尺寸</w:t>
            </w:r>
          </w:p>
        </w:tc>
      </w:tr>
    </w:tbl>
    <w:p>
      <w:pPr>
        <w:spacing w:line="490" w:lineRule="exact"/>
        <w:rPr>
          <w:rFonts w:hint="eastAsia" w:ascii="宋体" w:hAnsi="宋体" w:cs="宋体"/>
          <w:color w:val="auto"/>
          <w:szCs w:val="21"/>
          <w:highlight w:val="none"/>
        </w:rPr>
      </w:pPr>
    </w:p>
    <w:p>
      <w:pPr>
        <w:pStyle w:val="38"/>
        <w:spacing w:line="490" w:lineRule="exact"/>
        <w:ind w:left="992"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rPr>
        <w:t>表格9：建筑专业非几何信息深度</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8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blHeader/>
        </w:trPr>
        <w:tc>
          <w:tcPr>
            <w:tcW w:w="863"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823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信息内容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场地：地理区位、基本项目信息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2</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主要技术经济指标（建筑总面积、占地面积、建筑层数、建筑等级、容积率、建筑覆盖率等统计数据）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3</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建筑类别与等级（防火类别、防火等级、人防类别等级、防水防潮等级等基础数据）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4</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建筑房间与空间功能，使用人数，各种参数要求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5</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防火设计：防火等级、防火分区、各相关构件材料和防火要求等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6</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节能设计：材料选择、物理性能、构造设计等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7</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无障碍设计：设施材质、物理性能、参数指标要求等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8</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人防设计：设施材质、型号、参数指标要求等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9</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门窗与幕墙:物理性能、材质、等级、构造、工艺要求等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10</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电梯等设备：设计参数、材质、构造、工艺要求等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11</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安全、防护、防盗实施：设计参数、材质、构造、工艺要求等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12</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室内外用料说明。对采用新技术、新材料的做法说明及对特殊建筑和必要的建筑构造说明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13</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需要专业公司进行深化设计部分，对分包单位明确设计要求、确定技术接口的深度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14</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工业化生产要求与细节参数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15</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工程量统计信息：工程采购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16</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施工组织过程与程序信息与模拟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17</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最终工程采购信息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18</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最终建筑安装信息、构造信息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6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19</w:t>
            </w:r>
          </w:p>
        </w:tc>
        <w:tc>
          <w:tcPr>
            <w:tcW w:w="8237"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建筑物的各设备设施及构件的维修与运行信息。</w:t>
            </w:r>
          </w:p>
        </w:tc>
      </w:tr>
    </w:tbl>
    <w:p>
      <w:pPr>
        <w:spacing w:line="490" w:lineRule="exact"/>
        <w:rPr>
          <w:rFonts w:hint="eastAsia" w:ascii="宋体" w:hAnsi="宋体" w:cs="宋体"/>
          <w:color w:val="auto"/>
          <w:szCs w:val="21"/>
          <w:highlight w:val="none"/>
        </w:rPr>
      </w:pPr>
    </w:p>
    <w:p>
      <w:pPr>
        <w:pStyle w:val="38"/>
        <w:spacing w:line="490" w:lineRule="exact"/>
        <w:ind w:left="992"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rPr>
        <w:t>表格10：结构专业几何信息深度</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noWrap w:val="0"/>
            <w:vAlign w:val="top"/>
          </w:tcPr>
          <w:p>
            <w:pPr>
              <w:spacing w:line="490" w:lineRule="exact"/>
              <w:ind w:left="-122" w:leftChars="-51" w:right="-122" w:rightChars="-51"/>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8249"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信息内容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主要结构构件布置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2</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结构层数，结构高度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3</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主体结构构件：结构梁、结构板、结构柱、结构墙、水平及竖向支撑等的基本布置及截面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4</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空间结构的构件基本布置及截面，如桁架、网架的网格尺寸及高度等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5</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基础的类型及尺寸，如桩、筏板、独立基础等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6</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主要结构洞定位、尺寸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7</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次要结构构件深化：楼梯、坡道、排水沟、集水坑等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8</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次要结构细节深化：如节点构造、次要的预留孔洞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9</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建筑围护体系的结构构件布置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10</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钢结构深化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11</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预埋件，焊接件的定位及外形尺寸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12</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复杂节点模型的定位及外形尺寸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13</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施工支护的定位及外形尺寸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14</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构件为安装预留的细小孔洞。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15</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实际完成的建筑构配件的位置及尺寸</w:t>
            </w:r>
          </w:p>
        </w:tc>
      </w:tr>
    </w:tbl>
    <w:p>
      <w:pPr>
        <w:spacing w:line="490" w:lineRule="exact"/>
        <w:rPr>
          <w:rFonts w:hint="eastAsia" w:ascii="宋体" w:hAnsi="宋体" w:cs="宋体"/>
          <w:color w:val="auto"/>
          <w:szCs w:val="21"/>
          <w:highlight w:val="none"/>
        </w:rPr>
      </w:pPr>
    </w:p>
    <w:p>
      <w:pPr>
        <w:pStyle w:val="38"/>
        <w:spacing w:line="490" w:lineRule="exact"/>
        <w:ind w:left="992"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rPr>
        <w:t>表格11：结构专业非几何信息深度</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8249"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信息内容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项目结构基本信息，如设计使用年限，抗震设防烈度，抗震等级，设计地震分组，场地类别，结构安全等级，结构体系等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2</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构件材质信息，如混凝土强度等级，钢材强度等级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3</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结构荷载信息，如风荷载、雪荷载、温度荷载、楼面恒活荷载等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4</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构件的配筋信息钢筋构造要求信息，如钢筋锚固、截断要求等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5</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防火、防腐信息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6</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对采用新技术、新材料的做法说明及构造要求，如耐久性要求、保护层厚度等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7</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其它设计要求的信息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8</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工程量统计信息：主体材料分类统计，施工材料统计信息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9</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工料机信息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10</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施工组织及材料信息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11</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建筑物的各设备设施及构件的维修与运行信息。</w:t>
            </w:r>
          </w:p>
        </w:tc>
      </w:tr>
    </w:tbl>
    <w:p>
      <w:pPr>
        <w:spacing w:line="490" w:lineRule="exact"/>
        <w:jc w:val="left"/>
        <w:rPr>
          <w:rFonts w:hint="eastAsia" w:ascii="宋体" w:hAnsi="宋体" w:cs="宋体"/>
          <w:color w:val="auto"/>
          <w:szCs w:val="21"/>
          <w:highlight w:val="none"/>
        </w:rPr>
      </w:pPr>
    </w:p>
    <w:p>
      <w:pPr>
        <w:pStyle w:val="38"/>
        <w:spacing w:line="490" w:lineRule="exact"/>
        <w:ind w:left="992"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rPr>
        <w:t>表格12：机电专业BIM模型深度机电专业几何信息深度</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8283"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信息内容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主要机房或机房区的占位几何尺寸、定位信息。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主要路由（风井、水井、电井等）几何尺寸、定位信息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主要设备（锅炉、冷却塔、冷冻机、换热设备、水箱水池、变压器、燃气调压设备等）几何尺寸、定位信息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主要干管（管道、风管、桥架、电气套管等）几何尺寸、定位信息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所有机房的占位几何尺寸、定位信息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所有干管（管道、风管、桥架、电气套管等）几何尺寸、布置定位信息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支管（管道、风管、桥架、电气套管等）几何尺寸、布置定位信息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所有设备（水泵、消火栓、空调机组、暖气片、风机、配电箱柜等）几何尺寸、布置定位信息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管井内管线连接几何尺寸、布置定位信息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设备机房内设备布置定位信息和管线连接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11</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末端设备（空调末端、风口、喷头、灯具、烟感器等）布置定位信息和管线连接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管道、管线装置（主要阀门、计量表、消声器、开关、传感器等）布置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13</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细部深化模型各构件的实际几何尺寸、准确定位信息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14</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单项（太阳能热水、虹吸雨水、热泵系统室外部分、特殊弱电系统等）深化设计模型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开关面板、支吊架、管道连接件、阀门的规格、定位信息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16</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风管定制加工模型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line="490" w:lineRule="exact"/>
              <w:ind w:left="-161" w:leftChars="-67"/>
              <w:jc w:val="center"/>
              <w:rPr>
                <w:rFonts w:hint="eastAsia" w:ascii="宋体" w:hAnsi="宋体" w:cs="宋体"/>
                <w:color w:val="auto"/>
                <w:szCs w:val="21"/>
                <w:highlight w:val="none"/>
              </w:rPr>
            </w:pPr>
            <w:r>
              <w:rPr>
                <w:rFonts w:hint="eastAsia" w:ascii="宋体" w:hAnsi="宋体" w:cs="宋体"/>
                <w:color w:val="auto"/>
                <w:szCs w:val="21"/>
                <w:highlight w:val="none"/>
              </w:rPr>
              <w:t>17</w:t>
            </w:r>
          </w:p>
        </w:tc>
        <w:tc>
          <w:tcPr>
            <w:tcW w:w="8283"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实际完成的建筑设备与管道构件及配件的位置及尺寸</w:t>
            </w:r>
          </w:p>
        </w:tc>
      </w:tr>
    </w:tbl>
    <w:p>
      <w:pPr>
        <w:spacing w:line="490" w:lineRule="exact"/>
        <w:ind w:right="480"/>
        <w:rPr>
          <w:rFonts w:hint="eastAsia" w:ascii="宋体" w:hAnsi="宋体" w:cs="宋体"/>
          <w:color w:val="auto"/>
          <w:szCs w:val="21"/>
          <w:highlight w:val="none"/>
        </w:rPr>
      </w:pPr>
    </w:p>
    <w:p>
      <w:pPr>
        <w:pStyle w:val="38"/>
        <w:spacing w:line="490" w:lineRule="exact"/>
        <w:ind w:left="992"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rPr>
        <w:t>表格13：机电专业非几何信息深度</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8249"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信息内容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系统选用方式及相关参数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2</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机房的隔声、防水、防火要求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3</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主要设备功率、性能数据、规格信息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4</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主要系统信息和数据（说明建筑相关能源供给方式，如：市政水条件、冷热源条件）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5</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设备性能参数数据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6</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所有系统信息和数据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7</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管道管材、保温材质信息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8</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暖通负荷的基础数据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9</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电气负荷的基础数据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10</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水力计算、照明分析的基础数据和系统逻辑信息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11</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主要设备统计信息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12</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设备及管道安装工法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13</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管道连接方式及材质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14</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系统详细配置信息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15</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设备、材料、工程量统计信息：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16</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施工组织过程与程序信息与模拟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17</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采购设备详细信息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18</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最后安装完成管线信息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19</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设备管理信息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20</w:t>
            </w:r>
          </w:p>
        </w:tc>
        <w:tc>
          <w:tcPr>
            <w:tcW w:w="8249"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运维分析所需的数据、系统逻辑信息</w:t>
            </w:r>
          </w:p>
        </w:tc>
      </w:tr>
    </w:tbl>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3、模型的建立规则</w:t>
      </w:r>
    </w:p>
    <w:p>
      <w:pPr>
        <w:spacing w:line="490" w:lineRule="exact"/>
        <w:ind w:firstLine="360" w:firstLineChars="150"/>
        <w:rPr>
          <w:rFonts w:hint="eastAsia" w:ascii="宋体" w:hAnsi="宋体" w:cs="宋体"/>
          <w:color w:val="auto"/>
          <w:szCs w:val="21"/>
          <w:highlight w:val="none"/>
        </w:rPr>
      </w:pPr>
      <w:r>
        <w:rPr>
          <w:rFonts w:hint="eastAsia" w:ascii="宋体" w:hAnsi="宋体" w:cs="宋体"/>
          <w:color w:val="auto"/>
          <w:szCs w:val="21"/>
          <w:highlight w:val="none"/>
        </w:rPr>
        <w:t>施工模型的构件搭建还应该满足工程量统计的需求，包括混凝土工程量、机电工程量、建筑门窗、幕墙等等。</w:t>
      </w:r>
    </w:p>
    <w:p>
      <w:pPr>
        <w:spacing w:line="490" w:lineRule="exact"/>
        <w:ind w:firstLine="361" w:firstLineChars="150"/>
        <w:outlineLvl w:val="2"/>
        <w:rPr>
          <w:rFonts w:hint="eastAsia" w:ascii="宋体" w:hAnsi="宋体" w:cs="宋体"/>
          <w:b/>
          <w:color w:val="auto"/>
          <w:szCs w:val="21"/>
          <w:highlight w:val="none"/>
        </w:rPr>
      </w:pPr>
      <w:bookmarkStart w:id="260" w:name="_Toc10615"/>
      <w:r>
        <w:rPr>
          <w:rFonts w:hint="eastAsia" w:ascii="宋体" w:hAnsi="宋体" w:cs="宋体"/>
          <w:b/>
          <w:color w:val="auto"/>
          <w:szCs w:val="21"/>
          <w:highlight w:val="none"/>
        </w:rPr>
        <w:t>七、BIM模型管理</w:t>
      </w:r>
      <w:bookmarkEnd w:id="260"/>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1、施工总承包为其建立BIM模型的创建者，BIM模型管理者为业主。</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2、BIM模型保存与使用：BIM模型于未经验收移交给接管单位接收前，由承包人负责有关BIM档案信息的保存，并对模型之正确性与一致性负完全责任。但其模型应按协同管理平台要求，及时提交协同平台授权管理</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3、承包人应完成建筑信息管理的规范建立如下（包括但不限于）：BIM模型原点、整合系统、度量单位；档案储存位置与BIM模型档案的传输与取得流程；与项目进度软件整合；模型整合（含碰撞检查）；取得权限等相关规范。</w:t>
      </w:r>
    </w:p>
    <w:p>
      <w:pPr>
        <w:pStyle w:val="38"/>
        <w:spacing w:line="49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 xml:space="preserve">4、BIM软件应能兼容Revit </w:t>
      </w:r>
      <w:r>
        <w:rPr>
          <w:rFonts w:hint="eastAsia" w:ascii="宋体" w:hAnsi="宋体" w:cs="宋体"/>
          <w:color w:val="auto"/>
          <w:szCs w:val="21"/>
          <w:highlight w:val="none"/>
          <w:lang w:val="en-US" w:eastAsia="zh-CN"/>
        </w:rPr>
        <w:t>2020</w:t>
      </w:r>
      <w:r>
        <w:rPr>
          <w:rFonts w:hint="eastAsia" w:ascii="宋体" w:hAnsi="宋体" w:cs="宋体"/>
          <w:color w:val="auto"/>
          <w:szCs w:val="21"/>
          <w:highlight w:val="none"/>
        </w:rPr>
        <w:t xml:space="preserve"> 和Navisworks </w:t>
      </w:r>
      <w:r>
        <w:rPr>
          <w:rFonts w:hint="eastAsia" w:ascii="宋体" w:hAnsi="宋体" w:cs="宋体"/>
          <w:color w:val="auto"/>
          <w:szCs w:val="21"/>
          <w:highlight w:val="none"/>
          <w:lang w:val="en-US" w:eastAsia="zh-CN"/>
        </w:rPr>
        <w:t>2020</w:t>
      </w:r>
      <w:r>
        <w:rPr>
          <w:rFonts w:hint="eastAsia" w:ascii="宋体" w:hAnsi="宋体" w:cs="宋体"/>
          <w:color w:val="auto"/>
          <w:szCs w:val="21"/>
          <w:highlight w:val="none"/>
        </w:rPr>
        <w:t>。</w:t>
      </w:r>
    </w:p>
    <w:p>
      <w:pPr>
        <w:pStyle w:val="38"/>
        <w:spacing w:line="49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5、承包人应该使用正版的BIM软件。</w:t>
      </w:r>
    </w:p>
    <w:p>
      <w:pPr>
        <w:pStyle w:val="38"/>
        <w:spacing w:line="49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6、所建立的BIM数据应能够方便发包人、管理公司、监理、设计单位、顾问公司等各方快速获取。</w:t>
      </w:r>
    </w:p>
    <w:p>
      <w:pPr>
        <w:pStyle w:val="38"/>
        <w:spacing w:line="49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7、承包人应配备性能足够强大的电脑以及相应的软件满足建立、更新、维护BIM模型的需要</w:t>
      </w:r>
    </w:p>
    <w:p>
      <w:pPr>
        <w:pStyle w:val="38"/>
        <w:spacing w:line="49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8、承包人应配备足够的专业专职人员建立、更新、维护BIM模型，BIM建模会议</w:t>
      </w:r>
    </w:p>
    <w:p>
      <w:pPr>
        <w:pStyle w:val="38"/>
        <w:spacing w:line="490" w:lineRule="exact"/>
        <w:rPr>
          <w:rFonts w:hint="eastAsia" w:ascii="宋体" w:hAnsi="宋体" w:cs="宋体"/>
          <w:color w:val="auto"/>
          <w:szCs w:val="21"/>
          <w:highlight w:val="none"/>
        </w:rPr>
      </w:pPr>
      <w:r>
        <w:rPr>
          <w:rFonts w:hint="eastAsia" w:ascii="宋体" w:hAnsi="宋体" w:cs="宋体"/>
          <w:color w:val="auto"/>
          <w:szCs w:val="21"/>
          <w:highlight w:val="none"/>
        </w:rPr>
        <w:t>9、承包人于签约后应定期参加有关建筑信息建模会议，并依工程进度及状况，召开临时会议。参加会议人员包括负责人员及召集配合应出席的分包厂商人员等。</w:t>
      </w:r>
    </w:p>
    <w:p>
      <w:pPr>
        <w:pStyle w:val="38"/>
        <w:spacing w:line="49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10、承包人的建筑信息建模计划，应先请发包人或发包人指定的BIM模型管理者同意，并在建模前会同发包人或发包人指定的BIM模型管理者完成准备作业的检查工作无误后，始得进入建模程序。</w:t>
      </w:r>
    </w:p>
    <w:p>
      <w:pPr>
        <w:pStyle w:val="38"/>
        <w:spacing w:line="49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11、承包人应定期提出建模进度报告。</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12、响应BIM总包和监理公司提出的要求。</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13、BIM交换格式</w:t>
      </w:r>
    </w:p>
    <w:p>
      <w:pPr>
        <w:spacing w:line="490" w:lineRule="exact"/>
        <w:ind w:left="600" w:leftChars="250" w:firstLine="240" w:firstLineChars="100"/>
        <w:rPr>
          <w:rFonts w:hint="eastAsia" w:ascii="宋体" w:hAnsi="宋体" w:cs="宋体"/>
          <w:color w:val="auto"/>
          <w:szCs w:val="21"/>
          <w:highlight w:val="none"/>
        </w:rPr>
      </w:pPr>
      <w:r>
        <w:rPr>
          <w:rFonts w:hint="eastAsia" w:ascii="宋体" w:hAnsi="宋体" w:cs="宋体"/>
          <w:color w:val="auto"/>
          <w:szCs w:val="21"/>
          <w:highlight w:val="none"/>
        </w:rPr>
        <w:t xml:space="preserve">使用Autodesk的Revit </w:t>
      </w:r>
      <w:r>
        <w:rPr>
          <w:rFonts w:hint="eastAsia" w:ascii="宋体" w:hAnsi="宋体" w:cs="宋体"/>
          <w:color w:val="auto"/>
          <w:szCs w:val="21"/>
          <w:highlight w:val="none"/>
          <w:lang w:val="en-US" w:eastAsia="zh-CN"/>
        </w:rPr>
        <w:t>2020</w:t>
      </w:r>
      <w:r>
        <w:rPr>
          <w:rFonts w:hint="eastAsia" w:ascii="宋体" w:hAnsi="宋体" w:cs="宋体"/>
          <w:color w:val="auto"/>
          <w:szCs w:val="21"/>
          <w:highlight w:val="none"/>
        </w:rPr>
        <w:t>软件及其相应的格式文件。</w:t>
      </w:r>
    </w:p>
    <w:p>
      <w:pPr>
        <w:spacing w:line="490" w:lineRule="exact"/>
        <w:ind w:left="600" w:leftChars="250" w:firstLine="240" w:firstLineChars="100"/>
        <w:rPr>
          <w:rFonts w:hint="eastAsia" w:ascii="宋体" w:hAnsi="宋体" w:cs="宋体"/>
          <w:color w:val="auto"/>
          <w:szCs w:val="21"/>
          <w:highlight w:val="none"/>
        </w:rPr>
      </w:pPr>
      <w:r>
        <w:rPr>
          <w:rFonts w:hint="eastAsia" w:ascii="宋体" w:hAnsi="宋体" w:cs="宋体"/>
          <w:color w:val="auto"/>
          <w:szCs w:val="21"/>
          <w:highlight w:val="none"/>
        </w:rPr>
        <w:t>使用Autodesk的Navisworks</w:t>
      </w:r>
      <w:r>
        <w:rPr>
          <w:rFonts w:hint="eastAsia" w:ascii="宋体" w:hAnsi="宋体" w:cs="宋体"/>
          <w:color w:val="auto"/>
          <w:szCs w:val="21"/>
          <w:highlight w:val="none"/>
          <w:lang w:val="en-US" w:eastAsia="zh-CN"/>
        </w:rPr>
        <w:t>2020</w:t>
      </w:r>
      <w:r>
        <w:rPr>
          <w:rFonts w:hint="eastAsia" w:ascii="宋体" w:hAnsi="宋体" w:cs="宋体"/>
          <w:color w:val="auto"/>
          <w:szCs w:val="21"/>
          <w:highlight w:val="none"/>
        </w:rPr>
        <w:t>软件及其相应的格式文件。</w:t>
      </w:r>
    </w:p>
    <w:p>
      <w:pPr>
        <w:spacing w:line="490" w:lineRule="exact"/>
        <w:ind w:firstLine="960" w:firstLineChars="400"/>
        <w:outlineLvl w:val="2"/>
        <w:rPr>
          <w:rFonts w:hint="eastAsia" w:ascii="宋体" w:hAnsi="宋体" w:cs="宋体"/>
          <w:color w:val="auto"/>
          <w:szCs w:val="21"/>
          <w:highlight w:val="none"/>
        </w:rPr>
      </w:pPr>
      <w:bookmarkStart w:id="261" w:name="_Toc7943"/>
      <w:r>
        <w:rPr>
          <w:rFonts w:hint="eastAsia" w:ascii="宋体" w:hAnsi="宋体" w:cs="宋体"/>
          <w:color w:val="auto"/>
          <w:szCs w:val="21"/>
          <w:highlight w:val="none"/>
        </w:rPr>
        <w:t>其他发包人、BIM总包同意的格式文件</w:t>
      </w:r>
      <w:bookmarkEnd w:id="261"/>
    </w:p>
    <w:p>
      <w:pPr>
        <w:spacing w:line="490" w:lineRule="exact"/>
        <w:ind w:firstLine="361" w:firstLineChars="150"/>
        <w:outlineLvl w:val="2"/>
        <w:rPr>
          <w:rFonts w:hint="eastAsia" w:ascii="宋体" w:hAnsi="宋体" w:cs="宋体"/>
          <w:b/>
          <w:color w:val="auto"/>
          <w:szCs w:val="21"/>
          <w:highlight w:val="none"/>
        </w:rPr>
      </w:pPr>
      <w:bookmarkStart w:id="262" w:name="_Toc12688"/>
      <w:r>
        <w:rPr>
          <w:rFonts w:hint="eastAsia" w:ascii="宋体" w:hAnsi="宋体" w:cs="宋体"/>
          <w:b/>
          <w:color w:val="auto"/>
          <w:szCs w:val="21"/>
          <w:highlight w:val="none"/>
        </w:rPr>
        <w:t>八、知识产权</w:t>
      </w:r>
      <w:bookmarkEnd w:id="262"/>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1、凡是在施工阶段BIM应用过程中，采用第三方知识产权的技术的，</w:t>
      </w:r>
      <w:r>
        <w:rPr>
          <w:rFonts w:hint="eastAsia" w:ascii="宋体" w:hAnsi="宋体" w:cs="宋体"/>
          <w:color w:val="auto"/>
          <w:szCs w:val="21"/>
          <w:highlight w:val="none"/>
          <w:lang w:val="en-US" w:eastAsia="zh-CN"/>
        </w:rPr>
        <w:t>承包人</w:t>
      </w:r>
      <w:r>
        <w:rPr>
          <w:rFonts w:hint="eastAsia" w:ascii="宋体" w:hAnsi="宋体" w:cs="宋体"/>
          <w:color w:val="auto"/>
          <w:szCs w:val="21"/>
          <w:highlight w:val="none"/>
        </w:rPr>
        <w:t>应购买相应的知识产权，相应产生的BIM成果所有权归业主单位所有。</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2、施工阶段的所有BIM应用成果和BIM模型，凡涉及承包人工作内容的，承包人均享有署名权，业主享有其所有权，在征得业主同意后，承包人可以享有使用权。</w:t>
      </w:r>
    </w:p>
    <w:p>
      <w:pPr>
        <w:spacing w:line="490" w:lineRule="exact"/>
        <w:ind w:firstLine="360" w:firstLineChars="150"/>
        <w:rPr>
          <w:rFonts w:hint="eastAsia" w:ascii="宋体" w:hAnsi="宋体" w:cs="宋体"/>
          <w:color w:val="auto"/>
          <w:szCs w:val="21"/>
          <w:highlight w:val="none"/>
        </w:rPr>
      </w:pPr>
      <w:r>
        <w:rPr>
          <w:rFonts w:hint="eastAsia" w:ascii="宋体" w:hAnsi="宋体" w:cs="宋体"/>
          <w:color w:val="auto"/>
          <w:szCs w:val="21"/>
          <w:highlight w:val="none"/>
        </w:rPr>
        <w:t>3、所有3D、4D和与BIM有关的信息均为保密信息。除合同另有规定，未经业主同意，承包人不得非法向第三方透露、或提供BIM模型。承包人在得到业主的同意和授权发布消息之前，应确保并做好相关的数据传递／交接记录。</w:t>
      </w:r>
    </w:p>
    <w:p>
      <w:pPr>
        <w:spacing w:line="490" w:lineRule="exact"/>
        <w:ind w:firstLine="361" w:firstLineChars="150"/>
        <w:outlineLvl w:val="2"/>
        <w:rPr>
          <w:rFonts w:hint="eastAsia" w:ascii="宋体" w:hAnsi="宋体" w:cs="宋体"/>
          <w:b/>
          <w:color w:val="auto"/>
          <w:szCs w:val="21"/>
          <w:highlight w:val="none"/>
        </w:rPr>
      </w:pPr>
      <w:bookmarkStart w:id="263" w:name="_Toc761"/>
      <w:r>
        <w:rPr>
          <w:rFonts w:hint="eastAsia" w:ascii="宋体" w:hAnsi="宋体" w:cs="宋体"/>
          <w:b/>
          <w:color w:val="auto"/>
          <w:szCs w:val="21"/>
          <w:highlight w:val="none"/>
        </w:rPr>
        <w:t>九、BIM实施计划</w:t>
      </w:r>
      <w:bookmarkEnd w:id="263"/>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1、承包人应于施工总承包合同签订后15日内，拟定建筑信息建模方式与进度计划，包含各分项工作信息建模送审日期，交业主审核，并按照业主指示更改。承包人应该根据业主BIM实施大纲的要求，提交施工阶段具体的BIM实施计划。按照阶段应用，提交分阶段BIM应用实施计划，整个施工阶段的BIM应用按照实施计划进行实施。</w:t>
      </w:r>
    </w:p>
    <w:p>
      <w:pPr>
        <w:pStyle w:val="38"/>
        <w:spacing w:line="490" w:lineRule="exact"/>
        <w:ind w:firstLineChars="0"/>
        <w:rPr>
          <w:rFonts w:hint="eastAsia" w:ascii="宋体" w:hAnsi="宋体" w:cs="宋体"/>
          <w:color w:val="auto"/>
          <w:szCs w:val="21"/>
          <w:highlight w:val="none"/>
        </w:rPr>
      </w:pPr>
      <w:r>
        <w:rPr>
          <w:rFonts w:hint="eastAsia" w:ascii="宋体" w:hAnsi="宋体" w:cs="宋体"/>
          <w:color w:val="auto"/>
          <w:szCs w:val="21"/>
          <w:highlight w:val="none"/>
        </w:rPr>
        <w:t>2、承包人应提供BIM模型的创建、维护和应用计划，以及BIM人力资源计划，其中应至少包括下表中几个时间节点的说明。</w:t>
      </w:r>
    </w:p>
    <w:p>
      <w:pPr>
        <w:pStyle w:val="38"/>
        <w:spacing w:line="490" w:lineRule="exact"/>
        <w:ind w:left="992" w:right="480" w:firstLine="0" w:firstLineChars="0"/>
        <w:rPr>
          <w:rFonts w:hint="eastAsia" w:ascii="宋体" w:hAnsi="宋体" w:cs="宋体"/>
          <w:color w:val="auto"/>
          <w:szCs w:val="21"/>
          <w:highlight w:val="none"/>
        </w:rPr>
      </w:pPr>
      <w:r>
        <w:rPr>
          <w:rFonts w:hint="eastAsia" w:ascii="宋体" w:hAnsi="宋体" w:cs="宋体"/>
          <w:color w:val="auto"/>
          <w:szCs w:val="21"/>
          <w:highlight w:val="none"/>
        </w:rPr>
        <w:t>表格14：成果时间表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6"/>
        <w:gridCol w:w="5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166"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成果描述</w:t>
            </w:r>
          </w:p>
        </w:tc>
        <w:tc>
          <w:tcPr>
            <w:tcW w:w="5322"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6"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BIM组织架构表</w:t>
            </w:r>
          </w:p>
        </w:tc>
        <w:tc>
          <w:tcPr>
            <w:tcW w:w="5322"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合同签订后的5天内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6"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BIM执行计划书</w:t>
            </w:r>
          </w:p>
        </w:tc>
        <w:tc>
          <w:tcPr>
            <w:tcW w:w="5322"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合同签订后的15天内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6"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基础BIM施工模型</w:t>
            </w:r>
          </w:p>
        </w:tc>
        <w:tc>
          <w:tcPr>
            <w:tcW w:w="5322"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拿到施工图后30天内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6"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各专业施工深化模型</w:t>
            </w:r>
          </w:p>
        </w:tc>
        <w:tc>
          <w:tcPr>
            <w:tcW w:w="5322"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与深化图纸一起递交BIM模型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6"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施工变更引起的模型修改</w:t>
            </w:r>
          </w:p>
        </w:tc>
        <w:tc>
          <w:tcPr>
            <w:tcW w:w="5322"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在收到变更单后的14天内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6"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碰撞检测报告及解决碰撞</w:t>
            </w:r>
          </w:p>
        </w:tc>
        <w:tc>
          <w:tcPr>
            <w:tcW w:w="5322"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在相应部位施工前的1个月内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6"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4D施工模拟及进度优化</w:t>
            </w:r>
          </w:p>
        </w:tc>
        <w:tc>
          <w:tcPr>
            <w:tcW w:w="5322"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在相应部位施工前的1个月内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6"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BIM竣工模型</w:t>
            </w:r>
          </w:p>
        </w:tc>
        <w:tc>
          <w:tcPr>
            <w:tcW w:w="5322"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在出具完工证明以前</w:t>
            </w:r>
          </w:p>
        </w:tc>
      </w:tr>
    </w:tbl>
    <w:p>
      <w:pPr>
        <w:spacing w:line="490" w:lineRule="exact"/>
        <w:ind w:firstLine="361" w:firstLineChars="150"/>
        <w:outlineLvl w:val="2"/>
        <w:rPr>
          <w:rFonts w:hint="eastAsia" w:ascii="宋体" w:hAnsi="宋体" w:cs="宋体"/>
          <w:b/>
          <w:color w:val="auto"/>
          <w:szCs w:val="21"/>
          <w:highlight w:val="none"/>
        </w:rPr>
      </w:pPr>
      <w:bookmarkStart w:id="264" w:name="_Toc2976"/>
      <w:r>
        <w:rPr>
          <w:rFonts w:hint="eastAsia" w:ascii="宋体" w:hAnsi="宋体" w:cs="宋体"/>
          <w:b/>
          <w:color w:val="auto"/>
          <w:szCs w:val="21"/>
          <w:highlight w:val="none"/>
        </w:rPr>
        <w:t>十、BIM成果要求</w:t>
      </w:r>
      <w:bookmarkEnd w:id="264"/>
    </w:p>
    <w:p>
      <w:pPr>
        <w:pStyle w:val="38"/>
        <w:spacing w:line="490" w:lineRule="exact"/>
        <w:ind w:left="992"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rPr>
        <w:t>表格15：交付成果</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7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项目阶段</w:t>
            </w:r>
          </w:p>
        </w:tc>
        <w:tc>
          <w:tcPr>
            <w:tcW w:w="7358" w:type="dxa"/>
            <w:noWrap w:val="0"/>
            <w:vAlign w:val="top"/>
          </w:tcPr>
          <w:p>
            <w:pPr>
              <w:spacing w:line="490" w:lineRule="exact"/>
              <w:ind w:left="960" w:leftChars="200" w:hanging="480" w:hangingChars="200"/>
              <w:rPr>
                <w:rFonts w:hint="eastAsia" w:ascii="宋体" w:hAnsi="宋体" w:cs="宋体"/>
                <w:color w:val="auto"/>
                <w:szCs w:val="21"/>
                <w:highlight w:val="none"/>
              </w:rPr>
            </w:pPr>
            <w:r>
              <w:rPr>
                <w:rFonts w:hint="eastAsia" w:ascii="宋体" w:hAnsi="宋体" w:cs="宋体"/>
                <w:color w:val="auto"/>
                <w:szCs w:val="21"/>
                <w:highlight w:val="none"/>
              </w:rPr>
              <w:t>BIM建模深度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施工图深化设计</w:t>
            </w:r>
          </w:p>
          <w:p>
            <w:pPr>
              <w:numPr>
                <w:ilvl w:val="0"/>
                <w:numId w:val="22"/>
              </w:num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可施工性</w:t>
            </w:r>
          </w:p>
        </w:tc>
        <w:tc>
          <w:tcPr>
            <w:tcW w:w="7358"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物体主要组成部分必须在几何上表述准确，能够反映物体的实际外形，保证不会在施工模拟和碰撞检查中产生错误判断，构件应包含几何尺寸、材质、产品信息（例如电压、功率）等。模型包含信息量与施工图设计完成时的CAD图纸上的信息量应该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施工阶段</w:t>
            </w:r>
          </w:p>
          <w:p>
            <w:pPr>
              <w:numPr>
                <w:ilvl w:val="0"/>
                <w:numId w:val="22"/>
              </w:num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可施工性</w:t>
            </w:r>
          </w:p>
          <w:p>
            <w:pPr>
              <w:numPr>
                <w:ilvl w:val="0"/>
                <w:numId w:val="22"/>
              </w:num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制造</w:t>
            </w:r>
          </w:p>
          <w:p>
            <w:pPr>
              <w:numPr>
                <w:ilvl w:val="0"/>
                <w:numId w:val="22"/>
              </w:num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工期计划</w:t>
            </w:r>
          </w:p>
          <w:p>
            <w:pPr>
              <w:spacing w:line="490" w:lineRule="exact"/>
              <w:rPr>
                <w:rFonts w:hint="eastAsia" w:ascii="宋体" w:hAnsi="宋体" w:cs="宋体"/>
                <w:color w:val="auto"/>
                <w:szCs w:val="21"/>
                <w:highlight w:val="none"/>
              </w:rPr>
            </w:pPr>
          </w:p>
        </w:tc>
        <w:tc>
          <w:tcPr>
            <w:tcW w:w="7358"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满足表格4至表格12的深度，详细的模型实体，最终确定模型尺寸，能够根据该模型进行构件的加工制造，构件除包括几何尺寸、材质、产品信息外，还应附加模型的施工信息，包括生产、运输、安装等方面。施工过程中承包人应输入时间数据，形成4D的BIM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竣工提交阶段</w:t>
            </w:r>
          </w:p>
        </w:tc>
        <w:tc>
          <w:tcPr>
            <w:tcW w:w="7358" w:type="dxa"/>
            <w:noWrap w:val="0"/>
            <w:vAlign w:val="top"/>
          </w:tcPr>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满足表格4至表格12的深度，除最终确定的模型尺寸外，还应包括其他竣工资料提交时所需的信息。</w:t>
            </w:r>
          </w:p>
          <w:p>
            <w:pPr>
              <w:spacing w:line="490" w:lineRule="exact"/>
              <w:rPr>
                <w:rFonts w:hint="eastAsia" w:ascii="宋体" w:hAnsi="宋体" w:cs="宋体"/>
                <w:color w:val="auto"/>
                <w:szCs w:val="21"/>
                <w:highlight w:val="none"/>
              </w:rPr>
            </w:pPr>
            <w:r>
              <w:rPr>
                <w:rFonts w:hint="eastAsia" w:ascii="宋体" w:hAnsi="宋体" w:cs="宋体"/>
                <w:color w:val="auto"/>
                <w:szCs w:val="21"/>
                <w:highlight w:val="none"/>
              </w:rPr>
              <w:t>（资料应包括工艺设备的技术参数、产品说明书/运行操作手册、保养及维修手册、售后信息等）。</w:t>
            </w:r>
          </w:p>
        </w:tc>
      </w:tr>
    </w:tbl>
    <w:p>
      <w:pPr>
        <w:spacing w:line="490" w:lineRule="exact"/>
        <w:ind w:firstLine="360" w:firstLineChars="150"/>
        <w:rPr>
          <w:rFonts w:hint="eastAsia" w:ascii="宋体" w:hAnsi="宋体" w:cs="宋体"/>
          <w:color w:val="auto"/>
          <w:szCs w:val="21"/>
          <w:highlight w:val="none"/>
        </w:rPr>
      </w:pPr>
      <w:r>
        <w:rPr>
          <w:rFonts w:hint="eastAsia" w:ascii="宋体" w:hAnsi="宋体" w:cs="宋体"/>
          <w:color w:val="auto"/>
          <w:szCs w:val="21"/>
          <w:highlight w:val="none"/>
        </w:rPr>
        <w:t>BIM模型的所有输出结果，包括发布的、废弃的和竣工的数据应该归档到项目文件夹下。另外，在项目各重要阶段，应当拷贝一套完整的BIM数据和相关的可交付成果到归档位置，存储为一份不作任何更改的备份。BIM档案应包括两组文件。第一组为从各个模型创建者那里收到的单专业BIM模型和相关可交付成果的集合。第二组文件应当为那些单专业BIM模型的汇总，要以便于归档和查看的模式储存。</w:t>
      </w:r>
    </w:p>
    <w:p>
      <w:pPr>
        <w:spacing w:line="490" w:lineRule="exact"/>
        <w:ind w:firstLine="361" w:firstLineChars="150"/>
        <w:outlineLvl w:val="2"/>
        <w:rPr>
          <w:rFonts w:hint="eastAsia" w:ascii="宋体" w:hAnsi="宋体" w:cs="宋体"/>
          <w:b/>
          <w:color w:val="auto"/>
          <w:szCs w:val="21"/>
          <w:highlight w:val="none"/>
        </w:rPr>
      </w:pPr>
      <w:bookmarkStart w:id="265" w:name="_Toc29497"/>
      <w:r>
        <w:rPr>
          <w:rFonts w:hint="eastAsia" w:ascii="宋体" w:hAnsi="宋体" w:cs="宋体"/>
          <w:b/>
          <w:color w:val="auto"/>
          <w:szCs w:val="21"/>
          <w:highlight w:val="none"/>
        </w:rPr>
        <w:t>十一、数据安全和保存</w:t>
      </w:r>
      <w:bookmarkEnd w:id="265"/>
    </w:p>
    <w:p>
      <w:pPr>
        <w:spacing w:line="490" w:lineRule="exact"/>
        <w:ind w:firstLine="360" w:firstLineChars="150"/>
        <w:rPr>
          <w:rFonts w:hint="eastAsia" w:ascii="宋体" w:hAnsi="宋体" w:cs="宋体"/>
          <w:color w:val="auto"/>
          <w:szCs w:val="21"/>
          <w:highlight w:val="none"/>
        </w:rPr>
      </w:pPr>
      <w:r>
        <w:rPr>
          <w:rFonts w:hint="eastAsia" w:ascii="宋体" w:hAnsi="宋体" w:cs="宋体"/>
          <w:color w:val="auto"/>
          <w:szCs w:val="21"/>
          <w:highlight w:val="none"/>
        </w:rPr>
        <w:t>应建立数据安全协议，防止任何数据崩溃、病毒感染以及项目团队成员、其他员工或外来人员的不恰当使用或故意损坏。建立用户进入权限，防止数据在交换、维护和归档过程中丢失或损坏。应当定期备份保存在网络服务器上的BIM项目数据。</w:t>
      </w:r>
    </w:p>
    <w:p>
      <w:pPr>
        <w:spacing w:line="490" w:lineRule="exact"/>
        <w:ind w:firstLine="361" w:firstLineChars="150"/>
        <w:outlineLvl w:val="2"/>
        <w:rPr>
          <w:rFonts w:hint="eastAsia" w:ascii="宋体" w:hAnsi="宋体" w:cs="宋体"/>
          <w:b/>
          <w:color w:val="auto"/>
          <w:szCs w:val="21"/>
          <w:highlight w:val="none"/>
        </w:rPr>
      </w:pPr>
      <w:bookmarkStart w:id="266" w:name="_Toc3890"/>
      <w:r>
        <w:rPr>
          <w:rFonts w:hint="eastAsia" w:ascii="宋体" w:hAnsi="宋体" w:cs="宋体"/>
          <w:b/>
          <w:color w:val="auto"/>
          <w:szCs w:val="21"/>
          <w:highlight w:val="none"/>
        </w:rPr>
        <w:t>十二、质量保证和质量控制</w:t>
      </w:r>
      <w:bookmarkEnd w:id="266"/>
    </w:p>
    <w:p>
      <w:pPr>
        <w:spacing w:line="49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承包人应当建立BIM模型的质量保证计划，确保进行信息和数据准确性的检查。各个专业的BIM协调员应当建立质量控制程序，确保专业模型准确和正确，建模手册。</w:t>
      </w:r>
    </w:p>
    <w:p>
      <w:pPr>
        <w:spacing w:line="49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在提交可交付成果前，每个项目成员应该负责对他们的设计、数据和模型属性质量进行控制检查。确定质量保证计划时，应该考虑如下方面:</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建模手册</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◇确保模型根据建模手册和CAD标准创建数据集验证</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◇确保数据集的数据正确。</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碰撞检查</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◇使用碰撞检测软件，检测两个建筑构件之间是否有冲突，确认用于多专业模型协调的BIM数据。</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◇BIM中应去除所有的图纸多余的视点</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◇应当检查、整理和压缩各模型文件。</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◇文件格式和命名符合项目数据交换协议</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◇数据分割符合BIM执行计划中商定的方式。</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◇模型文件要保持更新，包含所有用户的本地修改。</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◇模型文件与中心文件要分离</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◇去除任何链接的参考文件并提供模型文件需要的其他相关数据</w:t>
      </w:r>
    </w:p>
    <w:p>
      <w:pPr>
        <w:spacing w:line="490" w:lineRule="exact"/>
        <w:ind w:left="600" w:leftChars="150" w:hanging="240" w:hangingChars="100"/>
        <w:rPr>
          <w:rFonts w:hint="eastAsia" w:ascii="宋体" w:hAnsi="宋体" w:cs="宋体"/>
          <w:color w:val="auto"/>
          <w:szCs w:val="21"/>
          <w:highlight w:val="none"/>
        </w:rPr>
      </w:pPr>
      <w:r>
        <w:rPr>
          <w:rFonts w:hint="eastAsia" w:ascii="宋体" w:hAnsi="宋体" w:cs="宋体"/>
          <w:color w:val="auto"/>
          <w:szCs w:val="21"/>
          <w:highlight w:val="none"/>
        </w:rPr>
        <w:t>◇目测检验确定模型组装正确</w:t>
      </w:r>
    </w:p>
    <w:p>
      <w:pPr>
        <w:spacing w:line="490" w:lineRule="exact"/>
        <w:ind w:firstLine="360" w:firstLineChars="150"/>
        <w:rPr>
          <w:rFonts w:hint="eastAsia" w:ascii="宋体" w:hAnsi="宋体" w:cs="宋体"/>
          <w:color w:val="auto"/>
          <w:szCs w:val="21"/>
          <w:highlight w:val="none"/>
        </w:rPr>
      </w:pPr>
      <w:r>
        <w:rPr>
          <w:rFonts w:hint="eastAsia" w:ascii="宋体" w:hAnsi="宋体" w:cs="宋体"/>
          <w:color w:val="auto"/>
          <w:szCs w:val="21"/>
          <w:highlight w:val="none"/>
        </w:rPr>
        <w:t>◇最新的变化已经告知项目组。</w:t>
      </w:r>
    </w:p>
    <w:p>
      <w:pPr>
        <w:spacing w:line="490" w:lineRule="exact"/>
        <w:ind w:firstLine="361" w:firstLineChars="150"/>
        <w:outlineLvl w:val="2"/>
        <w:rPr>
          <w:rFonts w:hint="eastAsia" w:ascii="宋体" w:hAnsi="宋体" w:cs="宋体"/>
          <w:b/>
          <w:color w:val="auto"/>
          <w:szCs w:val="21"/>
          <w:highlight w:val="none"/>
        </w:rPr>
      </w:pPr>
      <w:bookmarkStart w:id="267" w:name="_Toc31919"/>
      <w:r>
        <w:rPr>
          <w:rFonts w:hint="eastAsia" w:ascii="宋体" w:hAnsi="宋体" w:cs="宋体"/>
          <w:b/>
          <w:color w:val="auto"/>
          <w:szCs w:val="21"/>
          <w:highlight w:val="none"/>
        </w:rPr>
        <w:t>十三、驻场人员要求：</w:t>
      </w:r>
      <w:bookmarkEnd w:id="267"/>
    </w:p>
    <w:p>
      <w:pPr>
        <w:spacing w:line="490" w:lineRule="exact"/>
        <w:ind w:firstLine="361" w:firstLineChars="150"/>
        <w:rPr>
          <w:rFonts w:hint="eastAsia" w:ascii="宋体" w:hAnsi="宋体" w:cs="宋体"/>
          <w:b/>
          <w:bCs/>
          <w:color w:val="auto"/>
          <w:szCs w:val="21"/>
          <w:highlight w:val="none"/>
        </w:rPr>
      </w:pPr>
      <w:r>
        <w:rPr>
          <w:rFonts w:hint="eastAsia" w:ascii="宋体" w:hAnsi="宋体" w:cs="宋体"/>
          <w:b/>
          <w:bCs/>
          <w:color w:val="auto"/>
          <w:szCs w:val="21"/>
          <w:highlight w:val="none"/>
        </w:rPr>
        <w:t>为了保证该项目BIM工作的顺利开展，达到BIM实施的目标，承包人应派驻BIM人员至少5人在现场参与工作。</w:t>
      </w:r>
    </w:p>
    <w:p>
      <w:pPr>
        <w:spacing w:line="490" w:lineRule="exact"/>
        <w:ind w:firstLine="361" w:firstLineChars="150"/>
        <w:rPr>
          <w:rFonts w:hint="eastAsia" w:ascii="宋体" w:hAnsi="宋体" w:cs="宋体"/>
          <w:b/>
          <w:color w:val="auto"/>
          <w:szCs w:val="21"/>
          <w:highlight w:val="none"/>
        </w:rPr>
      </w:pPr>
      <w:r>
        <w:rPr>
          <w:rFonts w:hint="eastAsia" w:ascii="宋体" w:hAnsi="宋体" w:cs="宋体"/>
          <w:b/>
          <w:color w:val="auto"/>
          <w:szCs w:val="21"/>
          <w:highlight w:val="none"/>
        </w:rPr>
        <w:t>附录：施工总承包BIM实施内容（包括但不限于）：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6237"/>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6237" w:type="dxa"/>
            <w:noWrap w:val="0"/>
            <w:vAlign w:val="top"/>
          </w:tcPr>
          <w:p>
            <w:pPr>
              <w:pStyle w:val="47"/>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实施内容</w:t>
            </w:r>
          </w:p>
        </w:tc>
        <w:tc>
          <w:tcPr>
            <w:tcW w:w="2294" w:type="dxa"/>
            <w:noWrap w:val="0"/>
            <w:vAlign w:val="top"/>
          </w:tcPr>
          <w:p>
            <w:pPr>
              <w:pStyle w:val="47"/>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pStyle w:val="47"/>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施工场地建筑布置BIM设计</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施工场地机械设施布置BIM设计</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展陈区域机电管线安装深化BIM设计</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办公及其他区域机电管线安装深化BIM设计</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机电管线安装深化模型调整</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幕墙深化模型构建</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幕墙深化模型优化</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幕墙深化模型调整</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钢结构深化模型构建</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钢结构深化模型优化</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11</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钢结构深化模型调整</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土建施工进度模拟</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13</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机电施工进度模拟</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14</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施工组织模拟</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节点工序模拟</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16</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建筑竣工模型整合</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17</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钢结构竣工模型整合</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18</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混凝土结构竣工模型整合</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19</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暖通竣工模型整合</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20</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电气竣工模型整合</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给排水竣工模型整合</w:t>
            </w:r>
          </w:p>
        </w:tc>
        <w:tc>
          <w:tcPr>
            <w:tcW w:w="2294" w:type="dxa"/>
            <w:noWrap w:val="0"/>
            <w:vAlign w:val="top"/>
          </w:tcPr>
          <w:p>
            <w:pPr>
              <w:pStyle w:val="47"/>
              <w:spacing w:line="49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noWrap w:val="0"/>
            <w:vAlign w:val="top"/>
          </w:tcPr>
          <w:p>
            <w:pPr>
              <w:spacing w:line="490" w:lineRule="exact"/>
              <w:jc w:val="center"/>
              <w:rPr>
                <w:rFonts w:hint="eastAsia" w:ascii="宋体" w:hAnsi="宋体" w:cs="宋体"/>
                <w:color w:val="auto"/>
                <w:szCs w:val="21"/>
                <w:highlight w:val="none"/>
              </w:rPr>
            </w:pPr>
            <w:r>
              <w:rPr>
                <w:rFonts w:hint="eastAsia" w:ascii="宋体" w:hAnsi="宋体" w:cs="宋体"/>
                <w:color w:val="auto"/>
                <w:szCs w:val="21"/>
                <w:highlight w:val="none"/>
              </w:rPr>
              <w:t>22</w:t>
            </w:r>
          </w:p>
        </w:tc>
        <w:tc>
          <w:tcPr>
            <w:tcW w:w="6237" w:type="dxa"/>
            <w:noWrap w:val="0"/>
            <w:vAlign w:val="top"/>
          </w:tcPr>
          <w:p>
            <w:pPr>
              <w:pStyle w:val="47"/>
              <w:spacing w:line="490" w:lineRule="exact"/>
              <w:rPr>
                <w:rFonts w:hint="eastAsia" w:ascii="宋体" w:hAnsi="宋体" w:cs="宋体"/>
                <w:color w:val="auto"/>
                <w:szCs w:val="21"/>
                <w:highlight w:val="none"/>
              </w:rPr>
            </w:pPr>
            <w:r>
              <w:rPr>
                <w:rFonts w:hint="eastAsia" w:ascii="宋体" w:hAnsi="宋体" w:cs="宋体"/>
                <w:color w:val="auto"/>
                <w:szCs w:val="21"/>
                <w:highlight w:val="none"/>
              </w:rPr>
              <w:t>机房设备竣工模型整合</w:t>
            </w:r>
          </w:p>
        </w:tc>
        <w:tc>
          <w:tcPr>
            <w:tcW w:w="2294" w:type="dxa"/>
            <w:noWrap w:val="0"/>
            <w:vAlign w:val="top"/>
          </w:tcPr>
          <w:p>
            <w:pPr>
              <w:pStyle w:val="47"/>
              <w:spacing w:line="490" w:lineRule="exact"/>
              <w:rPr>
                <w:rFonts w:hint="eastAsia" w:ascii="宋体" w:hAnsi="宋体" w:cs="宋体"/>
                <w:color w:val="auto"/>
                <w:szCs w:val="21"/>
                <w:highlight w:val="none"/>
              </w:rPr>
            </w:pPr>
          </w:p>
        </w:tc>
      </w:tr>
    </w:tbl>
    <w:p>
      <w:pPr>
        <w:spacing w:line="400" w:lineRule="exact"/>
        <w:ind w:firstLine="480" w:firstLineChars="200"/>
        <w:rPr>
          <w:rFonts w:hint="eastAsia" w:ascii="宋体" w:hAnsi="宋体" w:cs="宋体"/>
          <w:color w:val="auto"/>
          <w:highlight w:val="none"/>
        </w:rPr>
      </w:pPr>
    </w:p>
    <w:p>
      <w:pPr>
        <w:pStyle w:val="2"/>
        <w:ind w:firstLine="281"/>
        <w:rPr>
          <w:rFonts w:hint="eastAsia" w:ascii="宋体" w:hAnsi="宋体" w:cs="宋体"/>
          <w:b/>
          <w:bCs/>
          <w:color w:val="auto"/>
          <w:sz w:val="28"/>
          <w:szCs w:val="28"/>
          <w:highlight w:val="none"/>
        </w:rPr>
      </w:pPr>
    </w:p>
    <w:p>
      <w:pPr>
        <w:pStyle w:val="5"/>
        <w:outlineLvl w:val="1"/>
        <w:rPr>
          <w:color w:val="auto"/>
          <w:highlight w:val="none"/>
        </w:rPr>
      </w:pPr>
      <w:r>
        <w:rPr>
          <w:rFonts w:hint="eastAsia" w:ascii="宋体" w:hAnsi="宋体" w:cs="仿宋"/>
          <w:color w:val="auto"/>
          <w:sz w:val="28"/>
          <w:szCs w:val="28"/>
          <w:highlight w:val="none"/>
        </w:rPr>
        <w:br w:type="page"/>
      </w:r>
      <w:bookmarkStart w:id="268" w:name="_Toc751"/>
      <w:bookmarkStart w:id="269" w:name="_Toc300835206"/>
      <w:r>
        <w:rPr>
          <w:rFonts w:hint="eastAsia"/>
          <w:color w:val="auto"/>
          <w:highlight w:val="none"/>
        </w:rPr>
        <w:t>第六章  发包人提供的资料</w:t>
      </w:r>
      <w:bookmarkEnd w:id="268"/>
      <w:bookmarkEnd w:id="269"/>
    </w:p>
    <w:p>
      <w:pPr>
        <w:rPr>
          <w:rFonts w:hint="eastAsia" w:ascii="宋体" w:hAnsi="宋体" w:cs="宋体"/>
          <w:color w:val="auto"/>
          <w:highlight w:val="none"/>
        </w:rPr>
      </w:pPr>
    </w:p>
    <w:p>
      <w:pPr>
        <w:rPr>
          <w:color w:val="auto"/>
          <w:highlight w:val="none"/>
        </w:rPr>
      </w:pPr>
      <w:r>
        <w:rPr>
          <w:rFonts w:hint="eastAsia" w:ascii="宋体" w:hAnsi="宋体" w:cs="宋体"/>
          <w:color w:val="auto"/>
          <w:highlight w:val="none"/>
        </w:rPr>
        <w:t>初步设计文件、地质勘察报告等资料详见本项目招标公告附件，投标人自行下载。</w:t>
      </w:r>
      <w:r>
        <w:rPr>
          <w:rFonts w:hint="eastAsia"/>
          <w:color w:val="auto"/>
          <w:highlight w:val="none"/>
        </w:rPr>
        <w:br w:type="page"/>
      </w:r>
    </w:p>
    <w:p>
      <w:pPr>
        <w:spacing w:line="360" w:lineRule="auto"/>
        <w:ind w:left="3"/>
        <w:jc w:val="center"/>
        <w:outlineLvl w:val="1"/>
        <w:rPr>
          <w:rFonts w:ascii="Times New Roman" w:hAnsi="Times New Roman" w:eastAsia="黑体"/>
          <w:bCs/>
          <w:color w:val="auto"/>
          <w:kern w:val="44"/>
          <w:sz w:val="44"/>
          <w:szCs w:val="44"/>
          <w:highlight w:val="none"/>
        </w:rPr>
      </w:pPr>
      <w:bookmarkStart w:id="270" w:name="_Toc2871"/>
      <w:bookmarkStart w:id="271" w:name="_Toc45697247"/>
      <w:bookmarkStart w:id="272" w:name="_Toc67589039"/>
      <w:r>
        <w:rPr>
          <w:rFonts w:hint="eastAsia" w:ascii="Times New Roman" w:hAnsi="Times New Roman" w:eastAsia="黑体"/>
          <w:color w:val="auto"/>
          <w:kern w:val="44"/>
          <w:sz w:val="44"/>
          <w:szCs w:val="44"/>
          <w:highlight w:val="none"/>
        </w:rPr>
        <w:t>第七章</w:t>
      </w:r>
      <w:r>
        <w:rPr>
          <w:rFonts w:ascii="Times New Roman" w:hAnsi="Times New Roman" w:eastAsia="黑体"/>
          <w:color w:val="auto"/>
          <w:kern w:val="44"/>
          <w:sz w:val="44"/>
          <w:szCs w:val="44"/>
          <w:highlight w:val="none"/>
        </w:rPr>
        <w:t xml:space="preserve">  </w:t>
      </w:r>
      <w:r>
        <w:rPr>
          <w:rFonts w:hint="eastAsia" w:ascii="Times New Roman" w:hAnsi="Times New Roman" w:eastAsia="黑体"/>
          <w:color w:val="auto"/>
          <w:kern w:val="44"/>
          <w:sz w:val="44"/>
          <w:szCs w:val="44"/>
          <w:highlight w:val="none"/>
        </w:rPr>
        <w:t>投标文件格式</w:t>
      </w:r>
      <w:bookmarkEnd w:id="270"/>
      <w:bookmarkEnd w:id="271"/>
      <w:bookmarkEnd w:id="272"/>
    </w:p>
    <w:p>
      <w:pPr>
        <w:pStyle w:val="6"/>
        <w:jc w:val="center"/>
        <w:outlineLvl w:val="9"/>
        <w:rPr>
          <w:rFonts w:hint="eastAsia" w:ascii="宋体" w:hAnsi="宋体" w:cs="仿宋"/>
          <w:color w:val="auto"/>
          <w:highlight w:val="none"/>
        </w:rPr>
      </w:pPr>
      <w:bookmarkStart w:id="273" w:name="_Toc14701"/>
      <w:bookmarkStart w:id="274" w:name="_Toc2131"/>
      <w:bookmarkStart w:id="275" w:name="_Toc82808109"/>
      <w:bookmarkStart w:id="276" w:name="_Toc1259"/>
      <w:bookmarkStart w:id="277" w:name="_Toc14064"/>
      <w:bookmarkStart w:id="278" w:name="_Toc29418"/>
    </w:p>
    <w:p>
      <w:pPr>
        <w:jc w:val="center"/>
        <w:outlineLvl w:val="2"/>
        <w:rPr>
          <w:rFonts w:hint="eastAsia" w:ascii="宋体" w:hAnsi="宋体"/>
          <w:b/>
          <w:bCs/>
          <w:color w:val="auto"/>
          <w:sz w:val="36"/>
          <w:highlight w:val="none"/>
        </w:rPr>
      </w:pPr>
      <w:bookmarkStart w:id="279" w:name="_Toc19384"/>
      <w:r>
        <w:rPr>
          <w:rFonts w:hint="eastAsia" w:ascii="宋体" w:hAnsi="宋体"/>
          <w:b/>
          <w:bCs/>
          <w:color w:val="auto"/>
          <w:sz w:val="36"/>
          <w:highlight w:val="none"/>
        </w:rPr>
        <w:t>投标声明书</w:t>
      </w:r>
      <w:bookmarkEnd w:id="273"/>
      <w:bookmarkEnd w:id="274"/>
      <w:bookmarkEnd w:id="275"/>
      <w:bookmarkEnd w:id="276"/>
      <w:bookmarkEnd w:id="277"/>
      <w:bookmarkEnd w:id="278"/>
      <w:bookmarkEnd w:id="279"/>
    </w:p>
    <w:p>
      <w:pPr>
        <w:spacing w:line="360" w:lineRule="auto"/>
        <w:rPr>
          <w:rFonts w:hint="eastAsia" w:ascii="宋体" w:hAnsi="宋体" w:cs="仿宋"/>
          <w:color w:val="auto"/>
          <w:szCs w:val="21"/>
          <w:highlight w:val="none"/>
          <w:u w:val="single"/>
        </w:rPr>
      </w:pPr>
      <w:r>
        <w:rPr>
          <w:rFonts w:hint="eastAsia" w:cs="宋体"/>
          <w:b/>
          <w:bCs/>
          <w:color w:val="auto"/>
          <w:szCs w:val="21"/>
          <w:highlight w:val="none"/>
          <w:u w:val="single"/>
        </w:rPr>
        <w:t>湖州市南太湖未来社区建设发展有限公司</w:t>
      </w:r>
      <w:r>
        <w:rPr>
          <w:rFonts w:hint="eastAsia" w:ascii="宋体" w:hAnsi="宋体" w:cs="仿宋"/>
          <w:color w:val="auto"/>
          <w:szCs w:val="21"/>
          <w:highlight w:val="none"/>
        </w:rPr>
        <w:t>：</w:t>
      </w:r>
    </w:p>
    <w:p>
      <w:pPr>
        <w:pStyle w:val="49"/>
        <w:shd w:val="clear" w:color="auto" w:fill="FFFFFF"/>
        <w:spacing w:before="0" w:beforeAutospacing="0" w:after="0" w:afterAutospacing="0" w:line="360" w:lineRule="auto"/>
        <w:ind w:firstLine="420" w:firstLineChars="200"/>
        <w:rPr>
          <w:rFonts w:cs="仿宋"/>
          <w:color w:val="auto"/>
          <w:kern w:val="2"/>
          <w:sz w:val="21"/>
          <w:szCs w:val="21"/>
          <w:highlight w:val="none"/>
        </w:rPr>
      </w:pPr>
      <w:r>
        <w:rPr>
          <w:rFonts w:hint="eastAsia" w:cs="仿宋"/>
          <w:color w:val="auto"/>
          <w:kern w:val="2"/>
          <w:sz w:val="21"/>
          <w:szCs w:val="21"/>
          <w:highlight w:val="none"/>
        </w:rPr>
        <w:t>本人</w:t>
      </w:r>
      <w:r>
        <w:rPr>
          <w:rFonts w:hint="eastAsia" w:cs="仿宋"/>
          <w:color w:val="auto"/>
          <w:kern w:val="2"/>
          <w:sz w:val="21"/>
          <w:szCs w:val="21"/>
          <w:highlight w:val="none"/>
          <w:u w:val="single"/>
        </w:rPr>
        <w:t xml:space="preserve">       （姓名）</w:t>
      </w:r>
      <w:r>
        <w:rPr>
          <w:rFonts w:hint="eastAsia" w:cs="仿宋"/>
          <w:color w:val="auto"/>
          <w:kern w:val="2"/>
          <w:sz w:val="21"/>
          <w:szCs w:val="21"/>
          <w:highlight w:val="none"/>
        </w:rPr>
        <w:t>系</w:t>
      </w:r>
      <w:r>
        <w:rPr>
          <w:rFonts w:hint="eastAsia" w:cs="仿宋"/>
          <w:color w:val="auto"/>
          <w:kern w:val="2"/>
          <w:sz w:val="21"/>
          <w:szCs w:val="21"/>
          <w:highlight w:val="none"/>
          <w:u w:val="single"/>
        </w:rPr>
        <w:t xml:space="preserve">                 （投标人名称）</w:t>
      </w:r>
      <w:r>
        <w:rPr>
          <w:rFonts w:hint="eastAsia" w:cs="仿宋"/>
          <w:color w:val="auto"/>
          <w:kern w:val="2"/>
          <w:sz w:val="21"/>
          <w:szCs w:val="21"/>
          <w:highlight w:val="none"/>
        </w:rPr>
        <w:t>的法定代表人，我方愿意参加贵方拟建的</w:t>
      </w:r>
      <w:r>
        <w:rPr>
          <w:rFonts w:hint="eastAsia" w:cs="仿宋"/>
          <w:color w:val="auto"/>
          <w:kern w:val="2"/>
          <w:sz w:val="21"/>
          <w:szCs w:val="21"/>
          <w:highlight w:val="none"/>
          <w:u w:val="single"/>
        </w:rPr>
        <w:t xml:space="preserve">  </w:t>
      </w:r>
      <w:r>
        <w:rPr>
          <w:rFonts w:hint="eastAsia"/>
          <w:b/>
          <w:bCs/>
          <w:color w:val="auto"/>
          <w:szCs w:val="21"/>
          <w:highlight w:val="none"/>
          <w:u w:val="single"/>
        </w:rPr>
        <w:t>湖州市南太湖新区太湖湾单元（TH-08-02）13E、14C、15B、16A-1、16A-2、16B、17A、17B-1、17B-2、17C、18B-1、18B-2、20B-1、20B-2、27E、28B-1、28B-2、29B、13E-1、20B-3号地块（长东未来社区）开发建设项目工程总承包项目</w:t>
      </w:r>
      <w:r>
        <w:rPr>
          <w:rFonts w:hint="eastAsia" w:cs="仿宋"/>
          <w:color w:val="auto"/>
          <w:kern w:val="2"/>
          <w:sz w:val="21"/>
          <w:szCs w:val="21"/>
          <w:highlight w:val="none"/>
          <w:u w:val="single"/>
        </w:rPr>
        <w:t xml:space="preserve">   </w:t>
      </w:r>
      <w:r>
        <w:rPr>
          <w:rFonts w:hint="eastAsia" w:cs="仿宋"/>
          <w:color w:val="auto"/>
          <w:kern w:val="2"/>
          <w:sz w:val="21"/>
          <w:szCs w:val="21"/>
          <w:highlight w:val="none"/>
        </w:rPr>
        <w:t>的投标，我方就本次投标有关事项郑重声明如下：</w:t>
      </w:r>
    </w:p>
    <w:p>
      <w:pPr>
        <w:pStyle w:val="49"/>
        <w:shd w:val="clear" w:color="auto" w:fill="FFFFFF"/>
        <w:spacing w:before="0" w:beforeAutospacing="0" w:after="0" w:afterAutospacing="0" w:line="360" w:lineRule="auto"/>
        <w:ind w:firstLine="420" w:firstLineChars="200"/>
        <w:rPr>
          <w:rFonts w:cs="仿宋"/>
          <w:color w:val="auto"/>
          <w:kern w:val="2"/>
          <w:sz w:val="21"/>
          <w:szCs w:val="21"/>
          <w:highlight w:val="none"/>
        </w:rPr>
      </w:pPr>
      <w:r>
        <w:rPr>
          <w:rFonts w:hint="eastAsia" w:cs="仿宋"/>
          <w:color w:val="auto"/>
          <w:kern w:val="2"/>
          <w:sz w:val="21"/>
          <w:szCs w:val="21"/>
          <w:highlight w:val="none"/>
        </w:rPr>
        <w:t>我方此次提交的投标文件等所有资料均真实有效的，如有不实，我单位自愿取消本项目投标资格，一旦中标，中标无效，接受招投标监管部门的行政处罚。</w:t>
      </w:r>
    </w:p>
    <w:p>
      <w:pPr>
        <w:pStyle w:val="49"/>
        <w:shd w:val="clear" w:color="auto" w:fill="FFFFFF"/>
        <w:spacing w:before="0" w:beforeAutospacing="0" w:after="0" w:afterAutospacing="0" w:line="360" w:lineRule="auto"/>
        <w:ind w:firstLine="420" w:firstLineChars="200"/>
        <w:rPr>
          <w:rFonts w:cs="仿宋"/>
          <w:color w:val="auto"/>
          <w:kern w:val="2"/>
          <w:sz w:val="21"/>
          <w:szCs w:val="21"/>
          <w:highlight w:val="none"/>
        </w:rPr>
      </w:pPr>
      <w:r>
        <w:rPr>
          <w:rFonts w:hint="eastAsia" w:cs="仿宋"/>
          <w:color w:val="auto"/>
          <w:kern w:val="2"/>
          <w:sz w:val="21"/>
          <w:szCs w:val="21"/>
          <w:highlight w:val="none"/>
        </w:rPr>
        <w:t>特此声明。</w:t>
      </w:r>
    </w:p>
    <w:p>
      <w:pPr>
        <w:pStyle w:val="49"/>
        <w:shd w:val="clear" w:color="auto" w:fill="FFFFFF"/>
        <w:spacing w:before="0" w:beforeAutospacing="0" w:after="0" w:afterAutospacing="0" w:line="360" w:lineRule="auto"/>
        <w:ind w:firstLine="420" w:firstLineChars="200"/>
        <w:rPr>
          <w:rFonts w:cs="仿宋"/>
          <w:color w:val="auto"/>
          <w:kern w:val="2"/>
          <w:sz w:val="21"/>
          <w:szCs w:val="21"/>
          <w:highlight w:val="none"/>
        </w:rPr>
      </w:pPr>
    </w:p>
    <w:p>
      <w:pPr>
        <w:spacing w:line="360" w:lineRule="auto"/>
        <w:ind w:firstLine="4200" w:firstLineChars="1750"/>
        <w:rPr>
          <w:rFonts w:ascii="宋体" w:hAnsi="宋体" w:cs="仿宋"/>
          <w:color w:val="auto"/>
          <w:szCs w:val="21"/>
          <w:highlight w:val="none"/>
        </w:rPr>
      </w:pPr>
      <w:r>
        <w:rPr>
          <w:rFonts w:hint="eastAsia" w:ascii="宋体" w:hAnsi="宋体" w:cs="仿宋"/>
          <w:color w:val="auto"/>
          <w:szCs w:val="21"/>
          <w:highlight w:val="none"/>
        </w:rPr>
        <w:t>投 标 人：</w:t>
      </w:r>
      <w:r>
        <w:rPr>
          <w:rFonts w:hint="eastAsia" w:ascii="宋体" w:hAnsi="宋体" w:cs="仿宋"/>
          <w:color w:val="auto"/>
          <w:szCs w:val="21"/>
          <w:highlight w:val="none"/>
          <w:u w:val="single"/>
        </w:rPr>
        <w:t xml:space="preserve">               </w:t>
      </w:r>
      <w:r>
        <w:rPr>
          <w:rFonts w:hint="eastAsia" w:ascii="宋体" w:hAnsi="宋体" w:cs="仿宋"/>
          <w:color w:val="auto"/>
          <w:szCs w:val="21"/>
          <w:highlight w:val="none"/>
        </w:rPr>
        <w:t>（盖单位章）</w:t>
      </w:r>
    </w:p>
    <w:p>
      <w:pPr>
        <w:spacing w:line="360" w:lineRule="auto"/>
        <w:ind w:firstLine="4200" w:firstLineChars="1750"/>
        <w:rPr>
          <w:rFonts w:ascii="宋体" w:hAnsi="宋体" w:cs="仿宋"/>
          <w:color w:val="auto"/>
          <w:szCs w:val="21"/>
          <w:highlight w:val="none"/>
        </w:rPr>
      </w:pPr>
      <w:r>
        <w:rPr>
          <w:rFonts w:hint="eastAsia" w:ascii="宋体" w:hAnsi="宋体" w:cs="仿宋"/>
          <w:color w:val="auto"/>
          <w:szCs w:val="21"/>
          <w:highlight w:val="none"/>
        </w:rPr>
        <w:t>法定代表人：</w:t>
      </w:r>
      <w:r>
        <w:rPr>
          <w:rFonts w:hint="eastAsia" w:ascii="宋体" w:hAnsi="宋体" w:cs="仿宋"/>
          <w:color w:val="auto"/>
          <w:szCs w:val="21"/>
          <w:highlight w:val="none"/>
          <w:u w:val="single"/>
        </w:rPr>
        <w:t xml:space="preserve">           </w:t>
      </w:r>
      <w:r>
        <w:rPr>
          <w:rFonts w:hint="eastAsia" w:ascii="宋体" w:hAnsi="宋体" w:cs="仿宋"/>
          <w:color w:val="auto"/>
          <w:szCs w:val="21"/>
          <w:highlight w:val="none"/>
        </w:rPr>
        <w:t>（签字或盖章）</w:t>
      </w:r>
    </w:p>
    <w:p>
      <w:pPr>
        <w:spacing w:line="360" w:lineRule="auto"/>
        <w:ind w:firstLine="5760" w:firstLineChars="2400"/>
        <w:rPr>
          <w:rFonts w:ascii="宋体" w:hAnsi="宋体" w:cs="仿宋"/>
          <w:color w:val="auto"/>
          <w:szCs w:val="21"/>
          <w:highlight w:val="none"/>
        </w:rPr>
      </w:pPr>
      <w:r>
        <w:rPr>
          <w:rFonts w:hint="eastAsia" w:ascii="宋体" w:hAnsi="宋体" w:cs="仿宋"/>
          <w:color w:val="auto"/>
          <w:szCs w:val="21"/>
          <w:highlight w:val="none"/>
        </w:rPr>
        <w:t>年    月   日</w:t>
      </w:r>
    </w:p>
    <w:p>
      <w:pPr>
        <w:spacing w:line="400" w:lineRule="exact"/>
        <w:rPr>
          <w:rFonts w:ascii="Microsoft JhengHei" w:hAnsi="Times New Roman" w:eastAsia="Microsoft JhengHei" w:cs="Microsoft JhengHei"/>
          <w:b/>
          <w:bCs/>
          <w:color w:val="auto"/>
          <w:highlight w:val="none"/>
        </w:rPr>
      </w:pPr>
    </w:p>
    <w:p>
      <w:pPr>
        <w:pStyle w:val="2"/>
        <w:ind w:firstLine="210"/>
        <w:rPr>
          <w:rFonts w:ascii="Microsoft JhengHei" w:hAnsi="Times New Roman" w:eastAsia="Microsoft JhengHei" w:cs="Microsoft JhengHei"/>
          <w:b/>
          <w:bCs/>
          <w:color w:val="auto"/>
          <w:highlight w:val="none"/>
        </w:rPr>
      </w:pPr>
    </w:p>
    <w:p>
      <w:pPr>
        <w:pStyle w:val="4"/>
        <w:ind w:left="2400"/>
        <w:rPr>
          <w:rFonts w:ascii="Microsoft JhengHei" w:hAnsi="Times New Roman" w:eastAsia="Microsoft JhengHei" w:cs="Microsoft JhengHei"/>
          <w:b/>
          <w:bCs/>
          <w:color w:val="auto"/>
          <w:highlight w:val="none"/>
        </w:rPr>
      </w:pPr>
    </w:p>
    <w:p>
      <w:pPr>
        <w:rPr>
          <w:rFonts w:ascii="Microsoft JhengHei" w:hAnsi="Times New Roman" w:eastAsia="Microsoft JhengHei" w:cs="Microsoft JhengHei"/>
          <w:b/>
          <w:bCs/>
          <w:color w:val="auto"/>
          <w:highlight w:val="none"/>
        </w:rPr>
      </w:pPr>
    </w:p>
    <w:p>
      <w:pPr>
        <w:pStyle w:val="2"/>
        <w:ind w:firstLine="210"/>
        <w:rPr>
          <w:rFonts w:ascii="Microsoft JhengHei" w:hAnsi="Times New Roman" w:eastAsia="Microsoft JhengHei" w:cs="Microsoft JhengHei"/>
          <w:b/>
          <w:bCs/>
          <w:color w:val="auto"/>
          <w:highlight w:val="none"/>
        </w:rPr>
      </w:pPr>
    </w:p>
    <w:p>
      <w:pPr>
        <w:pStyle w:val="4"/>
        <w:ind w:left="2400"/>
        <w:rPr>
          <w:rFonts w:ascii="Microsoft JhengHei" w:hAnsi="Times New Roman" w:eastAsia="Microsoft JhengHei" w:cs="Microsoft JhengHei"/>
          <w:b/>
          <w:bCs/>
          <w:color w:val="auto"/>
          <w:highlight w:val="none"/>
        </w:rPr>
      </w:pPr>
    </w:p>
    <w:p>
      <w:pPr>
        <w:rPr>
          <w:rFonts w:ascii="Microsoft JhengHei" w:hAnsi="Times New Roman" w:eastAsia="Microsoft JhengHei" w:cs="Microsoft JhengHei"/>
          <w:b/>
          <w:bCs/>
          <w:color w:val="auto"/>
          <w:highlight w:val="none"/>
        </w:rPr>
      </w:pPr>
    </w:p>
    <w:p>
      <w:pPr>
        <w:pStyle w:val="2"/>
        <w:ind w:firstLine="210"/>
        <w:rPr>
          <w:rFonts w:ascii="Microsoft JhengHei" w:hAnsi="Times New Roman" w:eastAsia="Microsoft JhengHei" w:cs="Microsoft JhengHei"/>
          <w:b/>
          <w:bCs/>
          <w:color w:val="auto"/>
          <w:highlight w:val="none"/>
        </w:rPr>
      </w:pPr>
    </w:p>
    <w:p>
      <w:pPr>
        <w:pStyle w:val="4"/>
        <w:ind w:left="2400"/>
        <w:rPr>
          <w:color w:val="auto"/>
          <w:highlight w:val="none"/>
        </w:rPr>
      </w:pPr>
    </w:p>
    <w:p>
      <w:pPr>
        <w:pStyle w:val="4"/>
        <w:ind w:left="2400"/>
        <w:rPr>
          <w:color w:val="auto"/>
          <w:highlight w:val="none"/>
        </w:rPr>
      </w:pPr>
    </w:p>
    <w:p>
      <w:pPr>
        <w:jc w:val="center"/>
        <w:rPr>
          <w:rFonts w:ascii="宋体" w:hAnsi="宋体"/>
          <w:b/>
          <w:bCs/>
          <w:color w:val="auto"/>
          <w:sz w:val="36"/>
          <w:highlight w:val="none"/>
        </w:rPr>
      </w:pPr>
    </w:p>
    <w:p>
      <w:pPr>
        <w:jc w:val="center"/>
        <w:rPr>
          <w:color w:val="auto"/>
          <w:sz w:val="36"/>
          <w:highlight w:val="none"/>
        </w:rPr>
      </w:pPr>
      <w:r>
        <w:rPr>
          <w:rFonts w:hint="eastAsia"/>
          <w:b/>
          <w:bCs/>
          <w:color w:val="auto"/>
          <w:sz w:val="36"/>
          <w:highlight w:val="none"/>
        </w:rPr>
        <w:t>法定代表人身份证明书</w:t>
      </w:r>
    </w:p>
    <w:p>
      <w:pPr>
        <w:rPr>
          <w:color w:val="auto"/>
          <w:highlight w:val="none"/>
        </w:rPr>
      </w:pPr>
    </w:p>
    <w:p>
      <w:pPr>
        <w:spacing w:line="480" w:lineRule="auto"/>
        <w:rPr>
          <w:color w:val="auto"/>
          <w:highlight w:val="none"/>
          <w:u w:val="single"/>
        </w:rPr>
      </w:pPr>
      <w:r>
        <w:rPr>
          <w:rFonts w:hint="eastAsia"/>
          <w:color w:val="auto"/>
          <w:highlight w:val="none"/>
        </w:rPr>
        <w:t>单位名称：</w:t>
      </w:r>
      <w:r>
        <w:rPr>
          <w:color w:val="auto"/>
          <w:highlight w:val="none"/>
          <w:u w:val="single"/>
        </w:rPr>
        <w:t xml:space="preserve">                                    </w:t>
      </w:r>
    </w:p>
    <w:p>
      <w:pPr>
        <w:spacing w:line="480" w:lineRule="auto"/>
        <w:rPr>
          <w:color w:val="auto"/>
          <w:highlight w:val="none"/>
          <w:u w:val="single"/>
        </w:rPr>
      </w:pPr>
      <w:r>
        <w:rPr>
          <w:rFonts w:hint="eastAsia" w:ascii="宋体" w:hAnsi="宋体"/>
          <w:color w:val="auto"/>
          <w:highlight w:val="none"/>
        </w:rPr>
        <w:t>地</w:t>
      </w:r>
      <w:r>
        <w:rPr>
          <w:rFonts w:ascii="宋体" w:hAnsi="宋体"/>
          <w:color w:val="auto"/>
          <w:highlight w:val="none"/>
        </w:rPr>
        <w:t xml:space="preserve">    </w:t>
      </w:r>
      <w:r>
        <w:rPr>
          <w:rFonts w:hint="eastAsia" w:ascii="宋体" w:hAnsi="宋体"/>
          <w:color w:val="auto"/>
          <w:highlight w:val="none"/>
        </w:rPr>
        <w:t>址</w:t>
      </w:r>
      <w:r>
        <w:rPr>
          <w:rFonts w:hint="eastAsia"/>
          <w:color w:val="auto"/>
          <w:highlight w:val="none"/>
        </w:rPr>
        <w:t>：</w:t>
      </w:r>
      <w:r>
        <w:rPr>
          <w:color w:val="auto"/>
          <w:highlight w:val="none"/>
          <w:u w:val="single"/>
        </w:rPr>
        <w:t xml:space="preserve">                                     </w:t>
      </w:r>
    </w:p>
    <w:p>
      <w:pPr>
        <w:spacing w:line="480" w:lineRule="auto"/>
        <w:rPr>
          <w:color w:val="auto"/>
          <w:highlight w:val="none"/>
        </w:rPr>
      </w:pPr>
      <w:r>
        <w:rPr>
          <w:rFonts w:hint="eastAsia"/>
          <w:color w:val="auto"/>
          <w:highlight w:val="none"/>
        </w:rPr>
        <w:t>姓名：</w:t>
      </w:r>
      <w:r>
        <w:rPr>
          <w:color w:val="auto"/>
          <w:highlight w:val="none"/>
          <w:u w:val="single"/>
        </w:rPr>
        <w:t xml:space="preserve">          </w:t>
      </w:r>
      <w:r>
        <w:rPr>
          <w:rFonts w:hint="eastAsia"/>
          <w:color w:val="auto"/>
          <w:highlight w:val="none"/>
        </w:rPr>
        <w:t>性别：</w:t>
      </w:r>
      <w:r>
        <w:rPr>
          <w:color w:val="auto"/>
          <w:highlight w:val="none"/>
          <w:u w:val="single"/>
        </w:rPr>
        <w:t xml:space="preserve">      </w:t>
      </w:r>
      <w:r>
        <w:rPr>
          <w:rFonts w:hint="eastAsia"/>
          <w:color w:val="auto"/>
          <w:highlight w:val="none"/>
        </w:rPr>
        <w:t>年龄：</w:t>
      </w:r>
      <w:r>
        <w:rPr>
          <w:color w:val="auto"/>
          <w:highlight w:val="none"/>
          <w:u w:val="single"/>
        </w:rPr>
        <w:t xml:space="preserve">      </w:t>
      </w:r>
      <w:r>
        <w:rPr>
          <w:rFonts w:hint="eastAsia"/>
          <w:color w:val="auto"/>
          <w:highlight w:val="none"/>
        </w:rPr>
        <w:t>职务：</w:t>
      </w:r>
      <w:r>
        <w:rPr>
          <w:color w:val="auto"/>
          <w:highlight w:val="none"/>
          <w:u w:val="single"/>
        </w:rPr>
        <w:t xml:space="preserve">                         </w:t>
      </w:r>
      <w:r>
        <w:rPr>
          <w:rFonts w:hint="eastAsia"/>
          <w:color w:val="auto"/>
          <w:highlight w:val="none"/>
        </w:rPr>
        <w:t>系</w:t>
      </w:r>
      <w:r>
        <w:rPr>
          <w:color w:val="auto"/>
          <w:highlight w:val="none"/>
          <w:u w:val="single"/>
        </w:rPr>
        <w:t xml:space="preserve">                          </w:t>
      </w:r>
      <w:r>
        <w:rPr>
          <w:rFonts w:hint="eastAsia"/>
          <w:color w:val="auto"/>
          <w:highlight w:val="none"/>
        </w:rPr>
        <w:t>的法定代表人。为</w:t>
      </w:r>
      <w:r>
        <w:rPr>
          <w:rFonts w:hint="eastAsia"/>
          <w:color w:val="auto"/>
          <w:highlight w:val="none"/>
          <w:u w:val="single"/>
        </w:rPr>
        <w:t xml:space="preserve">    </w:t>
      </w:r>
      <w:r>
        <w:rPr>
          <w:rFonts w:hint="eastAsia"/>
          <w:i/>
          <w:iCs/>
          <w:color w:val="auto"/>
          <w:highlight w:val="none"/>
          <w:u w:val="single"/>
        </w:rPr>
        <w:t>（</w:t>
      </w:r>
      <w:r>
        <w:rPr>
          <w:i/>
          <w:iCs/>
          <w:color w:val="auto"/>
          <w:highlight w:val="none"/>
          <w:u w:val="single"/>
        </w:rPr>
        <w:t>项目</w:t>
      </w:r>
      <w:r>
        <w:rPr>
          <w:rFonts w:hint="eastAsia"/>
          <w:i/>
          <w:iCs/>
          <w:color w:val="auto"/>
          <w:highlight w:val="none"/>
          <w:u w:val="single"/>
        </w:rPr>
        <w:t>名称）</w:t>
      </w:r>
      <w:r>
        <w:rPr>
          <w:rFonts w:hint="eastAsia"/>
          <w:color w:val="auto"/>
          <w:highlight w:val="none"/>
        </w:rPr>
        <w:t>签署的投标文件内容均有效，并进行合同谈判、签署合同和处理与之有关的一切事务。</w:t>
      </w:r>
    </w:p>
    <w:p>
      <w:pPr>
        <w:tabs>
          <w:tab w:val="left" w:pos="482"/>
          <w:tab w:val="left" w:pos="2183"/>
          <w:tab w:val="left" w:pos="3884"/>
          <w:tab w:val="left" w:pos="5585"/>
        </w:tabs>
        <w:spacing w:line="500" w:lineRule="exact"/>
        <w:ind w:firstLine="240" w:firstLineChars="100"/>
        <w:rPr>
          <w:rFonts w:ascii="宋体" w:hAnsi="宋体" w:cs="宋体"/>
          <w:color w:val="auto"/>
          <w:highlight w:val="none"/>
        </w:rPr>
      </w:pPr>
    </w:p>
    <w:p>
      <w:pPr>
        <w:tabs>
          <w:tab w:val="left" w:pos="482"/>
          <w:tab w:val="left" w:pos="2183"/>
          <w:tab w:val="left" w:pos="3884"/>
          <w:tab w:val="left" w:pos="5585"/>
        </w:tabs>
        <w:spacing w:line="500" w:lineRule="exact"/>
        <w:ind w:firstLine="240" w:firstLineChars="100"/>
        <w:rPr>
          <w:rFonts w:ascii="宋体" w:hAnsi="宋体" w:cs="宋体"/>
          <w:color w:val="auto"/>
          <w:highlight w:val="none"/>
        </w:rPr>
      </w:pPr>
      <w:r>
        <w:rPr>
          <w:rFonts w:hint="eastAsia" w:ascii="宋体" w:hAnsi="宋体" w:cs="宋体"/>
          <w:color w:val="auto"/>
          <w:highlight w:val="none"/>
        </w:rPr>
        <w:t>附</w:t>
      </w:r>
    </w:p>
    <w:tbl>
      <w:tblPr>
        <w:tblStyle w:val="19"/>
        <w:tblW w:w="0" w:type="auto"/>
        <w:tblInd w:w="1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6662" w:type="dxa"/>
            <w:noWrap w:val="0"/>
            <w:vAlign w:val="center"/>
          </w:tcPr>
          <w:p>
            <w:pPr>
              <w:tabs>
                <w:tab w:val="left" w:leader="middleDot" w:pos="8400"/>
              </w:tabs>
              <w:spacing w:line="360" w:lineRule="auto"/>
              <w:jc w:val="center"/>
              <w:rPr>
                <w:rFonts w:ascii="宋体" w:hAnsi="宋体"/>
                <w:color w:val="auto"/>
                <w:highlight w:val="none"/>
              </w:rPr>
            </w:pPr>
            <w:r>
              <w:rPr>
                <w:rFonts w:hint="eastAsia" w:ascii="宋体" w:hAnsi="宋体"/>
                <w:color w:val="auto"/>
                <w:highlight w:val="none"/>
              </w:rPr>
              <w:t>法定代表人身份证正面复印件粘贴处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6662" w:type="dxa"/>
            <w:noWrap w:val="0"/>
            <w:vAlign w:val="center"/>
          </w:tcPr>
          <w:p>
            <w:pPr>
              <w:tabs>
                <w:tab w:val="left" w:leader="middleDot" w:pos="8400"/>
              </w:tabs>
              <w:spacing w:line="360" w:lineRule="auto"/>
              <w:jc w:val="center"/>
              <w:rPr>
                <w:rFonts w:ascii="宋体" w:hAnsi="宋体"/>
                <w:color w:val="auto"/>
                <w:highlight w:val="none"/>
              </w:rPr>
            </w:pPr>
            <w:r>
              <w:rPr>
                <w:rFonts w:hint="eastAsia" w:ascii="宋体" w:hAnsi="宋体"/>
                <w:color w:val="auto"/>
                <w:highlight w:val="none"/>
              </w:rPr>
              <w:t>法定代表人身份证背面复印件粘贴处</w:t>
            </w:r>
          </w:p>
        </w:tc>
      </w:tr>
    </w:tbl>
    <w:p>
      <w:pPr>
        <w:spacing w:line="480" w:lineRule="auto"/>
        <w:rPr>
          <w:color w:val="auto"/>
          <w:highlight w:val="none"/>
        </w:rPr>
      </w:pPr>
      <w:r>
        <w:rPr>
          <w:rFonts w:hint="eastAsia"/>
          <w:color w:val="auto"/>
          <w:highlight w:val="none"/>
        </w:rPr>
        <w:t>特此证明。</w:t>
      </w:r>
    </w:p>
    <w:p>
      <w:pPr>
        <w:spacing w:line="360" w:lineRule="auto"/>
        <w:jc w:val="center"/>
        <w:rPr>
          <w:rFonts w:ascii="宋体" w:hAnsi="宋体"/>
          <w:color w:val="auto"/>
          <w:highlight w:val="none"/>
        </w:rPr>
      </w:pPr>
    </w:p>
    <w:p>
      <w:pPr>
        <w:spacing w:line="480" w:lineRule="auto"/>
        <w:ind w:firstLine="3240" w:firstLineChars="1350"/>
        <w:rPr>
          <w:color w:val="auto"/>
          <w:highlight w:val="none"/>
          <w:u w:val="single"/>
        </w:rPr>
      </w:pPr>
      <w:r>
        <w:rPr>
          <w:rFonts w:hint="eastAsia"/>
          <w:color w:val="auto"/>
          <w:highlight w:val="none"/>
        </w:rPr>
        <w:t>投标人：</w:t>
      </w:r>
      <w:r>
        <w:rPr>
          <w:color w:val="auto"/>
          <w:highlight w:val="none"/>
          <w:u w:val="single"/>
        </w:rPr>
        <w:t xml:space="preserve">        </w:t>
      </w:r>
      <w:r>
        <w:rPr>
          <w:rFonts w:hint="eastAsia"/>
          <w:color w:val="auto"/>
          <w:highlight w:val="none"/>
          <w:u w:val="single"/>
        </w:rPr>
        <w:t>（单位盖章）</w:t>
      </w:r>
      <w:r>
        <w:rPr>
          <w:color w:val="auto"/>
          <w:highlight w:val="none"/>
          <w:u w:val="single"/>
        </w:rPr>
        <w:t xml:space="preserve">      </w:t>
      </w:r>
    </w:p>
    <w:p>
      <w:pPr>
        <w:spacing w:line="480" w:lineRule="auto"/>
        <w:ind w:firstLine="3240" w:firstLineChars="1350"/>
        <w:rPr>
          <w:color w:val="auto"/>
          <w:highlight w:val="none"/>
        </w:rPr>
      </w:pP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pPr>
        <w:rPr>
          <w:rFonts w:ascii="宋体" w:hAnsi="宋体" w:cs="宋体"/>
          <w:color w:val="auto"/>
          <w:szCs w:val="21"/>
          <w:highlight w:val="none"/>
        </w:rPr>
      </w:pPr>
    </w:p>
    <w:p>
      <w:pPr>
        <w:widowControl/>
        <w:rPr>
          <w:rFonts w:ascii="宋体" w:hAnsi="宋体" w:cs="Courier New"/>
          <w:color w:val="auto"/>
          <w:highlight w:val="none"/>
        </w:rPr>
      </w:pPr>
      <w:r>
        <w:rPr>
          <w:rFonts w:ascii="宋体" w:hAnsi="宋体" w:cs="Courier New"/>
          <w:color w:val="auto"/>
          <w:highlight w:val="none"/>
        </w:rPr>
        <w:br w:type="page"/>
      </w:r>
    </w:p>
    <w:p>
      <w:pPr>
        <w:jc w:val="center"/>
        <w:rPr>
          <w:rFonts w:ascii="宋体" w:hAnsi="宋体" w:cs="宋体"/>
          <w:b/>
          <w:color w:val="auto"/>
          <w:sz w:val="36"/>
          <w:szCs w:val="36"/>
          <w:highlight w:val="none"/>
        </w:rPr>
      </w:pPr>
      <w:r>
        <w:rPr>
          <w:rFonts w:hint="eastAsia" w:ascii="宋体" w:hAnsi="宋体" w:cs="宋体"/>
          <w:b/>
          <w:color w:val="auto"/>
          <w:sz w:val="36"/>
          <w:szCs w:val="36"/>
          <w:highlight w:val="none"/>
        </w:rPr>
        <w:t>授权委托书</w:t>
      </w:r>
    </w:p>
    <w:p>
      <w:pPr>
        <w:spacing w:line="480" w:lineRule="auto"/>
        <w:ind w:firstLine="720" w:firstLineChars="300"/>
        <w:rPr>
          <w:rFonts w:ascii="宋体" w:hAnsi="宋体" w:cs="宋体"/>
          <w:color w:val="auto"/>
          <w:highlight w:val="none"/>
        </w:rPr>
      </w:pPr>
    </w:p>
    <w:p>
      <w:pPr>
        <w:spacing w:line="480" w:lineRule="auto"/>
        <w:ind w:firstLine="720" w:firstLineChars="300"/>
        <w:rPr>
          <w:color w:val="auto"/>
          <w:sz w:val="28"/>
          <w:szCs w:val="28"/>
          <w:highlight w:val="none"/>
        </w:rPr>
      </w:pPr>
      <w:r>
        <w:rPr>
          <w:rFonts w:hint="eastAsia" w:ascii="宋体" w:hAnsi="宋体" w:cs="宋体"/>
          <w:color w:val="auto"/>
          <w:highlight w:val="none"/>
        </w:rPr>
        <w:t>本授权委托书声明：我</w:t>
      </w:r>
      <w:r>
        <w:rPr>
          <w:rFonts w:ascii="宋体" w:hAnsi="宋体" w:cs="宋体"/>
          <w:color w:val="auto"/>
          <w:highlight w:val="none"/>
          <w:u w:val="single"/>
        </w:rPr>
        <w:t xml:space="preserve"> </w:t>
      </w:r>
      <w:r>
        <w:rPr>
          <w:rFonts w:ascii="宋体" w:hAnsi="宋体" w:cs="宋体"/>
          <w:i/>
          <w:iCs/>
          <w:color w:val="auto"/>
          <w:highlight w:val="none"/>
          <w:u w:val="single"/>
        </w:rPr>
        <w:t xml:space="preserve"> （姓名）</w:t>
      </w:r>
      <w:r>
        <w:rPr>
          <w:rFonts w:ascii="宋体" w:hAnsi="宋体" w:cs="宋体"/>
          <w:color w:val="auto"/>
          <w:highlight w:val="none"/>
          <w:u w:val="single"/>
        </w:rPr>
        <w:t xml:space="preserve"> </w:t>
      </w:r>
      <w:r>
        <w:rPr>
          <w:rFonts w:hint="eastAsia" w:ascii="宋体" w:hAnsi="宋体" w:cs="宋体"/>
          <w:color w:val="auto"/>
          <w:highlight w:val="none"/>
        </w:rPr>
        <w:t>系</w:t>
      </w:r>
      <w:r>
        <w:rPr>
          <w:rFonts w:ascii="宋体" w:hAnsi="宋体" w:cs="宋体"/>
          <w:color w:val="auto"/>
          <w:highlight w:val="none"/>
          <w:u w:val="single"/>
        </w:rPr>
        <w:t xml:space="preserve">  </w:t>
      </w:r>
      <w:r>
        <w:rPr>
          <w:rFonts w:ascii="宋体" w:hAnsi="宋体" w:cs="宋体"/>
          <w:i/>
          <w:iCs/>
          <w:color w:val="auto"/>
          <w:highlight w:val="none"/>
          <w:u w:val="single"/>
        </w:rPr>
        <w:t xml:space="preserve"> （投标单位名称）</w:t>
      </w:r>
      <w:r>
        <w:rPr>
          <w:rFonts w:ascii="宋体" w:hAnsi="宋体" w:cs="宋体"/>
          <w:color w:val="auto"/>
          <w:highlight w:val="none"/>
          <w:u w:val="single"/>
        </w:rPr>
        <w:t xml:space="preserve"> </w:t>
      </w:r>
      <w:r>
        <w:rPr>
          <w:rFonts w:hint="eastAsia" w:ascii="宋体" w:hAnsi="宋体" w:cs="宋体"/>
          <w:color w:val="auto"/>
          <w:highlight w:val="none"/>
        </w:rPr>
        <w:t>的法定代表人，现授权委托</w:t>
      </w:r>
      <w:r>
        <w:rPr>
          <w:rFonts w:hint="eastAsia"/>
          <w:i/>
          <w:iCs/>
          <w:color w:val="auto"/>
          <w:highlight w:val="none"/>
          <w:u w:val="single"/>
        </w:rPr>
        <w:t>（单位名称）</w:t>
      </w:r>
      <w:r>
        <w:rPr>
          <w:rFonts w:hint="eastAsia"/>
          <w:color w:val="auto"/>
          <w:highlight w:val="none"/>
          <w:u w:val="single"/>
        </w:rPr>
        <w:t xml:space="preserve"> </w:t>
      </w:r>
      <w:r>
        <w:rPr>
          <w:rFonts w:hint="eastAsia"/>
          <w:color w:val="auto"/>
          <w:highlight w:val="none"/>
        </w:rPr>
        <w:t>的</w:t>
      </w:r>
      <w:r>
        <w:rPr>
          <w:rFonts w:hint="eastAsia"/>
          <w:color w:val="auto"/>
          <w:highlight w:val="none"/>
          <w:u w:val="single"/>
        </w:rPr>
        <w:t>（姓名）</w:t>
      </w:r>
      <w:r>
        <w:rPr>
          <w:rFonts w:hint="eastAsia" w:ascii="宋体" w:hAnsi="宋体" w:cs="宋体"/>
          <w:color w:val="auto"/>
          <w:highlight w:val="none"/>
        </w:rPr>
        <w:t>为我公司的代理人，以本公司的名义参加</w:t>
      </w:r>
      <w:r>
        <w:rPr>
          <w:rFonts w:ascii="宋体" w:hAnsi="宋体" w:cs="宋体"/>
          <w:color w:val="auto"/>
          <w:highlight w:val="none"/>
          <w:u w:val="single"/>
        </w:rPr>
        <w:t xml:space="preserve"> </w:t>
      </w:r>
      <w:r>
        <w:rPr>
          <w:rFonts w:hint="eastAsia"/>
          <w:i/>
          <w:iCs/>
          <w:color w:val="auto"/>
          <w:highlight w:val="none"/>
          <w:u w:val="single"/>
        </w:rPr>
        <w:t>（</w:t>
      </w:r>
      <w:r>
        <w:rPr>
          <w:i/>
          <w:iCs/>
          <w:color w:val="auto"/>
          <w:highlight w:val="none"/>
          <w:u w:val="single"/>
        </w:rPr>
        <w:t>项目</w:t>
      </w:r>
      <w:r>
        <w:rPr>
          <w:rFonts w:hint="eastAsia"/>
          <w:i/>
          <w:iCs/>
          <w:color w:val="auto"/>
          <w:highlight w:val="none"/>
          <w:u w:val="single"/>
        </w:rPr>
        <w:t>名称）</w:t>
      </w:r>
      <w:r>
        <w:rPr>
          <w:rFonts w:ascii="宋体" w:hAnsi="宋体" w:cs="宋体"/>
          <w:color w:val="auto"/>
          <w:highlight w:val="none"/>
          <w:u w:val="single"/>
        </w:rPr>
        <w:t xml:space="preserve"> </w:t>
      </w:r>
      <w:r>
        <w:rPr>
          <w:rFonts w:hint="eastAsia" w:ascii="宋体" w:hAnsi="宋体" w:cs="宋体"/>
          <w:color w:val="auto"/>
          <w:highlight w:val="none"/>
        </w:rPr>
        <w:t>的投标活动。代理人在代理时间内参加投标、开标、询标过程中所签署的一切文件和处理与之相关的一切事务，本人均予以承认</w:t>
      </w:r>
      <w:r>
        <w:rPr>
          <w:rFonts w:hint="eastAsia"/>
          <w:color w:val="auto"/>
          <w:sz w:val="28"/>
          <w:szCs w:val="28"/>
          <w:highlight w:val="none"/>
        </w:rPr>
        <w:t>。</w:t>
      </w:r>
    </w:p>
    <w:p>
      <w:pPr>
        <w:spacing w:line="360" w:lineRule="auto"/>
        <w:jc w:val="center"/>
        <w:rPr>
          <w:rFonts w:ascii="宋体" w:hAnsi="宋体"/>
          <w:color w:val="auto"/>
          <w:highlight w:val="none"/>
        </w:rPr>
      </w:pPr>
    </w:p>
    <w:p>
      <w:pPr>
        <w:spacing w:line="500" w:lineRule="exact"/>
        <w:rPr>
          <w:rFonts w:ascii="宋体" w:hAnsi="宋体" w:cs="宋体"/>
          <w:color w:val="auto"/>
          <w:szCs w:val="20"/>
          <w:highlight w:val="none"/>
        </w:rPr>
      </w:pPr>
      <w:r>
        <w:rPr>
          <w:rFonts w:hint="eastAsia" w:ascii="宋体" w:hAnsi="宋体" w:cs="宋体"/>
          <w:color w:val="auto"/>
          <w:szCs w:val="20"/>
          <w:highlight w:val="none"/>
        </w:rPr>
        <w:t>代理人无权转委托。特此委托。</w:t>
      </w:r>
    </w:p>
    <w:p>
      <w:pPr>
        <w:tabs>
          <w:tab w:val="left" w:pos="482"/>
          <w:tab w:val="left" w:pos="2183"/>
          <w:tab w:val="left" w:pos="3884"/>
          <w:tab w:val="left" w:pos="5585"/>
        </w:tabs>
        <w:spacing w:line="500" w:lineRule="exact"/>
        <w:ind w:firstLine="240" w:firstLineChars="100"/>
        <w:rPr>
          <w:rFonts w:ascii="宋体" w:hAnsi="宋体" w:cs="宋体"/>
          <w:color w:val="auto"/>
          <w:highlight w:val="none"/>
        </w:rPr>
      </w:pPr>
      <w:r>
        <w:rPr>
          <w:rFonts w:hint="eastAsia" w:ascii="宋体" w:hAnsi="宋体" w:cs="宋体"/>
          <w:color w:val="auto"/>
          <w:highlight w:val="none"/>
        </w:rPr>
        <w:t>附</w:t>
      </w:r>
    </w:p>
    <w:tbl>
      <w:tblPr>
        <w:tblStyle w:val="19"/>
        <w:tblW w:w="0" w:type="auto"/>
        <w:tblInd w:w="1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5" w:hRule="atLeast"/>
        </w:trPr>
        <w:tc>
          <w:tcPr>
            <w:tcW w:w="6662" w:type="dxa"/>
            <w:noWrap w:val="0"/>
            <w:vAlign w:val="center"/>
          </w:tcPr>
          <w:p>
            <w:pPr>
              <w:tabs>
                <w:tab w:val="left" w:leader="middleDot" w:pos="8400"/>
              </w:tabs>
              <w:spacing w:line="360" w:lineRule="auto"/>
              <w:jc w:val="center"/>
              <w:rPr>
                <w:rFonts w:ascii="宋体" w:hAnsi="宋体"/>
                <w:color w:val="auto"/>
                <w:highlight w:val="none"/>
              </w:rPr>
            </w:pPr>
            <w:r>
              <w:rPr>
                <w:rFonts w:hint="eastAsia" w:ascii="宋体" w:hAnsi="宋体"/>
                <w:color w:val="auto"/>
                <w:highlight w:val="none"/>
              </w:rPr>
              <w:t>代理人身份证正面复印件粘贴处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trPr>
        <w:tc>
          <w:tcPr>
            <w:tcW w:w="6662" w:type="dxa"/>
            <w:noWrap w:val="0"/>
            <w:vAlign w:val="center"/>
          </w:tcPr>
          <w:p>
            <w:pPr>
              <w:tabs>
                <w:tab w:val="left" w:leader="middleDot" w:pos="8400"/>
              </w:tabs>
              <w:spacing w:line="360" w:lineRule="auto"/>
              <w:jc w:val="center"/>
              <w:rPr>
                <w:rFonts w:ascii="宋体" w:hAnsi="宋体"/>
                <w:color w:val="auto"/>
                <w:highlight w:val="none"/>
              </w:rPr>
            </w:pPr>
            <w:r>
              <w:rPr>
                <w:rFonts w:hint="eastAsia" w:ascii="宋体" w:hAnsi="宋体"/>
                <w:color w:val="auto"/>
                <w:highlight w:val="none"/>
              </w:rPr>
              <w:t>代理人身份证背面复印件粘贴处</w:t>
            </w:r>
          </w:p>
        </w:tc>
      </w:tr>
    </w:tbl>
    <w:p>
      <w:pPr>
        <w:tabs>
          <w:tab w:val="left" w:leader="middleDot" w:pos="8400"/>
        </w:tabs>
        <w:spacing w:line="360" w:lineRule="auto"/>
        <w:ind w:firstLine="2760" w:firstLineChars="1150"/>
        <w:rPr>
          <w:rFonts w:hint="eastAsia" w:ascii="宋体" w:hAnsi="宋体"/>
          <w:color w:val="auto"/>
          <w:highlight w:val="none"/>
        </w:rPr>
      </w:pPr>
    </w:p>
    <w:p>
      <w:pPr>
        <w:tabs>
          <w:tab w:val="left" w:leader="middleDot" w:pos="8400"/>
        </w:tabs>
        <w:spacing w:line="360" w:lineRule="auto"/>
        <w:ind w:firstLine="2760" w:firstLineChars="1150"/>
        <w:rPr>
          <w:rFonts w:ascii="宋体" w:hAnsi="宋体"/>
          <w:color w:val="auto"/>
          <w:highlight w:val="none"/>
          <w:u w:val="single"/>
        </w:rPr>
      </w:pPr>
      <w:r>
        <w:rPr>
          <w:rFonts w:hint="eastAsia" w:ascii="宋体" w:hAnsi="宋体"/>
          <w:color w:val="auto"/>
          <w:highlight w:val="none"/>
        </w:rPr>
        <w:t xml:space="preserve">投 </w:t>
      </w:r>
      <w:r>
        <w:rPr>
          <w:rFonts w:ascii="宋体" w:hAnsi="宋体"/>
          <w:color w:val="auto"/>
          <w:highlight w:val="none"/>
        </w:rPr>
        <w:t xml:space="preserve"> </w:t>
      </w:r>
      <w:r>
        <w:rPr>
          <w:rFonts w:hint="eastAsia" w:ascii="宋体" w:hAnsi="宋体"/>
          <w:color w:val="auto"/>
          <w:highlight w:val="none"/>
        </w:rPr>
        <w:t xml:space="preserve">标 </w:t>
      </w:r>
      <w:r>
        <w:rPr>
          <w:rFonts w:ascii="宋体" w:hAnsi="宋体"/>
          <w:color w:val="auto"/>
          <w:highlight w:val="none"/>
        </w:rPr>
        <w:t xml:space="preserve"> </w:t>
      </w:r>
      <w:r>
        <w:rPr>
          <w:rFonts w:hint="eastAsia" w:ascii="宋体" w:hAnsi="宋体"/>
          <w:color w:val="auto"/>
          <w:highlight w:val="none"/>
        </w:rPr>
        <w:t xml:space="preserve">人（单 </w:t>
      </w:r>
      <w:r>
        <w:rPr>
          <w:rFonts w:ascii="宋体" w:hAnsi="宋体"/>
          <w:color w:val="auto"/>
          <w:highlight w:val="none"/>
        </w:rPr>
        <w:t xml:space="preserve"> </w:t>
      </w:r>
      <w:r>
        <w:rPr>
          <w:rFonts w:hint="eastAsia" w:ascii="宋体" w:hAnsi="宋体"/>
          <w:color w:val="auto"/>
          <w:highlight w:val="none"/>
        </w:rPr>
        <w:t>位盖章）：</w:t>
      </w:r>
      <w:r>
        <w:rPr>
          <w:rFonts w:ascii="宋体" w:hAnsi="宋体"/>
          <w:color w:val="auto"/>
          <w:highlight w:val="none"/>
          <w:u w:val="single"/>
        </w:rPr>
        <w:t xml:space="preserve">                   </w:t>
      </w:r>
    </w:p>
    <w:p>
      <w:pPr>
        <w:tabs>
          <w:tab w:val="left" w:leader="middleDot" w:pos="8400"/>
        </w:tabs>
        <w:spacing w:line="360" w:lineRule="auto"/>
        <w:ind w:firstLine="2760" w:firstLineChars="1150"/>
        <w:rPr>
          <w:rFonts w:ascii="宋体" w:hAnsi="宋体"/>
          <w:color w:val="auto"/>
          <w:highlight w:val="none"/>
          <w:u w:val="single"/>
        </w:rPr>
      </w:pPr>
      <w:r>
        <w:rPr>
          <w:rFonts w:hint="eastAsia" w:ascii="宋体" w:hAnsi="宋体"/>
          <w:color w:val="auto"/>
          <w:highlight w:val="none"/>
        </w:rPr>
        <w:t>法定代表人（签字或盖章）：</w:t>
      </w:r>
      <w:r>
        <w:rPr>
          <w:rFonts w:ascii="宋体" w:hAnsi="宋体"/>
          <w:color w:val="auto"/>
          <w:highlight w:val="none"/>
        </w:rPr>
        <w:t xml:space="preserve"> </w:t>
      </w:r>
      <w:r>
        <w:rPr>
          <w:rFonts w:ascii="宋体" w:hAnsi="宋体"/>
          <w:color w:val="auto"/>
          <w:highlight w:val="none"/>
          <w:u w:val="single"/>
        </w:rPr>
        <w:t xml:space="preserve">                  </w:t>
      </w:r>
    </w:p>
    <w:p>
      <w:pPr>
        <w:tabs>
          <w:tab w:val="left" w:leader="middleDot" w:pos="8400"/>
        </w:tabs>
        <w:spacing w:line="360" w:lineRule="auto"/>
        <w:ind w:firstLine="2760" w:firstLineChars="1150"/>
        <w:rPr>
          <w:rFonts w:ascii="宋体" w:hAnsi="宋体"/>
          <w:color w:val="auto"/>
          <w:highlight w:val="none"/>
        </w:rPr>
      </w:pPr>
      <w:r>
        <w:rPr>
          <w:rFonts w:hint="eastAsia" w:ascii="宋体" w:hAnsi="宋体"/>
          <w:color w:val="auto"/>
          <w:highlight w:val="none"/>
        </w:rPr>
        <w:t xml:space="preserve">日 </w:t>
      </w:r>
      <w:r>
        <w:rPr>
          <w:rFonts w:ascii="宋体" w:hAnsi="宋体"/>
          <w:color w:val="auto"/>
          <w:highlight w:val="none"/>
        </w:rPr>
        <w:t xml:space="preserve">                   </w:t>
      </w:r>
      <w:r>
        <w:rPr>
          <w:rFonts w:hint="eastAsia" w:ascii="宋体" w:hAnsi="宋体"/>
          <w:color w:val="auto"/>
          <w:highlight w:val="none"/>
        </w:rPr>
        <w:t>期：</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rPr>
        <w:t xml:space="preserve"> </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rPr>
        <w:t xml:space="preserve"> </w:t>
      </w:r>
      <w:r>
        <w:rPr>
          <w:rFonts w:ascii="宋体" w:hAnsi="宋体"/>
          <w:color w:val="auto"/>
          <w:highlight w:val="none"/>
          <w:u w:val="single"/>
        </w:rPr>
        <w:t xml:space="preserve">   </w:t>
      </w:r>
      <w:r>
        <w:rPr>
          <w:rFonts w:hint="eastAsia" w:ascii="宋体" w:hAnsi="宋体"/>
          <w:color w:val="auto"/>
          <w:highlight w:val="none"/>
        </w:rPr>
        <w:t>日</w:t>
      </w:r>
    </w:p>
    <w:p>
      <w:pPr>
        <w:jc w:val="center"/>
        <w:rPr>
          <w:rFonts w:hint="eastAsia" w:ascii="宋体" w:hAnsi="宋体"/>
          <w:b/>
          <w:bCs/>
          <w:color w:val="auto"/>
          <w:sz w:val="36"/>
          <w:highlight w:val="none"/>
        </w:rPr>
      </w:pPr>
    </w:p>
    <w:p>
      <w:pPr>
        <w:jc w:val="center"/>
        <w:rPr>
          <w:rFonts w:hint="eastAsia" w:ascii="宋体" w:hAnsi="宋体"/>
          <w:b/>
          <w:bCs/>
          <w:color w:val="auto"/>
          <w:sz w:val="36"/>
          <w:highlight w:val="none"/>
        </w:rPr>
      </w:pPr>
    </w:p>
    <w:p>
      <w:pPr>
        <w:tabs>
          <w:tab w:val="left" w:pos="567"/>
          <w:tab w:val="left" w:pos="1146"/>
        </w:tabs>
        <w:jc w:val="center"/>
        <w:rPr>
          <w:rFonts w:hint="eastAsia" w:hAnsi="宋体" w:cs="宋体"/>
          <w:b/>
          <w:bCs/>
          <w:color w:val="auto"/>
          <w:sz w:val="36"/>
          <w:szCs w:val="36"/>
          <w:highlight w:val="none"/>
        </w:rPr>
      </w:pPr>
      <w:r>
        <w:rPr>
          <w:rFonts w:hint="eastAsia" w:hAnsi="宋体" w:cs="宋体"/>
          <w:b/>
          <w:bCs/>
          <w:color w:val="auto"/>
          <w:sz w:val="36"/>
          <w:szCs w:val="36"/>
          <w:highlight w:val="none"/>
        </w:rPr>
        <w:t>项目负责人/设计负责人/施工负责人简历表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313"/>
        <w:gridCol w:w="1630"/>
        <w:gridCol w:w="1480"/>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姓名</w:t>
            </w:r>
          </w:p>
        </w:tc>
        <w:tc>
          <w:tcPr>
            <w:tcW w:w="1480" w:type="dxa"/>
            <w:noWrap w:val="0"/>
            <w:vAlign w:val="center"/>
          </w:tcPr>
          <w:p>
            <w:pPr>
              <w:spacing w:line="360" w:lineRule="auto"/>
              <w:jc w:val="center"/>
              <w:rPr>
                <w:rFonts w:hAnsi="宋体" w:cs="宋体"/>
                <w:color w:val="auto"/>
                <w:szCs w:val="28"/>
                <w:highlight w:val="none"/>
              </w:rPr>
            </w:pPr>
          </w:p>
        </w:tc>
        <w:tc>
          <w:tcPr>
            <w:tcW w:w="1313"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性别</w:t>
            </w:r>
          </w:p>
        </w:tc>
        <w:tc>
          <w:tcPr>
            <w:tcW w:w="1630" w:type="dxa"/>
            <w:noWrap w:val="0"/>
            <w:vAlign w:val="center"/>
          </w:tcPr>
          <w:p>
            <w:pPr>
              <w:spacing w:line="360" w:lineRule="auto"/>
              <w:jc w:val="center"/>
              <w:rPr>
                <w:rFonts w:hAnsi="宋体" w:cs="宋体"/>
                <w:color w:val="auto"/>
                <w:szCs w:val="28"/>
                <w:highlight w:val="none"/>
              </w:rPr>
            </w:pPr>
          </w:p>
        </w:tc>
        <w:tc>
          <w:tcPr>
            <w:tcW w:w="1480"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年龄</w:t>
            </w:r>
          </w:p>
        </w:tc>
        <w:tc>
          <w:tcPr>
            <w:tcW w:w="1192" w:type="dxa"/>
            <w:noWrap w:val="0"/>
            <w:vAlign w:val="center"/>
          </w:tcPr>
          <w:p>
            <w:pPr>
              <w:spacing w:line="360" w:lineRule="auto"/>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职务</w:t>
            </w:r>
          </w:p>
        </w:tc>
        <w:tc>
          <w:tcPr>
            <w:tcW w:w="1480" w:type="dxa"/>
            <w:noWrap w:val="0"/>
            <w:vAlign w:val="center"/>
          </w:tcPr>
          <w:p>
            <w:pPr>
              <w:spacing w:line="360" w:lineRule="auto"/>
              <w:jc w:val="center"/>
              <w:rPr>
                <w:rFonts w:hAnsi="宋体" w:cs="宋体"/>
                <w:color w:val="auto"/>
                <w:szCs w:val="28"/>
                <w:highlight w:val="none"/>
              </w:rPr>
            </w:pPr>
          </w:p>
        </w:tc>
        <w:tc>
          <w:tcPr>
            <w:tcW w:w="1313"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职称</w:t>
            </w:r>
          </w:p>
        </w:tc>
        <w:tc>
          <w:tcPr>
            <w:tcW w:w="1630" w:type="dxa"/>
            <w:noWrap w:val="0"/>
            <w:vAlign w:val="center"/>
          </w:tcPr>
          <w:p>
            <w:pPr>
              <w:spacing w:line="360" w:lineRule="auto"/>
              <w:jc w:val="center"/>
              <w:rPr>
                <w:rFonts w:hAnsi="宋体" w:cs="宋体"/>
                <w:color w:val="auto"/>
                <w:szCs w:val="28"/>
                <w:highlight w:val="none"/>
              </w:rPr>
            </w:pPr>
          </w:p>
        </w:tc>
        <w:tc>
          <w:tcPr>
            <w:tcW w:w="1480"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学历</w:t>
            </w:r>
          </w:p>
        </w:tc>
        <w:tc>
          <w:tcPr>
            <w:tcW w:w="1192" w:type="dxa"/>
            <w:noWrap w:val="0"/>
            <w:vAlign w:val="center"/>
          </w:tcPr>
          <w:p>
            <w:pPr>
              <w:spacing w:line="360" w:lineRule="auto"/>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参加工作时间</w:t>
            </w:r>
          </w:p>
        </w:tc>
        <w:tc>
          <w:tcPr>
            <w:tcW w:w="1313" w:type="dxa"/>
            <w:noWrap w:val="0"/>
            <w:vAlign w:val="center"/>
          </w:tcPr>
          <w:p>
            <w:pPr>
              <w:spacing w:line="360" w:lineRule="auto"/>
              <w:jc w:val="center"/>
              <w:rPr>
                <w:rFonts w:hAnsi="宋体" w:cs="宋体"/>
                <w:color w:val="auto"/>
                <w:szCs w:val="28"/>
                <w:highlight w:val="none"/>
              </w:rPr>
            </w:pPr>
          </w:p>
        </w:tc>
        <w:tc>
          <w:tcPr>
            <w:tcW w:w="3110" w:type="dxa"/>
            <w:gridSpan w:val="2"/>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从事项目负责人年限</w:t>
            </w:r>
          </w:p>
        </w:tc>
        <w:tc>
          <w:tcPr>
            <w:tcW w:w="1192" w:type="dxa"/>
            <w:noWrap w:val="0"/>
            <w:vAlign w:val="center"/>
          </w:tcPr>
          <w:p>
            <w:pPr>
              <w:spacing w:line="360" w:lineRule="auto"/>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项目负责人资格证书编号</w:t>
            </w:r>
          </w:p>
        </w:tc>
        <w:tc>
          <w:tcPr>
            <w:tcW w:w="5615" w:type="dxa"/>
            <w:gridSpan w:val="4"/>
            <w:noWrap w:val="0"/>
            <w:vAlign w:val="center"/>
          </w:tcPr>
          <w:p>
            <w:pPr>
              <w:spacing w:line="360" w:lineRule="auto"/>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5" w:type="dxa"/>
            <w:gridSpan w:val="6"/>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建设单位</w:t>
            </w:r>
          </w:p>
        </w:tc>
        <w:tc>
          <w:tcPr>
            <w:tcW w:w="1480"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项目名称</w:t>
            </w:r>
          </w:p>
        </w:tc>
        <w:tc>
          <w:tcPr>
            <w:tcW w:w="1313"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建设规模</w:t>
            </w:r>
          </w:p>
        </w:tc>
        <w:tc>
          <w:tcPr>
            <w:tcW w:w="1630"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开、竣工日期</w:t>
            </w:r>
          </w:p>
        </w:tc>
        <w:tc>
          <w:tcPr>
            <w:tcW w:w="1480"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在建或已完</w:t>
            </w:r>
          </w:p>
        </w:tc>
        <w:tc>
          <w:tcPr>
            <w:tcW w:w="1192" w:type="dxa"/>
            <w:noWrap w:val="0"/>
            <w:vAlign w:val="center"/>
          </w:tcPr>
          <w:p>
            <w:pPr>
              <w:spacing w:line="360" w:lineRule="auto"/>
              <w:jc w:val="center"/>
              <w:rPr>
                <w:rFonts w:hAnsi="宋体" w:cs="宋体"/>
                <w:color w:val="auto"/>
                <w:szCs w:val="28"/>
                <w:highlight w:val="none"/>
              </w:rPr>
            </w:pPr>
            <w:r>
              <w:rPr>
                <w:rFonts w:hint="eastAsia" w:hAnsi="宋体" w:cs="宋体"/>
                <w:color w:val="auto"/>
                <w:szCs w:val="28"/>
                <w:highlight w:val="none"/>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313" w:type="dxa"/>
            <w:noWrap w:val="0"/>
            <w:vAlign w:val="center"/>
          </w:tcPr>
          <w:p>
            <w:pPr>
              <w:spacing w:line="360" w:lineRule="auto"/>
              <w:rPr>
                <w:rFonts w:hAnsi="宋体" w:cs="宋体"/>
                <w:color w:val="auto"/>
                <w:szCs w:val="28"/>
                <w:highlight w:val="none"/>
              </w:rPr>
            </w:pPr>
          </w:p>
        </w:tc>
        <w:tc>
          <w:tcPr>
            <w:tcW w:w="1630" w:type="dxa"/>
            <w:noWrap w:val="0"/>
            <w:vAlign w:val="center"/>
          </w:tcPr>
          <w:p>
            <w:pPr>
              <w:spacing w:line="360" w:lineRule="auto"/>
              <w:rPr>
                <w:rFonts w:hAnsi="宋体" w:cs="宋体"/>
                <w:color w:val="auto"/>
                <w:szCs w:val="28"/>
                <w:highlight w:val="none"/>
              </w:rPr>
            </w:pPr>
          </w:p>
        </w:tc>
        <w:tc>
          <w:tcPr>
            <w:tcW w:w="1480" w:type="dxa"/>
            <w:noWrap w:val="0"/>
            <w:vAlign w:val="center"/>
          </w:tcPr>
          <w:p>
            <w:pPr>
              <w:spacing w:line="360" w:lineRule="auto"/>
              <w:rPr>
                <w:rFonts w:hAnsi="宋体" w:cs="宋体"/>
                <w:color w:val="auto"/>
                <w:szCs w:val="28"/>
                <w:highlight w:val="none"/>
              </w:rPr>
            </w:pPr>
          </w:p>
        </w:tc>
        <w:tc>
          <w:tcPr>
            <w:tcW w:w="1192" w:type="dxa"/>
            <w:noWrap w:val="0"/>
            <w:vAlign w:val="center"/>
          </w:tcPr>
          <w:p>
            <w:pPr>
              <w:spacing w:line="360" w:lineRule="auto"/>
              <w:rPr>
                <w:rFonts w:hAnsi="宋体" w:cs="宋体"/>
                <w:color w:val="auto"/>
                <w:szCs w:val="28"/>
                <w:highlight w:val="none"/>
              </w:rPr>
            </w:pPr>
          </w:p>
        </w:tc>
      </w:tr>
    </w:tbl>
    <w:p>
      <w:pPr>
        <w:spacing w:line="360" w:lineRule="auto"/>
        <w:rPr>
          <w:rFonts w:hAnsi="宋体" w:cs="宋体"/>
          <w:color w:val="auto"/>
          <w:szCs w:val="28"/>
          <w:highlight w:val="none"/>
        </w:rPr>
      </w:pPr>
    </w:p>
    <w:p>
      <w:pPr>
        <w:widowControl/>
        <w:rPr>
          <w:rFonts w:ascii="宋体" w:hAnsi="宋体" w:cs="宋体"/>
          <w:b/>
          <w:bCs/>
          <w:color w:val="auto"/>
          <w:szCs w:val="28"/>
          <w:highlight w:val="none"/>
        </w:rPr>
      </w:pPr>
      <w:r>
        <w:rPr>
          <w:rFonts w:ascii="宋体" w:hAnsi="宋体" w:cs="宋体"/>
          <w:b/>
          <w:bCs/>
          <w:color w:val="auto"/>
          <w:szCs w:val="28"/>
          <w:highlight w:val="none"/>
        </w:rPr>
        <w:br w:type="page"/>
      </w:r>
    </w:p>
    <w:p>
      <w:pPr>
        <w:tabs>
          <w:tab w:val="left" w:pos="567"/>
          <w:tab w:val="left" w:pos="1146"/>
        </w:tabs>
        <w:jc w:val="center"/>
        <w:rPr>
          <w:rFonts w:hint="eastAsia" w:hAnsi="宋体" w:cs="宋体"/>
          <w:b/>
          <w:bCs/>
          <w:color w:val="auto"/>
          <w:sz w:val="36"/>
          <w:szCs w:val="36"/>
          <w:highlight w:val="none"/>
        </w:rPr>
      </w:pPr>
      <w:r>
        <w:rPr>
          <w:rFonts w:hint="eastAsia" w:hAnsi="宋体" w:cs="宋体"/>
          <w:b/>
          <w:bCs/>
          <w:color w:val="auto"/>
          <w:sz w:val="36"/>
          <w:szCs w:val="36"/>
          <w:highlight w:val="none"/>
        </w:rPr>
        <w:t xml:space="preserve"> 技术负责人简历表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323"/>
        <w:gridCol w:w="1570"/>
        <w:gridCol w:w="1480"/>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姓名</w:t>
            </w:r>
          </w:p>
        </w:tc>
        <w:tc>
          <w:tcPr>
            <w:tcW w:w="1480" w:type="dxa"/>
            <w:noWrap w:val="0"/>
            <w:vAlign w:val="top"/>
          </w:tcPr>
          <w:p>
            <w:pPr>
              <w:spacing w:line="360" w:lineRule="auto"/>
              <w:jc w:val="center"/>
              <w:rPr>
                <w:rFonts w:hAnsi="宋体" w:cs="宋体"/>
                <w:color w:val="auto"/>
                <w:szCs w:val="28"/>
                <w:highlight w:val="none"/>
              </w:rPr>
            </w:pPr>
          </w:p>
        </w:tc>
        <w:tc>
          <w:tcPr>
            <w:tcW w:w="1323"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性别</w:t>
            </w:r>
          </w:p>
        </w:tc>
        <w:tc>
          <w:tcPr>
            <w:tcW w:w="1570" w:type="dxa"/>
            <w:noWrap w:val="0"/>
            <w:vAlign w:val="top"/>
          </w:tcPr>
          <w:p>
            <w:pPr>
              <w:spacing w:line="360" w:lineRule="auto"/>
              <w:jc w:val="center"/>
              <w:rPr>
                <w:rFonts w:hAnsi="宋体" w:cs="宋体"/>
                <w:color w:val="auto"/>
                <w:szCs w:val="28"/>
                <w:highlight w:val="none"/>
              </w:rPr>
            </w:pPr>
          </w:p>
        </w:tc>
        <w:tc>
          <w:tcPr>
            <w:tcW w:w="1480"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年龄</w:t>
            </w:r>
          </w:p>
        </w:tc>
        <w:tc>
          <w:tcPr>
            <w:tcW w:w="1282" w:type="dxa"/>
            <w:noWrap w:val="0"/>
            <w:vAlign w:val="top"/>
          </w:tcPr>
          <w:p>
            <w:pPr>
              <w:spacing w:line="360" w:lineRule="auto"/>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职务</w:t>
            </w:r>
          </w:p>
        </w:tc>
        <w:tc>
          <w:tcPr>
            <w:tcW w:w="1480" w:type="dxa"/>
            <w:noWrap w:val="0"/>
            <w:vAlign w:val="top"/>
          </w:tcPr>
          <w:p>
            <w:pPr>
              <w:spacing w:line="360" w:lineRule="auto"/>
              <w:jc w:val="center"/>
              <w:rPr>
                <w:rFonts w:hAnsi="宋体" w:cs="宋体"/>
                <w:color w:val="auto"/>
                <w:szCs w:val="28"/>
                <w:highlight w:val="none"/>
              </w:rPr>
            </w:pPr>
          </w:p>
        </w:tc>
        <w:tc>
          <w:tcPr>
            <w:tcW w:w="1323"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职称</w:t>
            </w:r>
          </w:p>
        </w:tc>
        <w:tc>
          <w:tcPr>
            <w:tcW w:w="1570" w:type="dxa"/>
            <w:noWrap w:val="0"/>
            <w:vAlign w:val="top"/>
          </w:tcPr>
          <w:p>
            <w:pPr>
              <w:spacing w:line="360" w:lineRule="auto"/>
              <w:jc w:val="center"/>
              <w:rPr>
                <w:rFonts w:hAnsi="宋体" w:cs="宋体"/>
                <w:color w:val="auto"/>
                <w:szCs w:val="28"/>
                <w:highlight w:val="none"/>
              </w:rPr>
            </w:pPr>
          </w:p>
        </w:tc>
        <w:tc>
          <w:tcPr>
            <w:tcW w:w="1480"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学历</w:t>
            </w:r>
          </w:p>
        </w:tc>
        <w:tc>
          <w:tcPr>
            <w:tcW w:w="1282" w:type="dxa"/>
            <w:noWrap w:val="0"/>
            <w:vAlign w:val="top"/>
          </w:tcPr>
          <w:p>
            <w:pPr>
              <w:spacing w:line="360" w:lineRule="auto"/>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参加工作时间</w:t>
            </w:r>
          </w:p>
        </w:tc>
        <w:tc>
          <w:tcPr>
            <w:tcW w:w="1323" w:type="dxa"/>
            <w:noWrap w:val="0"/>
            <w:vAlign w:val="top"/>
          </w:tcPr>
          <w:p>
            <w:pPr>
              <w:spacing w:line="360" w:lineRule="auto"/>
              <w:jc w:val="center"/>
              <w:rPr>
                <w:rFonts w:hAnsi="宋体" w:cs="宋体"/>
                <w:color w:val="auto"/>
                <w:szCs w:val="28"/>
                <w:highlight w:val="none"/>
              </w:rPr>
            </w:pPr>
          </w:p>
        </w:tc>
        <w:tc>
          <w:tcPr>
            <w:tcW w:w="3050" w:type="dxa"/>
            <w:gridSpan w:val="2"/>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从事技术负责人年限</w:t>
            </w:r>
          </w:p>
        </w:tc>
        <w:tc>
          <w:tcPr>
            <w:tcW w:w="1282" w:type="dxa"/>
            <w:noWrap w:val="0"/>
            <w:vAlign w:val="top"/>
          </w:tcPr>
          <w:p>
            <w:pPr>
              <w:spacing w:line="360" w:lineRule="auto"/>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资格证书名称及编号</w:t>
            </w:r>
          </w:p>
        </w:tc>
        <w:tc>
          <w:tcPr>
            <w:tcW w:w="5655" w:type="dxa"/>
            <w:gridSpan w:val="4"/>
            <w:noWrap w:val="0"/>
            <w:vAlign w:val="top"/>
          </w:tcPr>
          <w:p>
            <w:pPr>
              <w:spacing w:line="360" w:lineRule="auto"/>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5" w:type="dxa"/>
            <w:gridSpan w:val="6"/>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建设单位</w:t>
            </w:r>
          </w:p>
        </w:tc>
        <w:tc>
          <w:tcPr>
            <w:tcW w:w="1480"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项目名称</w:t>
            </w:r>
          </w:p>
        </w:tc>
        <w:tc>
          <w:tcPr>
            <w:tcW w:w="1323"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建设规模</w:t>
            </w:r>
          </w:p>
        </w:tc>
        <w:tc>
          <w:tcPr>
            <w:tcW w:w="1570"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开、竣工日期</w:t>
            </w:r>
          </w:p>
        </w:tc>
        <w:tc>
          <w:tcPr>
            <w:tcW w:w="1480"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在建或已完</w:t>
            </w:r>
          </w:p>
        </w:tc>
        <w:tc>
          <w:tcPr>
            <w:tcW w:w="1282" w:type="dxa"/>
            <w:noWrap w:val="0"/>
            <w:vAlign w:val="top"/>
          </w:tcPr>
          <w:p>
            <w:pPr>
              <w:spacing w:line="360" w:lineRule="auto"/>
              <w:jc w:val="center"/>
              <w:rPr>
                <w:rFonts w:hAnsi="宋体" w:cs="宋体"/>
                <w:color w:val="auto"/>
                <w:szCs w:val="28"/>
                <w:highlight w:val="none"/>
              </w:rPr>
            </w:pPr>
            <w:r>
              <w:rPr>
                <w:rFonts w:hint="eastAsia" w:hAnsi="宋体" w:cs="宋体"/>
                <w:color w:val="auto"/>
                <w:szCs w:val="28"/>
                <w:highlight w:val="none"/>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323" w:type="dxa"/>
            <w:noWrap w:val="0"/>
            <w:vAlign w:val="top"/>
          </w:tcPr>
          <w:p>
            <w:pPr>
              <w:spacing w:line="360" w:lineRule="auto"/>
              <w:rPr>
                <w:rFonts w:hAnsi="宋体" w:cs="宋体"/>
                <w:color w:val="auto"/>
                <w:szCs w:val="28"/>
                <w:highlight w:val="none"/>
              </w:rPr>
            </w:pPr>
          </w:p>
        </w:tc>
        <w:tc>
          <w:tcPr>
            <w:tcW w:w="1570" w:type="dxa"/>
            <w:noWrap w:val="0"/>
            <w:vAlign w:val="top"/>
          </w:tcPr>
          <w:p>
            <w:pPr>
              <w:spacing w:line="360" w:lineRule="auto"/>
              <w:rPr>
                <w:rFonts w:hAnsi="宋体" w:cs="宋体"/>
                <w:color w:val="auto"/>
                <w:szCs w:val="28"/>
                <w:highlight w:val="none"/>
              </w:rPr>
            </w:pPr>
          </w:p>
        </w:tc>
        <w:tc>
          <w:tcPr>
            <w:tcW w:w="1480" w:type="dxa"/>
            <w:noWrap w:val="0"/>
            <w:vAlign w:val="top"/>
          </w:tcPr>
          <w:p>
            <w:pPr>
              <w:spacing w:line="360" w:lineRule="auto"/>
              <w:rPr>
                <w:rFonts w:hAnsi="宋体" w:cs="宋体"/>
                <w:color w:val="auto"/>
                <w:szCs w:val="28"/>
                <w:highlight w:val="none"/>
              </w:rPr>
            </w:pPr>
          </w:p>
        </w:tc>
        <w:tc>
          <w:tcPr>
            <w:tcW w:w="1282" w:type="dxa"/>
            <w:noWrap w:val="0"/>
            <w:vAlign w:val="top"/>
          </w:tcPr>
          <w:p>
            <w:pPr>
              <w:spacing w:line="360" w:lineRule="auto"/>
              <w:rPr>
                <w:rFonts w:hAnsi="宋体" w:cs="宋体"/>
                <w:color w:val="auto"/>
                <w:szCs w:val="28"/>
                <w:highlight w:val="none"/>
              </w:rPr>
            </w:pPr>
          </w:p>
        </w:tc>
      </w:tr>
    </w:tbl>
    <w:p>
      <w:pPr>
        <w:jc w:val="center"/>
        <w:rPr>
          <w:rFonts w:hint="eastAsia" w:ascii="宋体" w:hAnsi="宋体"/>
          <w:b/>
          <w:bCs/>
          <w:color w:val="auto"/>
          <w:sz w:val="36"/>
          <w:highlight w:val="none"/>
        </w:rPr>
      </w:pPr>
    </w:p>
    <w:p>
      <w:pPr>
        <w:jc w:val="center"/>
        <w:rPr>
          <w:rFonts w:hint="eastAsia" w:ascii="宋体" w:hAnsi="宋体"/>
          <w:b/>
          <w:bCs/>
          <w:color w:val="auto"/>
          <w:sz w:val="36"/>
          <w:highlight w:val="none"/>
        </w:rPr>
      </w:pPr>
    </w:p>
    <w:p>
      <w:pPr>
        <w:jc w:val="center"/>
        <w:rPr>
          <w:rFonts w:hint="eastAsia" w:ascii="宋体" w:hAnsi="宋体"/>
          <w:b/>
          <w:bCs/>
          <w:color w:val="auto"/>
          <w:sz w:val="36"/>
          <w:highlight w:val="none"/>
        </w:rPr>
      </w:pPr>
    </w:p>
    <w:p>
      <w:pPr>
        <w:jc w:val="center"/>
        <w:rPr>
          <w:rFonts w:hint="eastAsia" w:ascii="宋体" w:hAnsi="宋体"/>
          <w:b/>
          <w:bCs/>
          <w:color w:val="auto"/>
          <w:sz w:val="36"/>
          <w:highlight w:val="none"/>
        </w:rPr>
      </w:pPr>
    </w:p>
    <w:p>
      <w:pPr>
        <w:tabs>
          <w:tab w:val="left" w:pos="567"/>
          <w:tab w:val="left" w:pos="1146"/>
        </w:tabs>
        <w:jc w:val="center"/>
        <w:rPr>
          <w:rFonts w:hint="eastAsia" w:hAnsi="宋体" w:cs="宋体"/>
          <w:b/>
          <w:bCs/>
          <w:color w:val="auto"/>
          <w:sz w:val="36"/>
          <w:szCs w:val="36"/>
          <w:highlight w:val="none"/>
        </w:rPr>
      </w:pPr>
      <w:r>
        <w:rPr>
          <w:rFonts w:hint="eastAsia" w:hAnsi="宋体" w:cs="宋体"/>
          <w:b/>
          <w:bCs/>
          <w:color w:val="auto"/>
          <w:sz w:val="36"/>
          <w:szCs w:val="36"/>
          <w:highlight w:val="none"/>
        </w:rPr>
        <w:t>项目管理班子配备情况表</w:t>
      </w:r>
    </w:p>
    <w:p>
      <w:pPr>
        <w:spacing w:line="360" w:lineRule="auto"/>
        <w:ind w:firstLine="717" w:firstLineChars="299"/>
        <w:rPr>
          <w:rFonts w:hAnsi="宋体" w:cs="宋体"/>
          <w:color w:val="auto"/>
          <w:szCs w:val="28"/>
          <w:highlight w:val="none"/>
        </w:rPr>
      </w:pPr>
      <w:r>
        <w:rPr>
          <w:rFonts w:hint="eastAsia" w:hAnsi="宋体" w:cs="宋体"/>
          <w:color w:val="auto"/>
          <w:szCs w:val="28"/>
          <w:highlight w:val="none"/>
        </w:rPr>
        <w:t>工程名称：</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20"/>
        <w:gridCol w:w="720"/>
        <w:gridCol w:w="888"/>
        <w:gridCol w:w="739"/>
        <w:gridCol w:w="760"/>
        <w:gridCol w:w="760"/>
        <w:gridCol w:w="1120"/>
        <w:gridCol w:w="98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restart"/>
            <w:noWrap w:val="0"/>
            <w:vAlign w:val="center"/>
          </w:tcPr>
          <w:p>
            <w:pPr>
              <w:jc w:val="center"/>
              <w:rPr>
                <w:rFonts w:hAnsi="宋体" w:cs="宋体"/>
                <w:color w:val="auto"/>
                <w:szCs w:val="28"/>
                <w:highlight w:val="none"/>
              </w:rPr>
            </w:pPr>
            <w:r>
              <w:rPr>
                <w:rFonts w:hint="eastAsia" w:hAnsi="宋体" w:cs="宋体"/>
                <w:color w:val="auto"/>
                <w:szCs w:val="28"/>
                <w:highlight w:val="none"/>
              </w:rPr>
              <w:t>职务</w:t>
            </w:r>
          </w:p>
        </w:tc>
        <w:tc>
          <w:tcPr>
            <w:tcW w:w="720" w:type="dxa"/>
            <w:vMerge w:val="restart"/>
            <w:noWrap w:val="0"/>
            <w:vAlign w:val="center"/>
          </w:tcPr>
          <w:p>
            <w:pPr>
              <w:jc w:val="center"/>
              <w:rPr>
                <w:rFonts w:hAnsi="宋体" w:cs="宋体"/>
                <w:color w:val="auto"/>
                <w:szCs w:val="28"/>
                <w:highlight w:val="none"/>
              </w:rPr>
            </w:pPr>
            <w:r>
              <w:rPr>
                <w:rFonts w:hint="eastAsia" w:hAnsi="宋体" w:cs="宋体"/>
                <w:color w:val="auto"/>
                <w:szCs w:val="28"/>
                <w:highlight w:val="none"/>
              </w:rPr>
              <w:t>姓名</w:t>
            </w:r>
          </w:p>
        </w:tc>
        <w:tc>
          <w:tcPr>
            <w:tcW w:w="720" w:type="dxa"/>
            <w:vMerge w:val="restart"/>
            <w:noWrap w:val="0"/>
            <w:vAlign w:val="center"/>
          </w:tcPr>
          <w:p>
            <w:pPr>
              <w:jc w:val="center"/>
              <w:rPr>
                <w:rFonts w:hAnsi="宋体" w:cs="宋体"/>
                <w:color w:val="auto"/>
                <w:szCs w:val="28"/>
                <w:highlight w:val="none"/>
              </w:rPr>
            </w:pPr>
            <w:r>
              <w:rPr>
                <w:rFonts w:hint="eastAsia" w:hAnsi="宋体" w:cs="宋体"/>
                <w:color w:val="auto"/>
                <w:szCs w:val="28"/>
                <w:highlight w:val="none"/>
              </w:rPr>
              <w:t>职称</w:t>
            </w:r>
          </w:p>
        </w:tc>
        <w:tc>
          <w:tcPr>
            <w:tcW w:w="4267" w:type="dxa"/>
            <w:gridSpan w:val="5"/>
            <w:noWrap w:val="0"/>
            <w:vAlign w:val="center"/>
          </w:tcPr>
          <w:p>
            <w:pPr>
              <w:jc w:val="center"/>
              <w:rPr>
                <w:rFonts w:hAnsi="宋体" w:cs="宋体"/>
                <w:color w:val="auto"/>
                <w:szCs w:val="28"/>
                <w:highlight w:val="none"/>
              </w:rPr>
            </w:pPr>
            <w:r>
              <w:rPr>
                <w:rFonts w:hint="eastAsia" w:hAnsi="宋体" w:cs="宋体"/>
                <w:color w:val="auto"/>
                <w:szCs w:val="28"/>
                <w:highlight w:val="none"/>
              </w:rPr>
              <w:t>上岗资格证明</w:t>
            </w:r>
          </w:p>
        </w:tc>
        <w:tc>
          <w:tcPr>
            <w:tcW w:w="2050" w:type="dxa"/>
            <w:gridSpan w:val="2"/>
            <w:noWrap w:val="0"/>
            <w:vAlign w:val="center"/>
          </w:tcPr>
          <w:p>
            <w:pPr>
              <w:jc w:val="center"/>
              <w:rPr>
                <w:rFonts w:hAnsi="宋体" w:cs="宋体"/>
                <w:color w:val="auto"/>
                <w:szCs w:val="28"/>
                <w:highlight w:val="none"/>
              </w:rPr>
            </w:pPr>
            <w:r>
              <w:rPr>
                <w:rFonts w:hint="eastAsia" w:hAnsi="宋体" w:cs="宋体"/>
                <w:color w:val="auto"/>
                <w:szCs w:val="28"/>
                <w:highlight w:val="none"/>
              </w:rPr>
              <w:t>已承担在建工程情况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continue"/>
            <w:noWrap w:val="0"/>
            <w:vAlign w:val="top"/>
          </w:tcPr>
          <w:p>
            <w:pPr>
              <w:spacing w:line="360" w:lineRule="auto"/>
              <w:rPr>
                <w:rFonts w:hAnsi="宋体" w:cs="宋体"/>
                <w:color w:val="auto"/>
                <w:szCs w:val="28"/>
                <w:highlight w:val="none"/>
              </w:rPr>
            </w:pPr>
          </w:p>
        </w:tc>
        <w:tc>
          <w:tcPr>
            <w:tcW w:w="720" w:type="dxa"/>
            <w:vMerge w:val="continue"/>
            <w:tcBorders>
              <w:bottom w:val="single" w:color="auto" w:sz="4" w:space="0"/>
            </w:tcBorders>
            <w:noWrap w:val="0"/>
            <w:vAlign w:val="top"/>
          </w:tcPr>
          <w:p>
            <w:pPr>
              <w:spacing w:line="360" w:lineRule="auto"/>
              <w:rPr>
                <w:rFonts w:hAnsi="宋体" w:cs="宋体"/>
                <w:color w:val="auto"/>
                <w:szCs w:val="28"/>
                <w:highlight w:val="none"/>
              </w:rPr>
            </w:pPr>
          </w:p>
        </w:tc>
        <w:tc>
          <w:tcPr>
            <w:tcW w:w="720" w:type="dxa"/>
            <w:vMerge w:val="continue"/>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r>
              <w:rPr>
                <w:rFonts w:hint="eastAsia" w:hAnsi="宋体" w:cs="宋体"/>
                <w:color w:val="auto"/>
                <w:szCs w:val="28"/>
                <w:highlight w:val="none"/>
              </w:rPr>
              <w:t>证书</w:t>
            </w:r>
          </w:p>
          <w:p>
            <w:pPr>
              <w:jc w:val="center"/>
              <w:rPr>
                <w:rFonts w:hAnsi="宋体" w:cs="宋体"/>
                <w:color w:val="auto"/>
                <w:szCs w:val="28"/>
                <w:highlight w:val="none"/>
              </w:rPr>
            </w:pPr>
            <w:r>
              <w:rPr>
                <w:rFonts w:hint="eastAsia" w:hAnsi="宋体" w:cs="宋体"/>
                <w:color w:val="auto"/>
                <w:szCs w:val="28"/>
                <w:highlight w:val="none"/>
              </w:rPr>
              <w:t>名称</w:t>
            </w:r>
          </w:p>
        </w:tc>
        <w:tc>
          <w:tcPr>
            <w:tcW w:w="739" w:type="dxa"/>
            <w:noWrap w:val="0"/>
            <w:vAlign w:val="center"/>
          </w:tcPr>
          <w:p>
            <w:pPr>
              <w:jc w:val="center"/>
              <w:rPr>
                <w:rFonts w:hAnsi="宋体" w:cs="宋体"/>
                <w:color w:val="auto"/>
                <w:szCs w:val="28"/>
                <w:highlight w:val="none"/>
              </w:rPr>
            </w:pPr>
            <w:r>
              <w:rPr>
                <w:rFonts w:hint="eastAsia" w:hAnsi="宋体" w:cs="宋体"/>
                <w:color w:val="auto"/>
                <w:szCs w:val="28"/>
                <w:highlight w:val="none"/>
              </w:rPr>
              <w:t>级别</w:t>
            </w:r>
          </w:p>
        </w:tc>
        <w:tc>
          <w:tcPr>
            <w:tcW w:w="760" w:type="dxa"/>
            <w:tcBorders>
              <w:bottom w:val="single" w:color="auto" w:sz="4" w:space="0"/>
            </w:tcBorders>
            <w:noWrap w:val="0"/>
            <w:vAlign w:val="center"/>
          </w:tcPr>
          <w:p>
            <w:pPr>
              <w:jc w:val="center"/>
              <w:rPr>
                <w:rFonts w:hAnsi="宋体" w:cs="宋体"/>
                <w:color w:val="auto"/>
                <w:szCs w:val="28"/>
                <w:highlight w:val="none"/>
              </w:rPr>
            </w:pPr>
            <w:r>
              <w:rPr>
                <w:rFonts w:hint="eastAsia" w:hAnsi="宋体" w:cs="宋体"/>
                <w:color w:val="auto"/>
                <w:szCs w:val="28"/>
                <w:highlight w:val="none"/>
              </w:rPr>
              <w:t>证号</w:t>
            </w:r>
          </w:p>
        </w:tc>
        <w:tc>
          <w:tcPr>
            <w:tcW w:w="760" w:type="dxa"/>
            <w:noWrap w:val="0"/>
            <w:vAlign w:val="center"/>
          </w:tcPr>
          <w:p>
            <w:pPr>
              <w:jc w:val="center"/>
              <w:rPr>
                <w:rFonts w:hAnsi="宋体" w:cs="宋体"/>
                <w:color w:val="auto"/>
                <w:szCs w:val="28"/>
                <w:highlight w:val="none"/>
              </w:rPr>
            </w:pPr>
            <w:r>
              <w:rPr>
                <w:rFonts w:hint="eastAsia" w:hAnsi="宋体" w:cs="宋体"/>
                <w:color w:val="auto"/>
                <w:szCs w:val="28"/>
                <w:highlight w:val="none"/>
              </w:rPr>
              <w:t>专业</w:t>
            </w:r>
          </w:p>
        </w:tc>
        <w:tc>
          <w:tcPr>
            <w:tcW w:w="1120" w:type="dxa"/>
            <w:tcBorders>
              <w:bottom w:val="single" w:color="auto" w:sz="4" w:space="0"/>
            </w:tcBorders>
            <w:noWrap w:val="0"/>
            <w:vAlign w:val="center"/>
          </w:tcPr>
          <w:p>
            <w:pPr>
              <w:jc w:val="center"/>
              <w:rPr>
                <w:rFonts w:hAnsi="宋体" w:cs="宋体"/>
                <w:color w:val="auto"/>
                <w:szCs w:val="28"/>
                <w:highlight w:val="none"/>
              </w:rPr>
            </w:pPr>
            <w:r>
              <w:rPr>
                <w:rFonts w:hint="eastAsia" w:hAnsi="宋体" w:cs="宋体"/>
                <w:color w:val="auto"/>
                <w:szCs w:val="28"/>
                <w:highlight w:val="none"/>
              </w:rPr>
              <w:t>原服务单位</w:t>
            </w:r>
          </w:p>
        </w:tc>
        <w:tc>
          <w:tcPr>
            <w:tcW w:w="980" w:type="dxa"/>
            <w:tcBorders>
              <w:bottom w:val="single" w:color="auto" w:sz="4" w:space="0"/>
            </w:tcBorders>
            <w:noWrap w:val="0"/>
            <w:vAlign w:val="center"/>
          </w:tcPr>
          <w:p>
            <w:pPr>
              <w:jc w:val="center"/>
              <w:rPr>
                <w:rFonts w:hAnsi="宋体" w:cs="宋体"/>
                <w:color w:val="auto"/>
                <w:szCs w:val="28"/>
                <w:highlight w:val="none"/>
              </w:rPr>
            </w:pPr>
            <w:r>
              <w:rPr>
                <w:rFonts w:hint="eastAsia" w:hAnsi="宋体" w:cs="宋体"/>
                <w:color w:val="auto"/>
                <w:szCs w:val="28"/>
                <w:highlight w:val="none"/>
              </w:rPr>
              <w:t>项目数</w:t>
            </w:r>
          </w:p>
        </w:tc>
        <w:tc>
          <w:tcPr>
            <w:tcW w:w="1070" w:type="dxa"/>
            <w:tcBorders>
              <w:bottom w:val="single" w:color="auto" w:sz="4" w:space="0"/>
            </w:tcBorders>
            <w:noWrap w:val="0"/>
            <w:vAlign w:val="center"/>
          </w:tcPr>
          <w:p>
            <w:pPr>
              <w:jc w:val="center"/>
              <w:rPr>
                <w:rFonts w:hAnsi="宋体" w:cs="宋体"/>
                <w:color w:val="auto"/>
                <w:szCs w:val="28"/>
                <w:highlight w:val="none"/>
              </w:rPr>
            </w:pPr>
            <w:r>
              <w:rPr>
                <w:rFonts w:hint="eastAsia" w:hAnsi="宋体" w:cs="宋体"/>
                <w:color w:val="auto"/>
                <w:szCs w:val="28"/>
                <w:highlight w:val="none"/>
              </w:rPr>
              <w:t>主要项目名称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8" w:hRule="exact"/>
        </w:trPr>
        <w:tc>
          <w:tcPr>
            <w:tcW w:w="8405" w:type="dxa"/>
            <w:gridSpan w:val="10"/>
            <w:noWrap w:val="0"/>
            <w:vAlign w:val="top"/>
          </w:tcPr>
          <w:p>
            <w:pPr>
              <w:spacing w:line="360" w:lineRule="auto"/>
              <w:ind w:firstLine="540" w:firstLineChars="225"/>
              <w:rPr>
                <w:rFonts w:hAnsi="宋体" w:cs="宋体"/>
                <w:color w:val="auto"/>
                <w:szCs w:val="28"/>
                <w:highlight w:val="none"/>
              </w:rPr>
            </w:pPr>
            <w:r>
              <w:rPr>
                <w:rFonts w:hint="eastAsia" w:hAnsi="宋体" w:cs="宋体"/>
                <w:color w:val="auto"/>
                <w:szCs w:val="28"/>
                <w:highlight w:val="none"/>
              </w:rPr>
              <w:t>本工程一旦我单位中标，将实行项目负责人负责制，并配备上述项目管理班子。上述填报内容真实，若不真实，愿按有关规定接受处理。项目管理班子机构设置、职责分工等情况另附资料说明。</w:t>
            </w:r>
          </w:p>
        </w:tc>
      </w:tr>
    </w:tbl>
    <w:p>
      <w:pPr>
        <w:rPr>
          <w:rFonts w:hint="eastAsia" w:ascii="宋体" w:hAnsi="宋体"/>
          <w:b/>
          <w:color w:val="auto"/>
          <w:szCs w:val="21"/>
          <w:highlight w:val="none"/>
        </w:rPr>
      </w:pPr>
      <w:r>
        <w:rPr>
          <w:rFonts w:hint="eastAsia" w:cs="仿宋"/>
          <w:b/>
          <w:color w:val="auto"/>
          <w:kern w:val="2"/>
          <w:sz w:val="21"/>
          <w:szCs w:val="21"/>
          <w:highlight w:val="none"/>
        </w:rPr>
        <w:t>注：投标人须按投标人须知前附表第3.5条进行人员配备，并按项目管理机构主要人员任职条件要求提供人员相应证书（无任职条件要求的，可不提供证书），以上人员必须配备齐全，且一人一岗，不得兼任（,项目负责人在满足施工负责人资格要求的前提下，可兼任施工负责人），人员配备不满足要求作无效标处理。2、同时提供上述人员的社保证明（社保机构出具的由本单位或分公司为其缴纳的近3个月中任何1个月的社保证明）。3、投标人可自行增加项目配备人员。</w:t>
      </w:r>
    </w:p>
    <w:p>
      <w:pPr>
        <w:pStyle w:val="6"/>
        <w:pageBreakBefore/>
        <w:spacing w:before="260" w:after="260" w:line="415" w:lineRule="auto"/>
        <w:jc w:val="center"/>
        <w:rPr>
          <w:rFonts w:hint="eastAsia" w:ascii="Times New Roman" w:hAnsi="Times New Roman" w:eastAsia="宋体" w:cs="仿宋"/>
          <w:color w:val="auto"/>
          <w:sz w:val="28"/>
          <w:szCs w:val="28"/>
          <w:highlight w:val="none"/>
          <w:lang w:eastAsia="zh-CN"/>
        </w:rPr>
      </w:pPr>
      <w:bookmarkStart w:id="280" w:name="_Toc16091"/>
      <w:r>
        <w:rPr>
          <w:rFonts w:hint="eastAsia" w:ascii="宋体" w:hAnsi="宋体" w:cs="仿宋"/>
          <w:color w:val="auto"/>
          <w:sz w:val="28"/>
          <w:szCs w:val="28"/>
          <w:highlight w:val="none"/>
        </w:rPr>
        <w:t>投标人及拟派项目负责人</w:t>
      </w:r>
      <w:r>
        <w:rPr>
          <w:rFonts w:hint="eastAsia" w:ascii="Times New Roman" w:hAnsi="Times New Roman"/>
          <w:color w:val="auto"/>
          <w:sz w:val="28"/>
          <w:szCs w:val="28"/>
          <w:highlight w:val="none"/>
        </w:rPr>
        <w:t>(</w:t>
      </w:r>
      <w:r>
        <w:rPr>
          <w:rFonts w:hint="eastAsia" w:ascii="宋体" w:hAnsi="宋体" w:cs="仿宋"/>
          <w:color w:val="auto"/>
          <w:sz w:val="28"/>
          <w:szCs w:val="28"/>
          <w:highlight w:val="none"/>
          <w:lang w:eastAsia="zh-CN"/>
        </w:rPr>
        <w:t>总监</w:t>
      </w:r>
      <w:r>
        <w:rPr>
          <w:rFonts w:hint="eastAsia" w:ascii="Times New Roman" w:hAnsi="Times New Roman"/>
          <w:color w:val="auto"/>
          <w:sz w:val="28"/>
          <w:szCs w:val="28"/>
          <w:highlight w:val="none"/>
        </w:rPr>
        <w:t>)</w:t>
      </w:r>
      <w:r>
        <w:rPr>
          <w:rFonts w:hint="eastAsia" w:ascii="宋体" w:hAnsi="宋体" w:cs="仿宋"/>
          <w:color w:val="auto"/>
          <w:sz w:val="28"/>
          <w:szCs w:val="28"/>
          <w:highlight w:val="none"/>
        </w:rPr>
        <w:t>信用信息情况表</w:t>
      </w:r>
      <w:r>
        <w:rPr>
          <w:rFonts w:hint="eastAsia" w:ascii="Times New Roman" w:hAnsi="Times New Roman"/>
          <w:color w:val="auto"/>
          <w:sz w:val="28"/>
          <w:szCs w:val="28"/>
          <w:highlight w:val="none"/>
        </w:rPr>
        <w:t>(</w:t>
      </w:r>
      <w:r>
        <w:rPr>
          <w:rFonts w:hint="eastAsia" w:ascii="宋体" w:hAnsi="宋体" w:cs="仿宋"/>
          <w:color w:val="auto"/>
          <w:sz w:val="28"/>
          <w:szCs w:val="28"/>
          <w:highlight w:val="none"/>
        </w:rPr>
        <w:t>建设</w:t>
      </w:r>
      <w:r>
        <w:rPr>
          <w:rFonts w:hint="eastAsia" w:ascii="Times New Roman" w:hAnsi="Times New Roman"/>
          <w:color w:val="auto"/>
          <w:sz w:val="28"/>
          <w:szCs w:val="28"/>
          <w:highlight w:val="none"/>
        </w:rPr>
        <w:t>)</w:t>
      </w:r>
      <w:r>
        <w:rPr>
          <w:rFonts w:hint="eastAsia" w:ascii="Times New Roman" w:hAnsi="Times New Roman"/>
          <w:color w:val="auto"/>
          <w:sz w:val="28"/>
          <w:szCs w:val="28"/>
          <w:highlight w:val="none"/>
          <w:lang w:eastAsia="zh-CN"/>
        </w:rPr>
        <w:t>（项目负责人）</w:t>
      </w:r>
      <w:bookmarkEnd w:id="280"/>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069"/>
        <w:gridCol w:w="3106"/>
        <w:gridCol w:w="2280"/>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投标人名称</w:t>
            </w:r>
          </w:p>
        </w:tc>
        <w:tc>
          <w:tcPr>
            <w:tcW w:w="3106"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p>
        </w:tc>
        <w:tc>
          <w:tcPr>
            <w:tcW w:w="2280"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企业资质等级</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企 业 地 址</w:t>
            </w:r>
          </w:p>
        </w:tc>
        <w:tc>
          <w:tcPr>
            <w:tcW w:w="3106"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p>
        </w:tc>
        <w:tc>
          <w:tcPr>
            <w:tcW w:w="2280"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联 系 电 话</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977" w:type="dxa"/>
            <w:gridSpan w:val="2"/>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统一社会信用代码</w:t>
            </w:r>
          </w:p>
        </w:tc>
        <w:tc>
          <w:tcPr>
            <w:tcW w:w="3106" w:type="dxa"/>
            <w:tcBorders>
              <w:top w:val="single" w:color="auto" w:sz="4" w:space="0"/>
              <w:left w:val="nil"/>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p>
        </w:tc>
        <w:tc>
          <w:tcPr>
            <w:tcW w:w="2280"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拟派投标项目负责人</w:t>
            </w:r>
          </w:p>
        </w:tc>
        <w:tc>
          <w:tcPr>
            <w:tcW w:w="1554" w:type="dxa"/>
            <w:tcBorders>
              <w:top w:val="single" w:color="auto" w:sz="4" w:space="0"/>
              <w:left w:val="nil"/>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trPr>
        <w:tc>
          <w:tcPr>
            <w:tcW w:w="908" w:type="dxa"/>
            <w:vMerge w:val="restart"/>
            <w:tcBorders>
              <w:top w:val="nil"/>
              <w:left w:val="single" w:color="auto" w:sz="4" w:space="0"/>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投标人信用信息情况</w:t>
            </w: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投标截止日前有无与工程建设相关的不良行为记录正在被公示。       </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trPr>
        <w:tc>
          <w:tcPr>
            <w:tcW w:w="908" w:type="dxa"/>
            <w:vMerge w:val="continue"/>
            <w:tcBorders>
              <w:top w:val="nil"/>
              <w:left w:val="single" w:color="auto" w:sz="4" w:space="0"/>
              <w:bottom w:val="single" w:color="auto" w:sz="4" w:space="0"/>
              <w:right w:val="single" w:color="auto" w:sz="4" w:space="0"/>
            </w:tcBorders>
            <w:noWrap w:val="0"/>
            <w:vAlign w:val="center"/>
          </w:tcPr>
          <w:p>
            <w:pPr>
              <w:widowControl/>
              <w:autoSpaceDE/>
              <w:autoSpaceDN/>
              <w:adjustRightInd/>
              <w:rPr>
                <w:rFonts w:ascii="宋体" w:hAnsi="宋体" w:cs="仿宋"/>
                <w:color w:val="auto"/>
                <w:sz w:val="21"/>
                <w:szCs w:val="21"/>
                <w:highlight w:val="none"/>
              </w:rPr>
            </w:pP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投标截止日前一年内有无与工程建设相关的</w:t>
            </w:r>
            <w:r>
              <w:rPr>
                <w:rFonts w:hint="eastAsia" w:ascii="宋体" w:hAnsi="宋体" w:cs="仿宋"/>
                <w:bCs/>
                <w:color w:val="auto"/>
                <w:sz w:val="21"/>
                <w:szCs w:val="21"/>
                <w:highlight w:val="none"/>
              </w:rPr>
              <w:t>受到行政机关罚款及以上的行政处罚</w:t>
            </w:r>
            <w:r>
              <w:rPr>
                <w:rFonts w:hint="eastAsia" w:ascii="宋体" w:hAnsi="宋体" w:cs="仿宋"/>
                <w:color w:val="auto"/>
                <w:sz w:val="21"/>
                <w:szCs w:val="21"/>
                <w:highlight w:val="none"/>
              </w:rPr>
              <w:t>。</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908" w:type="dxa"/>
            <w:vMerge w:val="restart"/>
            <w:tcBorders>
              <w:top w:val="nil"/>
              <w:left w:val="single" w:color="auto" w:sz="4" w:space="0"/>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拟派项目负责人（总监）信用情况</w:t>
            </w: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投标截止日前有无与工程建设相关不良行为记录正在被公示。</w:t>
            </w:r>
          </w:p>
        </w:tc>
        <w:tc>
          <w:tcPr>
            <w:tcW w:w="1554" w:type="dxa"/>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3" w:hRule="atLeast"/>
        </w:trPr>
        <w:tc>
          <w:tcPr>
            <w:tcW w:w="908" w:type="dxa"/>
            <w:vMerge w:val="continue"/>
            <w:tcBorders>
              <w:top w:val="nil"/>
              <w:left w:val="single" w:color="auto" w:sz="4" w:space="0"/>
              <w:bottom w:val="single" w:color="auto" w:sz="4" w:space="0"/>
              <w:right w:val="single" w:color="auto" w:sz="4" w:space="0"/>
            </w:tcBorders>
            <w:noWrap w:val="0"/>
            <w:vAlign w:val="center"/>
          </w:tcPr>
          <w:p>
            <w:pPr>
              <w:widowControl/>
              <w:autoSpaceDE/>
              <w:autoSpaceDN/>
              <w:adjustRightInd/>
              <w:rPr>
                <w:rFonts w:ascii="宋体" w:hAnsi="宋体" w:cs="仿宋"/>
                <w:color w:val="auto"/>
                <w:sz w:val="21"/>
                <w:szCs w:val="21"/>
                <w:highlight w:val="none"/>
              </w:rPr>
            </w:pP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投标截止日前一年内有无与工程建设相关的</w:t>
            </w:r>
            <w:r>
              <w:rPr>
                <w:rFonts w:hint="eastAsia" w:ascii="宋体" w:hAnsi="宋体" w:cs="仿宋"/>
                <w:bCs/>
                <w:color w:val="auto"/>
                <w:sz w:val="21"/>
                <w:szCs w:val="21"/>
                <w:highlight w:val="none"/>
              </w:rPr>
              <w:t>受到行政机关罚款及以上的行政处罚</w:t>
            </w:r>
            <w:r>
              <w:rPr>
                <w:rFonts w:hint="eastAsia" w:ascii="宋体" w:hAnsi="宋体" w:cs="仿宋"/>
                <w:color w:val="auto"/>
                <w:sz w:val="21"/>
                <w:szCs w:val="21"/>
                <w:highlight w:val="none"/>
              </w:rPr>
              <w:t>。</w:t>
            </w:r>
          </w:p>
        </w:tc>
        <w:tc>
          <w:tcPr>
            <w:tcW w:w="1554" w:type="dxa"/>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5" w:hRule="atLeast"/>
        </w:trPr>
        <w:tc>
          <w:tcPr>
            <w:tcW w:w="90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投</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标</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人</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声</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明</w:t>
            </w:r>
          </w:p>
        </w:tc>
        <w:tc>
          <w:tcPr>
            <w:tcW w:w="8009" w:type="dxa"/>
            <w:gridSpan w:val="4"/>
            <w:tcBorders>
              <w:top w:val="single" w:color="auto" w:sz="4" w:space="0"/>
              <w:left w:val="nil"/>
              <w:bottom w:val="single" w:color="auto" w:sz="4" w:space="0"/>
              <w:right w:val="single" w:color="auto" w:sz="4" w:space="0"/>
            </w:tcBorders>
            <w:noWrap w:val="0"/>
            <w:vAlign w:val="top"/>
          </w:tcPr>
          <w:p>
            <w:pPr>
              <w:spacing w:line="400" w:lineRule="exact"/>
              <w:ind w:firstLine="308" w:firstLineChars="147"/>
              <w:rPr>
                <w:rFonts w:hint="eastAsia" w:ascii="宋体" w:hAnsi="宋体" w:cs="仿宋"/>
                <w:color w:val="auto"/>
                <w:sz w:val="21"/>
                <w:szCs w:val="21"/>
                <w:highlight w:val="none"/>
              </w:rPr>
            </w:pPr>
            <w:r>
              <w:rPr>
                <w:rFonts w:hint="eastAsia" w:ascii="宋体" w:hAnsi="宋体" w:cs="仿宋"/>
                <w:color w:val="auto"/>
                <w:sz w:val="21"/>
                <w:szCs w:val="21"/>
                <w:highlight w:val="none"/>
              </w:rPr>
              <w:t>以上内容是本投标人信用信息的真实反映，如未</w:t>
            </w:r>
            <w:r>
              <w:rPr>
                <w:rFonts w:hint="eastAsia" w:ascii="宋体" w:hAnsi="宋体" w:cs="仿宋"/>
                <w:color w:val="auto"/>
                <w:sz w:val="21"/>
                <w:szCs w:val="21"/>
                <w:highlight w:val="none"/>
                <w:lang w:eastAsia="zh-CN"/>
              </w:rPr>
              <w:t>如实反映</w:t>
            </w:r>
            <w:r>
              <w:rPr>
                <w:rFonts w:hint="eastAsia" w:ascii="宋体" w:hAnsi="宋体" w:cs="仿宋"/>
                <w:color w:val="auto"/>
                <w:sz w:val="21"/>
                <w:szCs w:val="21"/>
                <w:highlight w:val="none"/>
              </w:rPr>
              <w:t>而骗取投标资格或影响中标结果的，一经发现，取消投标资格，已中标的，中标无效并无条件接受行政主管部门的行政处罚。</w:t>
            </w:r>
          </w:p>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w:t>
            </w:r>
          </w:p>
          <w:p>
            <w:pPr>
              <w:spacing w:before="120" w:beforeLines="50" w:after="120" w:afterLines="50"/>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法定代表人：</w:t>
            </w:r>
            <w:r>
              <w:rPr>
                <w:rFonts w:hint="eastAsia" w:ascii="宋体" w:hAnsi="宋体" w:cs="仿宋"/>
                <w:color w:val="auto"/>
                <w:sz w:val="21"/>
                <w:szCs w:val="21"/>
                <w:highlight w:val="none"/>
                <w:u w:val="single"/>
              </w:rPr>
              <w:t xml:space="preserve">     （签字或盖章）</w:t>
            </w:r>
          </w:p>
          <w:p>
            <w:pPr>
              <w:spacing w:before="120" w:beforeLines="50" w:after="120" w:afterLines="50"/>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投  标  人：</w:t>
            </w:r>
            <w:r>
              <w:rPr>
                <w:rFonts w:hint="eastAsia" w:ascii="宋体" w:hAnsi="宋体" w:cs="仿宋"/>
                <w:color w:val="auto"/>
                <w:sz w:val="21"/>
                <w:szCs w:val="21"/>
                <w:highlight w:val="none"/>
                <w:u w:val="single"/>
              </w:rPr>
              <w:t xml:space="preserve">        </w:t>
            </w:r>
            <w:r>
              <w:rPr>
                <w:rFonts w:hint="eastAsia" w:ascii="宋体" w:hAnsi="宋体" w:cs="仿宋"/>
                <w:color w:val="auto"/>
                <w:sz w:val="21"/>
                <w:szCs w:val="21"/>
                <w:highlight w:val="none"/>
              </w:rPr>
              <w:t>（单位公章）</w:t>
            </w:r>
          </w:p>
          <w:p>
            <w:pPr>
              <w:spacing w:line="24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日      期：     年   月  日</w:t>
            </w:r>
          </w:p>
        </w:tc>
      </w:tr>
    </w:tbl>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注：1.“投标人信用信息情况”、“拟派项目负责人（总监）信用信息情况”表格内必须填写“有”或“无”。如为空白或“/”均以未按规定的格式填写，作否决投标处理。</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2.不良行为记录是指各行政机关出具的不良行为认定书、黑名单、失信名单或通知、通报、警示警告、责令整改（停工）通知书等明确认定为“不良行为”的各类文书，该文书注明时限的以时限为准，未注明时限的按一年计。</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3.行政处罚是指各行政机关作出的行政处罚决定书，时间以作出行政处罚决定的日期为准。</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4.不良行为记录和行政处罚如提前结束或被撤销的，标文件中必须提供原处理部门出具的正式文书，如未提供，均按未如实填写处理。</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5.工程建设相关的不良行为和行政处罚是指与工程建设有关联的市场行为、工程质量、安全生产、文明施工、扬尘防治、施工排污方面被相关行政主管部门处罚的不良行为和行政处罚。</w:t>
      </w:r>
    </w:p>
    <w:p>
      <w:pPr>
        <w:pStyle w:val="2"/>
        <w:ind w:left="0" w:leftChars="0" w:firstLine="0" w:firstLineChars="0"/>
        <w:rPr>
          <w:rFonts w:hint="eastAsia"/>
          <w:color w:val="auto"/>
          <w:highlight w:val="none"/>
        </w:rPr>
      </w:pPr>
    </w:p>
    <w:p>
      <w:pPr>
        <w:pStyle w:val="4"/>
        <w:rPr>
          <w:rFonts w:hint="eastAsia"/>
          <w:color w:val="auto"/>
          <w:highlight w:val="none"/>
        </w:rPr>
      </w:pPr>
    </w:p>
    <w:p>
      <w:pPr>
        <w:jc w:val="both"/>
        <w:rPr>
          <w:rFonts w:hint="eastAsia" w:ascii="宋体" w:hAnsi="宋体" w:cs="宋体"/>
          <w:b/>
          <w:bCs/>
          <w:i w:val="0"/>
          <w:iCs w:val="0"/>
          <w:color w:val="auto"/>
          <w:sz w:val="24"/>
          <w:szCs w:val="24"/>
          <w:highlight w:val="none"/>
          <w:lang w:val="en-US" w:eastAsia="zh-CN"/>
        </w:rPr>
      </w:pPr>
    </w:p>
    <w:p>
      <w:pPr>
        <w:pStyle w:val="2"/>
        <w:rPr>
          <w:rFonts w:hint="eastAsia" w:ascii="宋体" w:hAnsi="宋体" w:cs="宋体"/>
          <w:b/>
          <w:bCs/>
          <w:i w:val="0"/>
          <w:iCs w:val="0"/>
          <w:color w:val="auto"/>
          <w:sz w:val="24"/>
          <w:szCs w:val="24"/>
          <w:highlight w:val="none"/>
          <w:lang w:val="en-US" w:eastAsia="zh-CN"/>
        </w:rPr>
      </w:pPr>
    </w:p>
    <w:p>
      <w:pPr>
        <w:pStyle w:val="6"/>
        <w:pageBreakBefore/>
        <w:spacing w:before="260" w:after="260" w:line="415" w:lineRule="auto"/>
        <w:jc w:val="center"/>
        <w:rPr>
          <w:rFonts w:hint="eastAsia" w:ascii="Times New Roman" w:hAnsi="Times New Roman" w:eastAsia="宋体" w:cs="仿宋"/>
          <w:color w:val="auto"/>
          <w:sz w:val="30"/>
          <w:szCs w:val="30"/>
          <w:highlight w:val="none"/>
          <w:lang w:eastAsia="zh-CN"/>
        </w:rPr>
      </w:pPr>
      <w:r>
        <w:rPr>
          <w:rFonts w:hint="eastAsia" w:ascii="宋体" w:hAnsi="宋体" w:cs="仿宋"/>
          <w:color w:val="auto"/>
          <w:sz w:val="30"/>
          <w:szCs w:val="30"/>
          <w:highlight w:val="none"/>
          <w:lang w:val="en-US" w:eastAsia="zh-CN"/>
        </w:rPr>
        <w:t xml:space="preserve"> </w:t>
      </w:r>
      <w:bookmarkStart w:id="281" w:name="_Toc17773"/>
      <w:r>
        <w:rPr>
          <w:rFonts w:hint="eastAsia" w:ascii="宋体" w:hAnsi="宋体" w:cs="仿宋"/>
          <w:color w:val="auto"/>
          <w:sz w:val="30"/>
          <w:szCs w:val="30"/>
          <w:highlight w:val="none"/>
        </w:rPr>
        <w:t>投标人及拟派项目负责人</w:t>
      </w:r>
      <w:r>
        <w:rPr>
          <w:rFonts w:hint="eastAsia" w:ascii="Times New Roman" w:hAnsi="Times New Roman"/>
          <w:color w:val="auto"/>
          <w:sz w:val="30"/>
          <w:szCs w:val="30"/>
          <w:highlight w:val="none"/>
        </w:rPr>
        <w:t>(</w:t>
      </w:r>
      <w:r>
        <w:rPr>
          <w:rFonts w:hint="eastAsia" w:ascii="宋体" w:hAnsi="宋体" w:cs="仿宋"/>
          <w:color w:val="auto"/>
          <w:sz w:val="30"/>
          <w:szCs w:val="30"/>
          <w:highlight w:val="none"/>
          <w:lang w:eastAsia="zh-CN"/>
        </w:rPr>
        <w:t>总监</w:t>
      </w:r>
      <w:r>
        <w:rPr>
          <w:rFonts w:hint="eastAsia" w:ascii="Times New Roman" w:hAnsi="Times New Roman"/>
          <w:color w:val="auto"/>
          <w:sz w:val="30"/>
          <w:szCs w:val="30"/>
          <w:highlight w:val="none"/>
        </w:rPr>
        <w:t>)</w:t>
      </w:r>
      <w:r>
        <w:rPr>
          <w:rFonts w:hint="eastAsia" w:ascii="宋体" w:hAnsi="宋体" w:cs="仿宋"/>
          <w:color w:val="auto"/>
          <w:sz w:val="30"/>
          <w:szCs w:val="30"/>
          <w:highlight w:val="none"/>
        </w:rPr>
        <w:t>信用信息情况表</w:t>
      </w:r>
      <w:r>
        <w:rPr>
          <w:rFonts w:hint="eastAsia" w:ascii="Times New Roman" w:hAnsi="Times New Roman"/>
          <w:color w:val="auto"/>
          <w:sz w:val="30"/>
          <w:szCs w:val="30"/>
          <w:highlight w:val="none"/>
        </w:rPr>
        <w:t>(</w:t>
      </w:r>
      <w:r>
        <w:rPr>
          <w:rFonts w:hint="eastAsia" w:ascii="宋体" w:hAnsi="宋体" w:cs="仿宋"/>
          <w:color w:val="auto"/>
          <w:sz w:val="30"/>
          <w:szCs w:val="30"/>
          <w:highlight w:val="none"/>
        </w:rPr>
        <w:t>建设</w:t>
      </w:r>
      <w:r>
        <w:rPr>
          <w:rFonts w:hint="eastAsia" w:ascii="Times New Roman" w:hAnsi="Times New Roman"/>
          <w:color w:val="auto"/>
          <w:sz w:val="30"/>
          <w:szCs w:val="30"/>
          <w:highlight w:val="none"/>
        </w:rPr>
        <w:t>)</w:t>
      </w:r>
      <w:r>
        <w:rPr>
          <w:rFonts w:hint="eastAsia" w:ascii="Times New Roman" w:hAnsi="Times New Roman"/>
          <w:color w:val="auto"/>
          <w:sz w:val="30"/>
          <w:szCs w:val="30"/>
          <w:highlight w:val="none"/>
          <w:lang w:eastAsia="zh-CN"/>
        </w:rPr>
        <w:t>（施工负责人）</w:t>
      </w:r>
      <w:bookmarkEnd w:id="281"/>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069"/>
        <w:gridCol w:w="3106"/>
        <w:gridCol w:w="2280"/>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投标人名称</w:t>
            </w:r>
          </w:p>
        </w:tc>
        <w:tc>
          <w:tcPr>
            <w:tcW w:w="3106"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p>
        </w:tc>
        <w:tc>
          <w:tcPr>
            <w:tcW w:w="2280"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企业资质等级</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企 业 地 址</w:t>
            </w:r>
          </w:p>
        </w:tc>
        <w:tc>
          <w:tcPr>
            <w:tcW w:w="3106"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p>
        </w:tc>
        <w:tc>
          <w:tcPr>
            <w:tcW w:w="2280"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联 系 电 话</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977" w:type="dxa"/>
            <w:gridSpan w:val="2"/>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统一社会信用代码</w:t>
            </w:r>
          </w:p>
        </w:tc>
        <w:tc>
          <w:tcPr>
            <w:tcW w:w="3106" w:type="dxa"/>
            <w:tcBorders>
              <w:top w:val="single" w:color="auto" w:sz="4" w:space="0"/>
              <w:left w:val="nil"/>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p>
        </w:tc>
        <w:tc>
          <w:tcPr>
            <w:tcW w:w="2280"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拟派</w:t>
            </w:r>
            <w:r>
              <w:rPr>
                <w:rFonts w:hint="eastAsia" w:ascii="宋体" w:hAnsi="宋体" w:cs="仿宋"/>
                <w:color w:val="auto"/>
                <w:sz w:val="21"/>
                <w:szCs w:val="21"/>
                <w:highlight w:val="none"/>
                <w:lang w:eastAsia="zh-CN"/>
              </w:rPr>
              <w:t>施工</w:t>
            </w:r>
            <w:r>
              <w:rPr>
                <w:rFonts w:hint="eastAsia" w:ascii="宋体" w:hAnsi="宋体" w:cs="仿宋"/>
                <w:color w:val="auto"/>
                <w:sz w:val="21"/>
                <w:szCs w:val="21"/>
                <w:highlight w:val="none"/>
              </w:rPr>
              <w:t>负责人</w:t>
            </w:r>
          </w:p>
        </w:tc>
        <w:tc>
          <w:tcPr>
            <w:tcW w:w="1554" w:type="dxa"/>
            <w:tcBorders>
              <w:top w:val="single" w:color="auto" w:sz="4" w:space="0"/>
              <w:left w:val="nil"/>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trPr>
        <w:tc>
          <w:tcPr>
            <w:tcW w:w="908" w:type="dxa"/>
            <w:vMerge w:val="restart"/>
            <w:tcBorders>
              <w:top w:val="nil"/>
              <w:left w:val="single" w:color="auto" w:sz="4" w:space="0"/>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投标人信用信息情况</w:t>
            </w: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投标截止日前有无与工程建设相关的不良行为记录正在被公示。       </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trPr>
        <w:tc>
          <w:tcPr>
            <w:tcW w:w="908" w:type="dxa"/>
            <w:vMerge w:val="continue"/>
            <w:tcBorders>
              <w:top w:val="nil"/>
              <w:left w:val="single" w:color="auto" w:sz="4" w:space="0"/>
              <w:bottom w:val="single" w:color="auto" w:sz="4" w:space="0"/>
              <w:right w:val="single" w:color="auto" w:sz="4" w:space="0"/>
            </w:tcBorders>
            <w:noWrap w:val="0"/>
            <w:vAlign w:val="center"/>
          </w:tcPr>
          <w:p>
            <w:pPr>
              <w:widowControl/>
              <w:autoSpaceDE/>
              <w:autoSpaceDN/>
              <w:adjustRightInd/>
              <w:rPr>
                <w:rFonts w:ascii="宋体" w:hAnsi="宋体" w:cs="仿宋"/>
                <w:color w:val="auto"/>
                <w:sz w:val="21"/>
                <w:szCs w:val="21"/>
                <w:highlight w:val="none"/>
              </w:rPr>
            </w:pP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投标截止日前一年内有无与工程建设相关的</w:t>
            </w:r>
            <w:r>
              <w:rPr>
                <w:rFonts w:hint="eastAsia" w:ascii="宋体" w:hAnsi="宋体" w:cs="仿宋"/>
                <w:bCs/>
                <w:color w:val="auto"/>
                <w:sz w:val="21"/>
                <w:szCs w:val="21"/>
                <w:highlight w:val="none"/>
              </w:rPr>
              <w:t>受到行政机关罚款及以上的行政处罚</w:t>
            </w:r>
            <w:r>
              <w:rPr>
                <w:rFonts w:hint="eastAsia" w:ascii="宋体" w:hAnsi="宋体" w:cs="仿宋"/>
                <w:color w:val="auto"/>
                <w:sz w:val="21"/>
                <w:szCs w:val="21"/>
                <w:highlight w:val="none"/>
              </w:rPr>
              <w:t>。</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908" w:type="dxa"/>
            <w:vMerge w:val="restart"/>
            <w:tcBorders>
              <w:top w:val="nil"/>
              <w:left w:val="single" w:color="auto" w:sz="4" w:space="0"/>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拟派项目负责人（总监）信用情况</w:t>
            </w: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投标截止日前有无与工程建设相关不良行为记录正在被公示。</w:t>
            </w:r>
          </w:p>
        </w:tc>
        <w:tc>
          <w:tcPr>
            <w:tcW w:w="1554" w:type="dxa"/>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3" w:hRule="atLeast"/>
        </w:trPr>
        <w:tc>
          <w:tcPr>
            <w:tcW w:w="908" w:type="dxa"/>
            <w:vMerge w:val="continue"/>
            <w:tcBorders>
              <w:top w:val="nil"/>
              <w:left w:val="single" w:color="auto" w:sz="4" w:space="0"/>
              <w:bottom w:val="single" w:color="auto" w:sz="4" w:space="0"/>
              <w:right w:val="single" w:color="auto" w:sz="4" w:space="0"/>
            </w:tcBorders>
            <w:noWrap w:val="0"/>
            <w:vAlign w:val="center"/>
          </w:tcPr>
          <w:p>
            <w:pPr>
              <w:widowControl/>
              <w:autoSpaceDE/>
              <w:autoSpaceDN/>
              <w:adjustRightInd/>
              <w:rPr>
                <w:rFonts w:ascii="宋体" w:hAnsi="宋体" w:cs="仿宋"/>
                <w:color w:val="auto"/>
                <w:sz w:val="21"/>
                <w:szCs w:val="21"/>
                <w:highlight w:val="none"/>
              </w:rPr>
            </w:pP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投标截止日前一年内有无与工程建设相关的</w:t>
            </w:r>
            <w:r>
              <w:rPr>
                <w:rFonts w:hint="eastAsia" w:ascii="宋体" w:hAnsi="宋体" w:cs="仿宋"/>
                <w:bCs/>
                <w:color w:val="auto"/>
                <w:sz w:val="21"/>
                <w:szCs w:val="21"/>
                <w:highlight w:val="none"/>
              </w:rPr>
              <w:t>受到行政机关罚款及以上的行政处罚</w:t>
            </w:r>
            <w:r>
              <w:rPr>
                <w:rFonts w:hint="eastAsia" w:ascii="宋体" w:hAnsi="宋体" w:cs="仿宋"/>
                <w:color w:val="auto"/>
                <w:sz w:val="21"/>
                <w:szCs w:val="21"/>
                <w:highlight w:val="none"/>
              </w:rPr>
              <w:t>。</w:t>
            </w:r>
          </w:p>
        </w:tc>
        <w:tc>
          <w:tcPr>
            <w:tcW w:w="1554" w:type="dxa"/>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5" w:hRule="atLeast"/>
        </w:trPr>
        <w:tc>
          <w:tcPr>
            <w:tcW w:w="90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投</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标</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人</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声</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明</w:t>
            </w:r>
          </w:p>
        </w:tc>
        <w:tc>
          <w:tcPr>
            <w:tcW w:w="8009" w:type="dxa"/>
            <w:gridSpan w:val="4"/>
            <w:tcBorders>
              <w:top w:val="single" w:color="auto" w:sz="4" w:space="0"/>
              <w:left w:val="nil"/>
              <w:bottom w:val="single" w:color="auto" w:sz="4" w:space="0"/>
              <w:right w:val="single" w:color="auto" w:sz="4" w:space="0"/>
            </w:tcBorders>
            <w:noWrap w:val="0"/>
            <w:vAlign w:val="top"/>
          </w:tcPr>
          <w:p>
            <w:pPr>
              <w:spacing w:line="400" w:lineRule="exact"/>
              <w:ind w:firstLine="308" w:firstLineChars="147"/>
              <w:rPr>
                <w:rFonts w:hint="eastAsia" w:ascii="宋体" w:hAnsi="宋体" w:cs="仿宋"/>
                <w:color w:val="auto"/>
                <w:sz w:val="21"/>
                <w:szCs w:val="21"/>
                <w:highlight w:val="none"/>
              </w:rPr>
            </w:pPr>
            <w:r>
              <w:rPr>
                <w:rFonts w:hint="eastAsia" w:ascii="宋体" w:hAnsi="宋体" w:cs="仿宋"/>
                <w:color w:val="auto"/>
                <w:sz w:val="21"/>
                <w:szCs w:val="21"/>
                <w:highlight w:val="none"/>
              </w:rPr>
              <w:t>以上内容是本投标人信用信息的真实反映，如未</w:t>
            </w:r>
            <w:r>
              <w:rPr>
                <w:rFonts w:hint="eastAsia" w:ascii="宋体" w:hAnsi="宋体" w:cs="仿宋"/>
                <w:color w:val="auto"/>
                <w:sz w:val="21"/>
                <w:szCs w:val="21"/>
                <w:highlight w:val="none"/>
                <w:lang w:eastAsia="zh-CN"/>
              </w:rPr>
              <w:t>如实反映</w:t>
            </w:r>
            <w:r>
              <w:rPr>
                <w:rFonts w:hint="eastAsia" w:ascii="宋体" w:hAnsi="宋体" w:cs="仿宋"/>
                <w:color w:val="auto"/>
                <w:sz w:val="21"/>
                <w:szCs w:val="21"/>
                <w:highlight w:val="none"/>
              </w:rPr>
              <w:t>而骗取投标资格或影响中标结果的，一经发现，取消投标资格，已中标的，中标无效并无条件接受行政主管部门的行政处罚。</w:t>
            </w:r>
          </w:p>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w:t>
            </w:r>
          </w:p>
          <w:p>
            <w:pPr>
              <w:spacing w:before="120" w:beforeLines="50" w:after="120" w:afterLines="50"/>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法定代表人：</w:t>
            </w:r>
            <w:r>
              <w:rPr>
                <w:rFonts w:hint="eastAsia" w:ascii="宋体" w:hAnsi="宋体" w:cs="仿宋"/>
                <w:color w:val="auto"/>
                <w:sz w:val="21"/>
                <w:szCs w:val="21"/>
                <w:highlight w:val="none"/>
                <w:u w:val="single"/>
              </w:rPr>
              <w:t xml:space="preserve">     （签字或盖章）</w:t>
            </w:r>
          </w:p>
          <w:p>
            <w:pPr>
              <w:spacing w:before="120" w:beforeLines="50" w:after="120" w:afterLines="50"/>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投  标  人：</w:t>
            </w:r>
            <w:r>
              <w:rPr>
                <w:rFonts w:hint="eastAsia" w:ascii="宋体" w:hAnsi="宋体" w:cs="仿宋"/>
                <w:color w:val="auto"/>
                <w:sz w:val="21"/>
                <w:szCs w:val="21"/>
                <w:highlight w:val="none"/>
                <w:u w:val="single"/>
              </w:rPr>
              <w:t xml:space="preserve">        </w:t>
            </w:r>
            <w:r>
              <w:rPr>
                <w:rFonts w:hint="eastAsia" w:ascii="宋体" w:hAnsi="宋体" w:cs="仿宋"/>
                <w:color w:val="auto"/>
                <w:sz w:val="21"/>
                <w:szCs w:val="21"/>
                <w:highlight w:val="none"/>
              </w:rPr>
              <w:t>（单位公章）</w:t>
            </w:r>
          </w:p>
          <w:p>
            <w:pPr>
              <w:spacing w:line="24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日      期：     年   月  日</w:t>
            </w:r>
          </w:p>
        </w:tc>
      </w:tr>
    </w:tbl>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注：1.“投标人信用信息情况”、“拟派项目负责人（总监）信用信息情况”表格内必须填写“有”或“无”。如为空白或“/”均以未按规定的格式填写，作否决投标处理。</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2.不良行为记录是指各行政机关出具的不良行为认定书、黑名单、失信名单或通知、通报、警示警告、责令整改（停工）通知书等明确认定为“不良行为”的各类文书，该文书注明时限的以时限为准，未注明时限的按一年计。</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3.行政处罚是指各行政机关作出的行政处罚决定书，时间以作出行政处罚决定的日期为准。</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4.不良行为记录和行政处罚如提前结束或被撤销的，标文件中必须提供原处理部门出具的正式文书，如未提供，均按未如实填写处理。</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5.工程建设相关的不良行为和行政处罚是指与工程建设有关联的市场行为、工程质量、安全生产、文明施工、扬尘防治、施工排污方面被相关行政主管部门处罚的不良行为和行政处罚。</w:t>
      </w:r>
    </w:p>
    <w:p>
      <w:pPr>
        <w:rPr>
          <w:rFonts w:hint="eastAsia"/>
          <w:color w:val="auto"/>
          <w:highlight w:val="none"/>
          <w:lang w:val="en-US" w:eastAsia="zh-CN"/>
        </w:rPr>
      </w:pPr>
    </w:p>
    <w:p>
      <w:pPr>
        <w:pStyle w:val="6"/>
        <w:pageBreakBefore/>
        <w:spacing w:before="260" w:after="260" w:line="415" w:lineRule="auto"/>
        <w:jc w:val="center"/>
        <w:rPr>
          <w:rFonts w:hint="eastAsia" w:ascii="Times New Roman" w:hAnsi="Times New Roman" w:eastAsia="宋体" w:cs="仿宋"/>
          <w:color w:val="auto"/>
          <w:sz w:val="30"/>
          <w:szCs w:val="30"/>
          <w:highlight w:val="none"/>
          <w:lang w:eastAsia="zh-CN"/>
        </w:rPr>
      </w:pPr>
      <w:bookmarkStart w:id="282" w:name="_Toc22516"/>
      <w:r>
        <w:rPr>
          <w:rFonts w:hint="eastAsia" w:ascii="宋体" w:hAnsi="宋体" w:cs="仿宋"/>
          <w:color w:val="auto"/>
          <w:sz w:val="30"/>
          <w:szCs w:val="30"/>
          <w:highlight w:val="none"/>
        </w:rPr>
        <w:t>投标人及拟派项目负责人</w:t>
      </w:r>
      <w:r>
        <w:rPr>
          <w:rFonts w:hint="eastAsia" w:ascii="Times New Roman" w:hAnsi="Times New Roman"/>
          <w:color w:val="auto"/>
          <w:sz w:val="30"/>
          <w:szCs w:val="30"/>
          <w:highlight w:val="none"/>
        </w:rPr>
        <w:t>(</w:t>
      </w:r>
      <w:r>
        <w:rPr>
          <w:rFonts w:hint="eastAsia" w:ascii="宋体" w:hAnsi="宋体" w:cs="仿宋"/>
          <w:color w:val="auto"/>
          <w:sz w:val="30"/>
          <w:szCs w:val="30"/>
          <w:highlight w:val="none"/>
          <w:lang w:eastAsia="zh-CN"/>
        </w:rPr>
        <w:t>总监</w:t>
      </w:r>
      <w:r>
        <w:rPr>
          <w:rFonts w:hint="eastAsia" w:ascii="Times New Roman" w:hAnsi="Times New Roman"/>
          <w:color w:val="auto"/>
          <w:sz w:val="30"/>
          <w:szCs w:val="30"/>
          <w:highlight w:val="none"/>
        </w:rPr>
        <w:t>)</w:t>
      </w:r>
      <w:r>
        <w:rPr>
          <w:rFonts w:hint="eastAsia" w:ascii="宋体" w:hAnsi="宋体" w:cs="仿宋"/>
          <w:color w:val="auto"/>
          <w:sz w:val="30"/>
          <w:szCs w:val="30"/>
          <w:highlight w:val="none"/>
        </w:rPr>
        <w:t>信用信息情况表</w:t>
      </w:r>
      <w:r>
        <w:rPr>
          <w:rFonts w:hint="eastAsia" w:ascii="Times New Roman" w:hAnsi="Times New Roman"/>
          <w:color w:val="auto"/>
          <w:sz w:val="30"/>
          <w:szCs w:val="30"/>
          <w:highlight w:val="none"/>
        </w:rPr>
        <w:t>(</w:t>
      </w:r>
      <w:r>
        <w:rPr>
          <w:rFonts w:hint="eastAsia" w:ascii="宋体" w:hAnsi="宋体" w:cs="仿宋"/>
          <w:color w:val="auto"/>
          <w:sz w:val="30"/>
          <w:szCs w:val="30"/>
          <w:highlight w:val="none"/>
        </w:rPr>
        <w:t>建设</w:t>
      </w:r>
      <w:r>
        <w:rPr>
          <w:rFonts w:hint="eastAsia" w:ascii="Times New Roman" w:hAnsi="Times New Roman"/>
          <w:color w:val="auto"/>
          <w:sz w:val="30"/>
          <w:szCs w:val="30"/>
          <w:highlight w:val="none"/>
        </w:rPr>
        <w:t>)</w:t>
      </w:r>
      <w:r>
        <w:rPr>
          <w:rFonts w:hint="eastAsia" w:ascii="Times New Roman" w:hAnsi="Times New Roman"/>
          <w:color w:val="auto"/>
          <w:sz w:val="30"/>
          <w:szCs w:val="30"/>
          <w:highlight w:val="none"/>
          <w:lang w:eastAsia="zh-CN"/>
        </w:rPr>
        <w:t>（设计负责人）</w:t>
      </w:r>
      <w:bookmarkEnd w:id="282"/>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069"/>
        <w:gridCol w:w="3106"/>
        <w:gridCol w:w="2280"/>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投标人名称</w:t>
            </w:r>
          </w:p>
        </w:tc>
        <w:tc>
          <w:tcPr>
            <w:tcW w:w="3106"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p>
        </w:tc>
        <w:tc>
          <w:tcPr>
            <w:tcW w:w="2280"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企业资质等级</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企 业 地 址</w:t>
            </w:r>
          </w:p>
        </w:tc>
        <w:tc>
          <w:tcPr>
            <w:tcW w:w="3106"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p>
        </w:tc>
        <w:tc>
          <w:tcPr>
            <w:tcW w:w="2280"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联 系 电 话</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977" w:type="dxa"/>
            <w:gridSpan w:val="2"/>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统一社会信用代码</w:t>
            </w:r>
          </w:p>
        </w:tc>
        <w:tc>
          <w:tcPr>
            <w:tcW w:w="3106" w:type="dxa"/>
            <w:tcBorders>
              <w:top w:val="single" w:color="auto" w:sz="4" w:space="0"/>
              <w:left w:val="nil"/>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p>
        </w:tc>
        <w:tc>
          <w:tcPr>
            <w:tcW w:w="2280"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拟派</w:t>
            </w:r>
            <w:r>
              <w:rPr>
                <w:rFonts w:hint="eastAsia" w:ascii="宋体" w:hAnsi="宋体" w:cs="仿宋"/>
                <w:color w:val="auto"/>
                <w:sz w:val="21"/>
                <w:szCs w:val="21"/>
                <w:highlight w:val="none"/>
                <w:lang w:val="en-US" w:eastAsia="zh-CN"/>
              </w:rPr>
              <w:t>设计</w:t>
            </w:r>
            <w:r>
              <w:rPr>
                <w:rFonts w:hint="eastAsia" w:ascii="宋体" w:hAnsi="宋体" w:cs="仿宋"/>
                <w:color w:val="auto"/>
                <w:sz w:val="21"/>
                <w:szCs w:val="21"/>
                <w:highlight w:val="none"/>
              </w:rPr>
              <w:t>负责人</w:t>
            </w:r>
          </w:p>
        </w:tc>
        <w:tc>
          <w:tcPr>
            <w:tcW w:w="1554" w:type="dxa"/>
            <w:tcBorders>
              <w:top w:val="single" w:color="auto" w:sz="4" w:space="0"/>
              <w:left w:val="nil"/>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trPr>
        <w:tc>
          <w:tcPr>
            <w:tcW w:w="908" w:type="dxa"/>
            <w:vMerge w:val="restart"/>
            <w:tcBorders>
              <w:top w:val="nil"/>
              <w:left w:val="single" w:color="auto" w:sz="4" w:space="0"/>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投标人信用信息情况</w:t>
            </w: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投标截止日前有无与工程建设相关的不良行为记录正在被公示。       </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trPr>
        <w:tc>
          <w:tcPr>
            <w:tcW w:w="908" w:type="dxa"/>
            <w:vMerge w:val="continue"/>
            <w:tcBorders>
              <w:top w:val="nil"/>
              <w:left w:val="single" w:color="auto" w:sz="4" w:space="0"/>
              <w:bottom w:val="single" w:color="auto" w:sz="4" w:space="0"/>
              <w:right w:val="single" w:color="auto" w:sz="4" w:space="0"/>
            </w:tcBorders>
            <w:noWrap w:val="0"/>
            <w:vAlign w:val="center"/>
          </w:tcPr>
          <w:p>
            <w:pPr>
              <w:widowControl/>
              <w:autoSpaceDE/>
              <w:autoSpaceDN/>
              <w:adjustRightInd/>
              <w:rPr>
                <w:rFonts w:ascii="宋体" w:hAnsi="宋体" w:cs="仿宋"/>
                <w:color w:val="auto"/>
                <w:sz w:val="21"/>
                <w:szCs w:val="21"/>
                <w:highlight w:val="none"/>
              </w:rPr>
            </w:pP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投标截止日前一年内有无与工程建设相关的</w:t>
            </w:r>
            <w:r>
              <w:rPr>
                <w:rFonts w:hint="eastAsia" w:ascii="宋体" w:hAnsi="宋体" w:cs="仿宋"/>
                <w:bCs/>
                <w:color w:val="auto"/>
                <w:sz w:val="21"/>
                <w:szCs w:val="21"/>
                <w:highlight w:val="none"/>
              </w:rPr>
              <w:t>受到行政机关罚款及以上的行政处罚</w:t>
            </w:r>
            <w:r>
              <w:rPr>
                <w:rFonts w:hint="eastAsia" w:ascii="宋体" w:hAnsi="宋体" w:cs="仿宋"/>
                <w:color w:val="auto"/>
                <w:sz w:val="21"/>
                <w:szCs w:val="21"/>
                <w:highlight w:val="none"/>
              </w:rPr>
              <w:t>。</w:t>
            </w:r>
          </w:p>
        </w:tc>
        <w:tc>
          <w:tcPr>
            <w:tcW w:w="1554" w:type="dxa"/>
            <w:tcBorders>
              <w:top w:val="single" w:color="auto" w:sz="4" w:space="0"/>
              <w:left w:val="nil"/>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908" w:type="dxa"/>
            <w:vMerge w:val="restart"/>
            <w:tcBorders>
              <w:top w:val="nil"/>
              <w:left w:val="single" w:color="auto" w:sz="4" w:space="0"/>
              <w:bottom w:val="single" w:color="auto" w:sz="4" w:space="0"/>
              <w:right w:val="single" w:color="auto" w:sz="4" w:space="0"/>
            </w:tcBorders>
            <w:noWrap w:val="0"/>
            <w:vAlign w:val="center"/>
          </w:tcPr>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拟派项目负责人（总监）信用情况</w:t>
            </w: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投标截止日前有无与工程建设相关不良行为记录正在被公示。</w:t>
            </w:r>
          </w:p>
        </w:tc>
        <w:tc>
          <w:tcPr>
            <w:tcW w:w="1554" w:type="dxa"/>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3" w:hRule="atLeast"/>
        </w:trPr>
        <w:tc>
          <w:tcPr>
            <w:tcW w:w="908" w:type="dxa"/>
            <w:vMerge w:val="continue"/>
            <w:tcBorders>
              <w:top w:val="nil"/>
              <w:left w:val="single" w:color="auto" w:sz="4" w:space="0"/>
              <w:bottom w:val="single" w:color="auto" w:sz="4" w:space="0"/>
              <w:right w:val="single" w:color="auto" w:sz="4" w:space="0"/>
            </w:tcBorders>
            <w:noWrap w:val="0"/>
            <w:vAlign w:val="center"/>
          </w:tcPr>
          <w:p>
            <w:pPr>
              <w:widowControl/>
              <w:autoSpaceDE/>
              <w:autoSpaceDN/>
              <w:adjustRightInd/>
              <w:rPr>
                <w:rFonts w:ascii="宋体" w:hAnsi="宋体" w:cs="仿宋"/>
                <w:color w:val="auto"/>
                <w:sz w:val="21"/>
                <w:szCs w:val="21"/>
                <w:highlight w:val="none"/>
              </w:rPr>
            </w:pPr>
          </w:p>
        </w:tc>
        <w:tc>
          <w:tcPr>
            <w:tcW w:w="6455" w:type="dxa"/>
            <w:gridSpan w:val="3"/>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投标截止日前一年内有无与工程建设相关的</w:t>
            </w:r>
            <w:r>
              <w:rPr>
                <w:rFonts w:hint="eastAsia" w:ascii="宋体" w:hAnsi="宋体" w:cs="仿宋"/>
                <w:bCs/>
                <w:color w:val="auto"/>
                <w:sz w:val="21"/>
                <w:szCs w:val="21"/>
                <w:highlight w:val="none"/>
              </w:rPr>
              <w:t>受到行政机关罚款及以上的行政处罚</w:t>
            </w:r>
            <w:r>
              <w:rPr>
                <w:rFonts w:hint="eastAsia" w:ascii="宋体" w:hAnsi="宋体" w:cs="仿宋"/>
                <w:color w:val="auto"/>
                <w:sz w:val="21"/>
                <w:szCs w:val="21"/>
                <w:highlight w:val="none"/>
              </w:rPr>
              <w:t>。</w:t>
            </w:r>
          </w:p>
        </w:tc>
        <w:tc>
          <w:tcPr>
            <w:tcW w:w="1554" w:type="dxa"/>
            <w:tcBorders>
              <w:top w:val="single" w:color="auto" w:sz="4" w:space="0"/>
              <w:left w:val="nil"/>
              <w:bottom w:val="single" w:color="auto" w:sz="4" w:space="0"/>
              <w:right w:val="single" w:color="auto" w:sz="4" w:space="0"/>
            </w:tcBorders>
            <w:noWrap w:val="0"/>
            <w:vAlign w:val="center"/>
          </w:tcPr>
          <w:p>
            <w:pPr>
              <w:spacing w:line="260" w:lineRule="exact"/>
              <w:rPr>
                <w:rFonts w:hint="eastAsia" w:ascii="宋体" w:hAnsi="宋体"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5" w:hRule="atLeast"/>
        </w:trPr>
        <w:tc>
          <w:tcPr>
            <w:tcW w:w="90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投</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标</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人</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声</w:t>
            </w:r>
          </w:p>
          <w:p>
            <w:pPr>
              <w:spacing w:line="40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明</w:t>
            </w:r>
          </w:p>
        </w:tc>
        <w:tc>
          <w:tcPr>
            <w:tcW w:w="8009" w:type="dxa"/>
            <w:gridSpan w:val="4"/>
            <w:tcBorders>
              <w:top w:val="single" w:color="auto" w:sz="4" w:space="0"/>
              <w:left w:val="nil"/>
              <w:bottom w:val="single" w:color="auto" w:sz="4" w:space="0"/>
              <w:right w:val="single" w:color="auto" w:sz="4" w:space="0"/>
            </w:tcBorders>
            <w:noWrap w:val="0"/>
            <w:vAlign w:val="top"/>
          </w:tcPr>
          <w:p>
            <w:pPr>
              <w:spacing w:line="400" w:lineRule="exact"/>
              <w:ind w:firstLine="308" w:firstLineChars="147"/>
              <w:rPr>
                <w:rFonts w:hint="eastAsia" w:ascii="宋体" w:hAnsi="宋体" w:cs="仿宋"/>
                <w:color w:val="auto"/>
                <w:sz w:val="21"/>
                <w:szCs w:val="21"/>
                <w:highlight w:val="none"/>
              </w:rPr>
            </w:pPr>
            <w:r>
              <w:rPr>
                <w:rFonts w:hint="eastAsia" w:ascii="宋体" w:hAnsi="宋体" w:cs="仿宋"/>
                <w:color w:val="auto"/>
                <w:sz w:val="21"/>
                <w:szCs w:val="21"/>
                <w:highlight w:val="none"/>
              </w:rPr>
              <w:t>以上内容是本投标人信用信息的真实反映，如未如实</w:t>
            </w:r>
            <w:r>
              <w:rPr>
                <w:rFonts w:hint="eastAsia" w:ascii="宋体" w:hAnsi="宋体" w:cs="仿宋"/>
                <w:color w:val="auto"/>
                <w:sz w:val="21"/>
                <w:szCs w:val="21"/>
                <w:highlight w:val="none"/>
                <w:lang w:eastAsia="zh-CN"/>
              </w:rPr>
              <w:t>反映</w:t>
            </w:r>
            <w:r>
              <w:rPr>
                <w:rFonts w:hint="eastAsia" w:ascii="宋体" w:hAnsi="宋体" w:cs="仿宋"/>
                <w:color w:val="auto"/>
                <w:sz w:val="21"/>
                <w:szCs w:val="21"/>
                <w:highlight w:val="none"/>
              </w:rPr>
              <w:t>而骗取投标资格或影响中标结果的，一经发现，取消投标资格，已中标的，中标无效并无条件接受行政主管部门的行政处罚。</w:t>
            </w:r>
          </w:p>
          <w:p>
            <w:pPr>
              <w:spacing w:line="400" w:lineRule="exact"/>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w:t>
            </w:r>
          </w:p>
          <w:p>
            <w:pPr>
              <w:spacing w:before="120" w:beforeLines="50" w:after="120" w:afterLines="50"/>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法定代表人：</w:t>
            </w:r>
            <w:r>
              <w:rPr>
                <w:rFonts w:hint="eastAsia" w:ascii="宋体" w:hAnsi="宋体" w:cs="仿宋"/>
                <w:color w:val="auto"/>
                <w:sz w:val="21"/>
                <w:szCs w:val="21"/>
                <w:highlight w:val="none"/>
                <w:u w:val="single"/>
              </w:rPr>
              <w:t xml:space="preserve">     （签字或盖章）</w:t>
            </w:r>
          </w:p>
          <w:p>
            <w:pPr>
              <w:spacing w:before="120" w:beforeLines="50" w:after="120" w:afterLines="50"/>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投  标  人：</w:t>
            </w:r>
            <w:r>
              <w:rPr>
                <w:rFonts w:hint="eastAsia" w:ascii="宋体" w:hAnsi="宋体" w:cs="仿宋"/>
                <w:color w:val="auto"/>
                <w:sz w:val="21"/>
                <w:szCs w:val="21"/>
                <w:highlight w:val="none"/>
                <w:u w:val="single"/>
              </w:rPr>
              <w:t xml:space="preserve">        </w:t>
            </w:r>
            <w:r>
              <w:rPr>
                <w:rFonts w:hint="eastAsia" w:ascii="宋体" w:hAnsi="宋体" w:cs="仿宋"/>
                <w:color w:val="auto"/>
                <w:sz w:val="21"/>
                <w:szCs w:val="21"/>
                <w:highlight w:val="none"/>
              </w:rPr>
              <w:t>（单位公章）</w:t>
            </w:r>
          </w:p>
          <w:p>
            <w:pPr>
              <w:spacing w:line="240" w:lineRule="exact"/>
              <w:jc w:val="center"/>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日      期：     年   月  日</w:t>
            </w:r>
          </w:p>
        </w:tc>
      </w:tr>
    </w:tbl>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注：1.“投标人信用信息情况”、“拟派项目负责人（总监）信用信息情况”表格内必须填写“有”或“无”。如为空白或“/”均以未按规定的格式填写，作否决投标处理。</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2.不良行为记录是指各行政机关出具的不良行为认定书、黑名单、失信名单或通知、通报、警示警告、责令整改（停工）通知书等明确认定为“不良行为”的各类文书，该文书注明时限的以时限为准，未注明时限的按一年计。</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3.行政处罚是指各行政机关作出的行政处罚决定书，时间以作出行政处罚决定的日期为准。</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4.不良行为记录和行政处罚如提前结束或被撤销的，标文件中必须提供原处理部门出具的正式文书，如未提供，均按未如实填写处理。</w:t>
      </w:r>
    </w:p>
    <w:p>
      <w:pPr>
        <w:spacing w:line="280" w:lineRule="exact"/>
        <w:ind w:left="1" w:firstLine="360" w:firstLineChars="200"/>
        <w:rPr>
          <w:rFonts w:hint="eastAsia" w:ascii="宋体" w:hAnsi="宋体" w:cs="仿宋"/>
          <w:color w:val="auto"/>
          <w:sz w:val="18"/>
          <w:szCs w:val="18"/>
          <w:highlight w:val="none"/>
        </w:rPr>
      </w:pPr>
      <w:r>
        <w:rPr>
          <w:rFonts w:hint="eastAsia" w:ascii="宋体" w:hAnsi="宋体" w:cs="仿宋"/>
          <w:color w:val="auto"/>
          <w:sz w:val="18"/>
          <w:szCs w:val="18"/>
          <w:highlight w:val="none"/>
        </w:rPr>
        <w:t>5.工程建设相关的不良行为和行政处罚是指与工程建设有关联的市场行为、工程质量、安全生产、文明施工、扬尘防治、施工排污方面被相关行政主管部门处罚的不良行为和行政处罚。</w:t>
      </w:r>
    </w:p>
    <w:p>
      <w:pPr>
        <w:pStyle w:val="2"/>
        <w:rPr>
          <w:rFonts w:hint="eastAsia"/>
          <w:color w:val="auto"/>
          <w:highlight w:val="none"/>
          <w:lang w:val="en-US" w:eastAsia="zh-CN"/>
        </w:rPr>
      </w:pPr>
    </w:p>
    <w:p>
      <w:pPr>
        <w:jc w:val="center"/>
        <w:rPr>
          <w:rFonts w:hint="eastAsia" w:ascii="宋体" w:hAnsi="宋体"/>
          <w:b/>
          <w:bCs/>
          <w:color w:val="auto"/>
          <w:sz w:val="36"/>
          <w:highlight w:val="none"/>
        </w:rPr>
      </w:pPr>
    </w:p>
    <w:p>
      <w:pPr>
        <w:tabs>
          <w:tab w:val="left" w:pos="567"/>
          <w:tab w:val="left" w:pos="1146"/>
        </w:tabs>
        <w:jc w:val="center"/>
        <w:rPr>
          <w:color w:val="auto"/>
          <w:sz w:val="36"/>
          <w:szCs w:val="36"/>
          <w:highlight w:val="none"/>
        </w:rPr>
      </w:pPr>
      <w:r>
        <w:rPr>
          <w:rFonts w:hint="eastAsia" w:hAnsi="宋体" w:cs="宋体"/>
          <w:b/>
          <w:bCs/>
          <w:color w:val="auto"/>
          <w:sz w:val="36"/>
          <w:szCs w:val="36"/>
          <w:highlight w:val="none"/>
        </w:rPr>
        <w:t>投标承诺书</w:t>
      </w:r>
    </w:p>
    <w:p>
      <w:pPr>
        <w:spacing w:line="460" w:lineRule="exact"/>
        <w:ind w:firstLine="241" w:firstLineChars="100"/>
        <w:rPr>
          <w:rFonts w:ascii="宋体" w:hAnsi="宋体" w:cs="宋体"/>
          <w:color w:val="auto"/>
          <w:highlight w:val="none"/>
        </w:rPr>
      </w:pPr>
      <w:r>
        <w:rPr>
          <w:rFonts w:hint="eastAsia" w:cs="宋体"/>
          <w:b/>
          <w:bCs/>
          <w:color w:val="auto"/>
          <w:szCs w:val="21"/>
          <w:highlight w:val="none"/>
          <w:u w:val="single"/>
        </w:rPr>
        <w:t>湖州市南太湖未来社区建设发展有限公司</w:t>
      </w:r>
      <w:r>
        <w:rPr>
          <w:rFonts w:hint="eastAsia" w:ascii="宋体" w:hAnsi="宋体" w:cs="宋体"/>
          <w:color w:val="auto"/>
          <w:highlight w:val="none"/>
        </w:rPr>
        <w:t>：</w:t>
      </w:r>
    </w:p>
    <w:p>
      <w:pPr>
        <w:spacing w:line="400" w:lineRule="exact"/>
        <w:ind w:firstLine="480" w:firstLineChars="200"/>
        <w:rPr>
          <w:rFonts w:ascii="宋体" w:hAnsi="宋体" w:cs="宋体"/>
          <w:color w:val="auto"/>
          <w:highlight w:val="none"/>
        </w:rPr>
      </w:pPr>
      <w:r>
        <w:rPr>
          <w:rFonts w:hint="eastAsia" w:ascii="宋体" w:hAnsi="宋体" w:cs="宋体"/>
          <w:color w:val="auto"/>
          <w:highlight w:val="none"/>
        </w:rPr>
        <w:t>本公司已详细阅读</w:t>
      </w:r>
      <w:r>
        <w:rPr>
          <w:rFonts w:hint="eastAsia" w:ascii="宋体" w:hAnsi="宋体" w:cs="宋体"/>
          <w:color w:val="auto"/>
          <w:highlight w:val="none"/>
          <w:u w:val="single"/>
        </w:rPr>
        <w:t xml:space="preserve">   </w:t>
      </w:r>
      <w:r>
        <w:rPr>
          <w:rFonts w:hint="eastAsia" w:ascii="宋体" w:hAnsi="宋体" w:cs="宋体"/>
          <w:i/>
          <w:iCs/>
          <w:color w:val="auto"/>
          <w:highlight w:val="none"/>
          <w:u w:val="single"/>
        </w:rPr>
        <w:t xml:space="preserve"> </w:t>
      </w:r>
      <w:r>
        <w:rPr>
          <w:rFonts w:hint="eastAsia" w:cs="宋体"/>
          <w:b/>
          <w:bCs/>
          <w:color w:val="auto"/>
          <w:szCs w:val="21"/>
          <w:highlight w:val="none"/>
          <w:u w:val="single"/>
        </w:rPr>
        <w:t>湖州市南太湖新区太湖湾单元（TH-08-02）13E、14C、15B、16A-1、16A-2、16B、17A、17B-1、17B-2、17C、18B-1、18B-2、20B-1、20B-2、27E、28B-1、28B-2、29B、13E-1、20B-3号地块（长东未来社区）开发建设项目工程总承包项目</w:t>
      </w:r>
      <w:r>
        <w:rPr>
          <w:rFonts w:hint="eastAsia" w:ascii="宋体" w:hAnsi="宋体" w:cs="宋体"/>
          <w:color w:val="auto"/>
          <w:highlight w:val="none"/>
          <w:u w:val="single"/>
        </w:rPr>
        <w:t xml:space="preserve">   </w:t>
      </w:r>
      <w:r>
        <w:rPr>
          <w:rFonts w:hint="eastAsia" w:ascii="宋体" w:hAnsi="宋体" w:cs="宋体"/>
          <w:color w:val="auto"/>
          <w:highlight w:val="none"/>
        </w:rPr>
        <w:t>招标文件，自觉遵守中华人民共和国、浙江省及当地有关招标投标的法律法规规定，自觉维护建筑市场正常秩序，现自愿就参加该工程投标有关事项郑重承诺如下：</w:t>
      </w:r>
    </w:p>
    <w:p>
      <w:pPr>
        <w:spacing w:line="400" w:lineRule="exact"/>
        <w:ind w:firstLine="480" w:firstLineChars="200"/>
        <w:rPr>
          <w:rFonts w:ascii="宋体" w:hAnsi="宋体" w:cs="宋体"/>
          <w:color w:val="auto"/>
          <w:highlight w:val="none"/>
        </w:rPr>
      </w:pPr>
      <w:r>
        <w:rPr>
          <w:rFonts w:hint="eastAsia" w:ascii="宋体" w:hAnsi="宋体" w:cs="宋体"/>
          <w:color w:val="auto"/>
          <w:highlight w:val="none"/>
        </w:rPr>
        <w:t>1.承诺投标文件无虚假、伪造的内容。若投标文件中存在虚假、伪造的内容，同意作无效投标处理，投标保证金并不予退还；若中标之后被查实弄虚作假，同意取消中标资格，投标保证金、履约保证金并不予退还；</w:t>
      </w:r>
    </w:p>
    <w:p>
      <w:pPr>
        <w:spacing w:line="400" w:lineRule="exact"/>
        <w:ind w:firstLine="480" w:firstLineChars="200"/>
        <w:rPr>
          <w:rFonts w:ascii="宋体" w:hAnsi="宋体" w:cs="宋体"/>
          <w:color w:val="auto"/>
          <w:highlight w:val="none"/>
        </w:rPr>
      </w:pPr>
      <w:r>
        <w:rPr>
          <w:rFonts w:hint="eastAsia" w:ascii="宋体" w:hAnsi="宋体" w:cs="宋体"/>
          <w:color w:val="auto"/>
          <w:highlight w:val="none"/>
        </w:rPr>
        <w:t>2.承诺无串通投标行为，若存在与其他投标人的投标文件存在投标文件错误一致、内容雷同、电子检测码一致的情况，同意作无效投标处理，并接受有关行政监督部门的调查和处罚；</w:t>
      </w:r>
    </w:p>
    <w:p>
      <w:pPr>
        <w:spacing w:line="400" w:lineRule="exact"/>
        <w:ind w:firstLine="480" w:firstLineChars="200"/>
        <w:rPr>
          <w:rFonts w:ascii="宋体" w:hAnsi="宋体" w:cs="宋体"/>
          <w:color w:val="auto"/>
          <w:highlight w:val="none"/>
        </w:rPr>
      </w:pPr>
      <w:r>
        <w:rPr>
          <w:rFonts w:hint="eastAsia" w:ascii="宋体" w:hAnsi="宋体" w:cs="宋体"/>
          <w:color w:val="auto"/>
          <w:highlight w:val="none"/>
        </w:rPr>
        <w:t>3.承诺无恶意报价行为，若被认定存在严重哄抬标价或影响合同履行的异常低价竞标行为，同意作无效投标处理，并接受有关行政监督部门的调查和处罚；</w:t>
      </w:r>
    </w:p>
    <w:p>
      <w:pPr>
        <w:spacing w:line="400" w:lineRule="exact"/>
        <w:ind w:firstLine="480" w:firstLineChars="200"/>
        <w:rPr>
          <w:rFonts w:ascii="宋体" w:hAnsi="宋体" w:cs="宋体"/>
          <w:color w:val="auto"/>
          <w:highlight w:val="none"/>
        </w:rPr>
      </w:pPr>
      <w:r>
        <w:rPr>
          <w:rFonts w:hint="eastAsia" w:ascii="宋体" w:hAnsi="宋体" w:cs="宋体"/>
          <w:color w:val="auto"/>
          <w:highlight w:val="none"/>
        </w:rPr>
        <w:t>4、承诺按照投标文件派驻管理人员及投入机械设备，若存在不到位的情况，同意接受合同约定的处罚。若严重影响合同履约的，同意接受招标人解除合同的要求。</w:t>
      </w:r>
    </w:p>
    <w:p>
      <w:pPr>
        <w:tabs>
          <w:tab w:val="left" w:pos="1343"/>
          <w:tab w:val="left" w:pos="2697"/>
          <w:tab w:val="left" w:pos="3264"/>
          <w:tab w:val="left" w:pos="4896"/>
          <w:tab w:val="left" w:pos="6600"/>
          <w:tab w:val="left" w:pos="7498"/>
        </w:tabs>
        <w:kinsoku w:val="0"/>
        <w:snapToGrid w:val="0"/>
        <w:spacing w:line="400" w:lineRule="exact"/>
        <w:ind w:firstLine="480" w:firstLineChars="200"/>
        <w:rPr>
          <w:rFonts w:ascii="宋体" w:hAnsi="宋体" w:cs="宋体"/>
          <w:color w:val="auto"/>
          <w:highlight w:val="none"/>
        </w:rPr>
      </w:pPr>
      <w:r>
        <w:rPr>
          <w:rFonts w:hint="eastAsia" w:ascii="宋体" w:hAnsi="宋体" w:cs="宋体"/>
          <w:color w:val="auto"/>
          <w:highlight w:val="none"/>
        </w:rPr>
        <w:t>5、承诺本项目派项目负责人或施工负责人在投标截止日未存在在其他任何在建合同工程（在建合同工程的开始时间为合同工程中标通知书发出日期，或者不通过招标方式的则以合同签订日期为开始时间，结束时间为该合同工程验收合格或合同解除日期）担任工程总承包项目负责人、工程总承包施工负责人或施工负责人的，不得以拟派项目负责人或施工负责人的身份参加本次投标。</w:t>
      </w:r>
    </w:p>
    <w:p>
      <w:pPr>
        <w:spacing w:line="400" w:lineRule="exact"/>
        <w:ind w:left="240" w:leftChars="100" w:firstLine="240" w:firstLineChars="100"/>
        <w:rPr>
          <w:rFonts w:ascii="宋体" w:hAnsi="宋体" w:cs="宋体"/>
          <w:color w:val="auto"/>
          <w:highlight w:val="none"/>
        </w:rPr>
      </w:pPr>
      <w:r>
        <w:rPr>
          <w:rFonts w:hint="eastAsia" w:ascii="宋体" w:hAnsi="宋体" w:cs="宋体"/>
          <w:color w:val="auto"/>
          <w:highlight w:val="none"/>
        </w:rPr>
        <w:t>6、承诺本项目投标人及其拟派项目负责人、施工负责人、设计负责人自</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日起（以法院判决书生效日期为准）至投标截止日止无行贿犯罪记录。</w:t>
      </w:r>
    </w:p>
    <w:p>
      <w:pPr>
        <w:spacing w:line="400" w:lineRule="exact"/>
        <w:ind w:firstLine="480" w:firstLineChars="200"/>
        <w:outlineLvl w:val="2"/>
        <w:rPr>
          <w:rFonts w:ascii="宋体" w:hAnsi="宋体" w:cs="宋体"/>
          <w:color w:val="auto"/>
          <w:highlight w:val="none"/>
        </w:rPr>
      </w:pPr>
      <w:bookmarkStart w:id="283" w:name="_Toc6937"/>
      <w:r>
        <w:rPr>
          <w:rFonts w:hint="eastAsia" w:ascii="宋体" w:hAnsi="宋体" w:cs="宋体"/>
          <w:color w:val="auto"/>
          <w:highlight w:val="none"/>
        </w:rPr>
        <w:t>7、承诺未被有关行政主管部门列入失信黑名单或限制参加投标。</w:t>
      </w:r>
      <w:bookmarkEnd w:id="283"/>
    </w:p>
    <w:p>
      <w:pPr>
        <w:spacing w:line="400" w:lineRule="exact"/>
        <w:ind w:firstLine="480" w:firstLineChars="200"/>
        <w:rPr>
          <w:rFonts w:ascii="宋体" w:hAnsi="宋体" w:cs="宋体"/>
          <w:color w:val="auto"/>
          <w:highlight w:val="none"/>
        </w:rPr>
      </w:pPr>
      <w:r>
        <w:rPr>
          <w:rFonts w:hint="eastAsia" w:ascii="宋体" w:hAnsi="宋体" w:cs="宋体"/>
          <w:color w:val="auto"/>
          <w:highlight w:val="none"/>
        </w:rPr>
        <w:t>8、以上承诺如有虚假，愿意接受投标保证金不予退还的处理。给招标人造成损失的，愿意依法承担赔偿责任。如已中标，同意招标人取消我单位中标资格的处理。</w:t>
      </w:r>
    </w:p>
    <w:p>
      <w:pPr>
        <w:spacing w:line="460" w:lineRule="exact"/>
        <w:ind w:firstLine="3840" w:firstLineChars="1600"/>
        <w:rPr>
          <w:rFonts w:ascii="宋体" w:hAnsi="宋体" w:cs="宋体"/>
          <w:color w:val="auto"/>
          <w:highlight w:val="none"/>
        </w:rPr>
      </w:pPr>
      <w:r>
        <w:rPr>
          <w:rFonts w:hint="eastAsia" w:ascii="宋体" w:hAnsi="宋体" w:cs="宋体"/>
          <w:color w:val="auto"/>
          <w:highlight w:val="none"/>
        </w:rPr>
        <w:t>法定代表人（签字或盖章）：</w:t>
      </w:r>
    </w:p>
    <w:p>
      <w:pPr>
        <w:spacing w:line="460" w:lineRule="exact"/>
        <w:ind w:firstLine="3840" w:firstLineChars="1600"/>
        <w:rPr>
          <w:rFonts w:ascii="宋体" w:hAnsi="宋体" w:cs="宋体"/>
          <w:color w:val="auto"/>
          <w:highlight w:val="none"/>
        </w:rPr>
      </w:pPr>
      <w:r>
        <w:rPr>
          <w:rFonts w:hint="eastAsia" w:ascii="宋体" w:hAnsi="宋体" w:cs="宋体"/>
          <w:color w:val="auto"/>
          <w:highlight w:val="none"/>
        </w:rPr>
        <w:t>投标人（单位盖章）：</w:t>
      </w:r>
    </w:p>
    <w:p>
      <w:pPr>
        <w:spacing w:line="460" w:lineRule="exact"/>
        <w:ind w:firstLine="6000" w:firstLineChars="2500"/>
        <w:rPr>
          <w:rFonts w:ascii="宋体" w:hAnsi="宋体" w:cs="宋体"/>
          <w:color w:val="auto"/>
          <w:highlight w:val="none"/>
        </w:rPr>
      </w:pPr>
      <w:r>
        <w:rPr>
          <w:rFonts w:hint="eastAsia" w:ascii="宋体" w:hAnsi="宋体" w:cs="宋体"/>
          <w:color w:val="auto"/>
          <w:highlight w:val="none"/>
        </w:rPr>
        <w:t>年    月    日</w:t>
      </w:r>
    </w:p>
    <w:p>
      <w:pPr>
        <w:tabs>
          <w:tab w:val="left" w:pos="567"/>
          <w:tab w:val="left" w:pos="1146"/>
        </w:tabs>
        <w:jc w:val="center"/>
        <w:rPr>
          <w:rFonts w:hint="eastAsia" w:hAnsi="宋体" w:cs="宋体"/>
          <w:b/>
          <w:bCs/>
          <w:color w:val="auto"/>
          <w:sz w:val="36"/>
          <w:szCs w:val="36"/>
          <w:highlight w:val="none"/>
        </w:rPr>
      </w:pPr>
      <w:bookmarkStart w:id="284" w:name="_Toc16187"/>
      <w:bookmarkStart w:id="285" w:name="_Toc5705"/>
      <w:bookmarkStart w:id="286" w:name="_Toc32503"/>
      <w:bookmarkStart w:id="287" w:name="_Toc82808124"/>
    </w:p>
    <w:p>
      <w:pPr>
        <w:tabs>
          <w:tab w:val="left" w:pos="567"/>
          <w:tab w:val="left" w:pos="1146"/>
        </w:tabs>
        <w:jc w:val="center"/>
        <w:rPr>
          <w:rFonts w:hint="eastAsia" w:hAnsi="宋体" w:cs="宋体"/>
          <w:b/>
          <w:bCs/>
          <w:color w:val="auto"/>
          <w:sz w:val="36"/>
          <w:szCs w:val="36"/>
          <w:highlight w:val="none"/>
        </w:rPr>
      </w:pPr>
      <w:r>
        <w:rPr>
          <w:rFonts w:hint="eastAsia" w:hAnsi="宋体" w:cs="宋体"/>
          <w:b/>
          <w:bCs/>
          <w:color w:val="auto"/>
          <w:sz w:val="36"/>
          <w:szCs w:val="36"/>
          <w:highlight w:val="none"/>
        </w:rPr>
        <w:t>投标人廉洁守信承诺书</w:t>
      </w:r>
      <w:bookmarkEnd w:id="284"/>
      <w:bookmarkEnd w:id="285"/>
      <w:bookmarkEnd w:id="286"/>
      <w:bookmarkEnd w:id="287"/>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本公司决定参加</w:t>
      </w:r>
      <w:r>
        <w:rPr>
          <w:rFonts w:hint="eastAsia" w:ascii="宋体" w:hAnsi="宋体"/>
          <w:color w:val="auto"/>
          <w:szCs w:val="21"/>
          <w:highlight w:val="none"/>
          <w:u w:val="single"/>
        </w:rPr>
        <w:t xml:space="preserve"> </w:t>
      </w:r>
      <w:r>
        <w:rPr>
          <w:rFonts w:hint="eastAsia" w:cs="宋体"/>
          <w:b/>
          <w:bCs/>
          <w:color w:val="auto"/>
          <w:szCs w:val="21"/>
          <w:highlight w:val="none"/>
          <w:u w:val="single"/>
        </w:rPr>
        <w:t xml:space="preserve">湖州市南太湖新区太湖湾单元（TH-08-02）13E、14C、15B、16A-1、16A-2、16B、17A、17B-1、17B-2、17C、18B-1、18B-2、20B-1、20B-2、27E、28B-1、28B-2、29B、13E-1、20B-3号地块（长东未来社区）开发建设项目工程总承包项目 </w:t>
      </w:r>
      <w:r>
        <w:rPr>
          <w:rFonts w:hint="eastAsia" w:ascii="宋体" w:hAnsi="宋体"/>
          <w:color w:val="auto"/>
          <w:szCs w:val="21"/>
          <w:highlight w:val="none"/>
          <w:u w:val="single"/>
        </w:rPr>
        <w:t xml:space="preserve"> </w:t>
      </w:r>
      <w:r>
        <w:rPr>
          <w:rFonts w:hint="eastAsia" w:ascii="宋体" w:hAnsi="宋体"/>
          <w:color w:val="auto"/>
          <w:szCs w:val="21"/>
          <w:highlight w:val="none"/>
        </w:rPr>
        <w:t>项目投标。为维护公平竞争的市场秩序，促进企业廉洁从业、诚实守信，特承诺如下：</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一、严格遵守《中华人民共和国招标投标法》、《中华人民共和国政府采购法》等法律法规，决不发生以下行为：</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1.以他人名义投标，允许其他单位或个人使用本单位资质投标；</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2.提供虚假材料，或以其他方式弄虚作假骗取中标；</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3.与招标人或者其他投标人相互串通投标；</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4.中标后将项目转包，或违法分包；</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5.中标后与招标人签订背离投标文件及合同实质性内容的私下协议；</w:t>
      </w:r>
    </w:p>
    <w:p>
      <w:pPr>
        <w:spacing w:line="400" w:lineRule="exact"/>
        <w:ind w:firstLine="480" w:firstLineChars="200"/>
        <w:outlineLvl w:val="2"/>
        <w:rPr>
          <w:rFonts w:ascii="宋体" w:hAnsi="宋体"/>
          <w:color w:val="auto"/>
          <w:szCs w:val="21"/>
          <w:highlight w:val="none"/>
        </w:rPr>
      </w:pPr>
      <w:bookmarkStart w:id="288" w:name="_Toc22828"/>
      <w:r>
        <w:rPr>
          <w:rFonts w:hint="eastAsia" w:ascii="宋体" w:hAnsi="宋体"/>
          <w:color w:val="auto"/>
          <w:szCs w:val="21"/>
          <w:highlight w:val="none"/>
        </w:rPr>
        <w:t>6.其他违反招标投标、政府采购等法律法规的行为。</w:t>
      </w:r>
      <w:bookmarkEnd w:id="288"/>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二、不以任何理由给予建设单位、主管部门、相关单位及其工作人员、专家评委以下好处：</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1.赠送礼金、有价证券、贵重物品，或给予回扣、感谢费、劳务费等各种名目的经费；</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2.报销应由上述单位或个人支付的费用；</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3.赠送或提供通讯工具、交通工具和高档办公用品等；</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4.提供宴请、健身、旅游、娱乐等高消费活动；</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5.无偿或明显低于市场价装修住房。</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三、不以任何理由为建设单位、主管部门、相关单位的工作人员及其配偶、子女等亲属的工作安排以及出国（境）等提供方便。</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四、自觉接受有关部门和派驻廉政监察组等机构的监督，积极配合建设单位开展廉政文化进工程工作，加强廉洁从业环境宣传、项目管理制度建设，多种形式开展廉洁教育。</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五、本公司自愿将此承诺书在信用湖州网站进行公示。</w:t>
      </w:r>
    </w:p>
    <w:p>
      <w:pPr>
        <w:spacing w:line="400" w:lineRule="exact"/>
        <w:ind w:firstLine="480" w:firstLineChars="200"/>
        <w:rPr>
          <w:rFonts w:ascii="宋体" w:hAnsi="宋体"/>
          <w:color w:val="auto"/>
          <w:szCs w:val="21"/>
          <w:highlight w:val="none"/>
        </w:rPr>
      </w:pPr>
      <w:r>
        <w:rPr>
          <w:rFonts w:hint="eastAsia" w:ascii="宋体" w:hAnsi="宋体"/>
          <w:color w:val="auto"/>
          <w:szCs w:val="21"/>
          <w:highlight w:val="none"/>
        </w:rPr>
        <w:t>上述承诺如有违反，愿接受录入诚信档案的处理，构成违纪违法的，由相关部门依纪依法做出处理。</w:t>
      </w:r>
    </w:p>
    <w:p>
      <w:pPr>
        <w:spacing w:line="500" w:lineRule="exact"/>
        <w:ind w:firstLine="5520" w:firstLineChars="2300"/>
        <w:rPr>
          <w:rFonts w:ascii="宋体" w:hAnsi="宋体"/>
          <w:color w:val="auto"/>
          <w:szCs w:val="21"/>
          <w:highlight w:val="none"/>
          <w:u w:val="singl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签字或盖章    </w:t>
      </w:r>
    </w:p>
    <w:p>
      <w:pPr>
        <w:spacing w:line="500" w:lineRule="exact"/>
        <w:ind w:firstLine="5520" w:firstLineChars="2300"/>
        <w:rPr>
          <w:rFonts w:ascii="宋体" w:hAnsi="宋体"/>
          <w:color w:val="auto"/>
          <w:szCs w:val="21"/>
          <w:highlight w:val="none"/>
          <w:u w:val="single"/>
        </w:rPr>
      </w:pPr>
      <w:r>
        <w:rPr>
          <w:rFonts w:hint="eastAsia" w:ascii="宋体" w:hAnsi="宋体"/>
          <w:color w:val="auto"/>
          <w:szCs w:val="21"/>
          <w:highlight w:val="none"/>
        </w:rPr>
        <w:t>承诺单位：</w:t>
      </w:r>
      <w:r>
        <w:rPr>
          <w:rFonts w:hint="eastAsia" w:ascii="宋体" w:hAnsi="宋体"/>
          <w:color w:val="auto"/>
          <w:szCs w:val="21"/>
          <w:highlight w:val="none"/>
          <w:u w:val="single"/>
        </w:rPr>
        <w:t xml:space="preserve">     （公章）      </w:t>
      </w:r>
    </w:p>
    <w:p>
      <w:pPr>
        <w:pStyle w:val="9"/>
        <w:spacing w:line="400" w:lineRule="exact"/>
        <w:ind w:firstLine="5520" w:firstLineChars="2300"/>
        <w:rPr>
          <w:rFonts w:ascii="宋体" w:hAnsi="宋体" w:cs="仿宋"/>
          <w:color w:val="auto"/>
          <w:szCs w:val="21"/>
          <w:highlight w:val="none"/>
        </w:rPr>
      </w:pPr>
      <w:r>
        <w:rPr>
          <w:rFonts w:hint="eastAsia" w:ascii="宋体" w:hAnsi="宋体"/>
          <w:color w:val="auto"/>
          <w:szCs w:val="21"/>
          <w:highlight w:val="none"/>
        </w:rPr>
        <w:t xml:space="preserve">承诺日期：   </w:t>
      </w:r>
      <w:r>
        <w:rPr>
          <w:rFonts w:hint="eastAsia" w:ascii="宋体" w:hAnsi="宋体" w:cs="仿宋"/>
          <w:color w:val="auto"/>
          <w:szCs w:val="21"/>
          <w:highlight w:val="none"/>
        </w:rPr>
        <w:t>年   月   日</w:t>
      </w:r>
    </w:p>
    <w:p>
      <w:pPr>
        <w:jc w:val="center"/>
        <w:rPr>
          <w:rFonts w:hint="eastAsia" w:ascii="宋体" w:hAnsi="宋体"/>
          <w:b/>
          <w:bCs/>
          <w:color w:val="auto"/>
          <w:sz w:val="36"/>
          <w:highlight w:val="none"/>
        </w:rPr>
      </w:pPr>
    </w:p>
    <w:p>
      <w:pPr>
        <w:jc w:val="center"/>
        <w:rPr>
          <w:rFonts w:ascii="宋体" w:hAnsi="宋体"/>
          <w:b/>
          <w:bCs/>
          <w:color w:val="auto"/>
          <w:sz w:val="36"/>
          <w:highlight w:val="none"/>
        </w:rPr>
      </w:pPr>
      <w:r>
        <w:rPr>
          <w:rFonts w:hint="eastAsia" w:ascii="宋体" w:hAnsi="宋体"/>
          <w:b/>
          <w:bCs/>
          <w:color w:val="auto"/>
          <w:sz w:val="36"/>
          <w:highlight w:val="none"/>
        </w:rPr>
        <w:t>联合体投标协议书</w:t>
      </w:r>
    </w:p>
    <w:p>
      <w:pPr>
        <w:snapToGrid w:val="0"/>
        <w:spacing w:line="360" w:lineRule="auto"/>
        <w:jc w:val="center"/>
        <w:rPr>
          <w:rFonts w:hint="eastAsia" w:ascii="宋体" w:hAnsi="宋体" w:cs="Arial"/>
          <w:color w:val="auto"/>
          <w:highlight w:val="none"/>
          <w:u w:val="single"/>
        </w:rPr>
      </w:pPr>
      <w:r>
        <w:rPr>
          <w:rFonts w:hint="eastAsia" w:ascii="宋体" w:hAnsi="宋体" w:cs="Arial"/>
          <w:color w:val="auto"/>
          <w:highlight w:val="none"/>
        </w:rPr>
        <w:t xml:space="preserve"> </w:t>
      </w:r>
    </w:p>
    <w:p>
      <w:pPr>
        <w:snapToGrid w:val="0"/>
        <w:spacing w:line="360" w:lineRule="auto"/>
        <w:ind w:firstLine="480" w:firstLineChars="200"/>
        <w:rPr>
          <w:rFonts w:ascii="宋体" w:hAnsi="宋体" w:cs="Arial"/>
          <w:color w:val="auto"/>
          <w:highlight w:val="none"/>
        </w:rPr>
      </w:pPr>
      <w:r>
        <w:rPr>
          <w:rFonts w:hint="eastAsia" w:ascii="宋体" w:hAnsi="宋体" w:cs="Arial"/>
          <w:color w:val="auto"/>
          <w:highlight w:val="none"/>
          <w:u w:val="single"/>
        </w:rPr>
        <w:t xml:space="preserve">（所有成员单位名称）    </w:t>
      </w:r>
      <w:r>
        <w:rPr>
          <w:rFonts w:hint="eastAsia" w:ascii="宋体" w:hAnsi="宋体" w:cs="Arial"/>
          <w:color w:val="auto"/>
          <w:highlight w:val="none"/>
        </w:rPr>
        <w:t xml:space="preserve">自愿组成 </w:t>
      </w:r>
      <w:r>
        <w:rPr>
          <w:rFonts w:hint="eastAsia" w:ascii="宋体" w:hAnsi="宋体" w:cs="Arial"/>
          <w:color w:val="auto"/>
          <w:highlight w:val="none"/>
          <w:u w:val="single"/>
        </w:rPr>
        <w:t xml:space="preserve">       （联合体名称）</w:t>
      </w:r>
      <w:r>
        <w:rPr>
          <w:rFonts w:hint="eastAsia" w:ascii="宋体" w:hAnsi="宋体" w:cs="Arial"/>
          <w:color w:val="auto"/>
          <w:highlight w:val="none"/>
        </w:rPr>
        <w:t>联合体，共同参加</w:t>
      </w:r>
      <w:r>
        <w:rPr>
          <w:rFonts w:hint="eastAsia" w:cs="宋体"/>
          <w:b/>
          <w:bCs/>
          <w:color w:val="auto"/>
          <w:sz w:val="21"/>
          <w:szCs w:val="21"/>
          <w:highlight w:val="none"/>
          <w:u w:val="single"/>
        </w:rPr>
        <w:t>湖州市南太湖新区太湖湾单元（TH-08-02）13E、14C、15B、16A-1、16A-2、16B、17A、17B-1、17B-2、17C、18B-1、18B-2、20B-1、20B-2、27E、28B-1、28B-2、29B、13E-1、20B-3号地块（长东未来社区）开发建设项目工程总承包项目</w:t>
      </w:r>
      <w:r>
        <w:rPr>
          <w:rFonts w:hint="eastAsia" w:ascii="宋体" w:hAnsi="宋体" w:cs="Arial"/>
          <w:color w:val="auto"/>
          <w:highlight w:val="none"/>
        </w:rPr>
        <w:t>投标。现就联合体投标事宜订立如下协议。</w:t>
      </w:r>
    </w:p>
    <w:p>
      <w:pPr>
        <w:snapToGrid w:val="0"/>
        <w:spacing w:line="360" w:lineRule="auto"/>
        <w:rPr>
          <w:rFonts w:ascii="宋体" w:hAnsi="宋体" w:cs="Arial"/>
          <w:color w:val="auto"/>
          <w:highlight w:val="none"/>
        </w:rPr>
      </w:pPr>
      <w:r>
        <w:rPr>
          <w:rFonts w:ascii="宋体" w:hAnsi="宋体" w:cs="Arial"/>
          <w:color w:val="auto"/>
          <w:highlight w:val="none"/>
        </w:rPr>
        <w:t>1</w:t>
      </w:r>
      <w:r>
        <w:rPr>
          <w:rFonts w:hint="eastAsia" w:ascii="宋体" w:hAnsi="宋体" w:cs="Arial"/>
          <w:color w:val="auto"/>
          <w:highlight w:val="none"/>
        </w:rPr>
        <w:t>、</w:t>
      </w:r>
      <w:r>
        <w:rPr>
          <w:rFonts w:hint="eastAsia" w:ascii="宋体" w:hAnsi="宋体" w:cs="Arial"/>
          <w:color w:val="auto"/>
          <w:highlight w:val="none"/>
          <w:u w:val="single"/>
        </w:rPr>
        <w:t xml:space="preserve">（某成员单位名称）          </w:t>
      </w:r>
      <w:r>
        <w:rPr>
          <w:rFonts w:hint="eastAsia" w:ascii="宋体" w:hAnsi="宋体" w:cs="Arial"/>
          <w:color w:val="auto"/>
          <w:highlight w:val="none"/>
        </w:rPr>
        <w:t>为</w:t>
      </w:r>
      <w:r>
        <w:rPr>
          <w:rFonts w:hint="eastAsia" w:ascii="宋体" w:hAnsi="宋体" w:cs="Arial"/>
          <w:color w:val="auto"/>
          <w:highlight w:val="none"/>
          <w:u w:val="single"/>
        </w:rPr>
        <w:t xml:space="preserve">（联合体名称）      </w:t>
      </w:r>
      <w:r>
        <w:rPr>
          <w:rFonts w:hint="eastAsia" w:ascii="宋体" w:hAnsi="宋体" w:cs="Arial"/>
          <w:color w:val="auto"/>
          <w:highlight w:val="none"/>
        </w:rPr>
        <w:t>牵头人。</w:t>
      </w:r>
    </w:p>
    <w:p>
      <w:pPr>
        <w:snapToGrid w:val="0"/>
        <w:spacing w:line="360" w:lineRule="auto"/>
        <w:rPr>
          <w:rFonts w:ascii="宋体" w:hAnsi="宋体" w:cs="Arial"/>
          <w:color w:val="auto"/>
          <w:highlight w:val="none"/>
        </w:rPr>
      </w:pPr>
      <w:r>
        <w:rPr>
          <w:rFonts w:ascii="宋体" w:hAnsi="宋体" w:cs="Arial"/>
          <w:color w:val="auto"/>
          <w:highlight w:val="none"/>
        </w:rPr>
        <w:t>2</w:t>
      </w:r>
      <w:r>
        <w:rPr>
          <w:rFonts w:hint="eastAsia" w:ascii="宋体" w:hAnsi="宋体" w:cs="Arial"/>
          <w:color w:val="auto"/>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pPr>
        <w:snapToGrid w:val="0"/>
        <w:spacing w:line="360" w:lineRule="auto"/>
        <w:rPr>
          <w:rFonts w:ascii="宋体" w:hAnsi="宋体" w:cs="Arial"/>
          <w:color w:val="auto"/>
          <w:highlight w:val="none"/>
        </w:rPr>
      </w:pPr>
      <w:r>
        <w:rPr>
          <w:rFonts w:ascii="宋体" w:hAnsi="宋体" w:cs="Arial"/>
          <w:color w:val="auto"/>
          <w:highlight w:val="none"/>
        </w:rPr>
        <w:t>3</w:t>
      </w:r>
      <w:r>
        <w:rPr>
          <w:rFonts w:hint="eastAsia" w:ascii="宋体" w:hAnsi="宋体" w:cs="Arial"/>
          <w:color w:val="auto"/>
          <w:highlight w:val="none"/>
        </w:rPr>
        <w:t>、联合体将按照招标文件的各项要求，递交投标文件，履行合同，并对外承担连带责任。</w:t>
      </w:r>
    </w:p>
    <w:p>
      <w:pPr>
        <w:snapToGrid w:val="0"/>
        <w:spacing w:line="360" w:lineRule="auto"/>
        <w:rPr>
          <w:rFonts w:ascii="宋体" w:hAnsi="宋体" w:cs="Arial"/>
          <w:color w:val="auto"/>
          <w:highlight w:val="none"/>
        </w:rPr>
      </w:pPr>
      <w:r>
        <w:rPr>
          <w:rFonts w:ascii="宋体" w:hAnsi="宋体" w:cs="Arial"/>
          <w:color w:val="auto"/>
          <w:highlight w:val="none"/>
        </w:rPr>
        <w:t>4</w:t>
      </w:r>
      <w:r>
        <w:rPr>
          <w:rFonts w:hint="eastAsia" w:ascii="宋体" w:hAnsi="宋体" w:cs="Arial"/>
          <w:color w:val="auto"/>
          <w:highlight w:val="none"/>
        </w:rPr>
        <w:t>、联合体各成员单位内部的职责分工如下</w:t>
      </w:r>
      <w:r>
        <w:rPr>
          <w:rFonts w:hint="eastAsia" w:ascii="宋体" w:hAnsi="宋体" w:cs="Arial"/>
          <w:color w:val="auto"/>
          <w:highlight w:val="none"/>
          <w:u w:val="single"/>
        </w:rPr>
        <w:t xml:space="preserve">：                 </w:t>
      </w:r>
      <w:r>
        <w:rPr>
          <w:rFonts w:hint="eastAsia" w:ascii="宋体" w:hAnsi="宋体" w:cs="Arial"/>
          <w:color w:val="auto"/>
          <w:highlight w:val="none"/>
        </w:rPr>
        <w:t>。</w:t>
      </w:r>
    </w:p>
    <w:p>
      <w:pPr>
        <w:snapToGrid w:val="0"/>
        <w:spacing w:line="360" w:lineRule="auto"/>
        <w:rPr>
          <w:rFonts w:ascii="宋体" w:hAnsi="宋体" w:cs="Arial"/>
          <w:color w:val="auto"/>
          <w:highlight w:val="none"/>
        </w:rPr>
      </w:pPr>
      <w:r>
        <w:rPr>
          <w:rFonts w:ascii="宋体" w:hAnsi="宋体" w:cs="Arial"/>
          <w:color w:val="auto"/>
          <w:highlight w:val="none"/>
        </w:rPr>
        <w:t>5</w:t>
      </w:r>
      <w:r>
        <w:rPr>
          <w:rFonts w:hint="eastAsia" w:ascii="宋体" w:hAnsi="宋体" w:cs="Arial"/>
          <w:color w:val="auto"/>
          <w:highlight w:val="none"/>
        </w:rPr>
        <w:t>、联合体各成员单位关于收取招标人支付项目各项费用的约定如下：</w:t>
      </w:r>
      <w:r>
        <w:rPr>
          <w:rFonts w:hint="eastAsia" w:ascii="宋体" w:hAnsi="宋体" w:cs="Arial"/>
          <w:color w:val="auto"/>
          <w:highlight w:val="none"/>
          <w:u w:val="single"/>
        </w:rPr>
        <w:t xml:space="preserve">       </w:t>
      </w:r>
      <w:r>
        <w:rPr>
          <w:rFonts w:hint="eastAsia" w:ascii="宋体" w:hAnsi="宋体" w:cs="Arial"/>
          <w:color w:val="auto"/>
          <w:highlight w:val="none"/>
        </w:rPr>
        <w:t>。</w:t>
      </w:r>
    </w:p>
    <w:p>
      <w:pPr>
        <w:snapToGrid w:val="0"/>
        <w:spacing w:line="360" w:lineRule="auto"/>
        <w:outlineLvl w:val="2"/>
        <w:rPr>
          <w:rFonts w:ascii="宋体" w:hAnsi="宋体" w:cs="Arial"/>
          <w:color w:val="auto"/>
          <w:highlight w:val="none"/>
        </w:rPr>
      </w:pPr>
      <w:bookmarkStart w:id="289" w:name="_Toc24925"/>
      <w:r>
        <w:rPr>
          <w:rFonts w:ascii="宋体" w:hAnsi="宋体" w:cs="Arial"/>
          <w:color w:val="auto"/>
          <w:highlight w:val="none"/>
        </w:rPr>
        <w:t>6</w:t>
      </w:r>
      <w:r>
        <w:rPr>
          <w:rFonts w:hint="eastAsia" w:ascii="宋体" w:hAnsi="宋体" w:cs="Arial"/>
          <w:color w:val="auto"/>
          <w:highlight w:val="none"/>
        </w:rPr>
        <w:t>、本协议书自签署之日起生效。</w:t>
      </w:r>
      <w:bookmarkEnd w:id="289"/>
    </w:p>
    <w:p>
      <w:pPr>
        <w:snapToGrid w:val="0"/>
        <w:spacing w:line="360" w:lineRule="auto"/>
        <w:rPr>
          <w:rFonts w:ascii="宋体" w:hAnsi="宋体" w:cs="Arial"/>
          <w:color w:val="auto"/>
          <w:highlight w:val="none"/>
        </w:rPr>
      </w:pPr>
      <w:r>
        <w:rPr>
          <w:rFonts w:ascii="宋体" w:hAnsi="宋体" w:cs="Arial"/>
          <w:color w:val="auto"/>
          <w:highlight w:val="none"/>
        </w:rPr>
        <w:t>7</w:t>
      </w:r>
      <w:r>
        <w:rPr>
          <w:rFonts w:hint="eastAsia" w:ascii="宋体" w:hAnsi="宋体" w:cs="Arial"/>
          <w:color w:val="auto"/>
          <w:highlight w:val="none"/>
        </w:rPr>
        <w:t>、本协议书一式</w:t>
      </w:r>
      <w:r>
        <w:rPr>
          <w:rFonts w:hint="eastAsia" w:ascii="宋体" w:hAnsi="宋体" w:cs="Arial"/>
          <w:color w:val="auto"/>
          <w:highlight w:val="none"/>
          <w:u w:val="single"/>
        </w:rPr>
        <w:t xml:space="preserve">         </w:t>
      </w:r>
      <w:r>
        <w:rPr>
          <w:rFonts w:hint="eastAsia" w:ascii="宋体" w:hAnsi="宋体" w:cs="Arial"/>
          <w:color w:val="auto"/>
          <w:highlight w:val="none"/>
        </w:rPr>
        <w:t>份，联合体成员和招标人各执一份。</w:t>
      </w:r>
    </w:p>
    <w:p>
      <w:pPr>
        <w:snapToGrid w:val="0"/>
        <w:spacing w:line="360" w:lineRule="auto"/>
        <w:rPr>
          <w:rFonts w:ascii="宋体" w:hAnsi="宋体" w:cs="Arial"/>
          <w:color w:val="auto"/>
          <w:highlight w:val="none"/>
        </w:rPr>
      </w:pPr>
      <w:r>
        <w:rPr>
          <w:rFonts w:hint="eastAsia" w:ascii="宋体" w:hAnsi="宋体" w:cs="Arial"/>
          <w:color w:val="auto"/>
          <w:highlight w:val="none"/>
        </w:rPr>
        <w:t>注：本协议书由委托代理人签字的，应附法定代表人签字或盖章的授权委托书。</w:t>
      </w:r>
    </w:p>
    <w:p>
      <w:pPr>
        <w:snapToGrid w:val="0"/>
        <w:spacing w:line="360" w:lineRule="auto"/>
        <w:rPr>
          <w:rFonts w:ascii="宋体" w:hAnsi="宋体" w:cs="Arial"/>
          <w:color w:val="auto"/>
          <w:highlight w:val="none"/>
        </w:rPr>
      </w:pPr>
    </w:p>
    <w:p>
      <w:pPr>
        <w:snapToGrid w:val="0"/>
        <w:spacing w:line="360" w:lineRule="auto"/>
        <w:rPr>
          <w:rFonts w:ascii="宋体" w:hAnsi="宋体" w:cs="Arial"/>
          <w:color w:val="auto"/>
          <w:highlight w:val="none"/>
          <w:u w:val="single"/>
        </w:rPr>
      </w:pPr>
      <w:r>
        <w:rPr>
          <w:rFonts w:hint="eastAsia" w:ascii="宋体" w:hAnsi="宋体" w:cs="Arial"/>
          <w:color w:val="auto"/>
          <w:highlight w:val="none"/>
        </w:rPr>
        <w:t>牵头人名称：</w:t>
      </w:r>
      <w:r>
        <w:rPr>
          <w:rFonts w:ascii="宋体" w:hAnsi="宋体" w:cs="Arial"/>
          <w:color w:val="auto"/>
          <w:highlight w:val="none"/>
          <w:u w:val="single"/>
        </w:rPr>
        <w:t xml:space="preserve">      </w:t>
      </w:r>
      <w:r>
        <w:rPr>
          <w:rFonts w:hint="eastAsia" w:ascii="宋体" w:hAnsi="宋体" w:cs="Arial"/>
          <w:color w:val="auto"/>
          <w:highlight w:val="none"/>
          <w:u w:val="single"/>
        </w:rPr>
        <w:t>（单位盖章）</w:t>
      </w:r>
    </w:p>
    <w:p>
      <w:pPr>
        <w:snapToGrid w:val="0"/>
        <w:spacing w:line="360" w:lineRule="auto"/>
        <w:rPr>
          <w:rFonts w:ascii="宋体" w:hAnsi="宋体" w:cs="Arial"/>
          <w:color w:val="auto"/>
          <w:highlight w:val="none"/>
          <w:u w:val="single"/>
        </w:rPr>
      </w:pPr>
      <w:r>
        <w:rPr>
          <w:rFonts w:hint="eastAsia" w:ascii="宋体" w:hAnsi="宋体" w:cs="Arial"/>
          <w:color w:val="auto"/>
          <w:highlight w:val="none"/>
        </w:rPr>
        <w:t>法定代表人或其委托代理人</w:t>
      </w:r>
      <w:r>
        <w:rPr>
          <w:rFonts w:hint="eastAsia" w:ascii="宋体" w:hAnsi="宋体" w:cs="Arial"/>
          <w:color w:val="auto"/>
          <w:highlight w:val="none"/>
          <w:u w:val="single"/>
        </w:rPr>
        <w:t>（</w:t>
      </w:r>
      <w:r>
        <w:rPr>
          <w:rFonts w:hint="eastAsia" w:hAnsi="宋体" w:cs="Courier New"/>
          <w:color w:val="auto"/>
          <w:highlight w:val="none"/>
          <w:u w:val="single"/>
        </w:rPr>
        <w:t>签字或盖章</w:t>
      </w:r>
      <w:r>
        <w:rPr>
          <w:rFonts w:hint="eastAsia" w:ascii="宋体" w:hAnsi="宋体" w:cs="Arial"/>
          <w:color w:val="auto"/>
          <w:highlight w:val="none"/>
          <w:u w:val="single"/>
        </w:rPr>
        <w:t>）：</w:t>
      </w:r>
    </w:p>
    <w:p>
      <w:pPr>
        <w:snapToGrid w:val="0"/>
        <w:spacing w:line="360" w:lineRule="auto"/>
        <w:rPr>
          <w:rFonts w:ascii="宋体" w:hAnsi="宋体" w:cs="Arial"/>
          <w:color w:val="auto"/>
          <w:highlight w:val="none"/>
          <w:u w:val="single"/>
        </w:rPr>
      </w:pPr>
    </w:p>
    <w:p>
      <w:pPr>
        <w:snapToGrid w:val="0"/>
        <w:spacing w:line="360" w:lineRule="auto"/>
        <w:rPr>
          <w:rFonts w:ascii="宋体" w:hAnsi="宋体" w:cs="Arial"/>
          <w:color w:val="auto"/>
          <w:highlight w:val="none"/>
          <w:u w:val="single"/>
        </w:rPr>
      </w:pPr>
      <w:r>
        <w:rPr>
          <w:rFonts w:hint="eastAsia" w:ascii="宋体" w:hAnsi="宋体" w:cs="Arial"/>
          <w:color w:val="auto"/>
          <w:highlight w:val="none"/>
        </w:rPr>
        <w:t>成员名称：</w:t>
      </w:r>
      <w:r>
        <w:rPr>
          <w:rFonts w:hint="eastAsia" w:ascii="宋体" w:hAnsi="宋体" w:cs="Arial"/>
          <w:color w:val="auto"/>
          <w:highlight w:val="none"/>
          <w:u w:val="single"/>
        </w:rPr>
        <w:t>（单位盖章）</w:t>
      </w:r>
    </w:p>
    <w:p>
      <w:pPr>
        <w:snapToGrid w:val="0"/>
        <w:spacing w:line="360" w:lineRule="auto"/>
        <w:rPr>
          <w:rFonts w:ascii="宋体" w:hAnsi="宋体" w:cs="Arial"/>
          <w:color w:val="auto"/>
          <w:highlight w:val="none"/>
          <w:u w:val="single"/>
        </w:rPr>
      </w:pPr>
      <w:r>
        <w:rPr>
          <w:rFonts w:hint="eastAsia" w:ascii="宋体" w:hAnsi="宋体" w:cs="Arial"/>
          <w:color w:val="auto"/>
          <w:highlight w:val="none"/>
        </w:rPr>
        <w:t>法定代表人或其委托代理人</w:t>
      </w:r>
      <w:r>
        <w:rPr>
          <w:rFonts w:hint="eastAsia" w:ascii="宋体" w:hAnsi="宋体" w:cs="Arial"/>
          <w:color w:val="auto"/>
          <w:highlight w:val="none"/>
          <w:u w:val="single"/>
        </w:rPr>
        <w:t>（</w:t>
      </w:r>
      <w:r>
        <w:rPr>
          <w:rFonts w:hint="eastAsia" w:hAnsi="宋体" w:cs="Courier New"/>
          <w:color w:val="auto"/>
          <w:highlight w:val="none"/>
          <w:u w:val="single"/>
        </w:rPr>
        <w:t>签字或盖章</w:t>
      </w:r>
      <w:r>
        <w:rPr>
          <w:rFonts w:hint="eastAsia" w:ascii="宋体" w:hAnsi="宋体" w:cs="Arial"/>
          <w:color w:val="auto"/>
          <w:highlight w:val="none"/>
          <w:u w:val="single"/>
        </w:rPr>
        <w:t>）：</w:t>
      </w:r>
    </w:p>
    <w:p>
      <w:pPr>
        <w:spacing w:line="360" w:lineRule="auto"/>
        <w:jc w:val="center"/>
        <w:rPr>
          <w:rFonts w:ascii="宋体" w:hAnsi="宋体"/>
          <w:color w:val="auto"/>
          <w:highlight w:val="none"/>
        </w:rPr>
      </w:pPr>
    </w:p>
    <w:p>
      <w:pPr>
        <w:spacing w:line="360" w:lineRule="auto"/>
        <w:jc w:val="right"/>
        <w:rPr>
          <w:rFonts w:ascii="宋体" w:hAnsi="宋体"/>
          <w:color w:val="auto"/>
          <w:highlight w:val="none"/>
        </w:rPr>
      </w:pPr>
      <w:r>
        <w:rPr>
          <w:rFonts w:hint="eastAsia" w:ascii="宋体" w:hAnsi="宋体"/>
          <w:color w:val="auto"/>
          <w:highlight w:val="none"/>
        </w:rPr>
        <w:t xml:space="preserve">年 </w:t>
      </w:r>
      <w:r>
        <w:rPr>
          <w:rFonts w:ascii="宋体" w:hAnsi="宋体"/>
          <w:color w:val="auto"/>
          <w:highlight w:val="none"/>
        </w:rPr>
        <w:t xml:space="preserve">     </w:t>
      </w:r>
      <w:r>
        <w:rPr>
          <w:rFonts w:hint="eastAsia" w:ascii="宋体" w:hAnsi="宋体"/>
          <w:color w:val="auto"/>
          <w:highlight w:val="none"/>
        </w:rPr>
        <w:t xml:space="preserve">月 </w:t>
      </w:r>
      <w:r>
        <w:rPr>
          <w:rFonts w:ascii="宋体" w:hAnsi="宋体"/>
          <w:color w:val="auto"/>
          <w:highlight w:val="none"/>
        </w:rPr>
        <w:t xml:space="preserve">     </w:t>
      </w:r>
      <w:r>
        <w:rPr>
          <w:rFonts w:hint="eastAsia" w:ascii="宋体" w:hAnsi="宋体"/>
          <w:color w:val="auto"/>
          <w:highlight w:val="none"/>
        </w:rPr>
        <w:t>日</w:t>
      </w:r>
    </w:p>
    <w:p>
      <w:pPr>
        <w:widowControl/>
        <w:rPr>
          <w:rFonts w:ascii="宋体" w:hAnsi="宋体"/>
          <w:color w:val="auto"/>
          <w:sz w:val="28"/>
          <w:szCs w:val="28"/>
          <w:highlight w:val="none"/>
        </w:rPr>
      </w:pPr>
      <w:r>
        <w:rPr>
          <w:rFonts w:ascii="Microsoft JhengHei" w:eastAsia="Microsoft JhengHei" w:cs="Microsoft JhengHei"/>
          <w:b/>
          <w:bCs/>
          <w:color w:val="auto"/>
          <w:highlight w:val="none"/>
        </w:rPr>
        <w:br w:type="page"/>
      </w:r>
    </w:p>
    <w:p>
      <w:pPr>
        <w:widowControl/>
        <w:rPr>
          <w:color w:val="auto"/>
          <w:highlight w:val="none"/>
        </w:rPr>
      </w:pPr>
    </w:p>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表</w:t>
      </w:r>
      <w:r>
        <w:rPr>
          <w:rFonts w:ascii="宋体" w:hAnsi="宋体" w:cs="宋体"/>
          <w:b/>
          <w:bCs/>
          <w:color w:val="auto"/>
          <w:sz w:val="28"/>
          <w:szCs w:val="28"/>
          <w:highlight w:val="none"/>
        </w:rPr>
        <w:t xml:space="preserve">1 </w:t>
      </w:r>
      <w:r>
        <w:rPr>
          <w:rFonts w:hint="eastAsia" w:ascii="宋体" w:hAnsi="宋体" w:cs="宋体"/>
          <w:b/>
          <w:bCs/>
          <w:color w:val="auto"/>
          <w:sz w:val="28"/>
          <w:szCs w:val="28"/>
          <w:highlight w:val="none"/>
        </w:rPr>
        <w:t>投标人基本情况表</w:t>
      </w:r>
    </w:p>
    <w:tbl>
      <w:tblPr>
        <w:tblStyle w:val="19"/>
        <w:tblpPr w:leftFromText="180" w:rightFromText="180" w:vertAnchor="text" w:horzAnchor="page" w:tblpX="1682" w:tblpY="2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993"/>
        <w:gridCol w:w="1134"/>
        <w:gridCol w:w="1275"/>
        <w:gridCol w:w="1389"/>
        <w:gridCol w:w="173"/>
        <w:gridCol w:w="1038"/>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843" w:type="dxa"/>
            <w:noWrap w:val="0"/>
            <w:vAlign w:val="center"/>
          </w:tcPr>
          <w:p>
            <w:pPr>
              <w:rPr>
                <w:rFonts w:hAnsi="宋体"/>
                <w:color w:val="auto"/>
                <w:highlight w:val="none"/>
              </w:rPr>
            </w:pPr>
            <w:r>
              <w:rPr>
                <w:rFonts w:hint="eastAsia" w:hAnsi="宋体"/>
                <w:color w:val="auto"/>
                <w:highlight w:val="none"/>
              </w:rPr>
              <w:t>投标人名称</w:t>
            </w:r>
          </w:p>
        </w:tc>
        <w:tc>
          <w:tcPr>
            <w:tcW w:w="6729" w:type="dxa"/>
            <w:gridSpan w:val="7"/>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843" w:type="dxa"/>
            <w:noWrap w:val="0"/>
            <w:vAlign w:val="center"/>
          </w:tcPr>
          <w:p>
            <w:pPr>
              <w:rPr>
                <w:rFonts w:hAnsi="宋体"/>
                <w:color w:val="auto"/>
                <w:highlight w:val="none"/>
              </w:rPr>
            </w:pPr>
            <w:r>
              <w:rPr>
                <w:rFonts w:hint="eastAsia" w:hAnsi="宋体"/>
                <w:color w:val="auto"/>
                <w:highlight w:val="none"/>
              </w:rPr>
              <w:t>注册地址</w:t>
            </w:r>
          </w:p>
        </w:tc>
        <w:tc>
          <w:tcPr>
            <w:tcW w:w="3402" w:type="dxa"/>
            <w:gridSpan w:val="3"/>
            <w:noWrap w:val="0"/>
            <w:vAlign w:val="center"/>
          </w:tcPr>
          <w:p>
            <w:pPr>
              <w:rPr>
                <w:rFonts w:hAnsi="宋体"/>
                <w:color w:val="auto"/>
                <w:highlight w:val="none"/>
              </w:rPr>
            </w:pPr>
          </w:p>
        </w:tc>
        <w:tc>
          <w:tcPr>
            <w:tcW w:w="1389" w:type="dxa"/>
            <w:noWrap w:val="0"/>
            <w:vAlign w:val="center"/>
          </w:tcPr>
          <w:p>
            <w:pPr>
              <w:rPr>
                <w:rFonts w:hAnsi="宋体"/>
                <w:color w:val="auto"/>
                <w:highlight w:val="none"/>
              </w:rPr>
            </w:pPr>
            <w:r>
              <w:rPr>
                <w:rFonts w:hint="eastAsia" w:hAnsi="宋体"/>
                <w:color w:val="auto"/>
                <w:highlight w:val="none"/>
              </w:rPr>
              <w:t>邮政编码</w:t>
            </w:r>
          </w:p>
        </w:tc>
        <w:tc>
          <w:tcPr>
            <w:tcW w:w="1938" w:type="dxa"/>
            <w:gridSpan w:val="3"/>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843" w:type="dxa"/>
            <w:vMerge w:val="restart"/>
            <w:noWrap w:val="0"/>
            <w:vAlign w:val="center"/>
          </w:tcPr>
          <w:p>
            <w:pPr>
              <w:rPr>
                <w:rFonts w:hAnsi="宋体"/>
                <w:color w:val="auto"/>
                <w:highlight w:val="none"/>
              </w:rPr>
            </w:pPr>
            <w:r>
              <w:rPr>
                <w:rFonts w:hint="eastAsia" w:hAnsi="宋体"/>
                <w:color w:val="auto"/>
                <w:highlight w:val="none"/>
              </w:rPr>
              <w:t>联系方式</w:t>
            </w:r>
          </w:p>
        </w:tc>
        <w:tc>
          <w:tcPr>
            <w:tcW w:w="993" w:type="dxa"/>
            <w:noWrap w:val="0"/>
            <w:vAlign w:val="center"/>
          </w:tcPr>
          <w:p>
            <w:pPr>
              <w:rPr>
                <w:rFonts w:hAnsi="宋体"/>
                <w:color w:val="auto"/>
                <w:highlight w:val="none"/>
              </w:rPr>
            </w:pPr>
            <w:r>
              <w:rPr>
                <w:rFonts w:hint="eastAsia" w:hAnsi="宋体"/>
                <w:color w:val="auto"/>
                <w:highlight w:val="none"/>
              </w:rPr>
              <w:t>联系人</w:t>
            </w:r>
          </w:p>
        </w:tc>
        <w:tc>
          <w:tcPr>
            <w:tcW w:w="2409" w:type="dxa"/>
            <w:gridSpan w:val="2"/>
            <w:noWrap w:val="0"/>
            <w:vAlign w:val="center"/>
          </w:tcPr>
          <w:p>
            <w:pPr>
              <w:rPr>
                <w:rFonts w:hAnsi="宋体"/>
                <w:color w:val="auto"/>
                <w:highlight w:val="none"/>
              </w:rPr>
            </w:pPr>
          </w:p>
        </w:tc>
        <w:tc>
          <w:tcPr>
            <w:tcW w:w="1389" w:type="dxa"/>
            <w:noWrap w:val="0"/>
            <w:vAlign w:val="center"/>
          </w:tcPr>
          <w:p>
            <w:pPr>
              <w:rPr>
                <w:rFonts w:hAnsi="宋体"/>
                <w:color w:val="auto"/>
                <w:highlight w:val="none"/>
              </w:rPr>
            </w:pPr>
            <w:r>
              <w:rPr>
                <w:rFonts w:hint="eastAsia" w:hAnsi="宋体"/>
                <w:color w:val="auto"/>
                <w:highlight w:val="none"/>
              </w:rPr>
              <w:t>电话</w:t>
            </w:r>
          </w:p>
        </w:tc>
        <w:tc>
          <w:tcPr>
            <w:tcW w:w="1938" w:type="dxa"/>
            <w:gridSpan w:val="3"/>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43" w:type="dxa"/>
            <w:vMerge w:val="continue"/>
            <w:noWrap w:val="0"/>
            <w:vAlign w:val="center"/>
          </w:tcPr>
          <w:p>
            <w:pPr>
              <w:rPr>
                <w:rFonts w:hAnsi="宋体"/>
                <w:color w:val="auto"/>
                <w:highlight w:val="none"/>
              </w:rPr>
            </w:pPr>
          </w:p>
        </w:tc>
        <w:tc>
          <w:tcPr>
            <w:tcW w:w="993" w:type="dxa"/>
            <w:noWrap w:val="0"/>
            <w:vAlign w:val="center"/>
          </w:tcPr>
          <w:p>
            <w:pPr>
              <w:rPr>
                <w:rFonts w:hAnsi="宋体"/>
                <w:color w:val="auto"/>
                <w:highlight w:val="none"/>
              </w:rPr>
            </w:pPr>
            <w:r>
              <w:rPr>
                <w:rFonts w:hint="eastAsia" w:hAnsi="宋体"/>
                <w:color w:val="auto"/>
                <w:highlight w:val="none"/>
              </w:rPr>
              <w:t>传真</w:t>
            </w:r>
          </w:p>
        </w:tc>
        <w:tc>
          <w:tcPr>
            <w:tcW w:w="2409" w:type="dxa"/>
            <w:gridSpan w:val="2"/>
            <w:noWrap w:val="0"/>
            <w:vAlign w:val="center"/>
          </w:tcPr>
          <w:p>
            <w:pPr>
              <w:rPr>
                <w:rFonts w:hAnsi="宋体"/>
                <w:color w:val="auto"/>
                <w:highlight w:val="none"/>
              </w:rPr>
            </w:pPr>
          </w:p>
        </w:tc>
        <w:tc>
          <w:tcPr>
            <w:tcW w:w="1389" w:type="dxa"/>
            <w:noWrap w:val="0"/>
            <w:vAlign w:val="center"/>
          </w:tcPr>
          <w:p>
            <w:pPr>
              <w:rPr>
                <w:rFonts w:hAnsi="宋体"/>
                <w:color w:val="auto"/>
                <w:highlight w:val="none"/>
              </w:rPr>
            </w:pPr>
            <w:r>
              <w:rPr>
                <w:rFonts w:hint="eastAsia" w:hAnsi="宋体"/>
                <w:color w:val="auto"/>
                <w:highlight w:val="none"/>
              </w:rPr>
              <w:t>网址</w:t>
            </w:r>
          </w:p>
        </w:tc>
        <w:tc>
          <w:tcPr>
            <w:tcW w:w="1938" w:type="dxa"/>
            <w:gridSpan w:val="3"/>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843" w:type="dxa"/>
            <w:noWrap w:val="0"/>
            <w:vAlign w:val="center"/>
          </w:tcPr>
          <w:p>
            <w:pPr>
              <w:rPr>
                <w:rFonts w:hAnsi="宋体"/>
                <w:color w:val="auto"/>
                <w:highlight w:val="none"/>
              </w:rPr>
            </w:pPr>
            <w:r>
              <w:rPr>
                <w:rFonts w:hint="eastAsia" w:hAnsi="宋体"/>
                <w:color w:val="auto"/>
                <w:highlight w:val="none"/>
              </w:rPr>
              <w:t>组织结构</w:t>
            </w:r>
          </w:p>
        </w:tc>
        <w:tc>
          <w:tcPr>
            <w:tcW w:w="6729" w:type="dxa"/>
            <w:gridSpan w:val="7"/>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843" w:type="dxa"/>
            <w:noWrap w:val="0"/>
            <w:vAlign w:val="center"/>
          </w:tcPr>
          <w:p>
            <w:pPr>
              <w:rPr>
                <w:rFonts w:hAnsi="宋体"/>
                <w:color w:val="auto"/>
                <w:highlight w:val="none"/>
              </w:rPr>
            </w:pPr>
            <w:r>
              <w:rPr>
                <w:rFonts w:hint="eastAsia" w:hAnsi="宋体"/>
                <w:color w:val="auto"/>
                <w:highlight w:val="none"/>
              </w:rPr>
              <w:t>法定代表人</w:t>
            </w:r>
          </w:p>
        </w:tc>
        <w:tc>
          <w:tcPr>
            <w:tcW w:w="993" w:type="dxa"/>
            <w:noWrap w:val="0"/>
            <w:vAlign w:val="center"/>
          </w:tcPr>
          <w:p>
            <w:pPr>
              <w:rPr>
                <w:rFonts w:hAnsi="宋体"/>
                <w:color w:val="auto"/>
                <w:highlight w:val="none"/>
              </w:rPr>
            </w:pPr>
            <w:r>
              <w:rPr>
                <w:rFonts w:hint="eastAsia" w:hAnsi="宋体"/>
                <w:color w:val="auto"/>
                <w:highlight w:val="none"/>
              </w:rPr>
              <w:t>姓名</w:t>
            </w:r>
          </w:p>
        </w:tc>
        <w:tc>
          <w:tcPr>
            <w:tcW w:w="1134" w:type="dxa"/>
            <w:noWrap w:val="0"/>
            <w:vAlign w:val="center"/>
          </w:tcPr>
          <w:p>
            <w:pPr>
              <w:rPr>
                <w:rFonts w:hAnsi="宋体"/>
                <w:color w:val="auto"/>
                <w:highlight w:val="none"/>
              </w:rPr>
            </w:pPr>
          </w:p>
        </w:tc>
        <w:tc>
          <w:tcPr>
            <w:tcW w:w="1275" w:type="dxa"/>
            <w:noWrap w:val="0"/>
            <w:vAlign w:val="center"/>
          </w:tcPr>
          <w:p>
            <w:pPr>
              <w:rPr>
                <w:rFonts w:hAnsi="宋体"/>
                <w:color w:val="auto"/>
                <w:highlight w:val="none"/>
              </w:rPr>
            </w:pPr>
            <w:r>
              <w:rPr>
                <w:rFonts w:hint="eastAsia" w:hAnsi="宋体"/>
                <w:color w:val="auto"/>
                <w:highlight w:val="none"/>
              </w:rPr>
              <w:t>技术职称</w:t>
            </w:r>
          </w:p>
        </w:tc>
        <w:tc>
          <w:tcPr>
            <w:tcW w:w="1562" w:type="dxa"/>
            <w:gridSpan w:val="2"/>
            <w:noWrap w:val="0"/>
            <w:vAlign w:val="center"/>
          </w:tcPr>
          <w:p>
            <w:pPr>
              <w:rPr>
                <w:rFonts w:hAnsi="宋体"/>
                <w:color w:val="auto"/>
                <w:highlight w:val="none"/>
              </w:rPr>
            </w:pPr>
          </w:p>
        </w:tc>
        <w:tc>
          <w:tcPr>
            <w:tcW w:w="1038" w:type="dxa"/>
            <w:noWrap w:val="0"/>
            <w:vAlign w:val="center"/>
          </w:tcPr>
          <w:p>
            <w:pPr>
              <w:rPr>
                <w:rFonts w:hAnsi="宋体"/>
                <w:color w:val="auto"/>
                <w:highlight w:val="none"/>
              </w:rPr>
            </w:pPr>
            <w:r>
              <w:rPr>
                <w:rFonts w:hint="eastAsia" w:hAnsi="宋体"/>
                <w:color w:val="auto"/>
                <w:highlight w:val="none"/>
              </w:rPr>
              <w:t>电话</w:t>
            </w:r>
          </w:p>
        </w:tc>
        <w:tc>
          <w:tcPr>
            <w:tcW w:w="727" w:type="dxa"/>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43" w:type="dxa"/>
            <w:noWrap w:val="0"/>
            <w:vAlign w:val="center"/>
          </w:tcPr>
          <w:p>
            <w:pPr>
              <w:rPr>
                <w:rFonts w:hAnsi="宋体"/>
                <w:color w:val="auto"/>
                <w:highlight w:val="none"/>
              </w:rPr>
            </w:pPr>
            <w:r>
              <w:rPr>
                <w:rFonts w:hint="eastAsia" w:hAnsi="宋体"/>
                <w:color w:val="auto"/>
                <w:highlight w:val="none"/>
              </w:rPr>
              <w:t>技术负责人</w:t>
            </w:r>
          </w:p>
        </w:tc>
        <w:tc>
          <w:tcPr>
            <w:tcW w:w="993" w:type="dxa"/>
            <w:noWrap w:val="0"/>
            <w:vAlign w:val="center"/>
          </w:tcPr>
          <w:p>
            <w:pPr>
              <w:rPr>
                <w:rFonts w:hAnsi="宋体"/>
                <w:color w:val="auto"/>
                <w:highlight w:val="none"/>
              </w:rPr>
            </w:pPr>
            <w:r>
              <w:rPr>
                <w:rFonts w:hint="eastAsia" w:hAnsi="宋体"/>
                <w:color w:val="auto"/>
                <w:highlight w:val="none"/>
              </w:rPr>
              <w:t>姓名</w:t>
            </w:r>
          </w:p>
        </w:tc>
        <w:tc>
          <w:tcPr>
            <w:tcW w:w="1134" w:type="dxa"/>
            <w:noWrap w:val="0"/>
            <w:vAlign w:val="center"/>
          </w:tcPr>
          <w:p>
            <w:pPr>
              <w:rPr>
                <w:rFonts w:hAnsi="宋体"/>
                <w:color w:val="auto"/>
                <w:highlight w:val="none"/>
              </w:rPr>
            </w:pPr>
          </w:p>
        </w:tc>
        <w:tc>
          <w:tcPr>
            <w:tcW w:w="1275" w:type="dxa"/>
            <w:noWrap w:val="0"/>
            <w:vAlign w:val="center"/>
          </w:tcPr>
          <w:p>
            <w:pPr>
              <w:rPr>
                <w:rFonts w:hAnsi="宋体"/>
                <w:color w:val="auto"/>
                <w:highlight w:val="none"/>
              </w:rPr>
            </w:pPr>
            <w:r>
              <w:rPr>
                <w:rFonts w:hint="eastAsia" w:hAnsi="宋体"/>
                <w:color w:val="auto"/>
                <w:highlight w:val="none"/>
              </w:rPr>
              <w:t>技术职称</w:t>
            </w:r>
          </w:p>
        </w:tc>
        <w:tc>
          <w:tcPr>
            <w:tcW w:w="1562" w:type="dxa"/>
            <w:gridSpan w:val="2"/>
            <w:noWrap w:val="0"/>
            <w:vAlign w:val="center"/>
          </w:tcPr>
          <w:p>
            <w:pPr>
              <w:rPr>
                <w:rFonts w:hAnsi="宋体"/>
                <w:color w:val="auto"/>
                <w:highlight w:val="none"/>
              </w:rPr>
            </w:pPr>
          </w:p>
        </w:tc>
        <w:tc>
          <w:tcPr>
            <w:tcW w:w="1038" w:type="dxa"/>
            <w:noWrap w:val="0"/>
            <w:vAlign w:val="center"/>
          </w:tcPr>
          <w:p>
            <w:pPr>
              <w:rPr>
                <w:rFonts w:hAnsi="宋体"/>
                <w:color w:val="auto"/>
                <w:highlight w:val="none"/>
              </w:rPr>
            </w:pPr>
            <w:r>
              <w:rPr>
                <w:rFonts w:hint="eastAsia" w:hAnsi="宋体"/>
                <w:color w:val="auto"/>
                <w:highlight w:val="none"/>
              </w:rPr>
              <w:t>电话</w:t>
            </w:r>
          </w:p>
        </w:tc>
        <w:tc>
          <w:tcPr>
            <w:tcW w:w="727" w:type="dxa"/>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843" w:type="dxa"/>
            <w:noWrap w:val="0"/>
            <w:vAlign w:val="center"/>
          </w:tcPr>
          <w:p>
            <w:pPr>
              <w:rPr>
                <w:rFonts w:hAnsi="宋体"/>
                <w:color w:val="auto"/>
                <w:highlight w:val="none"/>
              </w:rPr>
            </w:pPr>
            <w:r>
              <w:rPr>
                <w:rFonts w:hint="eastAsia" w:hAnsi="宋体"/>
                <w:color w:val="auto"/>
                <w:highlight w:val="none"/>
              </w:rPr>
              <w:t>成立时间</w:t>
            </w:r>
          </w:p>
        </w:tc>
        <w:tc>
          <w:tcPr>
            <w:tcW w:w="2127" w:type="dxa"/>
            <w:gridSpan w:val="2"/>
            <w:noWrap w:val="0"/>
            <w:vAlign w:val="center"/>
          </w:tcPr>
          <w:p>
            <w:pPr>
              <w:rPr>
                <w:rFonts w:hAnsi="宋体"/>
                <w:color w:val="auto"/>
                <w:highlight w:val="none"/>
              </w:rPr>
            </w:pPr>
          </w:p>
        </w:tc>
        <w:tc>
          <w:tcPr>
            <w:tcW w:w="4602" w:type="dxa"/>
            <w:gridSpan w:val="5"/>
            <w:noWrap w:val="0"/>
            <w:vAlign w:val="center"/>
          </w:tcPr>
          <w:p>
            <w:pPr>
              <w:rPr>
                <w:rFonts w:hAnsi="宋体"/>
                <w:color w:val="auto"/>
                <w:highlight w:val="none"/>
              </w:rPr>
            </w:pPr>
            <w:r>
              <w:rPr>
                <w:rFonts w:hint="eastAsia" w:hAnsi="宋体"/>
                <w:color w:val="auto"/>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843" w:type="dxa"/>
            <w:noWrap w:val="0"/>
            <w:vAlign w:val="center"/>
          </w:tcPr>
          <w:p>
            <w:pPr>
              <w:rPr>
                <w:rFonts w:hAnsi="宋体"/>
                <w:color w:val="auto"/>
                <w:highlight w:val="none"/>
              </w:rPr>
            </w:pPr>
            <w:r>
              <w:rPr>
                <w:rFonts w:hint="eastAsia" w:hAnsi="宋体"/>
                <w:color w:val="auto"/>
                <w:highlight w:val="none"/>
              </w:rPr>
              <w:t>企业资质等级</w:t>
            </w:r>
          </w:p>
        </w:tc>
        <w:tc>
          <w:tcPr>
            <w:tcW w:w="2127" w:type="dxa"/>
            <w:gridSpan w:val="2"/>
            <w:noWrap w:val="0"/>
            <w:vAlign w:val="center"/>
          </w:tcPr>
          <w:p>
            <w:pPr>
              <w:rPr>
                <w:rFonts w:hAnsi="宋体"/>
                <w:color w:val="auto"/>
                <w:highlight w:val="none"/>
              </w:rPr>
            </w:pPr>
          </w:p>
        </w:tc>
        <w:tc>
          <w:tcPr>
            <w:tcW w:w="1275" w:type="dxa"/>
            <w:vMerge w:val="restart"/>
            <w:noWrap w:val="0"/>
            <w:vAlign w:val="center"/>
          </w:tcPr>
          <w:p>
            <w:pPr>
              <w:rPr>
                <w:rFonts w:hAnsi="宋体"/>
                <w:color w:val="auto"/>
                <w:highlight w:val="none"/>
              </w:rPr>
            </w:pPr>
            <w:r>
              <w:rPr>
                <w:rFonts w:hint="eastAsia" w:hAnsi="宋体"/>
                <w:color w:val="auto"/>
                <w:highlight w:val="none"/>
              </w:rPr>
              <w:t>其中</w:t>
            </w:r>
          </w:p>
        </w:tc>
        <w:tc>
          <w:tcPr>
            <w:tcW w:w="1562" w:type="dxa"/>
            <w:gridSpan w:val="2"/>
            <w:noWrap w:val="0"/>
            <w:vAlign w:val="center"/>
          </w:tcPr>
          <w:p>
            <w:pPr>
              <w:rPr>
                <w:rFonts w:hAnsi="宋体"/>
                <w:color w:val="auto"/>
                <w:highlight w:val="none"/>
              </w:rPr>
            </w:pPr>
            <w:r>
              <w:rPr>
                <w:rFonts w:hint="eastAsia" w:hAnsi="宋体"/>
                <w:color w:val="auto"/>
                <w:highlight w:val="none"/>
              </w:rPr>
              <w:t>项目负责人</w:t>
            </w:r>
          </w:p>
        </w:tc>
        <w:tc>
          <w:tcPr>
            <w:tcW w:w="1765" w:type="dxa"/>
            <w:gridSpan w:val="2"/>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43" w:type="dxa"/>
            <w:noWrap w:val="0"/>
            <w:vAlign w:val="center"/>
          </w:tcPr>
          <w:p>
            <w:pPr>
              <w:rPr>
                <w:rFonts w:hAnsi="宋体"/>
                <w:color w:val="auto"/>
                <w:highlight w:val="none"/>
              </w:rPr>
            </w:pPr>
            <w:r>
              <w:rPr>
                <w:rFonts w:hint="eastAsia" w:hAnsi="宋体"/>
                <w:color w:val="auto"/>
                <w:highlight w:val="none"/>
              </w:rPr>
              <w:t>营业执照号</w:t>
            </w:r>
          </w:p>
        </w:tc>
        <w:tc>
          <w:tcPr>
            <w:tcW w:w="2127" w:type="dxa"/>
            <w:gridSpan w:val="2"/>
            <w:noWrap w:val="0"/>
            <w:vAlign w:val="center"/>
          </w:tcPr>
          <w:p>
            <w:pPr>
              <w:rPr>
                <w:rFonts w:hAnsi="宋体"/>
                <w:color w:val="auto"/>
                <w:highlight w:val="none"/>
              </w:rPr>
            </w:pPr>
          </w:p>
        </w:tc>
        <w:tc>
          <w:tcPr>
            <w:tcW w:w="1275" w:type="dxa"/>
            <w:vMerge w:val="continue"/>
            <w:noWrap w:val="0"/>
            <w:vAlign w:val="center"/>
          </w:tcPr>
          <w:p>
            <w:pPr>
              <w:rPr>
                <w:rFonts w:hAnsi="宋体"/>
                <w:color w:val="auto"/>
                <w:highlight w:val="none"/>
              </w:rPr>
            </w:pPr>
          </w:p>
        </w:tc>
        <w:tc>
          <w:tcPr>
            <w:tcW w:w="1562" w:type="dxa"/>
            <w:gridSpan w:val="2"/>
            <w:noWrap w:val="0"/>
            <w:vAlign w:val="center"/>
          </w:tcPr>
          <w:p>
            <w:pPr>
              <w:rPr>
                <w:rFonts w:hAnsi="宋体"/>
                <w:color w:val="auto"/>
                <w:highlight w:val="none"/>
              </w:rPr>
            </w:pPr>
            <w:r>
              <w:rPr>
                <w:rFonts w:hint="eastAsia" w:hAnsi="宋体"/>
                <w:color w:val="auto"/>
                <w:highlight w:val="none"/>
              </w:rPr>
              <w:t>高级职称人员</w:t>
            </w:r>
          </w:p>
        </w:tc>
        <w:tc>
          <w:tcPr>
            <w:tcW w:w="1765" w:type="dxa"/>
            <w:gridSpan w:val="2"/>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43" w:type="dxa"/>
            <w:noWrap w:val="0"/>
            <w:vAlign w:val="center"/>
          </w:tcPr>
          <w:p>
            <w:pPr>
              <w:rPr>
                <w:rFonts w:hAnsi="宋体"/>
                <w:color w:val="auto"/>
                <w:highlight w:val="none"/>
              </w:rPr>
            </w:pPr>
            <w:r>
              <w:rPr>
                <w:rFonts w:hint="eastAsia" w:hAnsi="宋体"/>
                <w:color w:val="auto"/>
                <w:highlight w:val="none"/>
              </w:rPr>
              <w:t>注册资金</w:t>
            </w:r>
          </w:p>
        </w:tc>
        <w:tc>
          <w:tcPr>
            <w:tcW w:w="2127" w:type="dxa"/>
            <w:gridSpan w:val="2"/>
            <w:noWrap w:val="0"/>
            <w:vAlign w:val="center"/>
          </w:tcPr>
          <w:p>
            <w:pPr>
              <w:rPr>
                <w:rFonts w:hAnsi="宋体"/>
                <w:color w:val="auto"/>
                <w:highlight w:val="none"/>
              </w:rPr>
            </w:pPr>
          </w:p>
        </w:tc>
        <w:tc>
          <w:tcPr>
            <w:tcW w:w="1275" w:type="dxa"/>
            <w:vMerge w:val="continue"/>
            <w:noWrap w:val="0"/>
            <w:vAlign w:val="center"/>
          </w:tcPr>
          <w:p>
            <w:pPr>
              <w:rPr>
                <w:rFonts w:hAnsi="宋体"/>
                <w:color w:val="auto"/>
                <w:highlight w:val="none"/>
              </w:rPr>
            </w:pPr>
          </w:p>
        </w:tc>
        <w:tc>
          <w:tcPr>
            <w:tcW w:w="1562" w:type="dxa"/>
            <w:gridSpan w:val="2"/>
            <w:noWrap w:val="0"/>
            <w:vAlign w:val="center"/>
          </w:tcPr>
          <w:p>
            <w:pPr>
              <w:rPr>
                <w:rFonts w:hAnsi="宋体"/>
                <w:color w:val="auto"/>
                <w:highlight w:val="none"/>
              </w:rPr>
            </w:pPr>
            <w:r>
              <w:rPr>
                <w:rFonts w:hint="eastAsia" w:hAnsi="宋体"/>
                <w:color w:val="auto"/>
                <w:highlight w:val="none"/>
              </w:rPr>
              <w:t>中级职称人员</w:t>
            </w:r>
          </w:p>
        </w:tc>
        <w:tc>
          <w:tcPr>
            <w:tcW w:w="1765" w:type="dxa"/>
            <w:gridSpan w:val="2"/>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43" w:type="dxa"/>
            <w:noWrap w:val="0"/>
            <w:vAlign w:val="center"/>
          </w:tcPr>
          <w:p>
            <w:pPr>
              <w:rPr>
                <w:rFonts w:hAnsi="宋体"/>
                <w:color w:val="auto"/>
                <w:highlight w:val="none"/>
              </w:rPr>
            </w:pPr>
            <w:r>
              <w:rPr>
                <w:rFonts w:hint="eastAsia" w:hAnsi="宋体"/>
                <w:color w:val="auto"/>
                <w:highlight w:val="none"/>
              </w:rPr>
              <w:t>开户银行</w:t>
            </w:r>
          </w:p>
        </w:tc>
        <w:tc>
          <w:tcPr>
            <w:tcW w:w="2127" w:type="dxa"/>
            <w:gridSpan w:val="2"/>
            <w:noWrap w:val="0"/>
            <w:vAlign w:val="center"/>
          </w:tcPr>
          <w:p>
            <w:pPr>
              <w:rPr>
                <w:rFonts w:hAnsi="宋体"/>
                <w:color w:val="auto"/>
                <w:highlight w:val="none"/>
              </w:rPr>
            </w:pPr>
          </w:p>
        </w:tc>
        <w:tc>
          <w:tcPr>
            <w:tcW w:w="1275" w:type="dxa"/>
            <w:vMerge w:val="continue"/>
            <w:noWrap w:val="0"/>
            <w:vAlign w:val="center"/>
          </w:tcPr>
          <w:p>
            <w:pPr>
              <w:rPr>
                <w:rFonts w:hAnsi="宋体"/>
                <w:color w:val="auto"/>
                <w:highlight w:val="none"/>
              </w:rPr>
            </w:pPr>
          </w:p>
        </w:tc>
        <w:tc>
          <w:tcPr>
            <w:tcW w:w="1562" w:type="dxa"/>
            <w:gridSpan w:val="2"/>
            <w:noWrap w:val="0"/>
            <w:vAlign w:val="center"/>
          </w:tcPr>
          <w:p>
            <w:pPr>
              <w:rPr>
                <w:rFonts w:hAnsi="宋体"/>
                <w:color w:val="auto"/>
                <w:highlight w:val="none"/>
              </w:rPr>
            </w:pPr>
            <w:r>
              <w:rPr>
                <w:rFonts w:hint="eastAsia" w:hAnsi="宋体"/>
                <w:color w:val="auto"/>
                <w:highlight w:val="none"/>
              </w:rPr>
              <w:t>初级职称人员</w:t>
            </w:r>
          </w:p>
        </w:tc>
        <w:tc>
          <w:tcPr>
            <w:tcW w:w="1765" w:type="dxa"/>
            <w:gridSpan w:val="2"/>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43" w:type="dxa"/>
            <w:noWrap w:val="0"/>
            <w:vAlign w:val="center"/>
          </w:tcPr>
          <w:p>
            <w:pPr>
              <w:rPr>
                <w:rFonts w:hAnsi="宋体"/>
                <w:color w:val="auto"/>
                <w:highlight w:val="none"/>
              </w:rPr>
            </w:pPr>
            <w:r>
              <w:rPr>
                <w:rFonts w:hint="eastAsia" w:hAnsi="宋体"/>
                <w:color w:val="auto"/>
                <w:highlight w:val="none"/>
              </w:rPr>
              <w:t>账号</w:t>
            </w:r>
          </w:p>
        </w:tc>
        <w:tc>
          <w:tcPr>
            <w:tcW w:w="2127" w:type="dxa"/>
            <w:gridSpan w:val="2"/>
            <w:noWrap w:val="0"/>
            <w:vAlign w:val="center"/>
          </w:tcPr>
          <w:p>
            <w:pPr>
              <w:rPr>
                <w:rFonts w:hAnsi="宋体"/>
                <w:color w:val="auto"/>
                <w:highlight w:val="none"/>
              </w:rPr>
            </w:pPr>
          </w:p>
        </w:tc>
        <w:tc>
          <w:tcPr>
            <w:tcW w:w="1275" w:type="dxa"/>
            <w:vMerge w:val="continue"/>
            <w:noWrap w:val="0"/>
            <w:vAlign w:val="center"/>
          </w:tcPr>
          <w:p>
            <w:pPr>
              <w:rPr>
                <w:rFonts w:hAnsi="宋体"/>
                <w:color w:val="auto"/>
                <w:highlight w:val="none"/>
              </w:rPr>
            </w:pPr>
          </w:p>
        </w:tc>
        <w:tc>
          <w:tcPr>
            <w:tcW w:w="1562" w:type="dxa"/>
            <w:gridSpan w:val="2"/>
            <w:noWrap w:val="0"/>
            <w:vAlign w:val="center"/>
          </w:tcPr>
          <w:p>
            <w:pPr>
              <w:rPr>
                <w:rFonts w:hAnsi="宋体"/>
                <w:color w:val="auto"/>
                <w:highlight w:val="none"/>
              </w:rPr>
            </w:pPr>
            <w:r>
              <w:rPr>
                <w:rFonts w:hint="eastAsia" w:hAnsi="宋体"/>
                <w:color w:val="auto"/>
                <w:highlight w:val="none"/>
              </w:rPr>
              <w:t>技工</w:t>
            </w:r>
          </w:p>
        </w:tc>
        <w:tc>
          <w:tcPr>
            <w:tcW w:w="1765" w:type="dxa"/>
            <w:gridSpan w:val="2"/>
            <w:noWrap w:val="0"/>
            <w:vAlign w:val="center"/>
          </w:tcPr>
          <w:p>
            <w:pP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843" w:type="dxa"/>
            <w:noWrap w:val="0"/>
            <w:vAlign w:val="center"/>
          </w:tcPr>
          <w:p>
            <w:pPr>
              <w:rPr>
                <w:rFonts w:hAnsi="宋体"/>
                <w:color w:val="auto"/>
                <w:highlight w:val="none"/>
              </w:rPr>
            </w:pPr>
            <w:r>
              <w:rPr>
                <w:rFonts w:hint="eastAsia" w:hAnsi="宋体"/>
                <w:color w:val="auto"/>
                <w:highlight w:val="none"/>
              </w:rPr>
              <w:t>经营范围备注</w:t>
            </w:r>
          </w:p>
        </w:tc>
        <w:tc>
          <w:tcPr>
            <w:tcW w:w="6729" w:type="dxa"/>
            <w:gridSpan w:val="7"/>
            <w:noWrap w:val="0"/>
            <w:vAlign w:val="center"/>
          </w:tcPr>
          <w:p>
            <w:pPr>
              <w:ind w:firstLine="480" w:firstLineChars="200"/>
              <w:rPr>
                <w:rFonts w:hAnsi="宋体"/>
                <w:color w:val="auto"/>
                <w:highlight w:val="none"/>
              </w:rPr>
            </w:pPr>
          </w:p>
        </w:tc>
      </w:tr>
    </w:tbl>
    <w:p>
      <w:pPr>
        <w:rPr>
          <w:color w:val="auto"/>
          <w:highlight w:val="none"/>
        </w:rPr>
      </w:pPr>
    </w:p>
    <w:p>
      <w:pPr>
        <w:rPr>
          <w:color w:val="auto"/>
          <w:highlight w:val="none"/>
        </w:rPr>
      </w:pPr>
      <w:r>
        <w:rPr>
          <w:rFonts w:hint="eastAsia"/>
          <w:color w:val="auto"/>
          <w:highlight w:val="none"/>
        </w:rPr>
        <w:t>附营业执照、资质证书、认证体系证书等相关打分资料。</w:t>
      </w:r>
    </w:p>
    <w:p>
      <w:pPr>
        <w:widowControl/>
        <w:rPr>
          <w:color w:val="auto"/>
          <w:highlight w:val="none"/>
        </w:rPr>
      </w:pPr>
      <w:r>
        <w:rPr>
          <w:color w:val="auto"/>
          <w:highlight w:val="none"/>
        </w:rPr>
        <w:br w:type="page"/>
      </w:r>
    </w:p>
    <w:p>
      <w:pPr>
        <w:widowControl/>
        <w:rPr>
          <w:color w:val="auto"/>
          <w:highlight w:val="none"/>
        </w:rPr>
      </w:pPr>
    </w:p>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表</w:t>
      </w:r>
      <w:r>
        <w:rPr>
          <w:rFonts w:ascii="宋体" w:hAnsi="宋体" w:cs="宋体"/>
          <w:b/>
          <w:bCs/>
          <w:color w:val="auto"/>
          <w:sz w:val="28"/>
          <w:szCs w:val="28"/>
          <w:highlight w:val="none"/>
        </w:rPr>
        <w:t xml:space="preserve">2 </w:t>
      </w:r>
      <w:r>
        <w:rPr>
          <w:rFonts w:hint="eastAsia" w:ascii="宋体" w:hAnsi="宋体" w:cs="宋体"/>
          <w:b/>
          <w:bCs/>
          <w:color w:val="auto"/>
          <w:sz w:val="28"/>
          <w:szCs w:val="28"/>
          <w:highlight w:val="none"/>
        </w:rPr>
        <w:t>近年财务状况表</w:t>
      </w:r>
    </w:p>
    <w:p>
      <w:pPr>
        <w:spacing w:line="360" w:lineRule="auto"/>
        <w:jc w:val="center"/>
        <w:rPr>
          <w:rFonts w:hint="eastAsia" w:ascii="宋体" w:hAnsi="宋体"/>
          <w:color w:val="auto"/>
          <w:highlight w:val="none"/>
        </w:rPr>
      </w:pPr>
      <w:r>
        <w:rPr>
          <w:rFonts w:hint="eastAsia" w:ascii="宋体" w:hAnsi="宋体"/>
          <w:color w:val="auto"/>
          <w:highlight w:val="none"/>
        </w:rPr>
        <w:t>（格式招标人自拟或者有投标人自拟）</w:t>
      </w:r>
    </w:p>
    <w:p>
      <w:pPr>
        <w:spacing w:line="360" w:lineRule="auto"/>
        <w:jc w:val="center"/>
        <w:rPr>
          <w:rFonts w:hint="eastAsia" w:ascii="宋体" w:hAnsi="宋体"/>
          <w:color w:val="auto"/>
          <w:highlight w:val="none"/>
        </w:rPr>
      </w:pPr>
    </w:p>
    <w:p>
      <w:pPr>
        <w:spacing w:line="360" w:lineRule="auto"/>
        <w:jc w:val="center"/>
        <w:rPr>
          <w:rFonts w:hint="eastAsia" w:ascii="宋体" w:hAnsi="宋体"/>
          <w:color w:val="auto"/>
          <w:highlight w:val="none"/>
        </w:rPr>
      </w:pPr>
    </w:p>
    <w:p>
      <w:pPr>
        <w:spacing w:line="360" w:lineRule="auto"/>
        <w:jc w:val="center"/>
        <w:rPr>
          <w:rFonts w:hint="eastAsia" w:ascii="宋体" w:hAnsi="宋体"/>
          <w:color w:val="auto"/>
          <w:highlight w:val="none"/>
        </w:rPr>
      </w:pPr>
    </w:p>
    <w:p>
      <w:pPr>
        <w:spacing w:line="360" w:lineRule="auto"/>
        <w:jc w:val="center"/>
        <w:rPr>
          <w:rFonts w:hint="eastAsia" w:ascii="宋体" w:hAnsi="宋体"/>
          <w:color w:val="auto"/>
          <w:highlight w:val="none"/>
        </w:rPr>
      </w:pPr>
    </w:p>
    <w:p>
      <w:pPr>
        <w:spacing w:line="360" w:lineRule="auto"/>
        <w:jc w:val="center"/>
        <w:rPr>
          <w:rFonts w:hint="eastAsia" w:ascii="宋体" w:hAnsi="宋体"/>
          <w:color w:val="auto"/>
          <w:highlight w:val="none"/>
        </w:rPr>
      </w:pPr>
    </w:p>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表</w:t>
      </w:r>
      <w:bookmarkStart w:id="290" w:name="_Hlk36562863"/>
      <w:r>
        <w:rPr>
          <w:rFonts w:hint="eastAsia" w:ascii="宋体" w:hAnsi="宋体" w:cs="宋体"/>
          <w:b/>
          <w:bCs/>
          <w:color w:val="auto"/>
          <w:sz w:val="28"/>
          <w:szCs w:val="28"/>
          <w:highlight w:val="none"/>
        </w:rPr>
        <w:t>3 业绩汇总表（评分业绩条件的汇总）</w:t>
      </w:r>
    </w:p>
    <w:bookmarkEnd w:id="290"/>
    <w:tbl>
      <w:tblPr>
        <w:tblStyle w:val="19"/>
        <w:tblW w:w="0" w:type="auto"/>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52"/>
        <w:gridCol w:w="1370"/>
        <w:gridCol w:w="1210"/>
        <w:gridCol w:w="1230"/>
        <w:gridCol w:w="1640"/>
        <w:gridCol w:w="1170"/>
        <w:gridCol w:w="126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900" w:hRule="atLeast"/>
        </w:trPr>
        <w:tc>
          <w:tcPr>
            <w:tcW w:w="652"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序号</w:t>
            </w:r>
          </w:p>
        </w:tc>
        <w:tc>
          <w:tcPr>
            <w:tcW w:w="137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该业绩证明对象</w:t>
            </w:r>
          </w:p>
        </w:tc>
        <w:tc>
          <w:tcPr>
            <w:tcW w:w="121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项目名称</w:t>
            </w:r>
          </w:p>
        </w:tc>
        <w:tc>
          <w:tcPr>
            <w:tcW w:w="123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建设单位</w:t>
            </w:r>
          </w:p>
          <w:p>
            <w:pPr>
              <w:kinsoku w:val="0"/>
              <w:overflowPunct w:val="0"/>
              <w:spacing w:line="320" w:lineRule="exact"/>
              <w:jc w:val="center"/>
              <w:rPr>
                <w:rFonts w:ascii="宋体" w:hAnsi="宋体"/>
                <w:color w:val="auto"/>
                <w:szCs w:val="21"/>
                <w:highlight w:val="none"/>
              </w:rPr>
            </w:pPr>
            <w:r>
              <w:rPr>
                <w:rFonts w:hint="eastAsia" w:ascii="宋体" w:hAnsi="宋体"/>
                <w:color w:val="auto"/>
                <w:spacing w:val="-20"/>
                <w:szCs w:val="21"/>
                <w:highlight w:val="none"/>
              </w:rPr>
              <w:t>（项目业主）</w:t>
            </w:r>
          </w:p>
        </w:tc>
        <w:tc>
          <w:tcPr>
            <w:tcW w:w="164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与评审有关的时间、规模、技术指标及其他要求</w:t>
            </w:r>
          </w:p>
        </w:tc>
        <w:tc>
          <w:tcPr>
            <w:tcW w:w="117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提交证明材料内容</w:t>
            </w:r>
          </w:p>
        </w:tc>
        <w:tc>
          <w:tcPr>
            <w:tcW w:w="126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在投标文件的位置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72" w:hRule="atLeast"/>
        </w:trPr>
        <w:tc>
          <w:tcPr>
            <w:tcW w:w="652"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1</w:t>
            </w:r>
          </w:p>
        </w:tc>
        <w:tc>
          <w:tcPr>
            <w:tcW w:w="137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例如：企业名称或项目负责人或技术负责人名字等</w:t>
            </w:r>
          </w:p>
        </w:tc>
        <w:tc>
          <w:tcPr>
            <w:tcW w:w="121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例如：XX工程等</w:t>
            </w:r>
          </w:p>
        </w:tc>
        <w:tc>
          <w:tcPr>
            <w:tcW w:w="123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例如：XX公司或指挥部等</w:t>
            </w:r>
          </w:p>
        </w:tc>
        <w:tc>
          <w:tcPr>
            <w:tcW w:w="164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例如：X年X月X日完成，长度或深度X米等</w:t>
            </w:r>
          </w:p>
        </w:tc>
        <w:tc>
          <w:tcPr>
            <w:tcW w:w="117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例如：施工合同或中标通知书等</w:t>
            </w:r>
          </w:p>
        </w:tc>
        <w:tc>
          <w:tcPr>
            <w:tcW w:w="126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例如：投标文件第X页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63" w:hRule="atLeast"/>
        </w:trPr>
        <w:tc>
          <w:tcPr>
            <w:tcW w:w="652"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2</w:t>
            </w:r>
          </w:p>
        </w:tc>
        <w:tc>
          <w:tcPr>
            <w:tcW w:w="1370" w:type="dxa"/>
            <w:noWrap w:val="0"/>
            <w:vAlign w:val="center"/>
          </w:tcPr>
          <w:p>
            <w:pPr>
              <w:kinsoku w:val="0"/>
              <w:overflowPunct w:val="0"/>
              <w:spacing w:line="320" w:lineRule="exact"/>
              <w:jc w:val="center"/>
              <w:rPr>
                <w:rFonts w:ascii="宋体" w:hAnsi="宋体"/>
                <w:color w:val="auto"/>
                <w:szCs w:val="21"/>
                <w:highlight w:val="none"/>
              </w:rPr>
            </w:pPr>
            <w:r>
              <w:rPr>
                <w:rFonts w:hint="eastAsia" w:ascii="宋体" w:hAnsi="宋体"/>
                <w:color w:val="auto"/>
                <w:szCs w:val="21"/>
                <w:highlight w:val="none"/>
              </w:rPr>
              <w:t>……</w:t>
            </w:r>
          </w:p>
        </w:tc>
        <w:tc>
          <w:tcPr>
            <w:tcW w:w="1210" w:type="dxa"/>
            <w:noWrap w:val="0"/>
            <w:vAlign w:val="center"/>
          </w:tcPr>
          <w:p>
            <w:pPr>
              <w:kinsoku w:val="0"/>
              <w:overflowPunct w:val="0"/>
              <w:spacing w:line="320" w:lineRule="exact"/>
              <w:jc w:val="center"/>
              <w:rPr>
                <w:rFonts w:ascii="宋体" w:hAnsi="宋体"/>
                <w:color w:val="auto"/>
                <w:szCs w:val="21"/>
                <w:highlight w:val="none"/>
              </w:rPr>
            </w:pPr>
          </w:p>
        </w:tc>
        <w:tc>
          <w:tcPr>
            <w:tcW w:w="1230" w:type="dxa"/>
            <w:noWrap w:val="0"/>
            <w:vAlign w:val="center"/>
          </w:tcPr>
          <w:p>
            <w:pPr>
              <w:kinsoku w:val="0"/>
              <w:overflowPunct w:val="0"/>
              <w:spacing w:line="320" w:lineRule="exact"/>
              <w:jc w:val="center"/>
              <w:rPr>
                <w:rFonts w:ascii="宋体" w:hAnsi="宋体"/>
                <w:color w:val="auto"/>
                <w:szCs w:val="21"/>
                <w:highlight w:val="none"/>
              </w:rPr>
            </w:pPr>
          </w:p>
        </w:tc>
        <w:tc>
          <w:tcPr>
            <w:tcW w:w="1640" w:type="dxa"/>
            <w:noWrap w:val="0"/>
            <w:vAlign w:val="center"/>
          </w:tcPr>
          <w:p>
            <w:pPr>
              <w:kinsoku w:val="0"/>
              <w:overflowPunct w:val="0"/>
              <w:spacing w:line="320" w:lineRule="exact"/>
              <w:jc w:val="center"/>
              <w:rPr>
                <w:rFonts w:ascii="宋体" w:hAnsi="宋体"/>
                <w:color w:val="auto"/>
                <w:szCs w:val="21"/>
                <w:highlight w:val="none"/>
              </w:rPr>
            </w:pPr>
          </w:p>
        </w:tc>
        <w:tc>
          <w:tcPr>
            <w:tcW w:w="1170" w:type="dxa"/>
            <w:noWrap w:val="0"/>
            <w:vAlign w:val="center"/>
          </w:tcPr>
          <w:p>
            <w:pPr>
              <w:kinsoku w:val="0"/>
              <w:overflowPunct w:val="0"/>
              <w:spacing w:line="320" w:lineRule="exact"/>
              <w:jc w:val="center"/>
              <w:rPr>
                <w:rFonts w:ascii="宋体" w:hAnsi="宋体"/>
                <w:color w:val="auto"/>
                <w:szCs w:val="21"/>
                <w:highlight w:val="none"/>
              </w:rPr>
            </w:pPr>
          </w:p>
        </w:tc>
        <w:tc>
          <w:tcPr>
            <w:tcW w:w="1260" w:type="dxa"/>
            <w:noWrap w:val="0"/>
            <w:vAlign w:val="center"/>
          </w:tcPr>
          <w:p>
            <w:pPr>
              <w:spacing w:line="320" w:lineRule="exact"/>
              <w:jc w:val="center"/>
              <w:rPr>
                <w:rFonts w:ascii="宋体" w:hAnsi="宋体"/>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52" w:type="dxa"/>
            <w:noWrap w:val="0"/>
            <w:vAlign w:val="center"/>
          </w:tcPr>
          <w:p>
            <w:pPr>
              <w:spacing w:line="320" w:lineRule="exact"/>
              <w:jc w:val="center"/>
              <w:rPr>
                <w:rFonts w:ascii="宋体" w:hAnsi="宋体"/>
                <w:color w:val="auto"/>
                <w:sz w:val="21"/>
                <w:szCs w:val="21"/>
                <w:highlight w:val="none"/>
              </w:rPr>
            </w:pPr>
          </w:p>
        </w:tc>
        <w:tc>
          <w:tcPr>
            <w:tcW w:w="1370" w:type="dxa"/>
            <w:noWrap w:val="0"/>
            <w:vAlign w:val="center"/>
          </w:tcPr>
          <w:p>
            <w:pPr>
              <w:kinsoku w:val="0"/>
              <w:overflowPunct w:val="0"/>
              <w:spacing w:line="320" w:lineRule="exact"/>
              <w:jc w:val="center"/>
              <w:rPr>
                <w:rFonts w:ascii="宋体" w:hAnsi="宋体"/>
                <w:color w:val="auto"/>
                <w:sz w:val="21"/>
                <w:szCs w:val="21"/>
                <w:highlight w:val="none"/>
              </w:rPr>
            </w:pPr>
          </w:p>
        </w:tc>
        <w:tc>
          <w:tcPr>
            <w:tcW w:w="1210" w:type="dxa"/>
            <w:noWrap w:val="0"/>
            <w:vAlign w:val="center"/>
          </w:tcPr>
          <w:p>
            <w:pPr>
              <w:kinsoku w:val="0"/>
              <w:overflowPunct w:val="0"/>
              <w:spacing w:line="320" w:lineRule="exact"/>
              <w:jc w:val="center"/>
              <w:rPr>
                <w:rFonts w:ascii="宋体" w:hAnsi="宋体"/>
                <w:color w:val="auto"/>
                <w:sz w:val="21"/>
                <w:szCs w:val="21"/>
                <w:highlight w:val="none"/>
              </w:rPr>
            </w:pPr>
          </w:p>
        </w:tc>
        <w:tc>
          <w:tcPr>
            <w:tcW w:w="1230" w:type="dxa"/>
            <w:noWrap w:val="0"/>
            <w:vAlign w:val="center"/>
          </w:tcPr>
          <w:p>
            <w:pPr>
              <w:spacing w:line="320" w:lineRule="exact"/>
              <w:jc w:val="center"/>
              <w:rPr>
                <w:rFonts w:ascii="宋体" w:hAnsi="宋体"/>
                <w:color w:val="auto"/>
                <w:sz w:val="21"/>
                <w:szCs w:val="21"/>
                <w:highlight w:val="none"/>
              </w:rPr>
            </w:pPr>
          </w:p>
        </w:tc>
        <w:tc>
          <w:tcPr>
            <w:tcW w:w="1640" w:type="dxa"/>
            <w:noWrap w:val="0"/>
            <w:vAlign w:val="center"/>
          </w:tcPr>
          <w:p>
            <w:pPr>
              <w:spacing w:line="320" w:lineRule="exact"/>
              <w:jc w:val="center"/>
              <w:rPr>
                <w:rFonts w:ascii="宋体" w:hAnsi="宋体"/>
                <w:color w:val="auto"/>
                <w:sz w:val="21"/>
                <w:szCs w:val="21"/>
                <w:highlight w:val="none"/>
              </w:rPr>
            </w:pPr>
          </w:p>
        </w:tc>
        <w:tc>
          <w:tcPr>
            <w:tcW w:w="1170" w:type="dxa"/>
            <w:noWrap w:val="0"/>
            <w:vAlign w:val="center"/>
          </w:tcPr>
          <w:p>
            <w:pPr>
              <w:spacing w:line="320" w:lineRule="exact"/>
              <w:jc w:val="center"/>
              <w:rPr>
                <w:rFonts w:ascii="宋体" w:hAnsi="宋体"/>
                <w:color w:val="auto"/>
                <w:sz w:val="21"/>
                <w:szCs w:val="21"/>
                <w:highlight w:val="none"/>
              </w:rPr>
            </w:pPr>
          </w:p>
        </w:tc>
        <w:tc>
          <w:tcPr>
            <w:tcW w:w="1260" w:type="dxa"/>
            <w:noWrap w:val="0"/>
            <w:vAlign w:val="center"/>
          </w:tcPr>
          <w:p>
            <w:pPr>
              <w:spacing w:line="320" w:lineRule="exact"/>
              <w:jc w:val="center"/>
              <w:rPr>
                <w:rFonts w:ascii="宋体" w:hAnsi="宋体"/>
                <w:color w:val="auto"/>
                <w:sz w:val="21"/>
                <w:szCs w:val="21"/>
                <w:highlight w:val="none"/>
              </w:rPr>
            </w:pPr>
          </w:p>
        </w:tc>
      </w:tr>
    </w:tbl>
    <w:p>
      <w:pPr>
        <w:tabs>
          <w:tab w:val="left" w:pos="567"/>
          <w:tab w:val="left" w:pos="1146"/>
        </w:tabs>
        <w:spacing w:after="490" w:afterLines="150"/>
        <w:ind w:left="1146" w:hanging="1347"/>
        <w:rPr>
          <w:color w:val="auto"/>
          <w:sz w:val="21"/>
          <w:szCs w:val="21"/>
          <w:highlight w:val="none"/>
        </w:rPr>
      </w:pPr>
      <w:r>
        <w:rPr>
          <w:rFonts w:hint="eastAsia" w:hAnsi="宋体"/>
          <w:color w:val="auto"/>
          <w:sz w:val="21"/>
          <w:szCs w:val="21"/>
          <w:highlight w:val="none"/>
        </w:rPr>
        <w:t xml:space="preserve">  注：不录入此表的不作为评审依据。</w:t>
      </w:r>
    </w:p>
    <w:p>
      <w:pPr>
        <w:tabs>
          <w:tab w:val="left" w:pos="567"/>
          <w:tab w:val="left" w:pos="1146"/>
        </w:tabs>
        <w:jc w:val="center"/>
        <w:rPr>
          <w:rFonts w:hint="eastAsia" w:hAnsi="宋体" w:cs="宋体"/>
          <w:b/>
          <w:bCs/>
          <w:color w:val="auto"/>
          <w:sz w:val="36"/>
          <w:szCs w:val="36"/>
          <w:highlight w:val="none"/>
        </w:rPr>
      </w:pPr>
      <w:r>
        <w:rPr>
          <w:color w:val="auto"/>
          <w:highlight w:val="none"/>
        </w:rPr>
        <w:br w:type="page"/>
      </w:r>
      <w:r>
        <w:rPr>
          <w:rFonts w:hint="eastAsia" w:hAnsi="宋体" w:cs="宋体"/>
          <w:b/>
          <w:bCs/>
          <w:color w:val="auto"/>
          <w:sz w:val="36"/>
          <w:szCs w:val="36"/>
          <w:highlight w:val="none"/>
        </w:rPr>
        <w:t>项目管理班子配备情况表</w:t>
      </w:r>
    </w:p>
    <w:p>
      <w:pPr>
        <w:spacing w:line="360" w:lineRule="auto"/>
        <w:ind w:firstLine="717" w:firstLineChars="299"/>
        <w:rPr>
          <w:rFonts w:hAnsi="宋体" w:cs="宋体"/>
          <w:color w:val="auto"/>
          <w:szCs w:val="28"/>
          <w:highlight w:val="none"/>
        </w:rPr>
      </w:pPr>
      <w:r>
        <w:rPr>
          <w:rFonts w:hint="eastAsia" w:hAnsi="宋体" w:cs="宋体"/>
          <w:color w:val="auto"/>
          <w:szCs w:val="28"/>
          <w:highlight w:val="none"/>
        </w:rPr>
        <w:t>工程名称：</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20"/>
        <w:gridCol w:w="720"/>
        <w:gridCol w:w="888"/>
        <w:gridCol w:w="739"/>
        <w:gridCol w:w="760"/>
        <w:gridCol w:w="760"/>
        <w:gridCol w:w="1120"/>
        <w:gridCol w:w="98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restart"/>
            <w:noWrap w:val="0"/>
            <w:vAlign w:val="center"/>
          </w:tcPr>
          <w:p>
            <w:pPr>
              <w:jc w:val="center"/>
              <w:rPr>
                <w:rFonts w:hAnsi="宋体" w:cs="宋体"/>
                <w:color w:val="auto"/>
                <w:szCs w:val="28"/>
                <w:highlight w:val="none"/>
              </w:rPr>
            </w:pPr>
            <w:r>
              <w:rPr>
                <w:rFonts w:hint="eastAsia" w:hAnsi="宋体" w:cs="宋体"/>
                <w:color w:val="auto"/>
                <w:szCs w:val="28"/>
                <w:highlight w:val="none"/>
              </w:rPr>
              <w:t>职务</w:t>
            </w:r>
          </w:p>
        </w:tc>
        <w:tc>
          <w:tcPr>
            <w:tcW w:w="720" w:type="dxa"/>
            <w:vMerge w:val="restart"/>
            <w:noWrap w:val="0"/>
            <w:vAlign w:val="center"/>
          </w:tcPr>
          <w:p>
            <w:pPr>
              <w:jc w:val="center"/>
              <w:rPr>
                <w:rFonts w:hAnsi="宋体" w:cs="宋体"/>
                <w:color w:val="auto"/>
                <w:szCs w:val="28"/>
                <w:highlight w:val="none"/>
              </w:rPr>
            </w:pPr>
            <w:r>
              <w:rPr>
                <w:rFonts w:hint="eastAsia" w:hAnsi="宋体" w:cs="宋体"/>
                <w:color w:val="auto"/>
                <w:szCs w:val="28"/>
                <w:highlight w:val="none"/>
              </w:rPr>
              <w:t>姓名</w:t>
            </w:r>
          </w:p>
        </w:tc>
        <w:tc>
          <w:tcPr>
            <w:tcW w:w="720" w:type="dxa"/>
            <w:vMerge w:val="restart"/>
            <w:noWrap w:val="0"/>
            <w:vAlign w:val="center"/>
          </w:tcPr>
          <w:p>
            <w:pPr>
              <w:jc w:val="center"/>
              <w:rPr>
                <w:rFonts w:hAnsi="宋体" w:cs="宋体"/>
                <w:color w:val="auto"/>
                <w:szCs w:val="28"/>
                <w:highlight w:val="none"/>
              </w:rPr>
            </w:pPr>
            <w:r>
              <w:rPr>
                <w:rFonts w:hint="eastAsia" w:hAnsi="宋体" w:cs="宋体"/>
                <w:color w:val="auto"/>
                <w:szCs w:val="28"/>
                <w:highlight w:val="none"/>
              </w:rPr>
              <w:t>职称</w:t>
            </w:r>
          </w:p>
        </w:tc>
        <w:tc>
          <w:tcPr>
            <w:tcW w:w="4267" w:type="dxa"/>
            <w:gridSpan w:val="5"/>
            <w:noWrap w:val="0"/>
            <w:vAlign w:val="center"/>
          </w:tcPr>
          <w:p>
            <w:pPr>
              <w:jc w:val="center"/>
              <w:rPr>
                <w:rFonts w:hAnsi="宋体" w:cs="宋体"/>
                <w:color w:val="auto"/>
                <w:szCs w:val="28"/>
                <w:highlight w:val="none"/>
              </w:rPr>
            </w:pPr>
            <w:r>
              <w:rPr>
                <w:rFonts w:hint="eastAsia" w:hAnsi="宋体" w:cs="宋体"/>
                <w:color w:val="auto"/>
                <w:szCs w:val="28"/>
                <w:highlight w:val="none"/>
              </w:rPr>
              <w:t>上岗资格证明</w:t>
            </w:r>
          </w:p>
        </w:tc>
        <w:tc>
          <w:tcPr>
            <w:tcW w:w="2050" w:type="dxa"/>
            <w:gridSpan w:val="2"/>
            <w:noWrap w:val="0"/>
            <w:vAlign w:val="center"/>
          </w:tcPr>
          <w:p>
            <w:pPr>
              <w:jc w:val="center"/>
              <w:rPr>
                <w:rFonts w:hAnsi="宋体" w:cs="宋体"/>
                <w:color w:val="auto"/>
                <w:szCs w:val="28"/>
                <w:highlight w:val="none"/>
              </w:rPr>
            </w:pPr>
            <w:r>
              <w:rPr>
                <w:rFonts w:hint="eastAsia" w:hAnsi="宋体" w:cs="宋体"/>
                <w:color w:val="auto"/>
                <w:szCs w:val="28"/>
                <w:highlight w:val="none"/>
              </w:rPr>
              <w:t>已承担在建工程情况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continue"/>
            <w:noWrap w:val="0"/>
            <w:vAlign w:val="top"/>
          </w:tcPr>
          <w:p>
            <w:pPr>
              <w:spacing w:line="360" w:lineRule="auto"/>
              <w:rPr>
                <w:rFonts w:hAnsi="宋体" w:cs="宋体"/>
                <w:color w:val="auto"/>
                <w:szCs w:val="28"/>
                <w:highlight w:val="none"/>
              </w:rPr>
            </w:pPr>
          </w:p>
        </w:tc>
        <w:tc>
          <w:tcPr>
            <w:tcW w:w="720" w:type="dxa"/>
            <w:vMerge w:val="continue"/>
            <w:tcBorders>
              <w:bottom w:val="single" w:color="auto" w:sz="4" w:space="0"/>
            </w:tcBorders>
            <w:noWrap w:val="0"/>
            <w:vAlign w:val="top"/>
          </w:tcPr>
          <w:p>
            <w:pPr>
              <w:spacing w:line="360" w:lineRule="auto"/>
              <w:rPr>
                <w:rFonts w:hAnsi="宋体" w:cs="宋体"/>
                <w:color w:val="auto"/>
                <w:szCs w:val="28"/>
                <w:highlight w:val="none"/>
              </w:rPr>
            </w:pPr>
          </w:p>
        </w:tc>
        <w:tc>
          <w:tcPr>
            <w:tcW w:w="720" w:type="dxa"/>
            <w:vMerge w:val="continue"/>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r>
              <w:rPr>
                <w:rFonts w:hint="eastAsia" w:hAnsi="宋体" w:cs="宋体"/>
                <w:color w:val="auto"/>
                <w:szCs w:val="28"/>
                <w:highlight w:val="none"/>
              </w:rPr>
              <w:t>证书</w:t>
            </w:r>
          </w:p>
          <w:p>
            <w:pPr>
              <w:jc w:val="center"/>
              <w:rPr>
                <w:rFonts w:hAnsi="宋体" w:cs="宋体"/>
                <w:color w:val="auto"/>
                <w:szCs w:val="28"/>
                <w:highlight w:val="none"/>
              </w:rPr>
            </w:pPr>
            <w:r>
              <w:rPr>
                <w:rFonts w:hint="eastAsia" w:hAnsi="宋体" w:cs="宋体"/>
                <w:color w:val="auto"/>
                <w:szCs w:val="28"/>
                <w:highlight w:val="none"/>
              </w:rPr>
              <w:t>名称</w:t>
            </w:r>
          </w:p>
        </w:tc>
        <w:tc>
          <w:tcPr>
            <w:tcW w:w="739" w:type="dxa"/>
            <w:noWrap w:val="0"/>
            <w:vAlign w:val="center"/>
          </w:tcPr>
          <w:p>
            <w:pPr>
              <w:jc w:val="center"/>
              <w:rPr>
                <w:rFonts w:hAnsi="宋体" w:cs="宋体"/>
                <w:color w:val="auto"/>
                <w:szCs w:val="28"/>
                <w:highlight w:val="none"/>
              </w:rPr>
            </w:pPr>
            <w:r>
              <w:rPr>
                <w:rFonts w:hint="eastAsia" w:hAnsi="宋体" w:cs="宋体"/>
                <w:color w:val="auto"/>
                <w:szCs w:val="28"/>
                <w:highlight w:val="none"/>
              </w:rPr>
              <w:t>级别</w:t>
            </w:r>
          </w:p>
        </w:tc>
        <w:tc>
          <w:tcPr>
            <w:tcW w:w="760" w:type="dxa"/>
            <w:tcBorders>
              <w:bottom w:val="single" w:color="auto" w:sz="4" w:space="0"/>
            </w:tcBorders>
            <w:noWrap w:val="0"/>
            <w:vAlign w:val="center"/>
          </w:tcPr>
          <w:p>
            <w:pPr>
              <w:jc w:val="center"/>
              <w:rPr>
                <w:rFonts w:hAnsi="宋体" w:cs="宋体"/>
                <w:color w:val="auto"/>
                <w:szCs w:val="28"/>
                <w:highlight w:val="none"/>
              </w:rPr>
            </w:pPr>
            <w:r>
              <w:rPr>
                <w:rFonts w:hint="eastAsia" w:hAnsi="宋体" w:cs="宋体"/>
                <w:color w:val="auto"/>
                <w:szCs w:val="28"/>
                <w:highlight w:val="none"/>
              </w:rPr>
              <w:t>证号</w:t>
            </w:r>
          </w:p>
        </w:tc>
        <w:tc>
          <w:tcPr>
            <w:tcW w:w="760" w:type="dxa"/>
            <w:noWrap w:val="0"/>
            <w:vAlign w:val="center"/>
          </w:tcPr>
          <w:p>
            <w:pPr>
              <w:jc w:val="center"/>
              <w:rPr>
                <w:rFonts w:hAnsi="宋体" w:cs="宋体"/>
                <w:color w:val="auto"/>
                <w:szCs w:val="28"/>
                <w:highlight w:val="none"/>
              </w:rPr>
            </w:pPr>
            <w:r>
              <w:rPr>
                <w:rFonts w:hint="eastAsia" w:hAnsi="宋体" w:cs="宋体"/>
                <w:color w:val="auto"/>
                <w:szCs w:val="28"/>
                <w:highlight w:val="none"/>
              </w:rPr>
              <w:t>专业</w:t>
            </w:r>
          </w:p>
        </w:tc>
        <w:tc>
          <w:tcPr>
            <w:tcW w:w="1120" w:type="dxa"/>
            <w:tcBorders>
              <w:bottom w:val="single" w:color="auto" w:sz="4" w:space="0"/>
            </w:tcBorders>
            <w:noWrap w:val="0"/>
            <w:vAlign w:val="center"/>
          </w:tcPr>
          <w:p>
            <w:pPr>
              <w:jc w:val="center"/>
              <w:rPr>
                <w:rFonts w:hAnsi="宋体" w:cs="宋体"/>
                <w:color w:val="auto"/>
                <w:szCs w:val="28"/>
                <w:highlight w:val="none"/>
              </w:rPr>
            </w:pPr>
            <w:r>
              <w:rPr>
                <w:rFonts w:hint="eastAsia" w:hAnsi="宋体" w:cs="宋体"/>
                <w:color w:val="auto"/>
                <w:szCs w:val="28"/>
                <w:highlight w:val="none"/>
              </w:rPr>
              <w:t>原服务单位</w:t>
            </w:r>
          </w:p>
        </w:tc>
        <w:tc>
          <w:tcPr>
            <w:tcW w:w="980" w:type="dxa"/>
            <w:tcBorders>
              <w:bottom w:val="single" w:color="auto" w:sz="4" w:space="0"/>
            </w:tcBorders>
            <w:noWrap w:val="0"/>
            <w:vAlign w:val="center"/>
          </w:tcPr>
          <w:p>
            <w:pPr>
              <w:jc w:val="center"/>
              <w:rPr>
                <w:rFonts w:hAnsi="宋体" w:cs="宋体"/>
                <w:color w:val="auto"/>
                <w:szCs w:val="28"/>
                <w:highlight w:val="none"/>
              </w:rPr>
            </w:pPr>
            <w:r>
              <w:rPr>
                <w:rFonts w:hint="eastAsia" w:hAnsi="宋体" w:cs="宋体"/>
                <w:color w:val="auto"/>
                <w:szCs w:val="28"/>
                <w:highlight w:val="none"/>
              </w:rPr>
              <w:t>项目数</w:t>
            </w:r>
          </w:p>
        </w:tc>
        <w:tc>
          <w:tcPr>
            <w:tcW w:w="1070" w:type="dxa"/>
            <w:tcBorders>
              <w:bottom w:val="single" w:color="auto" w:sz="4" w:space="0"/>
            </w:tcBorders>
            <w:noWrap w:val="0"/>
            <w:vAlign w:val="center"/>
          </w:tcPr>
          <w:p>
            <w:pPr>
              <w:jc w:val="center"/>
              <w:rPr>
                <w:rFonts w:hAnsi="宋体" w:cs="宋体"/>
                <w:color w:val="auto"/>
                <w:szCs w:val="28"/>
                <w:highlight w:val="none"/>
              </w:rPr>
            </w:pPr>
            <w:r>
              <w:rPr>
                <w:rFonts w:hint="eastAsia" w:hAnsi="宋体" w:cs="宋体"/>
                <w:color w:val="auto"/>
                <w:szCs w:val="28"/>
                <w:highlight w:val="none"/>
              </w:rPr>
              <w:t>主要项目名称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noWrap w:val="0"/>
            <w:vAlign w:val="top"/>
          </w:tcPr>
          <w:p>
            <w:pPr>
              <w:spacing w:line="360" w:lineRule="auto"/>
              <w:rPr>
                <w:rFonts w:hAnsi="宋体" w:cs="宋体"/>
                <w:color w:val="auto"/>
                <w:szCs w:val="28"/>
                <w:highlight w:val="none"/>
              </w:rPr>
            </w:pPr>
          </w:p>
        </w:tc>
        <w:tc>
          <w:tcPr>
            <w:tcW w:w="720" w:type="dxa"/>
            <w:tcBorders>
              <w:bottom w:val="single" w:color="auto" w:sz="4" w:space="0"/>
            </w:tcBorders>
            <w:noWrap w:val="0"/>
            <w:vAlign w:val="top"/>
          </w:tcPr>
          <w:p>
            <w:pPr>
              <w:spacing w:line="360" w:lineRule="auto"/>
              <w:rPr>
                <w:rFonts w:hAnsi="宋体" w:cs="宋体"/>
                <w:color w:val="auto"/>
                <w:szCs w:val="28"/>
                <w:highlight w:val="none"/>
              </w:rPr>
            </w:pPr>
          </w:p>
        </w:tc>
        <w:tc>
          <w:tcPr>
            <w:tcW w:w="720" w:type="dxa"/>
            <w:noWrap w:val="0"/>
            <w:vAlign w:val="top"/>
          </w:tcPr>
          <w:p>
            <w:pPr>
              <w:spacing w:line="360" w:lineRule="auto"/>
              <w:rPr>
                <w:rFonts w:hAnsi="宋体" w:cs="宋体"/>
                <w:color w:val="auto"/>
                <w:szCs w:val="28"/>
                <w:highlight w:val="none"/>
              </w:rPr>
            </w:pPr>
          </w:p>
        </w:tc>
        <w:tc>
          <w:tcPr>
            <w:tcW w:w="888" w:type="dxa"/>
            <w:noWrap w:val="0"/>
            <w:vAlign w:val="center"/>
          </w:tcPr>
          <w:p>
            <w:pPr>
              <w:jc w:val="center"/>
              <w:rPr>
                <w:rFonts w:hAnsi="宋体" w:cs="宋体"/>
                <w:color w:val="auto"/>
                <w:szCs w:val="28"/>
                <w:highlight w:val="none"/>
              </w:rPr>
            </w:pPr>
          </w:p>
        </w:tc>
        <w:tc>
          <w:tcPr>
            <w:tcW w:w="739" w:type="dxa"/>
            <w:noWrap w:val="0"/>
            <w:vAlign w:val="center"/>
          </w:tcPr>
          <w:p>
            <w:pPr>
              <w:jc w:val="center"/>
              <w:rPr>
                <w:rFonts w:hAnsi="宋体" w:cs="宋体"/>
                <w:color w:val="auto"/>
                <w:szCs w:val="28"/>
                <w:highlight w:val="none"/>
              </w:rPr>
            </w:pPr>
          </w:p>
        </w:tc>
        <w:tc>
          <w:tcPr>
            <w:tcW w:w="760" w:type="dxa"/>
            <w:tcBorders>
              <w:bottom w:val="single" w:color="auto" w:sz="4" w:space="0"/>
            </w:tcBorders>
            <w:noWrap w:val="0"/>
            <w:vAlign w:val="center"/>
          </w:tcPr>
          <w:p>
            <w:pPr>
              <w:jc w:val="center"/>
              <w:rPr>
                <w:rFonts w:hAnsi="宋体" w:cs="宋体"/>
                <w:color w:val="auto"/>
                <w:szCs w:val="28"/>
                <w:highlight w:val="none"/>
              </w:rPr>
            </w:pPr>
          </w:p>
        </w:tc>
        <w:tc>
          <w:tcPr>
            <w:tcW w:w="760" w:type="dxa"/>
            <w:noWrap w:val="0"/>
            <w:vAlign w:val="center"/>
          </w:tcPr>
          <w:p>
            <w:pPr>
              <w:jc w:val="center"/>
              <w:rPr>
                <w:rFonts w:hAnsi="宋体" w:cs="宋体"/>
                <w:color w:val="auto"/>
                <w:szCs w:val="28"/>
                <w:highlight w:val="none"/>
              </w:rPr>
            </w:pPr>
          </w:p>
        </w:tc>
        <w:tc>
          <w:tcPr>
            <w:tcW w:w="1120" w:type="dxa"/>
            <w:tcBorders>
              <w:bottom w:val="single" w:color="auto" w:sz="4" w:space="0"/>
            </w:tcBorders>
            <w:noWrap w:val="0"/>
            <w:vAlign w:val="center"/>
          </w:tcPr>
          <w:p>
            <w:pPr>
              <w:jc w:val="center"/>
              <w:rPr>
                <w:rFonts w:hAnsi="宋体" w:cs="宋体"/>
                <w:color w:val="auto"/>
                <w:szCs w:val="28"/>
                <w:highlight w:val="none"/>
              </w:rPr>
            </w:pPr>
          </w:p>
        </w:tc>
        <w:tc>
          <w:tcPr>
            <w:tcW w:w="980" w:type="dxa"/>
            <w:tcBorders>
              <w:bottom w:val="single" w:color="auto" w:sz="4" w:space="0"/>
            </w:tcBorders>
            <w:noWrap w:val="0"/>
            <w:vAlign w:val="center"/>
          </w:tcPr>
          <w:p>
            <w:pPr>
              <w:jc w:val="center"/>
              <w:rPr>
                <w:rFonts w:hAnsi="宋体" w:cs="宋体"/>
                <w:color w:val="auto"/>
                <w:szCs w:val="28"/>
                <w:highlight w:val="none"/>
              </w:rPr>
            </w:pPr>
          </w:p>
        </w:tc>
        <w:tc>
          <w:tcPr>
            <w:tcW w:w="1070" w:type="dxa"/>
            <w:tcBorders>
              <w:bottom w:val="single" w:color="auto" w:sz="4" w:space="0"/>
            </w:tcBorders>
            <w:noWrap w:val="0"/>
            <w:vAlign w:val="center"/>
          </w:tcPr>
          <w:p>
            <w:pPr>
              <w:jc w:val="center"/>
              <w:rPr>
                <w:rFonts w:hAnsi="宋体" w:cs="宋体"/>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8" w:hRule="exact"/>
        </w:trPr>
        <w:tc>
          <w:tcPr>
            <w:tcW w:w="8405" w:type="dxa"/>
            <w:gridSpan w:val="10"/>
            <w:noWrap w:val="0"/>
            <w:vAlign w:val="top"/>
          </w:tcPr>
          <w:p>
            <w:pPr>
              <w:spacing w:line="360" w:lineRule="auto"/>
              <w:ind w:firstLine="540" w:firstLineChars="225"/>
              <w:rPr>
                <w:rFonts w:hAnsi="宋体" w:cs="宋体"/>
                <w:color w:val="auto"/>
                <w:szCs w:val="28"/>
                <w:highlight w:val="none"/>
              </w:rPr>
            </w:pPr>
            <w:r>
              <w:rPr>
                <w:rFonts w:hint="eastAsia" w:hAnsi="宋体" w:cs="宋体"/>
                <w:color w:val="auto"/>
                <w:szCs w:val="28"/>
                <w:highlight w:val="none"/>
              </w:rPr>
              <w:t>本工程一旦我单位中标，将实行项目负责人负责制，并配备上述项目管理班子。上述填报内容真实，若不真实，愿按有关规定接受处理。项目管理班子机构设置、职责分工等情况另附资料说明。</w:t>
            </w:r>
          </w:p>
        </w:tc>
      </w:tr>
    </w:tbl>
    <w:p>
      <w:pPr>
        <w:rPr>
          <w:rFonts w:hint="eastAsia" w:ascii="宋体" w:hAnsi="宋体"/>
          <w:b/>
          <w:color w:val="auto"/>
          <w:szCs w:val="21"/>
          <w:highlight w:val="none"/>
        </w:rPr>
      </w:pPr>
      <w:r>
        <w:rPr>
          <w:rFonts w:hint="eastAsia" w:cs="仿宋"/>
          <w:b/>
          <w:color w:val="auto"/>
          <w:kern w:val="2"/>
          <w:sz w:val="21"/>
          <w:szCs w:val="21"/>
          <w:highlight w:val="none"/>
        </w:rPr>
        <w:t>注：投标人须按投标人须知前附表第3.5条进行人员配备，并按项目管理机构主要人员任职条件要求提供人员相应证书（无任职条件要求的，可不提供证书），以上人员必须配备齐全，且一人一岗，不得兼任（,项目负责人在满足施工负责人资格要求的前提下，可兼任施工负责人），人员配备不满足要求作无效标处理。2、同时提供上述人员的社保证明（社保机构出具的由本单位或分公司为其缴纳的近3个月中任何1个月的社保证明）。3、投标人可自行增加项目配备人员。</w:t>
      </w:r>
    </w:p>
    <w:p>
      <w:pPr>
        <w:widowControl/>
        <w:rPr>
          <w:rFonts w:hAnsi="宋体" w:cs="宋体"/>
          <w:b/>
          <w:bCs/>
          <w:color w:val="auto"/>
          <w:sz w:val="36"/>
          <w:szCs w:val="36"/>
          <w:highlight w:val="none"/>
        </w:rPr>
      </w:pPr>
    </w:p>
    <w:p>
      <w:pPr>
        <w:widowControl/>
        <w:rPr>
          <w:rFonts w:ascii="宋体" w:hAnsi="宋体" w:cs="Courier New"/>
          <w:color w:val="auto"/>
          <w:highlight w:val="none"/>
        </w:rPr>
      </w:pPr>
      <w:r>
        <w:rPr>
          <w:rFonts w:hAnsi="宋体" w:cs="宋体"/>
          <w:b/>
          <w:bCs/>
          <w:color w:val="auto"/>
          <w:sz w:val="36"/>
          <w:szCs w:val="36"/>
          <w:highlight w:val="none"/>
        </w:rPr>
        <w:br w:type="page"/>
      </w:r>
    </w:p>
    <w:p>
      <w:pPr>
        <w:tabs>
          <w:tab w:val="left" w:pos="0"/>
        </w:tabs>
        <w:spacing w:line="400" w:lineRule="exact"/>
        <w:jc w:val="center"/>
        <w:rPr>
          <w:rFonts w:ascii="宋体" w:hAnsi="宋体"/>
          <w:color w:val="auto"/>
          <w:sz w:val="36"/>
          <w:szCs w:val="36"/>
          <w:highlight w:val="none"/>
          <w:u w:val="single"/>
        </w:rPr>
      </w:pPr>
      <w:r>
        <w:rPr>
          <w:rFonts w:hint="eastAsia"/>
          <w:b/>
          <w:bCs/>
          <w:color w:val="auto"/>
          <w:sz w:val="36"/>
          <w:szCs w:val="36"/>
          <w:highlight w:val="none"/>
        </w:rPr>
        <w:t>投</w:t>
      </w:r>
      <w:r>
        <w:rPr>
          <w:b/>
          <w:bCs/>
          <w:color w:val="auto"/>
          <w:sz w:val="36"/>
          <w:szCs w:val="36"/>
          <w:highlight w:val="none"/>
        </w:rPr>
        <w:t xml:space="preserve"> </w:t>
      </w:r>
      <w:r>
        <w:rPr>
          <w:rFonts w:hint="eastAsia"/>
          <w:b/>
          <w:bCs/>
          <w:color w:val="auto"/>
          <w:sz w:val="36"/>
          <w:szCs w:val="36"/>
          <w:highlight w:val="none"/>
        </w:rPr>
        <w:t>标</w:t>
      </w:r>
      <w:r>
        <w:rPr>
          <w:b/>
          <w:bCs/>
          <w:color w:val="auto"/>
          <w:sz w:val="36"/>
          <w:szCs w:val="36"/>
          <w:highlight w:val="none"/>
        </w:rPr>
        <w:t xml:space="preserve"> </w:t>
      </w:r>
      <w:r>
        <w:rPr>
          <w:rFonts w:hint="eastAsia"/>
          <w:b/>
          <w:bCs/>
          <w:color w:val="auto"/>
          <w:sz w:val="36"/>
          <w:szCs w:val="36"/>
          <w:highlight w:val="none"/>
        </w:rPr>
        <w:t>函</w:t>
      </w:r>
    </w:p>
    <w:p>
      <w:pPr>
        <w:snapToGrid w:val="0"/>
        <w:spacing w:line="360" w:lineRule="auto"/>
        <w:rPr>
          <w:rFonts w:ascii="宋体" w:hAnsi="宋体"/>
          <w:color w:val="auto"/>
          <w:highlight w:val="none"/>
        </w:rPr>
      </w:pPr>
      <w:r>
        <w:rPr>
          <w:rFonts w:hint="eastAsia" w:cs="宋体"/>
          <w:b/>
          <w:bCs/>
          <w:color w:val="auto"/>
          <w:szCs w:val="21"/>
          <w:highlight w:val="none"/>
          <w:u w:val="single"/>
        </w:rPr>
        <w:t>湖州市南太湖未来社区建设发展有限公司</w:t>
      </w:r>
      <w:r>
        <w:rPr>
          <w:rFonts w:ascii="宋体" w:hAnsi="宋体"/>
          <w:color w:val="auto"/>
          <w:highlight w:val="none"/>
        </w:rPr>
        <w:t>:</w:t>
      </w:r>
    </w:p>
    <w:p>
      <w:pPr>
        <w:numPr>
          <w:ilvl w:val="0"/>
          <w:numId w:val="23"/>
        </w:numPr>
        <w:snapToGrid w:val="0"/>
        <w:spacing w:line="400" w:lineRule="exact"/>
        <w:ind w:firstLine="480" w:firstLineChars="200"/>
        <w:rPr>
          <w:rFonts w:ascii="宋体" w:hAnsi="宋体"/>
          <w:color w:val="auto"/>
          <w:highlight w:val="none"/>
          <w:u w:val="single"/>
        </w:rPr>
      </w:pPr>
      <w:r>
        <w:rPr>
          <w:color w:val="auto"/>
          <w:highlight w:val="none"/>
        </w:rPr>
        <w:t>我方己仔细研究了</w:t>
      </w:r>
      <w:r>
        <w:rPr>
          <w:rFonts w:hint="eastAsia"/>
          <w:b/>
          <w:bCs/>
          <w:color w:val="auto"/>
          <w:sz w:val="21"/>
          <w:szCs w:val="21"/>
          <w:highlight w:val="none"/>
          <w:u w:val="single"/>
        </w:rPr>
        <w:t xml:space="preserve">湖州市南太湖新区太湖湾单元（TH-08-02）13E、14C、15B、16A-1、16A-2、16B、17A、17B-1、17B-2、17C、18B-1、18B-2、20B-1、20B-2、27E、28B-1、28B-2、29B、13E-1、20B-3号地块（长东未来社区）开发建设项目工程总承包项目 </w:t>
      </w:r>
      <w:r>
        <w:rPr>
          <w:color w:val="auto"/>
          <w:highlight w:val="none"/>
        </w:rPr>
        <w:t>招标文件的全部内容，愿意以人民币（大写）</w:t>
      </w:r>
      <w:r>
        <w:rPr>
          <w:color w:val="auto"/>
          <w:highlight w:val="none"/>
          <w:u w:val="single"/>
        </w:rPr>
        <w:t xml:space="preserve">     </w:t>
      </w:r>
      <w:r>
        <w:rPr>
          <w:color w:val="auto"/>
          <w:highlight w:val="none"/>
        </w:rPr>
        <w:t>元（￥</w:t>
      </w:r>
      <w:r>
        <w:rPr>
          <w:color w:val="auto"/>
          <w:highlight w:val="none"/>
          <w:u w:val="single"/>
        </w:rPr>
        <w:t xml:space="preserve">     </w:t>
      </w:r>
      <w:r>
        <w:rPr>
          <w:color w:val="auto"/>
          <w:highlight w:val="none"/>
        </w:rPr>
        <w:t>）的投标总报价，项目负责人</w:t>
      </w:r>
      <w:r>
        <w:rPr>
          <w:color w:val="auto"/>
          <w:highlight w:val="none"/>
          <w:u w:val="single"/>
        </w:rPr>
        <w:t xml:space="preserve">      </w:t>
      </w:r>
      <w:r>
        <w:rPr>
          <w:color w:val="auto"/>
          <w:highlight w:val="none"/>
        </w:rPr>
        <w:t>（身份证号码</w:t>
      </w:r>
      <w:r>
        <w:rPr>
          <w:color w:val="auto"/>
          <w:highlight w:val="none"/>
          <w:u w:val="single"/>
        </w:rPr>
        <w:t xml:space="preserve">        </w:t>
      </w:r>
      <w:r>
        <w:rPr>
          <w:color w:val="auto"/>
          <w:highlight w:val="none"/>
        </w:rPr>
        <w:t>）</w:t>
      </w:r>
      <w:r>
        <w:rPr>
          <w:rFonts w:hint="eastAsia"/>
          <w:color w:val="auto"/>
          <w:highlight w:val="none"/>
        </w:rPr>
        <w:t>所在单位：</w:t>
      </w:r>
      <w:r>
        <w:rPr>
          <w:rFonts w:hint="eastAsia"/>
          <w:color w:val="auto"/>
          <w:highlight w:val="none"/>
          <w:u w:val="single"/>
        </w:rPr>
        <w:t xml:space="preserve">    </w:t>
      </w:r>
      <w:r>
        <w:rPr>
          <w:color w:val="auto"/>
          <w:highlight w:val="none"/>
        </w:rPr>
        <w:t>， 设计负责人</w:t>
      </w:r>
      <w:r>
        <w:rPr>
          <w:color w:val="auto"/>
          <w:highlight w:val="none"/>
          <w:u w:val="single"/>
        </w:rPr>
        <w:t xml:space="preserve">        </w:t>
      </w:r>
      <w:r>
        <w:rPr>
          <w:color w:val="auto"/>
          <w:highlight w:val="none"/>
        </w:rPr>
        <w:t>（身份证号码</w:t>
      </w:r>
      <w:r>
        <w:rPr>
          <w:color w:val="auto"/>
          <w:highlight w:val="none"/>
          <w:u w:val="single"/>
        </w:rPr>
        <w:t xml:space="preserve">         </w:t>
      </w:r>
      <w:r>
        <w:rPr>
          <w:color w:val="auto"/>
          <w:highlight w:val="none"/>
        </w:rPr>
        <w:t>）</w:t>
      </w:r>
      <w:r>
        <w:rPr>
          <w:rFonts w:hint="eastAsia"/>
          <w:color w:val="auto"/>
          <w:highlight w:val="none"/>
        </w:rPr>
        <w:t>所在单位：</w:t>
      </w:r>
      <w:r>
        <w:rPr>
          <w:rFonts w:hint="eastAsia"/>
          <w:color w:val="auto"/>
          <w:highlight w:val="none"/>
          <w:u w:val="single"/>
        </w:rPr>
        <w:t xml:space="preserve">    </w:t>
      </w:r>
      <w:r>
        <w:rPr>
          <w:color w:val="auto"/>
          <w:highlight w:val="none"/>
        </w:rPr>
        <w:t>，施工负责人</w:t>
      </w:r>
      <w:r>
        <w:rPr>
          <w:color w:val="auto"/>
          <w:highlight w:val="none"/>
          <w:u w:val="single"/>
        </w:rPr>
        <w:t xml:space="preserve">         </w:t>
      </w:r>
      <w:r>
        <w:rPr>
          <w:color w:val="auto"/>
          <w:highlight w:val="none"/>
        </w:rPr>
        <w:t>（身份证号</w:t>
      </w:r>
      <w:r>
        <w:rPr>
          <w:color w:val="auto"/>
          <w:highlight w:val="none"/>
          <w:u w:val="single"/>
        </w:rPr>
        <w:t xml:space="preserve">         </w:t>
      </w:r>
      <w:r>
        <w:rPr>
          <w:color w:val="auto"/>
          <w:highlight w:val="none"/>
        </w:rPr>
        <w:t>）</w:t>
      </w:r>
      <w:r>
        <w:rPr>
          <w:rFonts w:hint="eastAsia"/>
          <w:color w:val="auto"/>
          <w:highlight w:val="none"/>
        </w:rPr>
        <w:t>所在单位：</w:t>
      </w:r>
      <w:r>
        <w:rPr>
          <w:rFonts w:hint="eastAsia"/>
          <w:color w:val="auto"/>
          <w:highlight w:val="none"/>
          <w:u w:val="single"/>
        </w:rPr>
        <w:t xml:space="preserve">    </w:t>
      </w:r>
      <w:r>
        <w:rPr>
          <w:color w:val="auto"/>
          <w:highlight w:val="none"/>
        </w:rPr>
        <w:t>，工期</w:t>
      </w:r>
      <w:r>
        <w:rPr>
          <w:color w:val="auto"/>
          <w:highlight w:val="none"/>
          <w:u w:val="single"/>
        </w:rPr>
        <w:t xml:space="preserve">     </w:t>
      </w:r>
      <w:r>
        <w:rPr>
          <w:color w:val="auto"/>
          <w:highlight w:val="none"/>
        </w:rPr>
        <w:t>个日历天，按合同约定实施和完成承包工程，修补工程中的任何缺陷</w:t>
      </w:r>
      <w:r>
        <w:rPr>
          <w:rFonts w:hint="eastAsia"/>
          <w:color w:val="auto"/>
          <w:highlight w:val="none"/>
        </w:rPr>
        <w:t>。</w:t>
      </w:r>
      <w:r>
        <w:rPr>
          <w:color w:val="auto"/>
          <w:highlight w:val="none"/>
        </w:rPr>
        <w:t>质量标准</w:t>
      </w:r>
      <w:r>
        <w:rPr>
          <w:rFonts w:hint="eastAsia"/>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ascii="宋体" w:hAnsi="宋体"/>
          <w:color w:val="auto"/>
          <w:highlight w:val="none"/>
        </w:rPr>
        <w:t>。</w:t>
      </w:r>
    </w:p>
    <w:p>
      <w:pPr>
        <w:snapToGrid w:val="0"/>
        <w:spacing w:line="400" w:lineRule="exact"/>
        <w:ind w:firstLine="480" w:firstLineChars="200"/>
        <w:outlineLvl w:val="2"/>
        <w:rPr>
          <w:rFonts w:ascii="宋体" w:hAnsi="宋体"/>
          <w:color w:val="auto"/>
          <w:highlight w:val="none"/>
        </w:rPr>
      </w:pPr>
      <w:bookmarkStart w:id="291" w:name="_Toc14009"/>
      <w:r>
        <w:rPr>
          <w:rFonts w:ascii="宋体" w:hAnsi="宋体"/>
          <w:color w:val="auto"/>
          <w:highlight w:val="none"/>
        </w:rPr>
        <w:t>2.我方承诺在投标有效期内不修改、撤销投标文件。</w:t>
      </w:r>
      <w:bookmarkEnd w:id="291"/>
    </w:p>
    <w:p>
      <w:pPr>
        <w:spacing w:line="400" w:lineRule="exact"/>
        <w:ind w:firstLine="200"/>
        <w:rPr>
          <w:rFonts w:ascii="宋体" w:hAnsi="宋体"/>
          <w:color w:val="auto"/>
          <w:highlight w:val="none"/>
        </w:rPr>
      </w:pPr>
      <w:r>
        <w:rPr>
          <w:rFonts w:ascii="宋体" w:hAnsi="宋体"/>
          <w:color w:val="auto"/>
          <w:highlight w:val="none"/>
        </w:rPr>
        <w:t xml:space="preserve">  3.</w:t>
      </w:r>
      <w:r>
        <w:rPr>
          <w:rFonts w:hint="eastAsia" w:ascii="宋体" w:hAnsi="宋体"/>
          <w:color w:val="auto"/>
          <w:highlight w:val="none"/>
        </w:rPr>
        <w:t>我方承认投标函附录是我方投标函的组成部分。</w:t>
      </w:r>
      <w:r>
        <w:rPr>
          <w:rFonts w:ascii="宋体" w:hAnsi="宋体"/>
          <w:color w:val="auto"/>
          <w:highlight w:val="none"/>
        </w:rPr>
        <w:t>投标人投标函与投标函附录不一致的，以投标函为准</w:t>
      </w:r>
      <w:r>
        <w:rPr>
          <w:rFonts w:hint="eastAsia" w:ascii="宋体" w:hAnsi="宋体"/>
          <w:color w:val="auto"/>
          <w:highlight w:val="none"/>
        </w:rPr>
        <w:t>。</w:t>
      </w:r>
    </w:p>
    <w:p>
      <w:pPr>
        <w:snapToGrid w:val="0"/>
        <w:spacing w:line="400" w:lineRule="exact"/>
        <w:ind w:firstLine="480" w:firstLineChars="200"/>
        <w:rPr>
          <w:rFonts w:ascii="宋体" w:hAnsi="宋体"/>
          <w:color w:val="auto"/>
          <w:highlight w:val="none"/>
        </w:rPr>
      </w:pPr>
      <w:r>
        <w:rPr>
          <w:rFonts w:ascii="宋体" w:hAnsi="宋体"/>
          <w:color w:val="auto"/>
          <w:highlight w:val="none"/>
        </w:rPr>
        <w:t>4.</w:t>
      </w:r>
      <w:r>
        <w:rPr>
          <w:rFonts w:hint="eastAsia" w:ascii="宋体" w:hAnsi="宋体"/>
          <w:color w:val="auto"/>
          <w:highlight w:val="none"/>
        </w:rPr>
        <w:t xml:space="preserve"> 我方</w:t>
      </w:r>
      <w:r>
        <w:rPr>
          <w:rFonts w:ascii="宋体" w:hAnsi="宋体"/>
          <w:color w:val="auto"/>
          <w:highlight w:val="none"/>
        </w:rPr>
        <w:t>提交</w:t>
      </w:r>
      <w:r>
        <w:rPr>
          <w:rFonts w:hint="eastAsia" w:ascii="宋体" w:hAnsi="宋体"/>
          <w:color w:val="auto"/>
          <w:highlight w:val="none"/>
        </w:rPr>
        <w:t>金额为</w:t>
      </w:r>
      <w:r>
        <w:rPr>
          <w:rFonts w:ascii="宋体" w:hAnsi="宋体"/>
          <w:color w:val="auto"/>
          <w:highlight w:val="none"/>
        </w:rPr>
        <w:t>人民币（大写）</w:t>
      </w:r>
      <w:r>
        <w:rPr>
          <w:rFonts w:ascii="宋体" w:hAnsi="宋体"/>
          <w:color w:val="auto"/>
          <w:highlight w:val="none"/>
          <w:u w:val="single"/>
        </w:rPr>
        <w:t xml:space="preserve">    </w:t>
      </w:r>
      <w:r>
        <w:rPr>
          <w:rFonts w:hint="eastAsia" w:ascii="宋体" w:hAnsi="宋体"/>
          <w:color w:val="auto"/>
          <w:highlight w:val="none"/>
        </w:rPr>
        <w:t>元（￥</w:t>
      </w:r>
      <w:r>
        <w:rPr>
          <w:rFonts w:ascii="宋体" w:hAnsi="宋体"/>
          <w:color w:val="auto"/>
          <w:highlight w:val="none"/>
          <w:u w:val="single"/>
        </w:rPr>
        <w:t xml:space="preserve">     </w:t>
      </w:r>
      <w:r>
        <w:rPr>
          <w:rFonts w:hint="eastAsia" w:ascii="宋体" w:hAnsi="宋体"/>
          <w:color w:val="auto"/>
          <w:highlight w:val="none"/>
        </w:rPr>
        <w:t>）</w:t>
      </w:r>
      <w:r>
        <w:rPr>
          <w:rFonts w:hint="eastAsia"/>
          <w:color w:val="auto"/>
          <w:szCs w:val="18"/>
          <w:highlight w:val="none"/>
        </w:rPr>
        <w:t>的投标担保与本投标函同时递交</w:t>
      </w:r>
      <w:r>
        <w:rPr>
          <w:rFonts w:hint="eastAsia" w:ascii="宋体" w:hAnsi="宋体"/>
          <w:color w:val="auto"/>
          <w:highlight w:val="none"/>
        </w:rPr>
        <w:t>。</w:t>
      </w:r>
    </w:p>
    <w:p>
      <w:pPr>
        <w:snapToGrid w:val="0"/>
        <w:spacing w:line="400" w:lineRule="exact"/>
        <w:ind w:firstLine="480" w:firstLineChars="200"/>
        <w:outlineLvl w:val="2"/>
        <w:rPr>
          <w:rFonts w:ascii="宋体" w:hAnsi="宋体"/>
          <w:color w:val="auto"/>
          <w:highlight w:val="none"/>
        </w:rPr>
      </w:pPr>
      <w:bookmarkStart w:id="292" w:name="_Toc3405"/>
      <w:r>
        <w:rPr>
          <w:rFonts w:ascii="宋体" w:hAnsi="宋体"/>
          <w:color w:val="auto"/>
          <w:highlight w:val="none"/>
        </w:rPr>
        <w:t>5.如我方中标：</w:t>
      </w:r>
      <w:bookmarkEnd w:id="292"/>
    </w:p>
    <w:p>
      <w:pPr>
        <w:snapToGrid w:val="0"/>
        <w:spacing w:line="400" w:lineRule="exact"/>
        <w:ind w:firstLine="480" w:firstLineChars="200"/>
        <w:rPr>
          <w:rFonts w:ascii="宋体" w:hAnsi="宋体"/>
          <w:color w:val="auto"/>
          <w:highlight w:val="none"/>
        </w:rPr>
      </w:pPr>
      <w:r>
        <w:rPr>
          <w:rFonts w:ascii="宋体" w:hAnsi="宋体"/>
          <w:color w:val="auto"/>
          <w:highlight w:val="none"/>
        </w:rPr>
        <w:t>(l）我方承诺在收到中标通知书后，在中标通知书规定期限内与你方签订合同。</w:t>
      </w:r>
    </w:p>
    <w:p>
      <w:pPr>
        <w:snapToGrid w:val="0"/>
        <w:spacing w:line="400" w:lineRule="exact"/>
        <w:ind w:firstLine="480" w:firstLineChars="200"/>
        <w:rPr>
          <w:rFonts w:ascii="宋体" w:hAnsi="宋体"/>
          <w:color w:val="auto"/>
          <w:highlight w:val="none"/>
        </w:rPr>
      </w:pPr>
      <w:r>
        <w:rPr>
          <w:rFonts w:ascii="宋体" w:hAnsi="宋体"/>
          <w:color w:val="auto"/>
          <w:highlight w:val="none"/>
        </w:rPr>
        <w:t>(2）随同本投标函递交的投标函附录属于合同文件的组成部分。</w:t>
      </w:r>
    </w:p>
    <w:p>
      <w:pPr>
        <w:snapToGrid w:val="0"/>
        <w:spacing w:line="400" w:lineRule="exact"/>
        <w:ind w:firstLine="480" w:firstLineChars="200"/>
        <w:rPr>
          <w:rFonts w:ascii="宋体" w:hAnsi="宋体"/>
          <w:color w:val="auto"/>
          <w:highlight w:val="none"/>
        </w:rPr>
      </w:pPr>
      <w:r>
        <w:rPr>
          <w:rFonts w:ascii="宋体" w:hAnsi="宋体"/>
          <w:color w:val="auto"/>
          <w:highlight w:val="none"/>
        </w:rPr>
        <w:t>(3）我方承诺按照招标文件规定向你方递交履约担保。</w:t>
      </w:r>
    </w:p>
    <w:p>
      <w:pPr>
        <w:snapToGrid w:val="0"/>
        <w:spacing w:line="400" w:lineRule="exact"/>
        <w:ind w:firstLine="480" w:firstLineChars="200"/>
        <w:rPr>
          <w:rFonts w:ascii="宋体" w:hAnsi="宋体"/>
          <w:color w:val="auto"/>
          <w:highlight w:val="none"/>
        </w:rPr>
      </w:pPr>
      <w:r>
        <w:rPr>
          <w:rFonts w:ascii="宋体" w:hAnsi="宋体"/>
          <w:color w:val="auto"/>
          <w:highlight w:val="none"/>
        </w:rPr>
        <w:t>(4）我方承诺在合同约定的期限内完成并</w:t>
      </w:r>
      <w:r>
        <w:rPr>
          <w:rFonts w:hint="eastAsia" w:ascii="宋体" w:hAnsi="宋体"/>
          <w:color w:val="auto"/>
          <w:highlight w:val="none"/>
        </w:rPr>
        <w:t>交付全部合同工程。</w:t>
      </w:r>
    </w:p>
    <w:p>
      <w:pPr>
        <w:snapToGrid w:val="0"/>
        <w:spacing w:line="400" w:lineRule="exact"/>
        <w:ind w:firstLine="480" w:firstLineChars="200"/>
        <w:rPr>
          <w:rFonts w:ascii="宋体" w:hAnsi="宋体"/>
          <w:color w:val="auto"/>
          <w:highlight w:val="none"/>
        </w:rPr>
      </w:pPr>
      <w:r>
        <w:rPr>
          <w:rFonts w:ascii="宋体" w:hAnsi="宋体"/>
          <w:color w:val="auto"/>
          <w:highlight w:val="none"/>
        </w:rPr>
        <w:t>6.我方在此声明，所递交的投标文件及有关资料内容完整、真实和准确，且不存在第二章“投标人须知”第1.4.</w:t>
      </w:r>
      <w:r>
        <w:rPr>
          <w:rFonts w:hint="eastAsia" w:ascii="宋体" w:hAnsi="宋体"/>
          <w:color w:val="auto"/>
          <w:highlight w:val="none"/>
        </w:rPr>
        <w:t>3规定的任何一种情形。</w:t>
      </w:r>
    </w:p>
    <w:p>
      <w:pPr>
        <w:snapToGrid w:val="0"/>
        <w:spacing w:line="400" w:lineRule="exact"/>
        <w:ind w:firstLine="480" w:firstLineChars="200"/>
        <w:rPr>
          <w:rFonts w:ascii="宋体" w:hAnsi="宋体"/>
          <w:color w:val="auto"/>
          <w:highlight w:val="none"/>
        </w:rPr>
      </w:pPr>
      <w:r>
        <w:rPr>
          <w:rFonts w:ascii="宋体" w:hAnsi="宋体"/>
          <w:color w:val="auto"/>
          <w:highlight w:val="none"/>
        </w:rPr>
        <w:t xml:space="preserve"> □7.本次投标为联合体投标，我方为联合体牵头人，联合体成员包括</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rPr>
        <w:t xml:space="preserve"> 。</w:t>
      </w:r>
    </w:p>
    <w:p>
      <w:pPr>
        <w:spacing w:line="360" w:lineRule="auto"/>
        <w:ind w:right="480"/>
        <w:jc w:val="right"/>
        <w:rPr>
          <w:rFonts w:hint="eastAsia" w:ascii="宋体" w:hAnsi="宋体" w:cs="宋体"/>
          <w:color w:val="auto"/>
          <w:highlight w:val="none"/>
        </w:rPr>
      </w:pPr>
    </w:p>
    <w:p>
      <w:pPr>
        <w:spacing w:line="360" w:lineRule="auto"/>
        <w:ind w:right="480"/>
        <w:jc w:val="right"/>
        <w:rPr>
          <w:rFonts w:ascii="宋体" w:hAnsi="宋体" w:cs="宋体"/>
          <w:color w:val="auto"/>
          <w:highlight w:val="none"/>
        </w:rPr>
      </w:pPr>
      <w:r>
        <w:rPr>
          <w:rFonts w:hint="eastAsia" w:ascii="宋体" w:hAnsi="宋体" w:cs="宋体"/>
          <w:color w:val="auto"/>
          <w:highlight w:val="none"/>
        </w:rPr>
        <w:t>投标人：</w:t>
      </w:r>
      <w:r>
        <w:rPr>
          <w:rFonts w:ascii="宋体" w:hAnsi="宋体" w:cs="宋体"/>
          <w:color w:val="auto"/>
          <w:highlight w:val="none"/>
          <w:u w:val="single"/>
        </w:rPr>
        <w:t xml:space="preserve">          </w:t>
      </w:r>
      <w:r>
        <w:rPr>
          <w:rFonts w:hint="eastAsia" w:ascii="宋体" w:hAnsi="宋体" w:cs="宋体"/>
          <w:color w:val="auto"/>
          <w:highlight w:val="none"/>
        </w:rPr>
        <w:t>（单位盖章）</w:t>
      </w:r>
    </w:p>
    <w:p>
      <w:pPr>
        <w:spacing w:line="360" w:lineRule="auto"/>
        <w:ind w:right="480" w:firstLine="2400" w:firstLineChars="1000"/>
        <w:outlineLvl w:val="1"/>
        <w:rPr>
          <w:rFonts w:ascii="宋体" w:cs="宋体"/>
          <w:color w:val="auto"/>
          <w:highlight w:val="none"/>
          <w:u w:val="single"/>
        </w:rPr>
      </w:pPr>
      <w:bookmarkStart w:id="293" w:name="_Toc25672"/>
      <w:r>
        <w:rPr>
          <w:rFonts w:ascii="宋体" w:hAnsi="宋体" w:cs="宋体"/>
          <w:color w:val="auto"/>
          <w:highlight w:val="none"/>
        </w:rPr>
        <w:t>法定代表或委托代理人：</w:t>
      </w:r>
      <w:r>
        <w:rPr>
          <w:rFonts w:ascii="宋体" w:hAnsi="宋体" w:cs="宋体"/>
          <w:color w:val="auto"/>
          <w:highlight w:val="none"/>
          <w:u w:val="single"/>
        </w:rPr>
        <w:t xml:space="preserve">         </w:t>
      </w:r>
      <w:r>
        <w:rPr>
          <w:rFonts w:hint="eastAsia" w:ascii="宋体" w:hAnsi="宋体" w:cs="宋体"/>
          <w:color w:val="auto"/>
          <w:highlight w:val="none"/>
        </w:rPr>
        <w:t>（签字或盖章）</w:t>
      </w:r>
      <w:bookmarkEnd w:id="293"/>
    </w:p>
    <w:p>
      <w:pPr>
        <w:spacing w:line="360" w:lineRule="auto"/>
        <w:ind w:firstLine="4320" w:firstLineChars="1800"/>
        <w:rPr>
          <w:rFonts w:ascii="宋体" w:hAnsi="宋体" w:cs="宋体"/>
          <w:color w:val="auto"/>
          <w:highlight w:val="none"/>
          <w:u w:val="single"/>
        </w:rPr>
      </w:pPr>
      <w:r>
        <w:rPr>
          <w:rFonts w:ascii="宋体" w:hAnsi="宋体" w:cs="宋体"/>
          <w:color w:val="auto"/>
          <w:highlight w:val="none"/>
        </w:rPr>
        <w:t>联系人：</w:t>
      </w:r>
      <w:r>
        <w:rPr>
          <w:rFonts w:ascii="宋体" w:hAnsi="宋体" w:cs="宋体"/>
          <w:color w:val="auto"/>
          <w:highlight w:val="none"/>
          <w:u w:val="single"/>
        </w:rPr>
        <w:t xml:space="preserve">                     </w:t>
      </w:r>
    </w:p>
    <w:p>
      <w:pPr>
        <w:spacing w:line="360" w:lineRule="auto"/>
        <w:ind w:firstLine="4320" w:firstLineChars="1800"/>
        <w:rPr>
          <w:rFonts w:ascii="宋体" w:hAnsi="宋体" w:cs="宋体"/>
          <w:color w:val="auto"/>
          <w:highlight w:val="none"/>
          <w:u w:val="single"/>
        </w:rPr>
      </w:pPr>
      <w:r>
        <w:rPr>
          <w:rFonts w:hint="eastAsia" w:ascii="宋体" w:hAnsi="宋体" w:cs="宋体"/>
          <w:color w:val="auto"/>
          <w:highlight w:val="none"/>
        </w:rPr>
        <w:t>联系地址：</w:t>
      </w:r>
      <w:r>
        <w:rPr>
          <w:rFonts w:ascii="宋体" w:hAnsi="宋体" w:cs="宋体"/>
          <w:color w:val="auto"/>
          <w:highlight w:val="none"/>
          <w:u w:val="single"/>
        </w:rPr>
        <w:t xml:space="preserve">                    </w:t>
      </w:r>
    </w:p>
    <w:p>
      <w:pPr>
        <w:spacing w:line="360" w:lineRule="auto"/>
        <w:ind w:firstLine="4320" w:firstLineChars="1800"/>
        <w:rPr>
          <w:rFonts w:ascii="宋体" w:hAnsi="宋体" w:cs="宋体"/>
          <w:color w:val="auto"/>
          <w:highlight w:val="none"/>
        </w:rPr>
      </w:pPr>
      <w:r>
        <w:rPr>
          <w:rFonts w:hint="eastAsia" w:ascii="宋体" w:hAnsi="宋体" w:cs="宋体"/>
          <w:color w:val="auto"/>
          <w:highlight w:val="none"/>
        </w:rPr>
        <w:t>电话：</w:t>
      </w:r>
      <w:r>
        <w:rPr>
          <w:rFonts w:ascii="宋体" w:hAnsi="宋体" w:cs="宋体"/>
          <w:color w:val="auto"/>
          <w:highlight w:val="none"/>
          <w:u w:val="single"/>
        </w:rPr>
        <w:t xml:space="preserve">                        </w:t>
      </w:r>
    </w:p>
    <w:p>
      <w:pPr>
        <w:widowControl/>
        <w:spacing w:line="360" w:lineRule="auto"/>
        <w:ind w:left="5959" w:leftChars="2083" w:hanging="960" w:hangingChars="400"/>
        <w:rPr>
          <w:rFonts w:ascii="宋体" w:hAnsi="宋体" w:cs="宋体"/>
          <w:color w:val="auto"/>
          <w:highlight w:val="none"/>
          <w:u w:val="single"/>
        </w:rPr>
      </w:pPr>
      <w:r>
        <w:rPr>
          <w:rFonts w:hint="eastAsia" w:ascii="宋体" w:hAnsi="宋体" w:cs="宋体"/>
          <w:color w:val="auto"/>
          <w:highlight w:val="none"/>
        </w:rPr>
        <w:t>邮编：</w:t>
      </w:r>
      <w:r>
        <w:rPr>
          <w:rFonts w:ascii="宋体" w:hAnsi="宋体" w:cs="宋体"/>
          <w:color w:val="auto"/>
          <w:highlight w:val="none"/>
          <w:u w:val="single"/>
        </w:rPr>
        <w:t xml:space="preserve">                        </w:t>
      </w:r>
    </w:p>
    <w:p>
      <w:pPr>
        <w:widowControl/>
        <w:spacing w:line="360" w:lineRule="auto"/>
        <w:ind w:left="5959" w:leftChars="2283" w:hanging="480" w:hangingChars="200"/>
        <w:rPr>
          <w:rFonts w:ascii="宋体" w:hAnsi="宋体" w:cs="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年</w:t>
      </w:r>
      <w:r>
        <w:rPr>
          <w:rFonts w:ascii="宋体" w:hAnsi="宋体" w:cs="宋体"/>
          <w:color w:val="auto"/>
          <w:highlight w:val="none"/>
          <w:u w:val="single"/>
        </w:rPr>
        <w:t xml:space="preserve">    </w:t>
      </w:r>
      <w:r>
        <w:rPr>
          <w:rFonts w:hint="eastAsia" w:ascii="宋体" w:hAnsi="宋体" w:cs="宋体"/>
          <w:color w:val="auto"/>
          <w:highlight w:val="none"/>
        </w:rPr>
        <w:t>月</w:t>
      </w:r>
      <w:r>
        <w:rPr>
          <w:rFonts w:ascii="宋体" w:hAnsi="宋体" w:cs="宋体"/>
          <w:color w:val="auto"/>
          <w:highlight w:val="none"/>
          <w:u w:val="single"/>
        </w:rPr>
        <w:t xml:space="preserve">     </w:t>
      </w:r>
      <w:r>
        <w:rPr>
          <w:rFonts w:hint="eastAsia" w:ascii="宋体" w:hAnsi="宋体" w:cs="宋体"/>
          <w:color w:val="auto"/>
          <w:highlight w:val="none"/>
        </w:rPr>
        <w:t>日</w:t>
      </w:r>
    </w:p>
    <w:p>
      <w:pPr>
        <w:spacing w:line="480" w:lineRule="auto"/>
        <w:jc w:val="center"/>
        <w:outlineLvl w:val="1"/>
        <w:rPr>
          <w:rFonts w:hint="eastAsia" w:ascii="宋体" w:hAnsi="宋体" w:eastAsia="宋体" w:cs="宋体"/>
          <w:b/>
          <w:bCs/>
          <w:i w:val="0"/>
          <w:iCs w:val="0"/>
          <w:color w:val="auto"/>
          <w:sz w:val="24"/>
          <w:szCs w:val="24"/>
          <w:highlight w:val="none"/>
        </w:rPr>
      </w:pPr>
      <w:r>
        <w:rPr>
          <w:color w:val="auto"/>
          <w:highlight w:val="none"/>
        </w:rPr>
        <w:br w:type="page"/>
      </w:r>
      <w:bookmarkStart w:id="294" w:name="_Toc29471"/>
      <w:bookmarkStart w:id="295" w:name="_Toc7172"/>
      <w:bookmarkStart w:id="296" w:name="_Toc82808131"/>
      <w:bookmarkStart w:id="297" w:name="_Toc27411"/>
      <w:r>
        <w:rPr>
          <w:rFonts w:hint="eastAsia" w:ascii="宋体" w:hAnsi="宋体" w:eastAsia="宋体" w:cs="宋体"/>
          <w:b/>
          <w:bCs/>
          <w:i w:val="0"/>
          <w:iCs w:val="0"/>
          <w:color w:val="auto"/>
          <w:sz w:val="24"/>
          <w:szCs w:val="24"/>
          <w:highlight w:val="none"/>
        </w:rPr>
        <w:t>投标函附录</w:t>
      </w:r>
      <w:bookmarkEnd w:id="294"/>
    </w:p>
    <w:p>
      <w:pPr>
        <w:spacing w:line="360" w:lineRule="auto"/>
        <w:jc w:val="center"/>
        <w:rPr>
          <w:rFonts w:hint="eastAsia" w:ascii="宋体" w:hAnsi="宋体" w:eastAsia="宋体" w:cs="宋体"/>
          <w:i w:val="0"/>
          <w:iCs w:val="0"/>
          <w:color w:val="auto"/>
          <w:sz w:val="24"/>
          <w:szCs w:val="24"/>
          <w:highlight w:val="none"/>
        </w:rPr>
      </w:pPr>
    </w:p>
    <w:tbl>
      <w:tblPr>
        <w:tblStyle w:val="19"/>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060"/>
        <w:gridCol w:w="1704"/>
        <w:gridCol w:w="2227"/>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spacing w:line="48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序号</w:t>
            </w:r>
          </w:p>
        </w:tc>
        <w:tc>
          <w:tcPr>
            <w:tcW w:w="3060" w:type="dxa"/>
            <w:noWrap w:val="0"/>
            <w:vAlign w:val="center"/>
          </w:tcPr>
          <w:p>
            <w:pPr>
              <w:spacing w:line="48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项目内容</w:t>
            </w:r>
          </w:p>
        </w:tc>
        <w:tc>
          <w:tcPr>
            <w:tcW w:w="1704" w:type="dxa"/>
            <w:noWrap w:val="0"/>
            <w:vAlign w:val="center"/>
          </w:tcPr>
          <w:p>
            <w:pPr>
              <w:spacing w:line="48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合同条款号</w:t>
            </w:r>
          </w:p>
        </w:tc>
        <w:tc>
          <w:tcPr>
            <w:tcW w:w="2227" w:type="dxa"/>
            <w:noWrap w:val="0"/>
            <w:vAlign w:val="center"/>
          </w:tcPr>
          <w:p>
            <w:pPr>
              <w:spacing w:line="48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约定内容</w:t>
            </w:r>
          </w:p>
        </w:tc>
        <w:tc>
          <w:tcPr>
            <w:tcW w:w="1090" w:type="dxa"/>
            <w:noWrap w:val="0"/>
            <w:vAlign w:val="center"/>
          </w:tcPr>
          <w:p>
            <w:pPr>
              <w:spacing w:line="48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p>
        </w:tc>
        <w:tc>
          <w:tcPr>
            <w:tcW w:w="3060"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履约担保</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误期违约金额</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误期赔偿费限额</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工期</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质量标准</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工程质量违约金最高金额</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预付款金额</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预付款保函金额</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进度款付款金额</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10</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竣工结算款付款时间</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11</w:t>
            </w:r>
          </w:p>
        </w:tc>
        <w:tc>
          <w:tcPr>
            <w:tcW w:w="3060" w:type="dxa"/>
            <w:noWrap w:val="0"/>
            <w:vAlign w:val="center"/>
          </w:tcPr>
          <w:p>
            <w:pP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保修期</w:t>
            </w: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按照招标文件要求</w:t>
            </w: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p>
        </w:tc>
        <w:tc>
          <w:tcPr>
            <w:tcW w:w="3060" w:type="dxa"/>
            <w:noWrap w:val="0"/>
            <w:vAlign w:val="center"/>
          </w:tcPr>
          <w:p>
            <w:pPr>
              <w:rPr>
                <w:rFonts w:hint="eastAsia" w:ascii="宋体" w:hAnsi="宋体" w:eastAsia="宋体" w:cs="宋体"/>
                <w:i w:val="0"/>
                <w:iCs w:val="0"/>
                <w:color w:val="auto"/>
                <w:sz w:val="24"/>
                <w:szCs w:val="24"/>
                <w:highlight w:val="none"/>
              </w:rPr>
            </w:pP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jc w:val="center"/>
              <w:rPr>
                <w:rFonts w:hint="eastAsia" w:ascii="宋体" w:hAnsi="宋体" w:eastAsia="宋体" w:cs="宋体"/>
                <w:i w:val="0"/>
                <w:iCs w:val="0"/>
                <w:color w:val="auto"/>
                <w:sz w:val="24"/>
                <w:szCs w:val="24"/>
                <w:highlight w:val="none"/>
              </w:rPr>
            </w:pPr>
          </w:p>
        </w:tc>
        <w:tc>
          <w:tcPr>
            <w:tcW w:w="3060" w:type="dxa"/>
            <w:noWrap w:val="0"/>
            <w:vAlign w:val="center"/>
          </w:tcPr>
          <w:p>
            <w:pPr>
              <w:rPr>
                <w:rFonts w:hint="eastAsia" w:ascii="宋体" w:hAnsi="宋体" w:eastAsia="宋体" w:cs="宋体"/>
                <w:i w:val="0"/>
                <w:iCs w:val="0"/>
                <w:color w:val="auto"/>
                <w:sz w:val="24"/>
                <w:szCs w:val="24"/>
                <w:highlight w:val="none"/>
              </w:rPr>
            </w:pPr>
          </w:p>
        </w:tc>
        <w:tc>
          <w:tcPr>
            <w:tcW w:w="1704" w:type="dxa"/>
            <w:noWrap w:val="0"/>
            <w:vAlign w:val="center"/>
          </w:tcPr>
          <w:p>
            <w:pPr>
              <w:rPr>
                <w:rFonts w:hint="eastAsia" w:ascii="宋体" w:hAnsi="宋体" w:eastAsia="宋体" w:cs="宋体"/>
                <w:i w:val="0"/>
                <w:iCs w:val="0"/>
                <w:color w:val="auto"/>
                <w:sz w:val="24"/>
                <w:szCs w:val="24"/>
                <w:highlight w:val="none"/>
              </w:rPr>
            </w:pPr>
          </w:p>
        </w:tc>
        <w:tc>
          <w:tcPr>
            <w:tcW w:w="2227" w:type="dxa"/>
            <w:noWrap w:val="0"/>
            <w:vAlign w:val="center"/>
          </w:tcPr>
          <w:p>
            <w:pPr>
              <w:rPr>
                <w:rFonts w:hint="eastAsia" w:ascii="宋体" w:hAnsi="宋体" w:eastAsia="宋体" w:cs="宋体"/>
                <w:i w:val="0"/>
                <w:iCs w:val="0"/>
                <w:color w:val="auto"/>
                <w:sz w:val="24"/>
                <w:szCs w:val="24"/>
                <w:highlight w:val="none"/>
              </w:rPr>
            </w:pPr>
          </w:p>
        </w:tc>
        <w:tc>
          <w:tcPr>
            <w:tcW w:w="1090" w:type="dxa"/>
            <w:noWrap w:val="0"/>
            <w:vAlign w:val="top"/>
          </w:tcPr>
          <w:p>
            <w:pPr>
              <w:spacing w:line="480" w:lineRule="auto"/>
              <w:rPr>
                <w:rFonts w:hint="eastAsia" w:ascii="宋体" w:hAnsi="宋体" w:eastAsia="宋体" w:cs="宋体"/>
                <w:i w:val="0"/>
                <w:iCs w:val="0"/>
                <w:color w:val="auto"/>
                <w:sz w:val="24"/>
                <w:szCs w:val="24"/>
                <w:highlight w:val="none"/>
              </w:rPr>
            </w:pPr>
          </w:p>
        </w:tc>
      </w:tr>
    </w:tbl>
    <w:p>
      <w:pPr>
        <w:pStyle w:val="6"/>
        <w:bidi w:val="0"/>
        <w:jc w:val="center"/>
        <w:outlineLvl w:val="9"/>
        <w:rPr>
          <w:color w:val="auto"/>
          <w:highlight w:val="none"/>
        </w:rPr>
      </w:pPr>
    </w:p>
    <w:p>
      <w:pPr>
        <w:rPr>
          <w:color w:val="auto"/>
          <w:highlight w:val="none"/>
        </w:rPr>
      </w:pPr>
    </w:p>
    <w:p>
      <w:pPr>
        <w:pStyle w:val="2"/>
        <w:rPr>
          <w:color w:val="auto"/>
          <w:highlight w:val="none"/>
        </w:rPr>
      </w:pPr>
    </w:p>
    <w:p>
      <w:pPr>
        <w:pStyle w:val="4"/>
        <w:rPr>
          <w:color w:val="auto"/>
          <w:highlight w:val="none"/>
        </w:rPr>
      </w:pPr>
    </w:p>
    <w:p>
      <w:pPr>
        <w:rPr>
          <w:color w:val="auto"/>
          <w:highlight w:val="none"/>
        </w:rPr>
      </w:pPr>
    </w:p>
    <w:p>
      <w:pPr>
        <w:pStyle w:val="2"/>
        <w:rPr>
          <w:color w:val="auto"/>
          <w:highlight w:val="none"/>
        </w:rPr>
      </w:pPr>
    </w:p>
    <w:p>
      <w:pPr>
        <w:pStyle w:val="6"/>
        <w:bidi w:val="0"/>
        <w:jc w:val="center"/>
        <w:rPr>
          <w:rFonts w:hint="eastAsia"/>
          <w:color w:val="auto"/>
          <w:highlight w:val="none"/>
        </w:rPr>
      </w:pPr>
      <w:bookmarkStart w:id="298" w:name="_Toc24437"/>
      <w:r>
        <w:rPr>
          <w:rFonts w:hint="eastAsia"/>
          <w:color w:val="auto"/>
          <w:highlight w:val="none"/>
        </w:rPr>
        <w:t>工程总承包项目清单及计价表</w:t>
      </w:r>
      <w:bookmarkEnd w:id="298"/>
    </w:p>
    <w:p>
      <w:pPr>
        <w:widowControl/>
        <w:jc w:val="center"/>
        <w:rPr>
          <w:rFonts w:hint="eastAsia" w:ascii="宋体" w:hAnsi="宋体" w:eastAsia="宋体" w:cs="宋体"/>
          <w:b/>
          <w:i w:val="0"/>
          <w:iCs w:val="0"/>
          <w:color w:val="auto"/>
          <w:sz w:val="24"/>
          <w:szCs w:val="24"/>
          <w:highlight w:val="none"/>
        </w:rPr>
      </w:pPr>
    </w:p>
    <w:p>
      <w:pPr>
        <w:widowControl/>
        <w:jc w:val="center"/>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表1工程总承包项目费用汇总表</w:t>
      </w:r>
    </w:p>
    <w:p>
      <w:pPr>
        <w:widowControl/>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项目名称：</w:t>
      </w:r>
    </w:p>
    <w:tbl>
      <w:tblPr>
        <w:tblStyle w:val="2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260"/>
        <w:gridCol w:w="184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序号</w:t>
            </w:r>
          </w:p>
        </w:tc>
        <w:tc>
          <w:tcPr>
            <w:tcW w:w="3260"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项目名称</w:t>
            </w:r>
          </w:p>
        </w:tc>
        <w:tc>
          <w:tcPr>
            <w:tcW w:w="1843"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金额（元）</w:t>
            </w:r>
          </w:p>
        </w:tc>
        <w:tc>
          <w:tcPr>
            <w:tcW w:w="2835"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p>
        </w:tc>
        <w:tc>
          <w:tcPr>
            <w:tcW w:w="326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工程设计费</w:t>
            </w:r>
          </w:p>
        </w:tc>
        <w:tc>
          <w:tcPr>
            <w:tcW w:w="184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83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p>
        </w:tc>
        <w:tc>
          <w:tcPr>
            <w:tcW w:w="326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设备购置费</w:t>
            </w:r>
          </w:p>
        </w:tc>
        <w:tc>
          <w:tcPr>
            <w:tcW w:w="184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83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p>
        </w:tc>
        <w:tc>
          <w:tcPr>
            <w:tcW w:w="326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建筑安装工程费</w:t>
            </w:r>
          </w:p>
        </w:tc>
        <w:tc>
          <w:tcPr>
            <w:tcW w:w="184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83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p>
        </w:tc>
        <w:tc>
          <w:tcPr>
            <w:tcW w:w="326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工程总承包其他费</w:t>
            </w:r>
          </w:p>
        </w:tc>
        <w:tc>
          <w:tcPr>
            <w:tcW w:w="184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83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26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84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83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26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84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83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26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合计</w:t>
            </w:r>
          </w:p>
        </w:tc>
        <w:tc>
          <w:tcPr>
            <w:tcW w:w="184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83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26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84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83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26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84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835" w:type="dxa"/>
            <w:noWrap/>
            <w:vAlign w:val="center"/>
          </w:tcPr>
          <w:p>
            <w:pPr>
              <w:widowControl/>
              <w:spacing w:line="360" w:lineRule="auto"/>
              <w:jc w:val="center"/>
              <w:rPr>
                <w:rFonts w:hint="eastAsia" w:ascii="宋体" w:hAnsi="宋体" w:eastAsia="宋体" w:cs="宋体"/>
                <w:i w:val="0"/>
                <w:iCs w:val="0"/>
                <w:color w:val="auto"/>
                <w:sz w:val="24"/>
                <w:szCs w:val="24"/>
                <w:highlight w:val="none"/>
              </w:rPr>
            </w:pPr>
          </w:p>
        </w:tc>
      </w:tr>
    </w:tbl>
    <w:p>
      <w:pPr>
        <w:widowControl/>
        <w:rPr>
          <w:rFonts w:hint="eastAsia" w:ascii="宋体" w:hAnsi="宋体" w:eastAsia="宋体" w:cs="宋体"/>
          <w:i w:val="0"/>
          <w:iCs w:val="0"/>
          <w:color w:val="auto"/>
          <w:sz w:val="24"/>
          <w:szCs w:val="24"/>
          <w:highlight w:val="none"/>
        </w:rPr>
      </w:pPr>
    </w:p>
    <w:p>
      <w:pPr>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br w:type="page"/>
      </w:r>
    </w:p>
    <w:p>
      <w:pPr>
        <w:widowControl/>
        <w:jc w:val="center"/>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表2 工程总承包项目工程设计费清单及计价表</w:t>
      </w:r>
    </w:p>
    <w:p>
      <w:pPr>
        <w:widowControl/>
        <w:ind w:firstLine="720" w:firstLineChars="3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项目名称：</w:t>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3155"/>
        <w:gridCol w:w="1884"/>
        <w:gridCol w:w="2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0"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序号</w:t>
            </w:r>
          </w:p>
        </w:tc>
        <w:tc>
          <w:tcPr>
            <w:tcW w:w="3155"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项目名称</w:t>
            </w:r>
          </w:p>
        </w:tc>
        <w:tc>
          <w:tcPr>
            <w:tcW w:w="1884"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金额（元）</w:t>
            </w:r>
          </w:p>
        </w:tc>
        <w:tc>
          <w:tcPr>
            <w:tcW w:w="2493"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1.1</w:t>
            </w:r>
          </w:p>
        </w:tc>
        <w:tc>
          <w:tcPr>
            <w:tcW w:w="315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施工图设计费（含深化设计费等招标文件规定的所有设计）</w:t>
            </w:r>
          </w:p>
        </w:tc>
        <w:tc>
          <w:tcPr>
            <w:tcW w:w="188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4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15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88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4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15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88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4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15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88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4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0"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15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合计</w:t>
            </w:r>
          </w:p>
        </w:tc>
        <w:tc>
          <w:tcPr>
            <w:tcW w:w="188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4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bl>
    <w:p>
      <w:pPr>
        <w:widowControl/>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注：根据招标文件明确由投标人承担的设计工作范围内容，投标人认为需要增加的费用项可自行添加，并列明该项目的名称及金额。</w:t>
      </w:r>
    </w:p>
    <w:p>
      <w:pPr>
        <w:widowControl/>
        <w:spacing w:line="360" w:lineRule="auto"/>
        <w:rPr>
          <w:rFonts w:hint="eastAsia" w:ascii="宋体" w:hAnsi="宋体" w:eastAsia="宋体" w:cs="宋体"/>
          <w:i w:val="0"/>
          <w:iCs w:val="0"/>
          <w:color w:val="auto"/>
          <w:sz w:val="24"/>
          <w:szCs w:val="24"/>
          <w:highlight w:val="none"/>
        </w:rPr>
      </w:pPr>
    </w:p>
    <w:p>
      <w:pPr>
        <w:widowControl/>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br w:type="page"/>
      </w:r>
    </w:p>
    <w:p>
      <w:pPr>
        <w:widowControl/>
        <w:jc w:val="center"/>
        <w:rPr>
          <w:rFonts w:hint="eastAsia" w:ascii="宋体" w:hAnsi="宋体" w:eastAsia="宋体" w:cs="宋体"/>
          <w:b/>
          <w:i w:val="0"/>
          <w:iCs w:val="0"/>
          <w:color w:val="auto"/>
          <w:sz w:val="24"/>
          <w:szCs w:val="24"/>
          <w:highlight w:val="none"/>
          <w:lang w:eastAsia="zh-CN"/>
        </w:rPr>
      </w:pPr>
      <w:r>
        <w:rPr>
          <w:rFonts w:hint="eastAsia" w:ascii="宋体" w:hAnsi="宋体" w:eastAsia="宋体" w:cs="宋体"/>
          <w:b/>
          <w:i w:val="0"/>
          <w:iCs w:val="0"/>
          <w:color w:val="auto"/>
          <w:sz w:val="24"/>
          <w:szCs w:val="24"/>
          <w:highlight w:val="none"/>
        </w:rPr>
        <w:t>表3  工程总承包项目设备购置费清单及计价表</w:t>
      </w:r>
      <w:r>
        <w:rPr>
          <w:rFonts w:hint="eastAsia" w:ascii="宋体" w:hAnsi="宋体" w:cs="宋体"/>
          <w:b/>
          <w:i w:val="0"/>
          <w:iCs w:val="0"/>
          <w:color w:val="auto"/>
          <w:sz w:val="24"/>
          <w:szCs w:val="24"/>
          <w:highlight w:val="none"/>
          <w:lang w:eastAsia="zh-CN"/>
        </w:rPr>
        <w:t>（本项目不适用）</w:t>
      </w:r>
    </w:p>
    <w:p>
      <w:pPr>
        <w:widowControl/>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项目名称：</w:t>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093"/>
        <w:gridCol w:w="1376"/>
        <w:gridCol w:w="525"/>
        <w:gridCol w:w="907"/>
        <w:gridCol w:w="939"/>
        <w:gridCol w:w="939"/>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816"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序号</w:t>
            </w:r>
          </w:p>
        </w:tc>
        <w:tc>
          <w:tcPr>
            <w:tcW w:w="2093"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项目名称</w:t>
            </w:r>
          </w:p>
        </w:tc>
        <w:tc>
          <w:tcPr>
            <w:tcW w:w="1376"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技术参数规格型号</w:t>
            </w:r>
          </w:p>
        </w:tc>
        <w:tc>
          <w:tcPr>
            <w:tcW w:w="525"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单位</w:t>
            </w:r>
          </w:p>
        </w:tc>
        <w:tc>
          <w:tcPr>
            <w:tcW w:w="907"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数量</w:t>
            </w:r>
          </w:p>
        </w:tc>
        <w:tc>
          <w:tcPr>
            <w:tcW w:w="939"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单价</w:t>
            </w:r>
          </w:p>
          <w:p>
            <w:pPr>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（元）</w:t>
            </w:r>
          </w:p>
        </w:tc>
        <w:tc>
          <w:tcPr>
            <w:tcW w:w="939"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合价</w:t>
            </w:r>
          </w:p>
          <w:p>
            <w:pPr>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（元）</w:t>
            </w:r>
          </w:p>
        </w:tc>
        <w:tc>
          <w:tcPr>
            <w:tcW w:w="927"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w:t>
            </w: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工程设备费</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w:t>
            </w: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（设备名称1）</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2.1.2</w:t>
            </w: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（设备名称2）</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w:t>
            </w: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必备的备品备件</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2.2.1</w:t>
            </w: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（备品备件1）</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2.2.2</w:t>
            </w: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（备品备件2）</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w:t>
            </w: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暂估价</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09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合计</w:t>
            </w:r>
          </w:p>
        </w:tc>
        <w:tc>
          <w:tcPr>
            <w:tcW w:w="137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25"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0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bl>
    <w:p>
      <w:pPr>
        <w:widowControl/>
        <w:spacing w:line="360" w:lineRule="auto"/>
        <w:ind w:firstLine="720" w:firstLineChars="3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注：招标人应详细列明工程设备的技术参数、规格型号、计量单位、数量，以及所需备品备件的要求。</w:t>
      </w:r>
    </w:p>
    <w:p>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br w:type="page"/>
      </w:r>
    </w:p>
    <w:p>
      <w:pPr>
        <w:widowControl/>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表4  工程总承包项目建筑安装工程费清单及计价表</w:t>
      </w:r>
    </w:p>
    <w:p>
      <w:pPr>
        <w:widowControl/>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项目名称：</w:t>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r>
        <w:rPr>
          <w:rFonts w:hint="eastAsia" w:ascii="宋体" w:hAnsi="宋体" w:eastAsia="宋体" w:cs="宋体"/>
          <w:i w:val="0"/>
          <w:iCs w:val="0"/>
          <w:color w:val="auto"/>
          <w:sz w:val="24"/>
          <w:szCs w:val="24"/>
          <w:highlight w:val="none"/>
        </w:rPr>
        <w:tab/>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016"/>
        <w:gridCol w:w="1922"/>
        <w:gridCol w:w="539"/>
        <w:gridCol w:w="1136"/>
        <w:gridCol w:w="941"/>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027"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序号</w:t>
            </w:r>
          </w:p>
        </w:tc>
        <w:tc>
          <w:tcPr>
            <w:tcW w:w="2016"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项目名称</w:t>
            </w:r>
          </w:p>
        </w:tc>
        <w:tc>
          <w:tcPr>
            <w:tcW w:w="1922"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工程内容</w:t>
            </w:r>
          </w:p>
        </w:tc>
        <w:tc>
          <w:tcPr>
            <w:tcW w:w="539"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单位</w:t>
            </w:r>
          </w:p>
        </w:tc>
        <w:tc>
          <w:tcPr>
            <w:tcW w:w="1136"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规模数量</w:t>
            </w:r>
          </w:p>
        </w:tc>
        <w:tc>
          <w:tcPr>
            <w:tcW w:w="941"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价格</w:t>
            </w:r>
          </w:p>
          <w:p>
            <w:pPr>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（元）</w:t>
            </w:r>
          </w:p>
        </w:tc>
        <w:tc>
          <w:tcPr>
            <w:tcW w:w="941"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建筑安装工程费</w:t>
            </w:r>
            <w:r>
              <w:rPr>
                <w:rFonts w:hint="eastAsia" w:ascii="宋体" w:hAnsi="宋体" w:cs="宋体"/>
                <w:i w:val="0"/>
                <w:iCs w:val="0"/>
                <w:color w:val="auto"/>
                <w:sz w:val="24"/>
                <w:szCs w:val="24"/>
                <w:highlight w:val="none"/>
                <w:lang w:eastAsia="zh-CN"/>
              </w:rPr>
              <w:t>（固定总价部分）</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3.1.1</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（项目工程1）</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3.1.2</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（项目工程2）</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default" w:ascii="宋体" w:hAnsi="宋体" w:eastAsia="宋体" w:cs="宋体"/>
                <w:i w:val="0"/>
                <w:iCs w:val="0"/>
                <w:color w:val="auto"/>
                <w:sz w:val="24"/>
                <w:szCs w:val="24"/>
                <w:highlight w:val="none"/>
                <w:lang w:val="en-US" w:eastAsia="zh-CN"/>
              </w:rPr>
            </w:pPr>
            <w:r>
              <w:rPr>
                <w:rFonts w:hint="eastAsia" w:ascii="宋体" w:hAnsi="宋体" w:cs="宋体"/>
                <w:i w:val="0"/>
                <w:iCs w:val="0"/>
                <w:color w:val="auto"/>
                <w:sz w:val="24"/>
                <w:szCs w:val="24"/>
                <w:highlight w:val="none"/>
                <w:lang w:val="en-US" w:eastAsia="zh-CN"/>
              </w:rPr>
              <w:t>3.1.3</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（项目工程</w:t>
            </w:r>
            <w:r>
              <w:rPr>
                <w:rFonts w:hint="eastAsia" w:ascii="宋体" w:hAnsi="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3.2</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暂估价</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3.2.1</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（暂估价工程1）</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3.2.</w:t>
            </w:r>
            <w:r>
              <w:rPr>
                <w:rFonts w:hint="eastAsia" w:ascii="宋体" w:hAnsi="宋体" w:cs="宋体"/>
                <w:i w:val="0"/>
                <w:iCs w:val="0"/>
                <w:color w:val="auto"/>
                <w:sz w:val="24"/>
                <w:szCs w:val="24"/>
                <w:highlight w:val="none"/>
                <w:lang w:val="en-US" w:eastAsia="zh-CN"/>
              </w:rPr>
              <w:t>2</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（暂估价工程2）</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3.2.</w:t>
            </w:r>
            <w:r>
              <w:rPr>
                <w:rFonts w:hint="eastAsia" w:ascii="宋体" w:hAnsi="宋体" w:cs="宋体"/>
                <w:i w:val="0"/>
                <w:iCs w:val="0"/>
                <w:color w:val="auto"/>
                <w:sz w:val="24"/>
                <w:szCs w:val="24"/>
                <w:highlight w:val="none"/>
                <w:lang w:val="en-US" w:eastAsia="zh-CN"/>
              </w:rPr>
              <w:t>3</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（暂估价工程</w:t>
            </w:r>
            <w:r>
              <w:rPr>
                <w:rFonts w:hint="eastAsia" w:ascii="宋体" w:hAnsi="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3.2.</w:t>
            </w:r>
            <w:r>
              <w:rPr>
                <w:rFonts w:hint="eastAsia" w:ascii="宋体" w:hAnsi="宋体" w:cs="宋体"/>
                <w:i w:val="0"/>
                <w:iCs w:val="0"/>
                <w:color w:val="auto"/>
                <w:sz w:val="24"/>
                <w:szCs w:val="24"/>
                <w:highlight w:val="none"/>
                <w:lang w:val="en-US" w:eastAsia="zh-CN"/>
              </w:rPr>
              <w:t>4</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（暂估价工程</w:t>
            </w:r>
            <w:r>
              <w:rPr>
                <w:rFonts w:hint="eastAsia" w:ascii="宋体" w:hAnsi="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3.3</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暂列金额</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3.3.1</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标化工地增加费</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3.3.</w:t>
            </w:r>
            <w:r>
              <w:rPr>
                <w:rFonts w:hint="eastAsia" w:ascii="宋体" w:hAnsi="宋体" w:cs="宋体"/>
                <w:i w:val="0"/>
                <w:iCs w:val="0"/>
                <w:color w:val="auto"/>
                <w:sz w:val="24"/>
                <w:szCs w:val="24"/>
                <w:highlight w:val="none"/>
                <w:lang w:val="en-US" w:eastAsia="zh-CN"/>
              </w:rPr>
              <w:t>2</w:t>
            </w: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暂列金额</w:t>
            </w:r>
          </w:p>
        </w:tc>
        <w:tc>
          <w:tcPr>
            <w:tcW w:w="192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bidi="ar-SA"/>
              </w:rPr>
            </w:pPr>
            <w:r>
              <w:rPr>
                <w:rFonts w:hint="eastAsia" w:ascii="宋体" w:hAnsi="宋体" w:eastAsia="宋体" w:cs="宋体"/>
                <w:i w:val="0"/>
                <w:iCs w:val="0"/>
                <w:color w:val="auto"/>
                <w:sz w:val="24"/>
                <w:szCs w:val="24"/>
                <w:highlight w:val="none"/>
                <w:lang w:val="en-US" w:eastAsia="zh-CN"/>
              </w:rPr>
              <w:t>变更增加</w:t>
            </w: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27"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201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 计</w:t>
            </w:r>
          </w:p>
        </w:tc>
        <w:tc>
          <w:tcPr>
            <w:tcW w:w="1922"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539"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1136"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941" w:type="dxa"/>
            <w:noWrap/>
            <w:vAlign w:val="center"/>
          </w:tcPr>
          <w:p>
            <w:pPr>
              <w:widowControl/>
              <w:spacing w:line="360" w:lineRule="auto"/>
              <w:jc w:val="center"/>
              <w:rPr>
                <w:rFonts w:hint="eastAsia" w:ascii="宋体" w:hAnsi="宋体" w:eastAsia="宋体" w:cs="宋体"/>
                <w:i w:val="0"/>
                <w:iCs w:val="0"/>
                <w:color w:val="auto"/>
                <w:sz w:val="24"/>
                <w:szCs w:val="24"/>
                <w:highlight w:val="none"/>
              </w:rPr>
            </w:pPr>
          </w:p>
        </w:tc>
      </w:tr>
    </w:tbl>
    <w:p>
      <w:pPr>
        <w:widowControl/>
        <w:spacing w:line="360" w:lineRule="auto"/>
        <w:ind w:firstLine="720" w:firstLineChars="3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注：根据招标文件的工作内容，投标人认为需要增加的费用项可自行添加，并列明该项目的名称及金额。</w:t>
      </w:r>
    </w:p>
    <w:p>
      <w:pPr>
        <w:widowControl/>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br w:type="page"/>
      </w:r>
    </w:p>
    <w:p>
      <w:pPr>
        <w:widowControl/>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表5  工程总承包其他费清单及计价表</w:t>
      </w:r>
    </w:p>
    <w:p>
      <w:pPr>
        <w:widowControl/>
        <w:rPr>
          <w:rFonts w:hint="eastAsia" w:ascii="宋体" w:hAnsi="宋体" w:eastAsia="宋体" w:cs="宋体"/>
          <w:bCs/>
          <w:i w:val="0"/>
          <w:iCs w:val="0"/>
          <w:color w:val="auto"/>
          <w:sz w:val="24"/>
          <w:szCs w:val="24"/>
          <w:highlight w:val="none"/>
        </w:rPr>
      </w:pPr>
    </w:p>
    <w:p>
      <w:pPr>
        <w:widowControl/>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项目名称：</w:t>
      </w:r>
    </w:p>
    <w:tbl>
      <w:tblPr>
        <w:tblStyle w:val="20"/>
        <w:tblW w:w="10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3811"/>
        <w:gridCol w:w="1833"/>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序号</w:t>
            </w:r>
          </w:p>
        </w:tc>
        <w:tc>
          <w:tcPr>
            <w:tcW w:w="3811"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项目名称</w:t>
            </w:r>
          </w:p>
        </w:tc>
        <w:tc>
          <w:tcPr>
            <w:tcW w:w="1833"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金额（元）</w:t>
            </w:r>
          </w:p>
        </w:tc>
        <w:tc>
          <w:tcPr>
            <w:tcW w:w="3004" w:type="dxa"/>
            <w:noWrap w:val="0"/>
            <w:vAlign w:val="center"/>
          </w:tcPr>
          <w:p>
            <w:pPr>
              <w:widowControl/>
              <w:spacing w:line="36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4.1</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工程总承包管理费</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工程总承包专项费</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widowControl/>
              <w:spacing w:line="360" w:lineRule="auto"/>
              <w:jc w:val="center"/>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eastAsia="zh-CN"/>
              </w:rPr>
              <w:t>限价</w:t>
            </w:r>
            <w:r>
              <w:rPr>
                <w:rFonts w:hint="eastAsia" w:ascii="宋体" w:hAnsi="宋体" w:eastAsia="宋体" w:cs="宋体"/>
                <w:i w:val="0"/>
                <w:iCs w:val="0"/>
                <w:color w:val="auto"/>
                <w:sz w:val="24"/>
                <w:szCs w:val="24"/>
                <w:highlight w:val="none"/>
                <w:lang w:val="en-US" w:eastAsia="zh-CN"/>
              </w:rPr>
              <w:t>1700万元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4.2.1</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工程保险费</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0"/>
                <w:szCs w:val="20"/>
                <w:highlight w:val="none"/>
                <w:u w:val="none"/>
                <w:lang w:val="en-US" w:eastAsia="zh-CN" w:bidi="ar"/>
              </w:rPr>
              <w:t>承包人在项目建设期内对建筑工程、安装工程、机电设备进行投保而发生的费用。包括建设工程设计责任险、建筑安装工工程一切险等，不包括已列入建筑安装工程费中的施工企业的人员、财产、车辆保险费，不包括安责险（安责险的相关支出列入工程安全生产费用成本）。承包人投保的建设工程设计责任险、建筑安装工工程一切险等按实际支出结算，本次为暂定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4.2.2</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场地准备及临时设施费</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0"/>
                <w:szCs w:val="20"/>
                <w:highlight w:val="none"/>
                <w:u w:val="none"/>
                <w:lang w:val="en-US" w:eastAsia="zh-CN" w:bidi="ar"/>
              </w:rPr>
              <w:t>承包人为建设项目场地准备和塔设临时设施发生的费用以及苗木迁移费用，现场已有苗木由总承包单位自行处置。不包括已列入建筑安装工程费用的施工单位临时设施费。由投标单位自行报价。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4.2.3</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bidi="ar-SA"/>
              </w:rPr>
              <w:t>招标代理费</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4.2.4</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lang w:val="en-US" w:eastAsia="zh-CN" w:bidi="ar-SA"/>
              </w:rPr>
            </w:pPr>
            <w:r>
              <w:rPr>
                <w:rFonts w:hint="eastAsia" w:ascii="宋体" w:hAnsi="宋体" w:eastAsia="宋体" w:cs="宋体"/>
                <w:i w:val="0"/>
                <w:iCs w:val="0"/>
                <w:color w:val="auto"/>
                <w:sz w:val="24"/>
                <w:szCs w:val="24"/>
                <w:highlight w:val="none"/>
              </w:rPr>
              <w:t>……</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4.2.5</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4.2.6</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4.2.7</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4.2.8</w:t>
            </w: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8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811"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合计</w:t>
            </w:r>
          </w:p>
        </w:tc>
        <w:tc>
          <w:tcPr>
            <w:tcW w:w="1833"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c>
          <w:tcPr>
            <w:tcW w:w="3004" w:type="dxa"/>
            <w:noWrap w:val="0"/>
            <w:vAlign w:val="center"/>
          </w:tcPr>
          <w:p>
            <w:pPr>
              <w:widowControl/>
              <w:spacing w:line="360" w:lineRule="auto"/>
              <w:jc w:val="center"/>
              <w:rPr>
                <w:rFonts w:hint="eastAsia" w:ascii="宋体" w:hAnsi="宋体" w:eastAsia="宋体" w:cs="宋体"/>
                <w:i w:val="0"/>
                <w:iCs w:val="0"/>
                <w:color w:val="auto"/>
                <w:sz w:val="24"/>
                <w:szCs w:val="24"/>
                <w:highlight w:val="none"/>
              </w:rPr>
            </w:pPr>
          </w:p>
        </w:tc>
      </w:tr>
    </w:tbl>
    <w:p>
      <w:pPr>
        <w:widowControl/>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注：根据招标文件的工作内容，投标人认为需要增加的费用项可自行添加，并列明该项目的名称及金额。</w:t>
      </w:r>
    </w:p>
    <w:p>
      <w:pPr>
        <w:widowControl/>
        <w:rPr>
          <w:rFonts w:hint="eastAsia" w:ascii="宋体" w:hAnsi="宋体" w:eastAsia="宋体" w:cs="宋体"/>
          <w:i w:val="0"/>
          <w:iCs w:val="0"/>
          <w:color w:val="auto"/>
          <w:sz w:val="24"/>
          <w:szCs w:val="24"/>
          <w:highlight w:val="none"/>
        </w:rPr>
      </w:pPr>
    </w:p>
    <w:p>
      <w:pPr>
        <w:widowControl/>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br w:type="page"/>
      </w:r>
    </w:p>
    <w:p>
      <w:pPr>
        <w:widowControl/>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表6  工程总承包项目建筑安装工程费项目清单及计价表</w:t>
      </w:r>
    </w:p>
    <w:p>
      <w:pPr>
        <w:widowControl/>
        <w:rPr>
          <w:rFonts w:hint="eastAsia" w:ascii="宋体" w:hAnsi="宋体" w:eastAsia="宋体" w:cs="宋体"/>
          <w:b/>
          <w:bCs/>
          <w:i w:val="0"/>
          <w:iCs w:val="0"/>
          <w:color w:val="auto"/>
          <w:sz w:val="24"/>
          <w:szCs w:val="24"/>
          <w:highlight w:val="none"/>
        </w:rPr>
      </w:pPr>
    </w:p>
    <w:p>
      <w:pPr>
        <w:widowControl/>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工程名称：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732"/>
        <w:gridCol w:w="1042"/>
        <w:gridCol w:w="1042"/>
        <w:gridCol w:w="694"/>
        <w:gridCol w:w="694"/>
        <w:gridCol w:w="802"/>
        <w:gridCol w:w="802"/>
        <w:gridCol w:w="804"/>
        <w:gridCol w:w="803"/>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br w:type="page"/>
            </w:r>
            <w:r>
              <w:rPr>
                <w:rFonts w:hint="eastAsia" w:ascii="宋体" w:hAnsi="宋体" w:eastAsia="宋体" w:cs="宋体"/>
                <w:bCs/>
                <w:i w:val="0"/>
                <w:iCs w:val="0"/>
                <w:color w:val="auto"/>
                <w:sz w:val="24"/>
                <w:szCs w:val="24"/>
                <w:highlight w:val="none"/>
              </w:rPr>
              <w:t>序号</w:t>
            </w:r>
          </w:p>
        </w:tc>
        <w:tc>
          <w:tcPr>
            <w:tcW w:w="824"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清单项目编码</w:t>
            </w:r>
          </w:p>
        </w:tc>
        <w:tc>
          <w:tcPr>
            <w:tcW w:w="1238"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清单项目名称</w:t>
            </w:r>
          </w:p>
        </w:tc>
        <w:tc>
          <w:tcPr>
            <w:tcW w:w="1238"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工程内容</w:t>
            </w:r>
          </w:p>
        </w:tc>
        <w:tc>
          <w:tcPr>
            <w:tcW w:w="774"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计量规则</w:t>
            </w:r>
          </w:p>
        </w:tc>
        <w:tc>
          <w:tcPr>
            <w:tcW w:w="774"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计量单位</w:t>
            </w:r>
          </w:p>
        </w:tc>
        <w:tc>
          <w:tcPr>
            <w:tcW w:w="918"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工程量</w:t>
            </w:r>
          </w:p>
        </w:tc>
        <w:tc>
          <w:tcPr>
            <w:tcW w:w="2755" w:type="dxa"/>
            <w:gridSpan w:val="3"/>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金额（元）</w:t>
            </w:r>
          </w:p>
        </w:tc>
        <w:tc>
          <w:tcPr>
            <w:tcW w:w="918"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824"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1238"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1238"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774"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774"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918"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918" w:type="dxa"/>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综合</w:t>
            </w:r>
          </w:p>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单价</w:t>
            </w:r>
          </w:p>
        </w:tc>
        <w:tc>
          <w:tcPr>
            <w:tcW w:w="919" w:type="dxa"/>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合价</w:t>
            </w:r>
          </w:p>
        </w:tc>
        <w:tc>
          <w:tcPr>
            <w:tcW w:w="918" w:type="dxa"/>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其中</w:t>
            </w:r>
          </w:p>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暂估价</w:t>
            </w:r>
          </w:p>
        </w:tc>
        <w:tc>
          <w:tcPr>
            <w:tcW w:w="918"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1238"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774"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9"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c>
          <w:tcPr>
            <w:tcW w:w="918" w:type="dxa"/>
            <w:noWrap w:val="0"/>
            <w:vAlign w:val="center"/>
          </w:tcPr>
          <w:p>
            <w:pPr>
              <w:widowControl/>
              <w:rPr>
                <w:rFonts w:hint="eastAsia" w:ascii="宋体" w:hAnsi="宋体" w:eastAsia="宋体" w:cs="宋体"/>
                <w:bCs/>
                <w:i w:val="0"/>
                <w:iCs w:val="0"/>
                <w:color w:val="auto"/>
                <w:sz w:val="24"/>
                <w:szCs w:val="24"/>
                <w:highlight w:val="none"/>
              </w:rPr>
            </w:pPr>
          </w:p>
        </w:tc>
      </w:tr>
    </w:tbl>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p>
    <w:p>
      <w:pPr>
        <w:pStyle w:val="2"/>
        <w:rPr>
          <w:rFonts w:hint="eastAsia"/>
          <w:color w:val="auto"/>
          <w:highlight w:val="none"/>
        </w:rPr>
      </w:pPr>
    </w:p>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p>
    <w:p>
      <w:pPr>
        <w:widowControl/>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表</w:t>
      </w:r>
      <w:r>
        <w:rPr>
          <w:rFonts w:hint="eastAsia" w:ascii="宋体" w:hAnsi="宋体" w:cs="宋体"/>
          <w:b/>
          <w:bCs/>
          <w:i w:val="0"/>
          <w:iCs w:val="0"/>
          <w:color w:val="auto"/>
          <w:sz w:val="24"/>
          <w:szCs w:val="24"/>
          <w:highlight w:val="none"/>
          <w:lang w:val="en-US" w:eastAsia="zh-CN"/>
        </w:rPr>
        <w:t>7</w:t>
      </w:r>
      <w:r>
        <w:rPr>
          <w:rFonts w:hint="eastAsia" w:ascii="宋体" w:hAnsi="宋体" w:eastAsia="宋体" w:cs="宋体"/>
          <w:b/>
          <w:bCs/>
          <w:i w:val="0"/>
          <w:iCs w:val="0"/>
          <w:color w:val="auto"/>
          <w:sz w:val="24"/>
          <w:szCs w:val="24"/>
          <w:highlight w:val="none"/>
        </w:rPr>
        <w:t xml:space="preserve">  工程总承包项目</w:t>
      </w:r>
      <w:r>
        <w:rPr>
          <w:rFonts w:hint="eastAsia" w:ascii="宋体" w:hAnsi="宋体" w:cs="宋体"/>
          <w:b/>
          <w:bCs/>
          <w:i w:val="0"/>
          <w:iCs w:val="0"/>
          <w:color w:val="auto"/>
          <w:sz w:val="24"/>
          <w:szCs w:val="24"/>
          <w:highlight w:val="none"/>
          <w:lang w:eastAsia="zh-CN"/>
        </w:rPr>
        <w:t>综合单价分析</w:t>
      </w:r>
      <w:r>
        <w:rPr>
          <w:rFonts w:hint="eastAsia" w:ascii="宋体" w:hAnsi="宋体" w:eastAsia="宋体" w:cs="宋体"/>
          <w:b/>
          <w:bCs/>
          <w:i w:val="0"/>
          <w:iCs w:val="0"/>
          <w:color w:val="auto"/>
          <w:sz w:val="24"/>
          <w:szCs w:val="24"/>
          <w:highlight w:val="none"/>
        </w:rPr>
        <w:t>表</w:t>
      </w:r>
    </w:p>
    <w:p>
      <w:pPr>
        <w:widowControl/>
        <w:rPr>
          <w:rFonts w:hint="eastAsia" w:ascii="宋体" w:hAnsi="宋体" w:eastAsia="宋体" w:cs="宋体"/>
          <w:b/>
          <w:bCs/>
          <w:i w:val="0"/>
          <w:iCs w:val="0"/>
          <w:color w:val="auto"/>
          <w:sz w:val="24"/>
          <w:szCs w:val="24"/>
          <w:highlight w:val="none"/>
        </w:rPr>
      </w:pPr>
    </w:p>
    <w:p>
      <w:pPr>
        <w:widowControl/>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工程名称：</w:t>
      </w:r>
    </w:p>
    <w:tbl>
      <w:tblPr>
        <w:tblStyle w:val="20"/>
        <w:tblW w:w="10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824"/>
        <w:gridCol w:w="752"/>
        <w:gridCol w:w="675"/>
        <w:gridCol w:w="660"/>
        <w:gridCol w:w="750"/>
        <w:gridCol w:w="1087"/>
        <w:gridCol w:w="743"/>
        <w:gridCol w:w="915"/>
        <w:gridCol w:w="855"/>
        <w:gridCol w:w="750"/>
        <w:gridCol w:w="840"/>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br w:type="page"/>
            </w:r>
            <w:r>
              <w:rPr>
                <w:rFonts w:hint="eastAsia" w:ascii="宋体" w:hAnsi="宋体" w:eastAsia="宋体" w:cs="宋体"/>
                <w:bCs/>
                <w:i w:val="0"/>
                <w:iCs w:val="0"/>
                <w:color w:val="auto"/>
                <w:sz w:val="24"/>
                <w:szCs w:val="24"/>
                <w:highlight w:val="none"/>
              </w:rPr>
              <w:t>序号</w:t>
            </w:r>
          </w:p>
        </w:tc>
        <w:tc>
          <w:tcPr>
            <w:tcW w:w="824" w:type="dxa"/>
            <w:vMerge w:val="restart"/>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项目编号（定额编号）</w:t>
            </w:r>
          </w:p>
        </w:tc>
        <w:tc>
          <w:tcPr>
            <w:tcW w:w="752" w:type="dxa"/>
            <w:vMerge w:val="restart"/>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清单</w:t>
            </w:r>
            <w:r>
              <w:rPr>
                <w:rFonts w:hint="eastAsia" w:ascii="宋体" w:hAnsi="宋体" w:cs="宋体"/>
                <w:bCs/>
                <w:i w:val="0"/>
                <w:iCs w:val="0"/>
                <w:color w:val="auto"/>
                <w:sz w:val="24"/>
                <w:szCs w:val="24"/>
                <w:highlight w:val="none"/>
                <w:lang w:eastAsia="zh-CN"/>
              </w:rPr>
              <w:t>（定额）</w:t>
            </w:r>
            <w:r>
              <w:rPr>
                <w:rFonts w:hint="eastAsia" w:ascii="宋体" w:hAnsi="宋体" w:eastAsia="宋体" w:cs="宋体"/>
                <w:bCs/>
                <w:i w:val="0"/>
                <w:iCs w:val="0"/>
                <w:color w:val="auto"/>
                <w:sz w:val="24"/>
                <w:szCs w:val="24"/>
                <w:highlight w:val="none"/>
              </w:rPr>
              <w:t>项目名称</w:t>
            </w:r>
          </w:p>
        </w:tc>
        <w:tc>
          <w:tcPr>
            <w:tcW w:w="675" w:type="dxa"/>
            <w:vMerge w:val="restart"/>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计量单位</w:t>
            </w:r>
          </w:p>
        </w:tc>
        <w:tc>
          <w:tcPr>
            <w:tcW w:w="660" w:type="dxa"/>
            <w:vMerge w:val="restart"/>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数量</w:t>
            </w:r>
          </w:p>
        </w:tc>
        <w:tc>
          <w:tcPr>
            <w:tcW w:w="5940" w:type="dxa"/>
            <w:gridSpan w:val="7"/>
            <w:noWrap w:val="0"/>
            <w:vAlign w:val="center"/>
          </w:tcPr>
          <w:p>
            <w:pPr>
              <w:widowControl/>
              <w:jc w:val="center"/>
              <w:rPr>
                <w:rFonts w:hint="eastAsia" w:ascii="宋体" w:hAnsi="宋体" w:eastAsia="宋体" w:cs="宋体"/>
                <w:bCs/>
                <w:i w:val="0"/>
                <w:iCs w:val="0"/>
                <w:color w:val="auto"/>
                <w:sz w:val="24"/>
                <w:szCs w:val="24"/>
                <w:highlight w:val="none"/>
              </w:rPr>
            </w:pPr>
            <w:r>
              <w:rPr>
                <w:rFonts w:hint="eastAsia" w:ascii="宋体" w:hAnsi="宋体" w:cs="宋体"/>
                <w:bCs/>
                <w:i w:val="0"/>
                <w:iCs w:val="0"/>
                <w:color w:val="auto"/>
                <w:sz w:val="24"/>
                <w:szCs w:val="24"/>
                <w:highlight w:val="none"/>
                <w:lang w:eastAsia="zh-CN"/>
              </w:rPr>
              <w:t>综合单价</w:t>
            </w:r>
            <w:r>
              <w:rPr>
                <w:rFonts w:hint="eastAsia" w:ascii="宋体" w:hAnsi="宋体" w:eastAsia="宋体" w:cs="宋体"/>
                <w:bCs/>
                <w:i w:val="0"/>
                <w:iCs w:val="0"/>
                <w:color w:val="auto"/>
                <w:sz w:val="24"/>
                <w:szCs w:val="24"/>
                <w:highlight w:val="none"/>
              </w:rPr>
              <w:t>（元）</w:t>
            </w:r>
          </w:p>
        </w:tc>
        <w:tc>
          <w:tcPr>
            <w:tcW w:w="885" w:type="dxa"/>
            <w:vMerge w:val="restart"/>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824"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752"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675"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660"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c>
          <w:tcPr>
            <w:tcW w:w="750" w:type="dxa"/>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人工费</w:t>
            </w:r>
          </w:p>
        </w:tc>
        <w:tc>
          <w:tcPr>
            <w:tcW w:w="1087" w:type="dxa"/>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材料（设备）费</w:t>
            </w:r>
          </w:p>
        </w:tc>
        <w:tc>
          <w:tcPr>
            <w:tcW w:w="743" w:type="dxa"/>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机械费</w:t>
            </w:r>
          </w:p>
        </w:tc>
        <w:tc>
          <w:tcPr>
            <w:tcW w:w="915" w:type="dxa"/>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单价综合费用</w:t>
            </w:r>
          </w:p>
        </w:tc>
        <w:tc>
          <w:tcPr>
            <w:tcW w:w="855" w:type="dxa"/>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总价综合费用</w:t>
            </w:r>
          </w:p>
        </w:tc>
        <w:tc>
          <w:tcPr>
            <w:tcW w:w="750" w:type="dxa"/>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税金</w:t>
            </w:r>
          </w:p>
        </w:tc>
        <w:tc>
          <w:tcPr>
            <w:tcW w:w="840" w:type="dxa"/>
            <w:noWrap w:val="0"/>
            <w:vAlign w:val="center"/>
          </w:tcPr>
          <w:p>
            <w:pPr>
              <w:widowControl/>
              <w:jc w:val="center"/>
              <w:rPr>
                <w:rFonts w:hint="eastAsia" w:ascii="宋体" w:hAnsi="宋体" w:eastAsia="宋体" w:cs="宋体"/>
                <w:bCs/>
                <w:i w:val="0"/>
                <w:iCs w:val="0"/>
                <w:color w:val="auto"/>
                <w:sz w:val="24"/>
                <w:szCs w:val="24"/>
                <w:highlight w:val="none"/>
                <w:lang w:eastAsia="zh-CN"/>
              </w:rPr>
            </w:pPr>
            <w:r>
              <w:rPr>
                <w:rFonts w:hint="eastAsia" w:ascii="宋体" w:hAnsi="宋体" w:cs="宋体"/>
                <w:bCs/>
                <w:i w:val="0"/>
                <w:iCs w:val="0"/>
                <w:color w:val="auto"/>
                <w:sz w:val="24"/>
                <w:szCs w:val="24"/>
                <w:highlight w:val="none"/>
                <w:lang w:eastAsia="zh-CN"/>
              </w:rPr>
              <w:t>小计</w:t>
            </w:r>
          </w:p>
        </w:tc>
        <w:tc>
          <w:tcPr>
            <w:tcW w:w="885" w:type="dxa"/>
            <w:vMerge w:val="continue"/>
            <w:noWrap w:val="0"/>
            <w:vAlign w:val="center"/>
          </w:tcPr>
          <w:p>
            <w:pPr>
              <w:widowControl/>
              <w:jc w:val="center"/>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8" w:type="dxa"/>
            <w:noWrap w:val="0"/>
            <w:vAlign w:val="center"/>
          </w:tcPr>
          <w:p>
            <w:pPr>
              <w:widowControl/>
              <w:rPr>
                <w:rFonts w:hint="eastAsia" w:ascii="宋体" w:hAnsi="宋体" w:eastAsia="宋体" w:cs="宋体"/>
                <w:bCs/>
                <w:i w:val="0"/>
                <w:iCs w:val="0"/>
                <w:color w:val="auto"/>
                <w:sz w:val="24"/>
                <w:szCs w:val="24"/>
                <w:highlight w:val="none"/>
              </w:rPr>
            </w:pPr>
          </w:p>
        </w:tc>
        <w:tc>
          <w:tcPr>
            <w:tcW w:w="824" w:type="dxa"/>
            <w:noWrap w:val="0"/>
            <w:vAlign w:val="center"/>
          </w:tcPr>
          <w:p>
            <w:pPr>
              <w:widowControl/>
              <w:rPr>
                <w:rFonts w:hint="eastAsia" w:ascii="宋体" w:hAnsi="宋体" w:eastAsia="宋体" w:cs="宋体"/>
                <w:bCs/>
                <w:i w:val="0"/>
                <w:iCs w:val="0"/>
                <w:color w:val="auto"/>
                <w:sz w:val="24"/>
                <w:szCs w:val="24"/>
                <w:highlight w:val="none"/>
              </w:rPr>
            </w:pPr>
          </w:p>
        </w:tc>
        <w:tc>
          <w:tcPr>
            <w:tcW w:w="752" w:type="dxa"/>
            <w:noWrap w:val="0"/>
            <w:vAlign w:val="center"/>
          </w:tcPr>
          <w:p>
            <w:pPr>
              <w:widowControl/>
              <w:rPr>
                <w:rFonts w:hint="eastAsia" w:ascii="宋体" w:hAnsi="宋体" w:eastAsia="宋体" w:cs="宋体"/>
                <w:bCs/>
                <w:i w:val="0"/>
                <w:iCs w:val="0"/>
                <w:color w:val="auto"/>
                <w:sz w:val="24"/>
                <w:szCs w:val="24"/>
                <w:highlight w:val="none"/>
              </w:rPr>
            </w:pPr>
          </w:p>
        </w:tc>
        <w:tc>
          <w:tcPr>
            <w:tcW w:w="675" w:type="dxa"/>
            <w:noWrap w:val="0"/>
            <w:vAlign w:val="center"/>
          </w:tcPr>
          <w:p>
            <w:pPr>
              <w:widowControl/>
              <w:rPr>
                <w:rFonts w:hint="eastAsia" w:ascii="宋体" w:hAnsi="宋体" w:eastAsia="宋体" w:cs="宋体"/>
                <w:bCs/>
                <w:i w:val="0"/>
                <w:iCs w:val="0"/>
                <w:color w:val="auto"/>
                <w:sz w:val="24"/>
                <w:szCs w:val="24"/>
                <w:highlight w:val="none"/>
              </w:rPr>
            </w:pPr>
          </w:p>
        </w:tc>
        <w:tc>
          <w:tcPr>
            <w:tcW w:w="660"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1087" w:type="dxa"/>
            <w:noWrap w:val="0"/>
            <w:vAlign w:val="center"/>
          </w:tcPr>
          <w:p>
            <w:pPr>
              <w:widowControl/>
              <w:rPr>
                <w:rFonts w:hint="eastAsia" w:ascii="宋体" w:hAnsi="宋体" w:eastAsia="宋体" w:cs="宋体"/>
                <w:bCs/>
                <w:i w:val="0"/>
                <w:iCs w:val="0"/>
                <w:color w:val="auto"/>
                <w:sz w:val="24"/>
                <w:szCs w:val="24"/>
                <w:highlight w:val="none"/>
              </w:rPr>
            </w:pPr>
          </w:p>
        </w:tc>
        <w:tc>
          <w:tcPr>
            <w:tcW w:w="743" w:type="dxa"/>
            <w:noWrap w:val="0"/>
            <w:vAlign w:val="center"/>
          </w:tcPr>
          <w:p>
            <w:pPr>
              <w:widowControl/>
              <w:rPr>
                <w:rFonts w:hint="eastAsia" w:ascii="宋体" w:hAnsi="宋体" w:eastAsia="宋体" w:cs="宋体"/>
                <w:bCs/>
                <w:i w:val="0"/>
                <w:iCs w:val="0"/>
                <w:color w:val="auto"/>
                <w:sz w:val="24"/>
                <w:szCs w:val="24"/>
                <w:highlight w:val="none"/>
              </w:rPr>
            </w:pPr>
          </w:p>
        </w:tc>
        <w:tc>
          <w:tcPr>
            <w:tcW w:w="915" w:type="dxa"/>
            <w:noWrap w:val="0"/>
            <w:vAlign w:val="center"/>
          </w:tcPr>
          <w:p>
            <w:pPr>
              <w:widowControl/>
              <w:rPr>
                <w:rFonts w:hint="eastAsia" w:ascii="宋体" w:hAnsi="宋体" w:eastAsia="宋体" w:cs="宋体"/>
                <w:bCs/>
                <w:i w:val="0"/>
                <w:iCs w:val="0"/>
                <w:color w:val="auto"/>
                <w:sz w:val="24"/>
                <w:szCs w:val="24"/>
                <w:highlight w:val="none"/>
              </w:rPr>
            </w:pPr>
          </w:p>
        </w:tc>
        <w:tc>
          <w:tcPr>
            <w:tcW w:w="855" w:type="dxa"/>
            <w:noWrap w:val="0"/>
            <w:vAlign w:val="center"/>
          </w:tcPr>
          <w:p>
            <w:pPr>
              <w:widowControl/>
              <w:rPr>
                <w:rFonts w:hint="eastAsia" w:ascii="宋体" w:hAnsi="宋体" w:eastAsia="宋体" w:cs="宋体"/>
                <w:bCs/>
                <w:i w:val="0"/>
                <w:iCs w:val="0"/>
                <w:color w:val="auto"/>
                <w:sz w:val="24"/>
                <w:szCs w:val="24"/>
                <w:highlight w:val="none"/>
              </w:rPr>
            </w:pPr>
          </w:p>
        </w:tc>
        <w:tc>
          <w:tcPr>
            <w:tcW w:w="750" w:type="dxa"/>
            <w:noWrap w:val="0"/>
            <w:vAlign w:val="center"/>
          </w:tcPr>
          <w:p>
            <w:pPr>
              <w:widowControl/>
              <w:rPr>
                <w:rFonts w:hint="eastAsia" w:ascii="宋体" w:hAnsi="宋体" w:eastAsia="宋体" w:cs="宋体"/>
                <w:bCs/>
                <w:i w:val="0"/>
                <w:iCs w:val="0"/>
                <w:color w:val="auto"/>
                <w:sz w:val="24"/>
                <w:szCs w:val="24"/>
                <w:highlight w:val="none"/>
              </w:rPr>
            </w:pPr>
          </w:p>
        </w:tc>
        <w:tc>
          <w:tcPr>
            <w:tcW w:w="840" w:type="dxa"/>
            <w:noWrap w:val="0"/>
            <w:vAlign w:val="center"/>
          </w:tcPr>
          <w:p>
            <w:pPr>
              <w:widowControl/>
              <w:rPr>
                <w:rFonts w:hint="eastAsia" w:ascii="宋体" w:hAnsi="宋体" w:eastAsia="宋体" w:cs="宋体"/>
                <w:bCs/>
                <w:i w:val="0"/>
                <w:iCs w:val="0"/>
                <w:color w:val="auto"/>
                <w:sz w:val="24"/>
                <w:szCs w:val="24"/>
                <w:highlight w:val="none"/>
              </w:rPr>
            </w:pPr>
          </w:p>
        </w:tc>
        <w:tc>
          <w:tcPr>
            <w:tcW w:w="885" w:type="dxa"/>
            <w:noWrap w:val="0"/>
            <w:vAlign w:val="center"/>
          </w:tcPr>
          <w:p>
            <w:pPr>
              <w:widowControl/>
              <w:rPr>
                <w:rFonts w:hint="eastAsia" w:ascii="宋体" w:hAnsi="宋体" w:eastAsia="宋体" w:cs="宋体"/>
                <w:bCs/>
                <w:i w:val="0"/>
                <w:iCs w:val="0"/>
                <w:color w:val="auto"/>
                <w:sz w:val="24"/>
                <w:szCs w:val="24"/>
                <w:highlight w:val="none"/>
              </w:rPr>
            </w:pPr>
          </w:p>
        </w:tc>
      </w:tr>
    </w:tbl>
    <w:p>
      <w:pPr>
        <w:widowControl/>
        <w:autoSpaceDE/>
        <w:autoSpaceDN/>
        <w:adjustRightInd/>
        <w:rPr>
          <w:rFonts w:hint="eastAsia" w:ascii="宋体" w:hAnsi="宋体" w:eastAsia="宋体" w:cs="宋体"/>
          <w:color w:val="auto"/>
          <w:sz w:val="24"/>
          <w:szCs w:val="24"/>
          <w:highlight w:val="none"/>
        </w:rPr>
      </w:pPr>
    </w:p>
    <w:bookmarkEnd w:id="295"/>
    <w:bookmarkEnd w:id="296"/>
    <w:bookmarkEnd w:id="297"/>
    <w:p>
      <w:pPr>
        <w:widowControl/>
        <w:autoSpaceDE/>
        <w:autoSpaceDN/>
        <w:adjustRightInd/>
        <w:rPr>
          <w:rFonts w:ascii="宋体" w:hAnsi="宋体"/>
          <w:color w:val="auto"/>
          <w:highlight w:val="none"/>
        </w:rPr>
      </w:pPr>
    </w:p>
    <w:p>
      <w:pPr>
        <w:pStyle w:val="2"/>
        <w:ind w:firstLine="210"/>
        <w:rPr>
          <w:rFonts w:ascii="宋体" w:hAnsi="宋体"/>
          <w:color w:val="auto"/>
          <w:highlight w:val="none"/>
        </w:rPr>
      </w:pPr>
    </w:p>
    <w:p>
      <w:pPr>
        <w:pStyle w:val="4"/>
        <w:ind w:left="2400"/>
        <w:rPr>
          <w:rFonts w:ascii="宋体" w:hAnsi="宋体"/>
          <w:color w:val="auto"/>
          <w:highlight w:val="none"/>
        </w:rPr>
      </w:pPr>
    </w:p>
    <w:p>
      <w:pPr>
        <w:rPr>
          <w:rFonts w:ascii="宋体" w:hAnsi="宋体"/>
          <w:color w:val="auto"/>
          <w:highlight w:val="none"/>
        </w:rPr>
      </w:pPr>
    </w:p>
    <w:p>
      <w:pPr>
        <w:pStyle w:val="2"/>
        <w:ind w:firstLine="210"/>
        <w:rPr>
          <w:rFonts w:ascii="宋体" w:hAnsi="宋体"/>
          <w:color w:val="auto"/>
          <w:highlight w:val="none"/>
        </w:rPr>
      </w:pPr>
    </w:p>
    <w:p>
      <w:pPr>
        <w:pStyle w:val="4"/>
        <w:ind w:left="2400"/>
        <w:rPr>
          <w:rFonts w:ascii="宋体" w:hAnsi="宋体"/>
          <w:color w:val="auto"/>
          <w:highlight w:val="none"/>
        </w:rPr>
      </w:pPr>
    </w:p>
    <w:p>
      <w:pPr>
        <w:rPr>
          <w:rFonts w:ascii="宋体" w:hAnsi="宋体"/>
          <w:color w:val="auto"/>
          <w:highlight w:val="none"/>
        </w:rPr>
      </w:pPr>
    </w:p>
    <w:p>
      <w:pPr>
        <w:pStyle w:val="2"/>
        <w:ind w:firstLine="210"/>
        <w:rPr>
          <w:rFonts w:ascii="宋体" w:hAnsi="宋体"/>
          <w:color w:val="auto"/>
          <w:highlight w:val="none"/>
        </w:rPr>
      </w:pPr>
    </w:p>
    <w:p>
      <w:pPr>
        <w:pStyle w:val="4"/>
        <w:ind w:left="2400"/>
        <w:rPr>
          <w:rFonts w:ascii="宋体" w:hAnsi="宋体"/>
          <w:color w:val="auto"/>
          <w:highlight w:val="none"/>
        </w:rPr>
      </w:pPr>
    </w:p>
    <w:p>
      <w:pPr>
        <w:rPr>
          <w:rFonts w:ascii="宋体" w:hAnsi="宋体"/>
          <w:color w:val="auto"/>
          <w:highlight w:val="none"/>
        </w:rPr>
      </w:pPr>
    </w:p>
    <w:p>
      <w:pPr>
        <w:pStyle w:val="2"/>
        <w:ind w:firstLine="210"/>
        <w:rPr>
          <w:color w:val="auto"/>
          <w:highlight w:val="none"/>
        </w:rPr>
      </w:pPr>
    </w:p>
    <w:p>
      <w:pPr>
        <w:pStyle w:val="2"/>
        <w:ind w:firstLine="210"/>
        <w:rPr>
          <w:rFonts w:ascii="宋体" w:hAnsi="宋体"/>
          <w:color w:val="auto"/>
          <w:highlight w:val="none"/>
        </w:rPr>
      </w:pPr>
    </w:p>
    <w:p>
      <w:pPr>
        <w:pStyle w:val="4"/>
        <w:ind w:left="2400"/>
        <w:rPr>
          <w:rFonts w:ascii="宋体" w:hAnsi="宋体"/>
          <w:color w:val="auto"/>
          <w:highlight w:val="none"/>
        </w:rPr>
      </w:pPr>
    </w:p>
    <w:p>
      <w:pPr>
        <w:widowControl/>
        <w:jc w:val="center"/>
        <w:outlineLvl w:val="1"/>
        <w:rPr>
          <w:rFonts w:hint="eastAsia" w:ascii="宋体" w:hAnsi="宋体"/>
          <w:b/>
          <w:bCs/>
          <w:color w:val="auto"/>
          <w:sz w:val="28"/>
          <w:szCs w:val="28"/>
          <w:highlight w:val="none"/>
        </w:rPr>
      </w:pPr>
      <w:bookmarkStart w:id="299" w:name="_Toc4949"/>
      <w:bookmarkStart w:id="300" w:name="_Toc26493"/>
      <w:bookmarkStart w:id="301" w:name="_Toc82808132"/>
      <w:bookmarkStart w:id="302" w:name="_Toc26642"/>
      <w:r>
        <w:rPr>
          <w:rFonts w:hint="eastAsia" w:ascii="宋体" w:hAnsi="宋体"/>
          <w:b/>
          <w:bCs/>
          <w:color w:val="auto"/>
          <w:sz w:val="28"/>
          <w:szCs w:val="28"/>
          <w:highlight w:val="none"/>
        </w:rPr>
        <w:t>主要材料选用品牌一览表</w:t>
      </w:r>
      <w:bookmarkEnd w:id="299"/>
      <w:bookmarkEnd w:id="300"/>
      <w:bookmarkEnd w:id="301"/>
      <w:bookmarkEnd w:id="302"/>
    </w:p>
    <w:p>
      <w:pPr>
        <w:rPr>
          <w:rFonts w:hint="eastAsia"/>
          <w:color w:val="auto"/>
          <w:highlight w:val="none"/>
        </w:rPr>
      </w:pPr>
      <w:r>
        <w:rPr>
          <w:rFonts w:hint="eastAsia"/>
          <w:color w:val="auto"/>
          <w:highlight w:val="none"/>
        </w:rPr>
        <w:t>工程名称：</w:t>
      </w:r>
      <w:r>
        <w:rPr>
          <w:rFonts w:hint="eastAsia" w:cs="宋体"/>
          <w:b/>
          <w:bCs/>
          <w:color w:val="auto"/>
          <w:szCs w:val="21"/>
          <w:highlight w:val="none"/>
          <w:u w:val="single"/>
        </w:rPr>
        <w:t>湖州市南太湖新区太湖湾单元（TH-08-02）13E、14C、15B、16A-1、16A-2、16B、17A、17B-1、17B-2、17C、18B-1、18B-2、20B-1、20B-2、27E、28B-1、28B-2、29B、13E-1、20B-3号地块（长东未来社区）开发建设项目工程总承包项目</w:t>
      </w:r>
    </w:p>
    <w:tbl>
      <w:tblPr>
        <w:tblStyle w:val="19"/>
        <w:tblpPr w:leftFromText="180" w:rightFromText="180" w:vertAnchor="text" w:tblpX="-5050" w:tblpY="275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24" w:type="dxa"/>
            <w:noWrap w:val="0"/>
            <w:vAlign w:val="top"/>
          </w:tcPr>
          <w:p>
            <w:pPr>
              <w:rPr>
                <w:color w:val="auto"/>
                <w:highlight w:val="none"/>
              </w:rPr>
            </w:pPr>
          </w:p>
        </w:tc>
      </w:tr>
    </w:tbl>
    <w:tbl>
      <w:tblPr>
        <w:tblStyle w:val="19"/>
        <w:tblW w:w="0" w:type="auto"/>
        <w:tblInd w:w="0" w:type="dxa"/>
        <w:tblLayout w:type="fixed"/>
        <w:tblCellMar>
          <w:top w:w="15" w:type="dxa"/>
          <w:left w:w="15" w:type="dxa"/>
          <w:bottom w:w="15" w:type="dxa"/>
          <w:right w:w="15" w:type="dxa"/>
        </w:tblCellMar>
      </w:tblPr>
      <w:tblGrid>
        <w:gridCol w:w="574"/>
        <w:gridCol w:w="1568"/>
        <w:gridCol w:w="3543"/>
        <w:gridCol w:w="1701"/>
        <w:gridCol w:w="1134"/>
      </w:tblGrid>
      <w:tr>
        <w:tblPrEx>
          <w:tblCellMar>
            <w:top w:w="15" w:type="dxa"/>
            <w:left w:w="15" w:type="dxa"/>
            <w:bottom w:w="15" w:type="dxa"/>
            <w:right w:w="15" w:type="dxa"/>
          </w:tblCellMar>
        </w:tblPrEx>
        <w:trPr>
          <w:trHeight w:val="63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序</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val="zh-CN"/>
              </w:rPr>
            </w:pPr>
            <w:r>
              <w:rPr>
                <w:rFonts w:hint="eastAsia" w:ascii="宋体" w:hAnsi="宋体" w:cs="宋体"/>
                <w:color w:val="auto"/>
                <w:sz w:val="21"/>
                <w:szCs w:val="21"/>
                <w:highlight w:val="none"/>
              </w:rPr>
              <w:t>材料名称</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val="zh-CN"/>
              </w:rPr>
            </w:pPr>
            <w:r>
              <w:rPr>
                <w:rFonts w:hint="eastAsia" w:ascii="宋体" w:hAnsi="宋体" w:cs="宋体"/>
                <w:color w:val="auto"/>
                <w:sz w:val="21"/>
                <w:szCs w:val="21"/>
                <w:highlight w:val="none"/>
              </w:rPr>
              <w:t>参照（或相当于）品牌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投标选用</w:t>
            </w:r>
          </w:p>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品牌</w:t>
            </w: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备注</w:t>
            </w:r>
          </w:p>
        </w:tc>
      </w:tr>
      <w:tr>
        <w:tblPrEx>
          <w:tblCellMar>
            <w:top w:w="15" w:type="dxa"/>
            <w:left w:w="15" w:type="dxa"/>
            <w:bottom w:w="15" w:type="dxa"/>
            <w:right w:w="15" w:type="dxa"/>
          </w:tblCellMar>
        </w:tblPrEx>
        <w:trPr>
          <w:trHeight w:val="14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防水卷材/防水涂料</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江苏凯伦、辽宁大禹、山东宏源、科顺防水、广东鼎新、东方雨虹、山东大明、北新禹王、春明防水、赛柏斯、蓝盾、永佳、固象、沃弗</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4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保温砂浆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泰富龙、荣山、建特节能、升宝、绿箭、大森、欣阳、臣功、百安居、瑞锦、湖州绿强、衡庄</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岩棉板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江苏凤牌、上海樱花、山东鲁阳、河北万高</w:t>
            </w:r>
            <w:r>
              <w:rPr>
                <w:rFonts w:hint="eastAsia" w:ascii="宋体" w:hAnsi="宋体" w:cs="宋体"/>
                <w:color w:val="auto"/>
                <w:sz w:val="21"/>
                <w:szCs w:val="21"/>
                <w:highlight w:val="none"/>
                <w:lang w:eastAsia="zh-Hans" w:bidi="ar"/>
              </w:rPr>
              <w:t>、烻炜</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铝合金型材（含百叶）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鸿昌铝业、浙江栋梁、米皇铝业、凤铝铝业、豪美、华钇新材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437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玻璃</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上海耀皮、深圳南玻、江苏台玻、杭州杭玻、信义玻璃</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玻璃必须原厂、原片，同时要求先钢化，后镀膜，玻璃原片和深加工（包含但不限于玻璃的切片、磨边、钢化、夹层、镀膜、合中空等全部工序）均应在同一厂区内完成</w:t>
            </w: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铝合金五金配件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香港立新、广州坚朗、浙江春光、兴三星</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地弹簧</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广东雅洁、上海GMT、广东坚朗、皇冠</w:t>
            </w:r>
            <w:r>
              <w:rPr>
                <w:rFonts w:hint="eastAsia" w:ascii="宋体" w:hAnsi="宋体" w:cs="宋体"/>
                <w:color w:val="auto"/>
                <w:sz w:val="21"/>
                <w:szCs w:val="21"/>
                <w:highlight w:val="none"/>
                <w:lang w:eastAsia="zh-Hans" w:bidi="ar"/>
              </w:rPr>
              <w:t>、</w:t>
            </w:r>
            <w:r>
              <w:rPr>
                <w:rFonts w:hint="eastAsia" w:ascii="宋体" w:hAnsi="宋体" w:cs="宋体"/>
                <w:color w:val="auto"/>
                <w:sz w:val="21"/>
                <w:szCs w:val="21"/>
                <w:highlight w:val="none"/>
                <w:lang w:bidi="ar"/>
              </w:rPr>
              <w:t>兴三星</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7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结构胶和耐候密封胶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硅宝、杭州之江、广州白云、宏英</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6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外墙涂料（真石漆）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杭州世爵、亚士漆、浙江永固为华、绿威箭、宝佳丽、三棵树、菲尔卡斯、特丽宇、多乐士、传化、立邦</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防霉涂料</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杭州世爵、亚士漆、宝佳丽、三棵树、立邦、多乐士、传化</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无机涂料</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杭州世爵、亚士漆、宝佳丽、三棵树、立邦、多乐士、传化、立邦</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防火门（含进户门）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王力、富丽华、钱江、群升、申瑞、新多、蓝</w:t>
            </w:r>
            <w:r>
              <w:rPr>
                <w:rFonts w:hint="eastAsia" w:ascii="宋体" w:hAnsi="宋体" w:eastAsia="宋体" w:cs="宋体"/>
                <w:color w:val="auto"/>
                <w:sz w:val="21"/>
                <w:szCs w:val="21"/>
                <w:highlight w:val="none"/>
                <w:lang w:bidi="ar"/>
              </w:rPr>
              <w:t>盾</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杭采</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铝板（穿孔铝板）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浙江墙煌、江苏金近、恒美、安徽辰航、吉祥</w:t>
            </w:r>
            <w:r>
              <w:rPr>
                <w:rFonts w:hint="eastAsia" w:ascii="宋体" w:hAnsi="宋体" w:cs="宋体"/>
                <w:color w:val="auto"/>
                <w:sz w:val="21"/>
                <w:szCs w:val="21"/>
                <w:highlight w:val="none"/>
                <w:lang w:eastAsia="zh-CN" w:bidi="ar"/>
              </w:rPr>
              <w:t>、华钇新材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吸声板内墙</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苏州林轩、星牌优时吉、可耐福、帝龙</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3071"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钢材</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val="zh-CN" w:bidi="ar"/>
              </w:rPr>
              <w:t>中天钢铁集团有限公司、江苏永钢集团有限公司、江苏沙钢集团有限公司、芜湖新兴铸管股份有限公司、盐城市联鑫钢铁有限公司、无锡新三洲特钢有限公司、江苏省镔鑫钢铁集团有限公司、江苏鸿泰钢铁有限公司、</w:t>
            </w:r>
            <w:r>
              <w:rPr>
                <w:rFonts w:hint="eastAsia" w:ascii="宋体" w:hAnsi="宋体" w:cs="宋体"/>
                <w:color w:val="auto"/>
                <w:sz w:val="21"/>
                <w:szCs w:val="21"/>
                <w:highlight w:val="none"/>
                <w:lang w:bidi="ar"/>
              </w:rPr>
              <w:t>江西萍钢实业股份有限公司、杭州钢铁集团有限公司、江阴市西城钢铁有限公司、安徽宏泰钢铁有限公司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701"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商品混凝土</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湖州众驰建材、湖州南太湖新材科技有限责任公司、浙江湖州市建工集团商品混凝土构件有限公司、湖州雀立混凝土制品有限公司、湖州雀联混凝土制品有限公司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2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PC构件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中建科技（湖州）有限公司、苏州图鸿建筑科技有限公司、湖州明煜建筑科技有限公司</w:t>
            </w:r>
            <w:r>
              <w:rPr>
                <w:rFonts w:hint="eastAsia" w:ascii="宋体" w:hAnsi="宋体" w:cs="宋体"/>
                <w:color w:val="auto"/>
                <w:sz w:val="21"/>
                <w:szCs w:val="21"/>
                <w:highlight w:val="none"/>
                <w:lang w:val="zh-CN" w:bidi="ar"/>
              </w:rPr>
              <w:t>、</w:t>
            </w:r>
            <w:r>
              <w:rPr>
                <w:rFonts w:ascii="宋体" w:hAnsi="宋体" w:cs="宋体"/>
                <w:color w:val="auto"/>
                <w:sz w:val="21"/>
                <w:szCs w:val="21"/>
                <w:highlight w:val="none"/>
                <w:lang w:val="zh-CN" w:bidi="ar"/>
              </w:rPr>
              <w:t>远大</w:t>
            </w:r>
            <w:r>
              <w:rPr>
                <w:rFonts w:hint="eastAsia" w:ascii="宋体" w:hAnsi="宋体" w:cs="宋体"/>
                <w:color w:val="auto"/>
                <w:sz w:val="21"/>
                <w:szCs w:val="21"/>
                <w:highlight w:val="none"/>
                <w:lang w:val="zh-CN" w:bidi="ar"/>
              </w:rPr>
              <w:t>、</w:t>
            </w:r>
            <w:r>
              <w:rPr>
                <w:rFonts w:ascii="宋体" w:hAnsi="宋体" w:cs="宋体"/>
                <w:color w:val="auto"/>
                <w:sz w:val="21"/>
                <w:szCs w:val="21"/>
                <w:highlight w:val="none"/>
                <w:lang w:val="zh-CN" w:bidi="ar"/>
              </w:rPr>
              <w:t>中民筑友</w:t>
            </w:r>
            <w:r>
              <w:rPr>
                <w:rFonts w:hint="eastAsia" w:ascii="宋体" w:hAnsi="宋体" w:cs="宋体"/>
                <w:color w:val="auto"/>
                <w:sz w:val="21"/>
                <w:szCs w:val="21"/>
                <w:highlight w:val="none"/>
                <w:lang w:val="zh-CN" w:bidi="ar"/>
              </w:rPr>
              <w:t>、</w:t>
            </w:r>
            <w:r>
              <w:rPr>
                <w:rFonts w:ascii="宋体" w:hAnsi="宋体" w:cs="宋体"/>
                <w:color w:val="auto"/>
                <w:sz w:val="21"/>
                <w:szCs w:val="21"/>
                <w:highlight w:val="none"/>
                <w:lang w:val="zh-CN" w:bidi="ar"/>
              </w:rPr>
              <w:t>耀华</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墙砖、地砖</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东鹏、嘉俊、马可波罗、冠珠、金意陶、诺宝、箭牌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19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PVC地板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保利、得嘉、北新</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48"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lang w:bidi="ar"/>
              </w:rPr>
            </w:pPr>
            <w:r>
              <w:rPr>
                <w:rFonts w:hint="eastAsia" w:ascii="宋体" w:hAnsi="宋体" w:cs="宋体"/>
                <w:color w:val="auto"/>
                <w:sz w:val="22"/>
                <w:szCs w:val="22"/>
                <w:highlight w:val="none"/>
                <w:lang w:bidi="ar"/>
              </w:rPr>
              <w:t>20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木地板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森林之星、世友地板、久盛地板、大自然地板、</w:t>
            </w:r>
            <w:r>
              <w:rPr>
                <w:rFonts w:hint="eastAsia" w:ascii="宋体" w:hAnsi="宋体" w:eastAsia="宋体" w:cs="宋体"/>
                <w:color w:val="auto"/>
                <w:sz w:val="21"/>
                <w:szCs w:val="21"/>
                <w:highlight w:val="none"/>
                <w:lang w:bidi="ar"/>
              </w:rPr>
              <w:t>莫干山 、生活家 、悦景阁</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lang w:bidi="ar"/>
              </w:rPr>
            </w:pPr>
            <w:r>
              <w:rPr>
                <w:rFonts w:hint="eastAsia" w:ascii="宋体" w:hAnsi="宋体" w:cs="宋体"/>
                <w:color w:val="auto"/>
                <w:sz w:val="22"/>
                <w:szCs w:val="22"/>
                <w:highlight w:val="none"/>
                <w:lang w:bidi="ar"/>
              </w:rPr>
              <w:t>21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卫生间隔断板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杭州沙特威、杭州日信、杭州鼎亚、广州巴力</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1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强电电线、电缆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江苏广汇、杭州中策、湖州久盛、湖州龙鹰、浙江万马</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50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弱电电线，电缆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深圳市秋叶原实业有限公司、普天通信集团有限公司、宁波韩电、天诚智能集团、江苏金翔线缆有限公司、爱普华顿、春天、联通</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49"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灯具（吸顶节能灯、防水防尘灯、荧光灯等）</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阳光、欧普、三雄极光、JOM-嘉美、万鑫、伟炘、恩佐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43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疏散指示灯、安全出口、应急电源</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color w:val="auto"/>
                <w:highlight w:val="none"/>
              </w:rPr>
              <w:fldChar w:fldCharType="begin"/>
            </w:r>
            <w:r>
              <w:rPr>
                <w:color w:val="auto"/>
                <w:highlight w:val="none"/>
              </w:rPr>
              <w:instrText xml:space="preserve"> HYPERLINK "http://www.so.com/link?m=aeKb57PAW4roMof+FJXf7lLccZMIcK8owR1UazXRswW/OITn9SfhMlPTrhGGfZ/rcaL3v7rGsjQydB6NvfSMShdtteW1NPV7aHBfBpprP8H0=https://www.so.com/_blank" \o "http://www.so.com/link?m=aeKb57PAW4roMof+FJXf7lLccZMIcK8owR1UazXRswW/OITn9SfhMlPTrhGGfZ/rcaL3v7rGsjQydB6NvfSMShdtteW1NPV7aHBfBpprP8H0=https://www.so.com/_blank" </w:instrText>
            </w:r>
            <w:r>
              <w:rPr>
                <w:color w:val="auto"/>
                <w:highlight w:val="none"/>
              </w:rPr>
              <w:fldChar w:fldCharType="separate"/>
            </w:r>
            <w:r>
              <w:rPr>
                <w:rFonts w:hint="eastAsia" w:ascii="宋体" w:hAnsi="宋体" w:cs="宋体"/>
                <w:color w:val="auto"/>
                <w:sz w:val="21"/>
                <w:szCs w:val="21"/>
                <w:highlight w:val="none"/>
                <w:lang w:bidi="ar"/>
              </w:rPr>
              <w:t>广东振辉消防科技有限公司、浙江台谊消防设备有限公司、浙江乐思达消防电器有限公司、金华瑞辉照明电器有限公司、广东嘉美</w:t>
            </w:r>
            <w:r>
              <w:rPr>
                <w:rFonts w:hint="eastAsia" w:ascii="宋体" w:hAnsi="宋体" w:cs="宋体"/>
                <w:color w:val="auto"/>
                <w:sz w:val="21"/>
                <w:szCs w:val="21"/>
                <w:highlight w:val="none"/>
                <w:lang w:bidi="ar"/>
              </w:rPr>
              <w:fldChar w:fldCharType="end"/>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30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配电箱、配电柜内元器件，具体系列、型号参照电气系统图</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施耐德、ABB、西门子、良信</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2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开关、插座</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正泰、施耐德、德力西、鸿雁、菲驰、罗格朗、西门子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热镀锌桥架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索茂特、上海鑫马、浙江浩翔、远大、浙江博天、浙江高得汇</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29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抗震支架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安固士、奇佩、优力可、江苏迅杰、杭州力图、湖南力衡、浙江巨齿鲨</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38"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PVC电线管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金德管业、爱康-保利、伟星管业、中财、公元</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4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消防报警设备</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上海松江、无锡蓝天、海湾、北大青鸟、成都鑫豪斯、四川久远、泛海三江、海康威视</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26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消防报警设备、电气火灾监控系统、防火门监控系统、消防电源监控系统</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崇正电气、北大青鸟、海湾、鑫豪斯、四川久远、泛海三江</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28"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成套消防栓箱，灭火器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杭州信达消防、杭州之江消防、上海金盾消防、上海瑞泰消防、广东胜捷消防</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71"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七氟丙烷系统</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杭州信达消防、杭州之江消防、上海金盾消防、上海瑞泰消防、广东胜捷消防、新纪元</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高压细水雾泵组</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上海金盾消防、英国浩酷、上海万安达民信、合肥科大立安</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6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风机、风口、调节阀（风机控制箱厂家配套供应）</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浙江上虞上风、浙江双阳、浙江当代、浙江上虞上星、浙江上达</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49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防火卷帘、挡烟垂壁</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杭州莱曼消防科技有限公司、杭州新欣门业有限公司、杭州富阳亚泰防火门有限公司、杭州蓝盾防火卷帘有限公司、浙江龙盾</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8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镀锌钢管、衬塑钢管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上海市劳动钢管厂、金洲管道、上海宝钢集团有限公司、华岐</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95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39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PP-R上水管、U-PVC排水管、螺旋消音管、雨水管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爱康-保利、伟星管业、中财、公元</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6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沟槽式配件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上海瑞孚管路系统有限公司、济南玖德铸造有限公司（迈克）、南京永金管业有限公司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7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压力管软接头</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上海久福减震器有限公司、上海松江减震器厂、马鞍山宏力橡胶制品有限公司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42</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压力传感器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E+H原装进口、ABB、罗斯蒙特3051系列</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2008"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43</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消防</w:t>
            </w:r>
            <w:r>
              <w:rPr>
                <w:rFonts w:hint="eastAsia" w:ascii="宋体" w:hAnsi="宋体" w:cs="宋体"/>
                <w:color w:val="auto"/>
                <w:sz w:val="21"/>
                <w:szCs w:val="21"/>
                <w:highlight w:val="none"/>
                <w:lang w:val="zh-CN" w:bidi="ar"/>
              </w:rPr>
              <w:t>水泵、</w:t>
            </w:r>
            <w:r>
              <w:rPr>
                <w:rFonts w:hint="eastAsia" w:ascii="宋体" w:hAnsi="宋体" w:cs="宋体"/>
                <w:color w:val="auto"/>
                <w:sz w:val="21"/>
                <w:szCs w:val="21"/>
                <w:highlight w:val="none"/>
                <w:lang w:bidi="ar"/>
              </w:rPr>
              <w:t>排污泵</w:t>
            </w:r>
            <w:r>
              <w:rPr>
                <w:rFonts w:hint="eastAsia" w:ascii="宋体" w:hAnsi="宋体" w:cs="宋体"/>
                <w:color w:val="auto"/>
                <w:sz w:val="21"/>
                <w:szCs w:val="21"/>
                <w:highlight w:val="none"/>
                <w:lang w:val="zh-CN" w:bidi="ar"/>
              </w:rPr>
              <w:t>（各类泵</w:t>
            </w:r>
            <w:r>
              <w:rPr>
                <w:rFonts w:hint="eastAsia" w:ascii="宋体" w:hAnsi="宋体" w:cs="宋体"/>
                <w:color w:val="auto"/>
                <w:sz w:val="21"/>
                <w:szCs w:val="21"/>
                <w:highlight w:val="none"/>
                <w:lang w:bidi="ar"/>
              </w:rPr>
              <w:t>的</w:t>
            </w:r>
            <w:r>
              <w:rPr>
                <w:rFonts w:hint="eastAsia" w:ascii="宋体" w:hAnsi="宋体" w:cs="宋体"/>
                <w:color w:val="auto"/>
                <w:sz w:val="21"/>
                <w:szCs w:val="21"/>
                <w:highlight w:val="none"/>
                <w:lang w:val="zh-CN" w:bidi="ar"/>
              </w:rPr>
              <w:t>控制箱（柜）要求厂家配套供应，</w:t>
            </w:r>
            <w:r>
              <w:rPr>
                <w:rFonts w:hint="eastAsia" w:ascii="宋体" w:hAnsi="宋体" w:cs="宋体"/>
                <w:color w:val="auto"/>
                <w:sz w:val="21"/>
                <w:szCs w:val="21"/>
                <w:highlight w:val="none"/>
                <w:lang w:bidi="ar"/>
              </w:rPr>
              <w:t>控制箱内的电气元器件参考配电箱电气元器件技术参数</w:t>
            </w:r>
            <w:r>
              <w:rPr>
                <w:rFonts w:hint="eastAsia" w:ascii="宋体" w:hAnsi="宋体" w:cs="宋体"/>
                <w:color w:val="auto"/>
                <w:sz w:val="21"/>
                <w:szCs w:val="21"/>
                <w:highlight w:val="none"/>
                <w:lang w:val="zh-CN" w:bidi="ar"/>
              </w:rPr>
              <w:t>）</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上海熊猫、</w:t>
            </w:r>
            <w:r>
              <w:rPr>
                <w:rFonts w:hint="eastAsia" w:ascii="宋体" w:hAnsi="宋体" w:cs="宋体"/>
                <w:color w:val="auto"/>
                <w:sz w:val="21"/>
                <w:szCs w:val="21"/>
                <w:highlight w:val="none"/>
                <w:lang w:bidi="ar"/>
              </w:rPr>
              <w:t>山东双轮</w:t>
            </w:r>
            <w:r>
              <w:rPr>
                <w:rFonts w:hint="eastAsia" w:ascii="宋体" w:hAnsi="宋体" w:cs="宋体"/>
                <w:color w:val="auto"/>
                <w:sz w:val="21"/>
                <w:szCs w:val="21"/>
                <w:highlight w:val="none"/>
                <w:lang w:val="zh-CN" w:bidi="ar"/>
              </w:rPr>
              <w:t>、南方泵业</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58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44</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不锈钢多级泵</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格兰富水泵（苏州）有限公司的格兰富（GRUNDFOS）牌、威乐（中国）水泵系统有限公司的威乐（WLLO）牌、苏州滨特尔水处理有限公司滨特尔（PENTAIR）牌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45</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阀门-消防、排水</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宁波杰克龙、宁波埃美柯、上海冠龙、春江</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45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46</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阀门-生活热水、给水（阀门的阀芯采用不锈钢阀芯）</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上海冠龙阀门机械有限公司的冠龙（KARON）牌、AVK阀门（安徽）有限公司、阀安格水处理系统（太仓）有限公司VAG牌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7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47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分户减压阀</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上海冠龙、多若特、卡莱菲、埃美柯</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409"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48</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val="zh-CN" w:bidi="ar"/>
              </w:rPr>
              <w:t>球墨铸铁管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val="zh-CN" w:bidi="ar"/>
              </w:rPr>
              <w:t>新兴铸管股份有限公司 、安钢集团永通球墨铸铁管有限责任公司、(穆松桥)圣戈班管道系统有限公司、</w:t>
            </w:r>
            <w:r>
              <w:rPr>
                <w:rFonts w:hint="eastAsia" w:ascii="宋体" w:hAnsi="宋体" w:cs="宋体"/>
                <w:color w:val="auto"/>
                <w:sz w:val="21"/>
                <w:szCs w:val="21"/>
                <w:highlight w:val="none"/>
                <w:lang w:bidi="ar"/>
              </w:rPr>
              <w:t>金秋制造有限责任公司</w:t>
            </w:r>
          </w:p>
          <w:p>
            <w:pPr>
              <w:widowControl/>
              <w:textAlignment w:val="center"/>
              <w:rPr>
                <w:rFonts w:ascii="宋体" w:hAnsi="宋体" w:cs="宋体"/>
                <w:color w:val="auto"/>
                <w:sz w:val="21"/>
                <w:szCs w:val="21"/>
                <w:highlight w:val="none"/>
                <w:lang w:val="zh-CN" w:bidi="ar"/>
              </w:rPr>
            </w:pP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49</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JDG电线管、KBG管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杭州天一、河北盛宝、兴泰隆、立泰盛、上海凤图、北京泰瑞安</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50</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不锈钢管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久立、共合、永享、共同、金洲</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2"/>
                <w:szCs w:val="22"/>
                <w:highlight w:val="none"/>
                <w:lang w:bidi="ar"/>
              </w:rPr>
              <w:t>51</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排水井盖</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上海畅途、泊头利盛、上海吉信、长兴骋旭</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52</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LED洗墙灯</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val="zh-CN" w:bidi="ar"/>
              </w:rPr>
            </w:pPr>
            <w:r>
              <w:rPr>
                <w:rFonts w:hint="eastAsia" w:ascii="宋体" w:hAnsi="宋体" w:cs="宋体"/>
                <w:color w:val="auto"/>
                <w:sz w:val="21"/>
                <w:szCs w:val="21"/>
                <w:highlight w:val="none"/>
                <w:lang w:bidi="ar"/>
              </w:rPr>
              <w:t xml:space="preserve"> 上海光联照明，广州雅江光电，杭州勇电照明，乐雷光电 </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53</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LED芯片</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 xml:space="preserve">CREE、OSRAM、Philips </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2"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54</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电源</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 xml:space="preserve">明纬、英菲特、茂硕 </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5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55</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空气源热泵</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海尔、美的、格力</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61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56</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充电桩</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普天新能源有限公司、万马联合控股集团有限公司、杭州国控电力科技有限公司、浙江超翔新能源有限公司、浙江天和电力安装工程有限公司、湖州鑫拓光电能源有限公司</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2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57</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空调</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格力、美的、日立、大金、海尔、东芝</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92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auto"/>
                <w:sz w:val="21"/>
                <w:highlight w:val="none"/>
              </w:rPr>
            </w:pPr>
            <w:r>
              <w:rPr>
                <w:rFonts w:hint="eastAsia" w:ascii="宋体" w:hAnsi="宋体" w:cs="宋体"/>
                <w:color w:val="auto"/>
                <w:sz w:val="22"/>
                <w:szCs w:val="22"/>
                <w:highlight w:val="none"/>
                <w:lang w:bidi="ar"/>
              </w:rPr>
              <w:t>58</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卫浴洁具（含坐便器、淋浴花洒）及龙头</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TOTO、箭牌、摩恩、汉斯格雅、唯宝</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03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59</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洁具配件（含角阀、金属软管、下水、不锈钢排水软管）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雅之杰、蒙特利、江林</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8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lang w:bidi="ar"/>
              </w:rPr>
            </w:pPr>
            <w:r>
              <w:rPr>
                <w:rFonts w:hint="eastAsia" w:ascii="宋体" w:hAnsi="宋体" w:cs="宋体"/>
                <w:color w:val="auto"/>
                <w:sz w:val="22"/>
                <w:szCs w:val="22"/>
                <w:highlight w:val="none"/>
                <w:lang w:bidi="ar"/>
              </w:rPr>
              <w:t>60</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纸面石膏板、防潮石膏板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圣戈班、可耐福、龙牌、拉法基</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hint="eastAsia"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5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59</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龙骨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杰科、可耐福、龙牌</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92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60</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夹板、多层板、细木工板等板材类</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千年舟、兔宝宝、莫干山</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8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61</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换气扇/浴霸/凉霸</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松下、名族、奥普</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53"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62</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地漏</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雅洁、潜水艇、汇泰龙</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04"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63</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铝扣板吊顶</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迪士顿、友邦、奥普</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03"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64</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电梯</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三菱、通力、迅达、蒂森、日立、天津奥的斯</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65</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地暖（集分水器）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沃茨、丹佛斯、威能</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66</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地暖（锅炉、控制面板）</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林内、威能，博世、菲斯曼</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67</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地暖（盘管）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伟星，中财，保利</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68</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烟道止回阀</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小米、西门子、潜水艇</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69</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油烟机</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西门子、博世、方太、老板</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70</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橱柜</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金牌、欧派、志邦、名仕</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71</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石膏线条</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银桥、杰普、万立</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72</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墙、地砖粘结剂</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壁得宝、壁洪宝、亚细亚、韦伯、德高、汉高</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117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73</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厨房间台盆</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摩恩、箭牌、欧琳、潜水艇</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25"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74</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监控</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大华、海康威视、英飞拓</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4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75</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网络交换机</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华为、</w:t>
            </w:r>
            <w:r>
              <w:rPr>
                <w:rFonts w:ascii="宋体" w:hAnsi="宋体" w:cs="宋体"/>
                <w:color w:val="auto"/>
                <w:sz w:val="21"/>
                <w:szCs w:val="21"/>
                <w:highlight w:val="none"/>
                <w:lang w:bidi="ar"/>
              </w:rPr>
              <w:t>H3C</w:t>
            </w:r>
            <w:r>
              <w:rPr>
                <w:rFonts w:hint="eastAsia" w:ascii="宋体" w:hAnsi="宋体" w:cs="宋体"/>
                <w:color w:val="auto"/>
                <w:sz w:val="21"/>
                <w:szCs w:val="21"/>
                <w:highlight w:val="none"/>
                <w:lang w:bidi="ar"/>
              </w:rPr>
              <w:t>、中兴</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3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76</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喇叭</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ascii="宋体" w:hAnsi="宋体" w:cs="宋体"/>
                <w:color w:val="auto"/>
                <w:sz w:val="21"/>
                <w:szCs w:val="21"/>
                <w:highlight w:val="none"/>
                <w:lang w:bidi="ar"/>
              </w:rPr>
              <w:t>ITC</w:t>
            </w:r>
            <w:r>
              <w:rPr>
                <w:rFonts w:hint="eastAsia" w:ascii="宋体" w:hAnsi="宋体" w:cs="宋体"/>
                <w:color w:val="auto"/>
                <w:sz w:val="21"/>
                <w:szCs w:val="21"/>
                <w:highlight w:val="none"/>
                <w:lang w:bidi="ar"/>
              </w:rPr>
              <w:t>、</w:t>
            </w:r>
            <w:r>
              <w:rPr>
                <w:rFonts w:ascii="宋体" w:hAnsi="宋体" w:cs="宋体"/>
                <w:color w:val="auto"/>
                <w:sz w:val="21"/>
                <w:szCs w:val="21"/>
                <w:highlight w:val="none"/>
                <w:lang w:bidi="ar"/>
              </w:rPr>
              <w:t>TCA</w:t>
            </w:r>
            <w:r>
              <w:rPr>
                <w:rFonts w:hint="eastAsia" w:ascii="宋体" w:hAnsi="宋体" w:cs="宋体"/>
                <w:color w:val="auto"/>
                <w:sz w:val="21"/>
                <w:szCs w:val="21"/>
                <w:highlight w:val="none"/>
                <w:lang w:bidi="ar"/>
              </w:rPr>
              <w:t>、</w:t>
            </w:r>
            <w:r>
              <w:rPr>
                <w:rFonts w:ascii="宋体" w:hAnsi="宋体" w:cs="宋体"/>
                <w:color w:val="auto"/>
                <w:sz w:val="21"/>
                <w:szCs w:val="21"/>
                <w:highlight w:val="none"/>
                <w:lang w:bidi="ar"/>
              </w:rPr>
              <w:t>BOSCH</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37"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77</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报警主机</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广拓、豪恩、优周</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87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78</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集中控制器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广拓、豪恩、优周</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79</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UPS</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艾普森、保洛士、伊顿</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80</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智能巡检器</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兰德华、蓝卡、真地</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736" w:hRule="exact"/>
        </w:trPr>
        <w:tc>
          <w:tcPr>
            <w:tcW w:w="5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sz w:val="22"/>
                <w:szCs w:val="22"/>
                <w:highlight w:val="none"/>
                <w:lang w:bidi="ar"/>
              </w:rPr>
              <w:t>81</w:t>
            </w:r>
          </w:p>
        </w:tc>
        <w:tc>
          <w:tcPr>
            <w:tcW w:w="1568" w:type="dxa"/>
            <w:tcBorders>
              <w:top w:val="single" w:color="auto"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数字对讲机</w:t>
            </w:r>
          </w:p>
        </w:tc>
        <w:tc>
          <w:tcPr>
            <w:tcW w:w="3543"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摩托罗拉、海能达、建伍</w:t>
            </w:r>
          </w:p>
        </w:tc>
        <w:tc>
          <w:tcPr>
            <w:tcW w:w="1701" w:type="dxa"/>
            <w:tcBorders>
              <w:top w:val="single" w:color="000000" w:sz="4" w:space="0"/>
              <w:left w:val="single" w:color="000000" w:sz="4" w:space="0"/>
              <w:bottom w:val="single" w:color="000000" w:sz="4" w:space="0"/>
              <w:right w:val="single" w:color="auto" w:sz="4" w:space="0"/>
            </w:tcBorders>
            <w:noWrap w:val="0"/>
            <w:vAlign w:val="center"/>
          </w:tcPr>
          <w:p>
            <w:pPr>
              <w:widowControl/>
              <w:textAlignment w:val="center"/>
              <w:rPr>
                <w:rFonts w:ascii="宋体" w:hAnsi="宋体" w:cs="宋体"/>
                <w:color w:val="auto"/>
                <w:sz w:val="21"/>
                <w:szCs w:val="21"/>
                <w:highlight w:val="none"/>
                <w:lang w:bidi="ar"/>
              </w:rPr>
            </w:pPr>
          </w:p>
        </w:tc>
        <w:tc>
          <w:tcPr>
            <w:tcW w:w="1134" w:type="dxa"/>
            <w:tcBorders>
              <w:top w:val="single" w:color="000000" w:sz="4" w:space="0"/>
              <w:left w:val="single" w:color="auto"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p>
        </w:tc>
      </w:tr>
      <w:tr>
        <w:tblPrEx>
          <w:tblCellMar>
            <w:top w:w="15" w:type="dxa"/>
            <w:left w:w="15" w:type="dxa"/>
            <w:bottom w:w="15" w:type="dxa"/>
            <w:right w:w="15" w:type="dxa"/>
          </w:tblCellMar>
        </w:tblPrEx>
        <w:trPr>
          <w:trHeight w:val="660" w:hRule="atLeast"/>
        </w:trPr>
        <w:tc>
          <w:tcPr>
            <w:tcW w:w="8520" w:type="dxa"/>
            <w:gridSpan w:val="5"/>
            <w:tcBorders>
              <w:top w:val="single" w:color="000000" w:sz="4" w:space="0"/>
              <w:left w:val="single" w:color="000000" w:sz="4" w:space="0"/>
              <w:bottom w:val="single" w:color="000000" w:sz="4" w:space="0"/>
              <w:right w:val="single" w:color="000000" w:sz="4" w:space="0"/>
            </w:tcBorders>
            <w:noWrap w:val="0"/>
            <w:vAlign w:val="center"/>
          </w:tcPr>
          <w:p>
            <w:pPr>
              <w:rPr>
                <w:rFonts w:ascii="宋体" w:hAnsi="宋体" w:cs="宋体"/>
                <w:color w:val="auto"/>
                <w:sz w:val="21"/>
                <w:szCs w:val="21"/>
                <w:highlight w:val="none"/>
              </w:rPr>
            </w:pPr>
            <w:r>
              <w:rPr>
                <w:rFonts w:hint="eastAsia" w:ascii="宋体" w:hAnsi="宋体" w:cs="宋体"/>
                <w:color w:val="auto"/>
                <w:sz w:val="21"/>
                <w:szCs w:val="21"/>
                <w:highlight w:val="none"/>
              </w:rPr>
              <w:t>注：1、各投标人按不低于参照品牌（厂家）档次进行材料报价；2、投标人选用的品牌可为以上参照品牌（厂家），也可选用其他品牌（厂家），但选用的其他品牌（厂家）应等于或优于参照品牌（厂家）档次，必须达到设计要求的技术参数，同时提供相关技术指标等证明材料，否则评委可认为其低于招标品质而否决其投标；3、投标人所选品牌型号必须是该品牌的中等及以上档次；4、投标人需在此表中注明选用品牌（厂家），若未注明的，实际施工时将由招标人在参照品牌中任选，中标人必须无条件服从，价格按投标文件执行，不予调整；5、一旦发现有品牌商故意抬价，地区垄断等恶劣行为，取消其品牌参照或推荐</w:t>
            </w:r>
            <w:r>
              <w:rPr>
                <w:rFonts w:hint="eastAsia" w:ascii="宋体" w:hAnsi="宋体" w:cs="Arial"/>
                <w:color w:val="auto"/>
                <w:sz w:val="21"/>
                <w:highlight w:val="none"/>
              </w:rPr>
              <w:t>。</w:t>
            </w:r>
          </w:p>
        </w:tc>
      </w:tr>
    </w:tbl>
    <w:p>
      <w:pPr>
        <w:rPr>
          <w:color w:val="auto"/>
          <w:highlight w:val="none"/>
        </w:rPr>
      </w:pPr>
    </w:p>
    <w:sectPr>
      <w:footerReference r:id="rId4" w:type="default"/>
      <w:pgSz w:w="11906" w:h="16838"/>
      <w:pgMar w:top="879" w:right="1701" w:bottom="879" w:left="1701" w:header="851" w:footer="992" w:gutter="0"/>
      <w:cols w:space="720" w:num="1"/>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8695E1B-AF83-4A3B-A88F-BF4BF5605BB8}"/>
  </w:font>
  <w:font w:name="黑体">
    <w:panose1 w:val="02010609060101010101"/>
    <w:charset w:val="86"/>
    <w:family w:val="auto"/>
    <w:pitch w:val="default"/>
    <w:sig w:usb0="800002BF" w:usb1="38CF7CFA" w:usb2="00000016" w:usb3="00000000" w:csb0="00040001" w:csb1="00000000"/>
    <w:embedRegular r:id="rId2" w:fontKey="{33140FA3-5C45-4E7C-B267-88C1C3498CBA}"/>
  </w:font>
  <w:font w:name="Courier New">
    <w:panose1 w:val="02070309020205020404"/>
    <w:charset w:val="01"/>
    <w:family w:val="modern"/>
    <w:pitch w:val="default"/>
    <w:sig w:usb0="E0002AFF" w:usb1="C0007843" w:usb2="00000009" w:usb3="00000000" w:csb0="400001FF" w:csb1="FFFF0000"/>
    <w:embedRegular r:id="rId3" w:fontKey="{19298FF2-0896-41E6-AA50-BED6B749FED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4" w:fontKey="{3EEDADCB-0E6C-46AE-A91D-CD2898453E3A}"/>
  </w:font>
  <w:font w:name="Calibri Light">
    <w:altName w:val="Calibri"/>
    <w:panose1 w:val="020F0302020204030204"/>
    <w:charset w:val="00"/>
    <w:family w:val="swiss"/>
    <w:pitch w:val="default"/>
    <w:sig w:usb0="00000000" w:usb1="00000000"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embedRegular r:id="rId5" w:fontKey="{9BA6D0F1-961D-4086-90ED-B42AE9B2DC31}"/>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CS?o｡ﾀ?">
    <w:altName w:val="MS Mincho"/>
    <w:panose1 w:val="00000000000000000000"/>
    <w:charset w:val="80"/>
    <w:family w:val="modern"/>
    <w:pitch w:val="default"/>
    <w:sig w:usb0="00000000" w:usb1="00000000" w:usb2="00000010" w:usb3="00000000" w:csb0="00020000" w:csb1="00000000"/>
  </w:font>
  <w:font w:name="MS Mincho">
    <w:panose1 w:val="02020609040205080304"/>
    <w:charset w:val="80"/>
    <w:family w:val="auto"/>
    <w:pitch w:val="default"/>
    <w:sig w:usb0="E00002FF" w:usb1="6AC7FDFB" w:usb2="00000012" w:usb3="00000000" w:csb0="4002009F" w:csb1="DFD70000"/>
  </w:font>
  <w:font w:name="Wingdings 2">
    <w:panose1 w:val="05020102010507070707"/>
    <w:charset w:val="02"/>
    <w:family w:val="roman"/>
    <w:pitch w:val="default"/>
    <w:sig w:usb0="00000000" w:usb1="00000000" w:usb2="00000000" w:usb3="00000000" w:csb0="80000000" w:csb1="00000000"/>
    <w:embedRegular r:id="rId6" w:fontKey="{D927D787-0EDE-4974-A0E5-96E78A000344}"/>
  </w:font>
  <w:font w:name="小标宋">
    <w:altName w:val="微软雅黑"/>
    <w:panose1 w:val="00000000000000000000"/>
    <w:charset w:val="86"/>
    <w:family w:val="script"/>
    <w:pitch w:val="default"/>
    <w:sig w:usb0="00000000" w:usb1="00000000" w:usb2="00000010" w:usb3="00000000" w:csb0="00040000" w:csb1="00000000"/>
    <w:embedRegular r:id="rId7" w:fontKey="{E0FCBF4E-7204-4476-B2B8-398F8F337116}"/>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embedRegular r:id="rId8" w:fontKey="{9AB8C578-F47A-4879-96C6-69D837A9BBBD}"/>
  </w:font>
  <w:font w:name="仿宋_GB2312">
    <w:panose1 w:val="02010609030101010101"/>
    <w:charset w:val="86"/>
    <w:family w:val="modern"/>
    <w:pitch w:val="default"/>
    <w:sig w:usb0="00000001" w:usb1="080E0000" w:usb2="00000000" w:usb3="00000000" w:csb0="00040000" w:csb1="00000000"/>
    <w:embedRegular r:id="rId9" w:fontKey="{A1760FDA-E912-465C-B0CA-07E5CFDC6B6F}"/>
  </w:font>
  <w:font w:name="华文中宋">
    <w:altName w:val="宋体"/>
    <w:panose1 w:val="02010600040101010101"/>
    <w:charset w:val="86"/>
    <w:family w:val="auto"/>
    <w:pitch w:val="default"/>
    <w:sig w:usb0="00000000" w:usb1="00000000" w:usb2="00000000" w:usb3="00000000" w:csb0="0004009F" w:csb1="DFD70000"/>
    <w:embedRegular r:id="rId10" w:fontKey="{B3E5159C-D76C-4F2E-B86F-4403444869CD}"/>
  </w:font>
  <w:font w:name="Microsoft JhengHei">
    <w:panose1 w:val="020B0604030504040204"/>
    <w:charset w:val="88"/>
    <w:family w:val="swiss"/>
    <w:pitch w:val="default"/>
    <w:sig w:usb0="00000087" w:usb1="28AF4000" w:usb2="00000016" w:usb3="00000000" w:csb0="00100009" w:csb1="00000000"/>
    <w:embedRegular r:id="rId11" w:fontKey="{7758CDE0-429F-4577-AECC-D84BF13D16CC}"/>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cs="宋体"/>
      </w:rPr>
    </w:pPr>
    <w:r>
      <w:rPr>
        <w:rFonts w:hint="eastAsia" w:cs="宋体"/>
      </w:rPr>
      <w:fldChar w:fldCharType="begin"/>
    </w:r>
    <w:r>
      <w:rPr>
        <w:rFonts w:hint="eastAsia" w:cs="宋体"/>
      </w:rPr>
      <w:instrText xml:space="preserve"> PAGE   \* MERGEFORMAT </w:instrText>
    </w:r>
    <w:r>
      <w:rPr>
        <w:rFonts w:hint="eastAsia" w:cs="宋体"/>
      </w:rPr>
      <w:fldChar w:fldCharType="separate"/>
    </w:r>
    <w:r>
      <w:rPr>
        <w:rFonts w:cs="宋体"/>
      </w:rPr>
      <w:t>18</w:t>
    </w:r>
    <w:r>
      <w:rPr>
        <w:rFonts w:hint="eastAsia" w:cs="宋体"/>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164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05207"/>
    <w:multiLevelType w:val="multilevel"/>
    <w:tmpl w:val="A0F05207"/>
    <w:lvl w:ilvl="0" w:tentative="0">
      <w:start w:val="3"/>
      <w:numFmt w:val="decimal"/>
      <w:lvlText w:val="%1"/>
      <w:lvlJc w:val="left"/>
      <w:pPr>
        <w:ind w:left="1751" w:hanging="483"/>
      </w:pPr>
      <w:rPr>
        <w:rFonts w:hint="default"/>
        <w:lang w:val="zh-CN" w:eastAsia="zh-CN" w:bidi="zh-CN"/>
      </w:rPr>
    </w:lvl>
    <w:lvl w:ilvl="1" w:tentative="0">
      <w:start w:val="5"/>
      <w:numFmt w:val="decimal"/>
      <w:lvlText w:val="%1.%2"/>
      <w:lvlJc w:val="left"/>
      <w:pPr>
        <w:ind w:left="1751" w:hanging="483"/>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788" w:hanging="720"/>
      </w:pPr>
      <w:rPr>
        <w:rFonts w:hint="default" w:ascii="宋体" w:hAnsi="宋体" w:eastAsia="宋体" w:cs="宋体"/>
        <w:w w:val="100"/>
        <w:sz w:val="24"/>
        <w:szCs w:val="24"/>
        <w:lang w:val="zh-CN" w:eastAsia="zh-CN" w:bidi="zh-CN"/>
      </w:rPr>
    </w:lvl>
    <w:lvl w:ilvl="3" w:tentative="0">
      <w:start w:val="0"/>
      <w:numFmt w:val="bullet"/>
      <w:lvlText w:val="•"/>
      <w:lvlJc w:val="left"/>
      <w:pPr>
        <w:ind w:left="3734" w:hanging="720"/>
      </w:pPr>
      <w:rPr>
        <w:rFonts w:hint="default"/>
        <w:lang w:val="zh-CN" w:eastAsia="zh-CN" w:bidi="zh-CN"/>
      </w:rPr>
    </w:lvl>
    <w:lvl w:ilvl="4" w:tentative="0">
      <w:start w:val="0"/>
      <w:numFmt w:val="bullet"/>
      <w:lvlText w:val="•"/>
      <w:lvlJc w:val="left"/>
      <w:pPr>
        <w:ind w:left="4722" w:hanging="720"/>
      </w:pPr>
      <w:rPr>
        <w:rFonts w:hint="default"/>
        <w:lang w:val="zh-CN" w:eastAsia="zh-CN" w:bidi="zh-CN"/>
      </w:rPr>
    </w:lvl>
    <w:lvl w:ilvl="5" w:tentative="0">
      <w:start w:val="0"/>
      <w:numFmt w:val="bullet"/>
      <w:lvlText w:val="•"/>
      <w:lvlJc w:val="left"/>
      <w:pPr>
        <w:ind w:left="5709" w:hanging="720"/>
      </w:pPr>
      <w:rPr>
        <w:rFonts w:hint="default"/>
        <w:lang w:val="zh-CN" w:eastAsia="zh-CN" w:bidi="zh-CN"/>
      </w:rPr>
    </w:lvl>
    <w:lvl w:ilvl="6" w:tentative="0">
      <w:start w:val="0"/>
      <w:numFmt w:val="bullet"/>
      <w:lvlText w:val="•"/>
      <w:lvlJc w:val="left"/>
      <w:pPr>
        <w:ind w:left="6696" w:hanging="720"/>
      </w:pPr>
      <w:rPr>
        <w:rFonts w:hint="default"/>
        <w:lang w:val="zh-CN" w:eastAsia="zh-CN" w:bidi="zh-CN"/>
      </w:rPr>
    </w:lvl>
    <w:lvl w:ilvl="7" w:tentative="0">
      <w:start w:val="0"/>
      <w:numFmt w:val="bullet"/>
      <w:lvlText w:val="•"/>
      <w:lvlJc w:val="left"/>
      <w:pPr>
        <w:ind w:left="7684" w:hanging="720"/>
      </w:pPr>
      <w:rPr>
        <w:rFonts w:hint="default"/>
        <w:lang w:val="zh-CN" w:eastAsia="zh-CN" w:bidi="zh-CN"/>
      </w:rPr>
    </w:lvl>
    <w:lvl w:ilvl="8" w:tentative="0">
      <w:start w:val="0"/>
      <w:numFmt w:val="bullet"/>
      <w:lvlText w:val="•"/>
      <w:lvlJc w:val="left"/>
      <w:pPr>
        <w:ind w:left="8671" w:hanging="720"/>
      </w:pPr>
      <w:rPr>
        <w:rFonts w:hint="default"/>
        <w:lang w:val="zh-CN" w:eastAsia="zh-CN" w:bidi="zh-CN"/>
      </w:rPr>
    </w:lvl>
  </w:abstractNum>
  <w:abstractNum w:abstractNumId="1">
    <w:nsid w:val="A93B7CE3"/>
    <w:multiLevelType w:val="singleLevel"/>
    <w:tmpl w:val="A93B7CE3"/>
    <w:lvl w:ilvl="0" w:tentative="0">
      <w:start w:val="1"/>
      <w:numFmt w:val="decimal"/>
      <w:lvlText w:val="%1."/>
      <w:lvlJc w:val="left"/>
      <w:pPr>
        <w:tabs>
          <w:tab w:val="left" w:pos="312"/>
        </w:tabs>
      </w:pPr>
    </w:lvl>
  </w:abstractNum>
  <w:abstractNum w:abstractNumId="2">
    <w:nsid w:val="B23A94A9"/>
    <w:multiLevelType w:val="multilevel"/>
    <w:tmpl w:val="B23A94A9"/>
    <w:lvl w:ilvl="0" w:tentative="0">
      <w:start w:val="1"/>
      <w:numFmt w:val="decimal"/>
      <w:lvlText w:val="（%1）"/>
      <w:lvlJc w:val="left"/>
      <w:pPr>
        <w:ind w:left="1797"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684" w:hanging="601"/>
      </w:pPr>
      <w:rPr>
        <w:rFonts w:hint="default"/>
        <w:lang w:val="zh-CN" w:eastAsia="zh-CN" w:bidi="zh-CN"/>
      </w:rPr>
    </w:lvl>
    <w:lvl w:ilvl="2" w:tentative="0">
      <w:start w:val="0"/>
      <w:numFmt w:val="bullet"/>
      <w:lvlText w:val="•"/>
      <w:lvlJc w:val="left"/>
      <w:pPr>
        <w:ind w:left="3569" w:hanging="601"/>
      </w:pPr>
      <w:rPr>
        <w:rFonts w:hint="default"/>
        <w:lang w:val="zh-CN" w:eastAsia="zh-CN" w:bidi="zh-CN"/>
      </w:rPr>
    </w:lvl>
    <w:lvl w:ilvl="3" w:tentative="0">
      <w:start w:val="0"/>
      <w:numFmt w:val="bullet"/>
      <w:lvlText w:val="•"/>
      <w:lvlJc w:val="left"/>
      <w:pPr>
        <w:ind w:left="4453" w:hanging="601"/>
      </w:pPr>
      <w:rPr>
        <w:rFonts w:hint="default"/>
        <w:lang w:val="zh-CN" w:eastAsia="zh-CN" w:bidi="zh-CN"/>
      </w:rPr>
    </w:lvl>
    <w:lvl w:ilvl="4" w:tentative="0">
      <w:start w:val="0"/>
      <w:numFmt w:val="bullet"/>
      <w:lvlText w:val="•"/>
      <w:lvlJc w:val="left"/>
      <w:pPr>
        <w:ind w:left="5338"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07" w:hanging="601"/>
      </w:pPr>
      <w:rPr>
        <w:rFonts w:hint="default"/>
        <w:lang w:val="zh-CN" w:eastAsia="zh-CN" w:bidi="zh-CN"/>
      </w:rPr>
    </w:lvl>
    <w:lvl w:ilvl="7" w:tentative="0">
      <w:start w:val="0"/>
      <w:numFmt w:val="bullet"/>
      <w:lvlText w:val="•"/>
      <w:lvlJc w:val="left"/>
      <w:pPr>
        <w:ind w:left="7992" w:hanging="601"/>
      </w:pPr>
      <w:rPr>
        <w:rFonts w:hint="default"/>
        <w:lang w:val="zh-CN" w:eastAsia="zh-CN" w:bidi="zh-CN"/>
      </w:rPr>
    </w:lvl>
    <w:lvl w:ilvl="8" w:tentative="0">
      <w:start w:val="0"/>
      <w:numFmt w:val="bullet"/>
      <w:lvlText w:val="•"/>
      <w:lvlJc w:val="left"/>
      <w:pPr>
        <w:ind w:left="8876" w:hanging="601"/>
      </w:pPr>
      <w:rPr>
        <w:rFonts w:hint="default"/>
        <w:lang w:val="zh-CN" w:eastAsia="zh-CN" w:bidi="zh-CN"/>
      </w:rPr>
    </w:lvl>
  </w:abstractNum>
  <w:abstractNum w:abstractNumId="3">
    <w:nsid w:val="C0915F4F"/>
    <w:multiLevelType w:val="multilevel"/>
    <w:tmpl w:val="C0915F4F"/>
    <w:lvl w:ilvl="0" w:tentative="0">
      <w:start w:val="1"/>
      <w:numFmt w:val="decimal"/>
      <w:lvlText w:val="（%1）"/>
      <w:lvlJc w:val="left"/>
      <w:pPr>
        <w:ind w:left="1869" w:hanging="601"/>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2738" w:hanging="601"/>
      </w:pPr>
      <w:rPr>
        <w:rFonts w:hint="default"/>
        <w:lang w:val="zh-CN" w:eastAsia="zh-CN" w:bidi="zh-CN"/>
      </w:rPr>
    </w:lvl>
    <w:lvl w:ilvl="2" w:tentative="0">
      <w:start w:val="0"/>
      <w:numFmt w:val="bullet"/>
      <w:lvlText w:val="•"/>
      <w:lvlJc w:val="left"/>
      <w:pPr>
        <w:ind w:left="3617" w:hanging="601"/>
      </w:pPr>
      <w:rPr>
        <w:rFonts w:hint="default"/>
        <w:lang w:val="zh-CN" w:eastAsia="zh-CN" w:bidi="zh-CN"/>
      </w:rPr>
    </w:lvl>
    <w:lvl w:ilvl="3" w:tentative="0">
      <w:start w:val="0"/>
      <w:numFmt w:val="bullet"/>
      <w:lvlText w:val="•"/>
      <w:lvlJc w:val="left"/>
      <w:pPr>
        <w:ind w:left="4495" w:hanging="601"/>
      </w:pPr>
      <w:rPr>
        <w:rFonts w:hint="default"/>
        <w:lang w:val="zh-CN" w:eastAsia="zh-CN" w:bidi="zh-CN"/>
      </w:rPr>
    </w:lvl>
    <w:lvl w:ilvl="4" w:tentative="0">
      <w:start w:val="0"/>
      <w:numFmt w:val="bullet"/>
      <w:lvlText w:val="•"/>
      <w:lvlJc w:val="left"/>
      <w:pPr>
        <w:ind w:left="5374" w:hanging="601"/>
      </w:pPr>
      <w:rPr>
        <w:rFonts w:hint="default"/>
        <w:lang w:val="zh-CN" w:eastAsia="zh-CN" w:bidi="zh-CN"/>
      </w:rPr>
    </w:lvl>
    <w:lvl w:ilvl="5" w:tentative="0">
      <w:start w:val="0"/>
      <w:numFmt w:val="bullet"/>
      <w:lvlText w:val="•"/>
      <w:lvlJc w:val="left"/>
      <w:pPr>
        <w:ind w:left="6253"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8010" w:hanging="601"/>
      </w:pPr>
      <w:rPr>
        <w:rFonts w:hint="default"/>
        <w:lang w:val="zh-CN" w:eastAsia="zh-CN" w:bidi="zh-CN"/>
      </w:rPr>
    </w:lvl>
    <w:lvl w:ilvl="8" w:tentative="0">
      <w:start w:val="0"/>
      <w:numFmt w:val="bullet"/>
      <w:lvlText w:val="•"/>
      <w:lvlJc w:val="left"/>
      <w:pPr>
        <w:ind w:left="8888" w:hanging="601"/>
      </w:pPr>
      <w:rPr>
        <w:rFonts w:hint="default"/>
        <w:lang w:val="zh-CN" w:eastAsia="zh-CN" w:bidi="zh-CN"/>
      </w:rPr>
    </w:lvl>
  </w:abstractNum>
  <w:abstractNum w:abstractNumId="4">
    <w:nsid w:val="D6DCE257"/>
    <w:multiLevelType w:val="singleLevel"/>
    <w:tmpl w:val="D6DCE257"/>
    <w:lvl w:ilvl="0" w:tentative="0">
      <w:start w:val="1"/>
      <w:numFmt w:val="decimal"/>
      <w:lvlText w:val="%1."/>
      <w:lvlJc w:val="left"/>
      <w:pPr>
        <w:tabs>
          <w:tab w:val="left" w:pos="312"/>
        </w:tabs>
      </w:pPr>
    </w:lvl>
  </w:abstractNum>
  <w:abstractNum w:abstractNumId="5">
    <w:nsid w:val="DE865406"/>
    <w:multiLevelType w:val="singleLevel"/>
    <w:tmpl w:val="DE865406"/>
    <w:lvl w:ilvl="0" w:tentative="0">
      <w:start w:val="2"/>
      <w:numFmt w:val="decimal"/>
      <w:suff w:val="nothing"/>
      <w:lvlText w:val="%1、"/>
      <w:lvlJc w:val="left"/>
    </w:lvl>
  </w:abstractNum>
  <w:abstractNum w:abstractNumId="6">
    <w:nsid w:val="DFDFCD36"/>
    <w:multiLevelType w:val="singleLevel"/>
    <w:tmpl w:val="DFDFCD36"/>
    <w:lvl w:ilvl="0" w:tentative="0">
      <w:start w:val="1"/>
      <w:numFmt w:val="decimal"/>
      <w:lvlText w:val="%1."/>
      <w:lvlJc w:val="left"/>
      <w:pPr>
        <w:tabs>
          <w:tab w:val="left" w:pos="312"/>
        </w:tabs>
      </w:pPr>
    </w:lvl>
  </w:abstractNum>
  <w:abstractNum w:abstractNumId="7">
    <w:nsid w:val="F689643B"/>
    <w:multiLevelType w:val="multilevel"/>
    <w:tmpl w:val="F689643B"/>
    <w:lvl w:ilvl="0" w:tentative="0">
      <w:start w:val="1"/>
      <w:numFmt w:val="decimal"/>
      <w:lvlText w:val="（%1）"/>
      <w:lvlJc w:val="left"/>
      <w:pPr>
        <w:ind w:left="1869"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738" w:hanging="601"/>
      </w:pPr>
      <w:rPr>
        <w:rFonts w:hint="default"/>
        <w:lang w:val="zh-CN" w:eastAsia="zh-CN" w:bidi="zh-CN"/>
      </w:rPr>
    </w:lvl>
    <w:lvl w:ilvl="2" w:tentative="0">
      <w:start w:val="0"/>
      <w:numFmt w:val="bullet"/>
      <w:lvlText w:val="•"/>
      <w:lvlJc w:val="left"/>
      <w:pPr>
        <w:ind w:left="3617" w:hanging="601"/>
      </w:pPr>
      <w:rPr>
        <w:rFonts w:hint="default"/>
        <w:lang w:val="zh-CN" w:eastAsia="zh-CN" w:bidi="zh-CN"/>
      </w:rPr>
    </w:lvl>
    <w:lvl w:ilvl="3" w:tentative="0">
      <w:start w:val="0"/>
      <w:numFmt w:val="bullet"/>
      <w:lvlText w:val="•"/>
      <w:lvlJc w:val="left"/>
      <w:pPr>
        <w:ind w:left="4495" w:hanging="601"/>
      </w:pPr>
      <w:rPr>
        <w:rFonts w:hint="default"/>
        <w:lang w:val="zh-CN" w:eastAsia="zh-CN" w:bidi="zh-CN"/>
      </w:rPr>
    </w:lvl>
    <w:lvl w:ilvl="4" w:tentative="0">
      <w:start w:val="0"/>
      <w:numFmt w:val="bullet"/>
      <w:lvlText w:val="•"/>
      <w:lvlJc w:val="left"/>
      <w:pPr>
        <w:ind w:left="5374" w:hanging="601"/>
      </w:pPr>
      <w:rPr>
        <w:rFonts w:hint="default"/>
        <w:lang w:val="zh-CN" w:eastAsia="zh-CN" w:bidi="zh-CN"/>
      </w:rPr>
    </w:lvl>
    <w:lvl w:ilvl="5" w:tentative="0">
      <w:start w:val="0"/>
      <w:numFmt w:val="bullet"/>
      <w:lvlText w:val="•"/>
      <w:lvlJc w:val="left"/>
      <w:pPr>
        <w:ind w:left="6253"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8010" w:hanging="601"/>
      </w:pPr>
      <w:rPr>
        <w:rFonts w:hint="default"/>
        <w:lang w:val="zh-CN" w:eastAsia="zh-CN" w:bidi="zh-CN"/>
      </w:rPr>
    </w:lvl>
    <w:lvl w:ilvl="8" w:tentative="0">
      <w:start w:val="0"/>
      <w:numFmt w:val="bullet"/>
      <w:lvlText w:val="•"/>
      <w:lvlJc w:val="left"/>
      <w:pPr>
        <w:ind w:left="8888" w:hanging="601"/>
      </w:pPr>
      <w:rPr>
        <w:rFonts w:hint="default"/>
        <w:lang w:val="zh-CN" w:eastAsia="zh-CN" w:bidi="zh-CN"/>
      </w:rPr>
    </w:lvl>
  </w:abstractNum>
  <w:abstractNum w:abstractNumId="8">
    <w:nsid w:val="FEC2EA36"/>
    <w:multiLevelType w:val="multilevel"/>
    <w:tmpl w:val="FEC2EA36"/>
    <w:lvl w:ilvl="0" w:tentative="0">
      <w:start w:val="9"/>
      <w:numFmt w:val="decimal"/>
      <w:lvlText w:val="%1."/>
      <w:lvlJc w:val="left"/>
      <w:pPr>
        <w:ind w:left="1628" w:hanging="360"/>
      </w:pPr>
      <w:rPr>
        <w:rFonts w:hint="default" w:ascii="宋体" w:hAnsi="宋体" w:eastAsia="宋体" w:cs="宋体"/>
        <w:b/>
        <w:bCs/>
        <w:w w:val="99"/>
        <w:sz w:val="24"/>
        <w:szCs w:val="24"/>
        <w:lang w:val="zh-CN" w:eastAsia="zh-CN" w:bidi="zh-CN"/>
      </w:rPr>
    </w:lvl>
    <w:lvl w:ilvl="1" w:tentative="0">
      <w:start w:val="1"/>
      <w:numFmt w:val="decimal"/>
      <w:lvlText w:val="%1.%2"/>
      <w:lvlJc w:val="left"/>
      <w:pPr>
        <w:ind w:left="1808" w:hanging="540"/>
      </w:pPr>
      <w:rPr>
        <w:rFonts w:hint="default"/>
        <w:w w:val="100"/>
        <w:lang w:val="zh-CN" w:eastAsia="zh-CN" w:bidi="zh-CN"/>
      </w:rPr>
    </w:lvl>
    <w:lvl w:ilvl="2" w:tentative="0">
      <w:start w:val="0"/>
      <w:numFmt w:val="bullet"/>
      <w:lvlText w:val="•"/>
      <w:lvlJc w:val="left"/>
      <w:pPr>
        <w:ind w:left="1800" w:hanging="540"/>
      </w:pPr>
      <w:rPr>
        <w:rFonts w:hint="default"/>
        <w:lang w:val="zh-CN" w:eastAsia="zh-CN" w:bidi="zh-CN"/>
      </w:rPr>
    </w:lvl>
    <w:lvl w:ilvl="3" w:tentative="0">
      <w:start w:val="0"/>
      <w:numFmt w:val="bullet"/>
      <w:lvlText w:val="•"/>
      <w:lvlJc w:val="left"/>
      <w:pPr>
        <w:ind w:left="2905" w:hanging="540"/>
      </w:pPr>
      <w:rPr>
        <w:rFonts w:hint="default"/>
        <w:lang w:val="zh-CN" w:eastAsia="zh-CN" w:bidi="zh-CN"/>
      </w:rPr>
    </w:lvl>
    <w:lvl w:ilvl="4" w:tentative="0">
      <w:start w:val="0"/>
      <w:numFmt w:val="bullet"/>
      <w:lvlText w:val="•"/>
      <w:lvlJc w:val="left"/>
      <w:pPr>
        <w:ind w:left="4011" w:hanging="540"/>
      </w:pPr>
      <w:rPr>
        <w:rFonts w:hint="default"/>
        <w:lang w:val="zh-CN" w:eastAsia="zh-CN" w:bidi="zh-CN"/>
      </w:rPr>
    </w:lvl>
    <w:lvl w:ilvl="5" w:tentative="0">
      <w:start w:val="0"/>
      <w:numFmt w:val="bullet"/>
      <w:lvlText w:val="•"/>
      <w:lvlJc w:val="left"/>
      <w:pPr>
        <w:ind w:left="5117" w:hanging="540"/>
      </w:pPr>
      <w:rPr>
        <w:rFonts w:hint="default"/>
        <w:lang w:val="zh-CN" w:eastAsia="zh-CN" w:bidi="zh-CN"/>
      </w:rPr>
    </w:lvl>
    <w:lvl w:ilvl="6" w:tentative="0">
      <w:start w:val="0"/>
      <w:numFmt w:val="bullet"/>
      <w:lvlText w:val="•"/>
      <w:lvlJc w:val="left"/>
      <w:pPr>
        <w:ind w:left="6223" w:hanging="540"/>
      </w:pPr>
      <w:rPr>
        <w:rFonts w:hint="default"/>
        <w:lang w:val="zh-CN" w:eastAsia="zh-CN" w:bidi="zh-CN"/>
      </w:rPr>
    </w:lvl>
    <w:lvl w:ilvl="7" w:tentative="0">
      <w:start w:val="0"/>
      <w:numFmt w:val="bullet"/>
      <w:lvlText w:val="•"/>
      <w:lvlJc w:val="left"/>
      <w:pPr>
        <w:ind w:left="7328" w:hanging="540"/>
      </w:pPr>
      <w:rPr>
        <w:rFonts w:hint="default"/>
        <w:lang w:val="zh-CN" w:eastAsia="zh-CN" w:bidi="zh-CN"/>
      </w:rPr>
    </w:lvl>
    <w:lvl w:ilvl="8" w:tentative="0">
      <w:start w:val="0"/>
      <w:numFmt w:val="bullet"/>
      <w:lvlText w:val="•"/>
      <w:lvlJc w:val="left"/>
      <w:pPr>
        <w:ind w:left="8434" w:hanging="540"/>
      </w:pPr>
      <w:rPr>
        <w:rFonts w:hint="default"/>
        <w:lang w:val="zh-CN" w:eastAsia="zh-CN" w:bidi="zh-CN"/>
      </w:rPr>
    </w:lvl>
  </w:abstractNum>
  <w:abstractNum w:abstractNumId="9">
    <w:nsid w:val="00000016"/>
    <w:multiLevelType w:val="multilevel"/>
    <w:tmpl w:val="0000001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suff w:val="nothing"/>
      <w:lvlText w:val="%1.12.%3 "/>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03A63A41"/>
    <w:multiLevelType w:val="multilevel"/>
    <w:tmpl w:val="03A63A41"/>
    <w:lvl w:ilvl="0" w:tentative="0">
      <w:start w:val="1"/>
      <w:numFmt w:val="decimal"/>
      <w:lvlText w:val="（%1）"/>
      <w:lvlJc w:val="left"/>
      <w:pPr>
        <w:ind w:left="1869"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738" w:hanging="601"/>
      </w:pPr>
      <w:rPr>
        <w:rFonts w:hint="default"/>
        <w:lang w:val="zh-CN" w:eastAsia="zh-CN" w:bidi="zh-CN"/>
      </w:rPr>
    </w:lvl>
    <w:lvl w:ilvl="2" w:tentative="0">
      <w:start w:val="0"/>
      <w:numFmt w:val="bullet"/>
      <w:lvlText w:val="•"/>
      <w:lvlJc w:val="left"/>
      <w:pPr>
        <w:ind w:left="3617" w:hanging="601"/>
      </w:pPr>
      <w:rPr>
        <w:rFonts w:hint="default"/>
        <w:lang w:val="zh-CN" w:eastAsia="zh-CN" w:bidi="zh-CN"/>
      </w:rPr>
    </w:lvl>
    <w:lvl w:ilvl="3" w:tentative="0">
      <w:start w:val="0"/>
      <w:numFmt w:val="bullet"/>
      <w:lvlText w:val="•"/>
      <w:lvlJc w:val="left"/>
      <w:pPr>
        <w:ind w:left="4495" w:hanging="601"/>
      </w:pPr>
      <w:rPr>
        <w:rFonts w:hint="default"/>
        <w:lang w:val="zh-CN" w:eastAsia="zh-CN" w:bidi="zh-CN"/>
      </w:rPr>
    </w:lvl>
    <w:lvl w:ilvl="4" w:tentative="0">
      <w:start w:val="0"/>
      <w:numFmt w:val="bullet"/>
      <w:lvlText w:val="•"/>
      <w:lvlJc w:val="left"/>
      <w:pPr>
        <w:ind w:left="5374" w:hanging="601"/>
      </w:pPr>
      <w:rPr>
        <w:rFonts w:hint="default"/>
        <w:lang w:val="zh-CN" w:eastAsia="zh-CN" w:bidi="zh-CN"/>
      </w:rPr>
    </w:lvl>
    <w:lvl w:ilvl="5" w:tentative="0">
      <w:start w:val="0"/>
      <w:numFmt w:val="bullet"/>
      <w:lvlText w:val="•"/>
      <w:lvlJc w:val="left"/>
      <w:pPr>
        <w:ind w:left="6253"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8010" w:hanging="601"/>
      </w:pPr>
      <w:rPr>
        <w:rFonts w:hint="default"/>
        <w:lang w:val="zh-CN" w:eastAsia="zh-CN" w:bidi="zh-CN"/>
      </w:rPr>
    </w:lvl>
    <w:lvl w:ilvl="8" w:tentative="0">
      <w:start w:val="0"/>
      <w:numFmt w:val="bullet"/>
      <w:lvlText w:val="•"/>
      <w:lvlJc w:val="left"/>
      <w:pPr>
        <w:ind w:left="8888" w:hanging="601"/>
      </w:pPr>
      <w:rPr>
        <w:rFonts w:hint="default"/>
        <w:lang w:val="zh-CN" w:eastAsia="zh-CN" w:bidi="zh-CN"/>
      </w:rPr>
    </w:lvl>
  </w:abstractNum>
  <w:abstractNum w:abstractNumId="11">
    <w:nsid w:val="082C3F1A"/>
    <w:multiLevelType w:val="multilevel"/>
    <w:tmpl w:val="082C3F1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0F9F9CCA"/>
    <w:multiLevelType w:val="multilevel"/>
    <w:tmpl w:val="0F9F9CCA"/>
    <w:lvl w:ilvl="0" w:tentative="0">
      <w:start w:val="1"/>
      <w:numFmt w:val="decimal"/>
      <w:lvlText w:val="%1."/>
      <w:lvlJc w:val="left"/>
      <w:pPr>
        <w:ind w:left="1628" w:hanging="360"/>
      </w:pPr>
      <w:rPr>
        <w:rFonts w:hint="default" w:ascii="宋体" w:hAnsi="宋体" w:eastAsia="宋体" w:cs="宋体"/>
        <w:b/>
        <w:bCs/>
        <w:spacing w:val="0"/>
        <w:w w:val="99"/>
        <w:sz w:val="24"/>
        <w:szCs w:val="24"/>
        <w:lang w:val="zh-CN" w:eastAsia="zh-CN" w:bidi="zh-CN"/>
      </w:rPr>
    </w:lvl>
    <w:lvl w:ilvl="1" w:tentative="0">
      <w:start w:val="1"/>
      <w:numFmt w:val="decimal"/>
      <w:lvlText w:val="%1.%2"/>
      <w:lvlJc w:val="left"/>
      <w:pPr>
        <w:ind w:left="1753" w:hanging="485"/>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788" w:hanging="660"/>
      </w:pPr>
      <w:rPr>
        <w:rFonts w:hint="default" w:ascii="宋体" w:hAnsi="宋体" w:eastAsia="宋体" w:cs="宋体"/>
        <w:w w:val="100"/>
        <w:sz w:val="24"/>
        <w:szCs w:val="24"/>
        <w:lang w:val="zh-CN" w:eastAsia="zh-CN" w:bidi="zh-CN"/>
      </w:rPr>
    </w:lvl>
    <w:lvl w:ilvl="3" w:tentative="0">
      <w:start w:val="0"/>
      <w:numFmt w:val="bullet"/>
      <w:lvlText w:val="•"/>
      <w:lvlJc w:val="left"/>
      <w:pPr>
        <w:ind w:left="1760" w:hanging="660"/>
      </w:pPr>
      <w:rPr>
        <w:rFonts w:hint="default"/>
        <w:lang w:val="zh-CN" w:eastAsia="zh-CN" w:bidi="zh-CN"/>
      </w:rPr>
    </w:lvl>
    <w:lvl w:ilvl="4" w:tentative="0">
      <w:start w:val="0"/>
      <w:numFmt w:val="bullet"/>
      <w:lvlText w:val="•"/>
      <w:lvlJc w:val="left"/>
      <w:pPr>
        <w:ind w:left="1980" w:hanging="660"/>
      </w:pPr>
      <w:rPr>
        <w:rFonts w:hint="default"/>
        <w:lang w:val="zh-CN" w:eastAsia="zh-CN" w:bidi="zh-CN"/>
      </w:rPr>
    </w:lvl>
    <w:lvl w:ilvl="5" w:tentative="0">
      <w:start w:val="0"/>
      <w:numFmt w:val="bullet"/>
      <w:lvlText w:val="•"/>
      <w:lvlJc w:val="left"/>
      <w:pPr>
        <w:ind w:left="3424" w:hanging="660"/>
      </w:pPr>
      <w:rPr>
        <w:rFonts w:hint="default"/>
        <w:lang w:val="zh-CN" w:eastAsia="zh-CN" w:bidi="zh-CN"/>
      </w:rPr>
    </w:lvl>
    <w:lvl w:ilvl="6" w:tentative="0">
      <w:start w:val="0"/>
      <w:numFmt w:val="bullet"/>
      <w:lvlText w:val="•"/>
      <w:lvlJc w:val="left"/>
      <w:pPr>
        <w:ind w:left="4868" w:hanging="660"/>
      </w:pPr>
      <w:rPr>
        <w:rFonts w:hint="default"/>
        <w:lang w:val="zh-CN" w:eastAsia="zh-CN" w:bidi="zh-CN"/>
      </w:rPr>
    </w:lvl>
    <w:lvl w:ilvl="7" w:tentative="0">
      <w:start w:val="0"/>
      <w:numFmt w:val="bullet"/>
      <w:lvlText w:val="•"/>
      <w:lvlJc w:val="left"/>
      <w:pPr>
        <w:ind w:left="6313" w:hanging="660"/>
      </w:pPr>
      <w:rPr>
        <w:rFonts w:hint="default"/>
        <w:lang w:val="zh-CN" w:eastAsia="zh-CN" w:bidi="zh-CN"/>
      </w:rPr>
    </w:lvl>
    <w:lvl w:ilvl="8" w:tentative="0">
      <w:start w:val="0"/>
      <w:numFmt w:val="bullet"/>
      <w:lvlText w:val="•"/>
      <w:lvlJc w:val="left"/>
      <w:pPr>
        <w:ind w:left="7757" w:hanging="660"/>
      </w:pPr>
      <w:rPr>
        <w:rFonts w:hint="default"/>
        <w:lang w:val="zh-CN" w:eastAsia="zh-CN" w:bidi="zh-CN"/>
      </w:rPr>
    </w:lvl>
  </w:abstractNum>
  <w:abstractNum w:abstractNumId="13">
    <w:nsid w:val="12EADF99"/>
    <w:multiLevelType w:val="multilevel"/>
    <w:tmpl w:val="12EADF99"/>
    <w:lvl w:ilvl="0" w:tentative="0">
      <w:start w:val="1"/>
      <w:numFmt w:val="decimal"/>
      <w:lvlText w:val="（%1）"/>
      <w:lvlJc w:val="left"/>
      <w:pPr>
        <w:ind w:left="1869"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738" w:hanging="601"/>
      </w:pPr>
      <w:rPr>
        <w:rFonts w:hint="default"/>
        <w:lang w:val="zh-CN" w:eastAsia="zh-CN" w:bidi="zh-CN"/>
      </w:rPr>
    </w:lvl>
    <w:lvl w:ilvl="2" w:tentative="0">
      <w:start w:val="0"/>
      <w:numFmt w:val="bullet"/>
      <w:lvlText w:val="•"/>
      <w:lvlJc w:val="left"/>
      <w:pPr>
        <w:ind w:left="3617" w:hanging="601"/>
      </w:pPr>
      <w:rPr>
        <w:rFonts w:hint="default"/>
        <w:lang w:val="zh-CN" w:eastAsia="zh-CN" w:bidi="zh-CN"/>
      </w:rPr>
    </w:lvl>
    <w:lvl w:ilvl="3" w:tentative="0">
      <w:start w:val="0"/>
      <w:numFmt w:val="bullet"/>
      <w:lvlText w:val="•"/>
      <w:lvlJc w:val="left"/>
      <w:pPr>
        <w:ind w:left="4495" w:hanging="601"/>
      </w:pPr>
      <w:rPr>
        <w:rFonts w:hint="default"/>
        <w:lang w:val="zh-CN" w:eastAsia="zh-CN" w:bidi="zh-CN"/>
      </w:rPr>
    </w:lvl>
    <w:lvl w:ilvl="4" w:tentative="0">
      <w:start w:val="0"/>
      <w:numFmt w:val="bullet"/>
      <w:lvlText w:val="•"/>
      <w:lvlJc w:val="left"/>
      <w:pPr>
        <w:ind w:left="5374" w:hanging="601"/>
      </w:pPr>
      <w:rPr>
        <w:rFonts w:hint="default"/>
        <w:lang w:val="zh-CN" w:eastAsia="zh-CN" w:bidi="zh-CN"/>
      </w:rPr>
    </w:lvl>
    <w:lvl w:ilvl="5" w:tentative="0">
      <w:start w:val="0"/>
      <w:numFmt w:val="bullet"/>
      <w:lvlText w:val="•"/>
      <w:lvlJc w:val="left"/>
      <w:pPr>
        <w:ind w:left="6253"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8010" w:hanging="601"/>
      </w:pPr>
      <w:rPr>
        <w:rFonts w:hint="default"/>
        <w:lang w:val="zh-CN" w:eastAsia="zh-CN" w:bidi="zh-CN"/>
      </w:rPr>
    </w:lvl>
    <w:lvl w:ilvl="8" w:tentative="0">
      <w:start w:val="0"/>
      <w:numFmt w:val="bullet"/>
      <w:lvlText w:val="•"/>
      <w:lvlJc w:val="left"/>
      <w:pPr>
        <w:ind w:left="8888" w:hanging="601"/>
      </w:pPr>
      <w:rPr>
        <w:rFonts w:hint="default"/>
        <w:lang w:val="zh-CN" w:eastAsia="zh-CN" w:bidi="zh-CN"/>
      </w:rPr>
    </w:lvl>
  </w:abstractNum>
  <w:abstractNum w:abstractNumId="14">
    <w:nsid w:val="175D0791"/>
    <w:multiLevelType w:val="multilevel"/>
    <w:tmpl w:val="175D0791"/>
    <w:lvl w:ilvl="0" w:tentative="0">
      <w:start w:val="1"/>
      <w:numFmt w:val="chineseCountingThousand"/>
      <w:suff w:val="nothing"/>
      <w:lvlText w:val="%1、"/>
      <w:lvlJc w:val="left"/>
      <w:pPr>
        <w:ind w:left="704" w:hanging="420"/>
      </w:pPr>
      <w:rPr>
        <w:rFonts w:hint="eastAsia"/>
      </w:rPr>
    </w:lvl>
    <w:lvl w:ilvl="1" w:tentative="0">
      <w:start w:val="1"/>
      <w:numFmt w:val="lowerLetter"/>
      <w:lvlText w:val="%2)"/>
      <w:lvlJc w:val="left"/>
      <w:pPr>
        <w:ind w:left="1438" w:hanging="420"/>
      </w:pPr>
      <w:rPr>
        <w:rFonts w:hint="eastAsia"/>
      </w:rPr>
    </w:lvl>
    <w:lvl w:ilvl="2" w:tentative="0">
      <w:start w:val="1"/>
      <w:numFmt w:val="lowerRoman"/>
      <w:lvlText w:val="%3."/>
      <w:lvlJc w:val="right"/>
      <w:pPr>
        <w:ind w:left="1858" w:hanging="420"/>
      </w:pPr>
      <w:rPr>
        <w:rFonts w:hint="eastAsia"/>
      </w:rPr>
    </w:lvl>
    <w:lvl w:ilvl="3" w:tentative="0">
      <w:start w:val="1"/>
      <w:numFmt w:val="decimal"/>
      <w:lvlText w:val="%4."/>
      <w:lvlJc w:val="left"/>
      <w:pPr>
        <w:ind w:left="2278" w:hanging="420"/>
      </w:pPr>
      <w:rPr>
        <w:rFonts w:hint="eastAsia"/>
      </w:rPr>
    </w:lvl>
    <w:lvl w:ilvl="4" w:tentative="0">
      <w:start w:val="1"/>
      <w:numFmt w:val="lowerLetter"/>
      <w:lvlText w:val="%5)"/>
      <w:lvlJc w:val="left"/>
      <w:pPr>
        <w:ind w:left="2698" w:hanging="420"/>
      </w:pPr>
      <w:rPr>
        <w:rFonts w:hint="eastAsia"/>
      </w:rPr>
    </w:lvl>
    <w:lvl w:ilvl="5" w:tentative="0">
      <w:start w:val="1"/>
      <w:numFmt w:val="lowerRoman"/>
      <w:lvlText w:val="%6."/>
      <w:lvlJc w:val="right"/>
      <w:pPr>
        <w:ind w:left="3118" w:hanging="420"/>
      </w:pPr>
      <w:rPr>
        <w:rFonts w:hint="eastAsia"/>
      </w:rPr>
    </w:lvl>
    <w:lvl w:ilvl="6" w:tentative="0">
      <w:start w:val="1"/>
      <w:numFmt w:val="decimal"/>
      <w:lvlText w:val="%7."/>
      <w:lvlJc w:val="left"/>
      <w:pPr>
        <w:ind w:left="3538" w:hanging="420"/>
      </w:pPr>
      <w:rPr>
        <w:rFonts w:hint="eastAsia"/>
      </w:rPr>
    </w:lvl>
    <w:lvl w:ilvl="7" w:tentative="0">
      <w:start w:val="1"/>
      <w:numFmt w:val="lowerLetter"/>
      <w:lvlText w:val="%8)"/>
      <w:lvlJc w:val="left"/>
      <w:pPr>
        <w:ind w:left="3958" w:hanging="420"/>
      </w:pPr>
      <w:rPr>
        <w:rFonts w:hint="eastAsia"/>
      </w:rPr>
    </w:lvl>
    <w:lvl w:ilvl="8" w:tentative="0">
      <w:start w:val="1"/>
      <w:numFmt w:val="lowerRoman"/>
      <w:lvlText w:val="%9."/>
      <w:lvlJc w:val="right"/>
      <w:pPr>
        <w:ind w:left="4378" w:hanging="420"/>
      </w:pPr>
      <w:rPr>
        <w:rFonts w:hint="eastAsia"/>
      </w:rPr>
    </w:lvl>
  </w:abstractNum>
  <w:abstractNum w:abstractNumId="15">
    <w:nsid w:val="214D1F2E"/>
    <w:multiLevelType w:val="singleLevel"/>
    <w:tmpl w:val="214D1F2E"/>
    <w:lvl w:ilvl="0" w:tentative="0">
      <w:start w:val="1"/>
      <w:numFmt w:val="chineseCounting"/>
      <w:suff w:val="nothing"/>
      <w:lvlText w:val="%1、"/>
      <w:lvlJc w:val="left"/>
      <w:pPr>
        <w:ind w:left="-2"/>
      </w:pPr>
      <w:rPr>
        <w:rFonts w:hint="eastAsia"/>
      </w:rPr>
    </w:lvl>
  </w:abstractNum>
  <w:abstractNum w:abstractNumId="16">
    <w:nsid w:val="222D8514"/>
    <w:multiLevelType w:val="singleLevel"/>
    <w:tmpl w:val="222D8514"/>
    <w:lvl w:ilvl="0" w:tentative="0">
      <w:start w:val="9"/>
      <w:numFmt w:val="chineseCounting"/>
      <w:suff w:val="nothing"/>
      <w:lvlText w:val="（%1）"/>
      <w:lvlJc w:val="left"/>
      <w:rPr>
        <w:rFonts w:hint="eastAsia"/>
      </w:rPr>
    </w:lvl>
  </w:abstractNum>
  <w:abstractNum w:abstractNumId="17">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18">
    <w:nsid w:val="25184866"/>
    <w:multiLevelType w:val="multilevel"/>
    <w:tmpl w:val="25184866"/>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9">
    <w:nsid w:val="30A0AC00"/>
    <w:multiLevelType w:val="multilevel"/>
    <w:tmpl w:val="30A0AC00"/>
    <w:lvl w:ilvl="0" w:tentative="0">
      <w:start w:val="8"/>
      <w:numFmt w:val="decimal"/>
      <w:lvlText w:val="%1"/>
      <w:lvlJc w:val="left"/>
      <w:pPr>
        <w:ind w:left="1751" w:hanging="483"/>
      </w:pPr>
      <w:rPr>
        <w:rFonts w:hint="default"/>
        <w:lang w:val="zh-CN" w:eastAsia="zh-CN" w:bidi="zh-CN"/>
      </w:rPr>
    </w:lvl>
    <w:lvl w:ilvl="1" w:tentative="0">
      <w:start w:val="1"/>
      <w:numFmt w:val="decimal"/>
      <w:lvlText w:val="%1.%2"/>
      <w:lvlJc w:val="left"/>
      <w:pPr>
        <w:ind w:left="1751" w:hanging="483"/>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3537" w:hanging="483"/>
      </w:pPr>
      <w:rPr>
        <w:rFonts w:hint="default"/>
        <w:lang w:val="zh-CN" w:eastAsia="zh-CN" w:bidi="zh-CN"/>
      </w:rPr>
    </w:lvl>
    <w:lvl w:ilvl="3" w:tentative="0">
      <w:start w:val="0"/>
      <w:numFmt w:val="bullet"/>
      <w:lvlText w:val="•"/>
      <w:lvlJc w:val="left"/>
      <w:pPr>
        <w:ind w:left="4425" w:hanging="483"/>
      </w:pPr>
      <w:rPr>
        <w:rFonts w:hint="default"/>
        <w:lang w:val="zh-CN" w:eastAsia="zh-CN" w:bidi="zh-CN"/>
      </w:rPr>
    </w:lvl>
    <w:lvl w:ilvl="4" w:tentative="0">
      <w:start w:val="0"/>
      <w:numFmt w:val="bullet"/>
      <w:lvlText w:val="•"/>
      <w:lvlJc w:val="left"/>
      <w:pPr>
        <w:ind w:left="5314" w:hanging="483"/>
      </w:pPr>
      <w:rPr>
        <w:rFonts w:hint="default"/>
        <w:lang w:val="zh-CN" w:eastAsia="zh-CN" w:bidi="zh-CN"/>
      </w:rPr>
    </w:lvl>
    <w:lvl w:ilvl="5" w:tentative="0">
      <w:start w:val="0"/>
      <w:numFmt w:val="bullet"/>
      <w:lvlText w:val="•"/>
      <w:lvlJc w:val="left"/>
      <w:pPr>
        <w:ind w:left="6203" w:hanging="483"/>
      </w:pPr>
      <w:rPr>
        <w:rFonts w:hint="default"/>
        <w:lang w:val="zh-CN" w:eastAsia="zh-CN" w:bidi="zh-CN"/>
      </w:rPr>
    </w:lvl>
    <w:lvl w:ilvl="6" w:tentative="0">
      <w:start w:val="0"/>
      <w:numFmt w:val="bullet"/>
      <w:lvlText w:val="•"/>
      <w:lvlJc w:val="left"/>
      <w:pPr>
        <w:ind w:left="7091" w:hanging="483"/>
      </w:pPr>
      <w:rPr>
        <w:rFonts w:hint="default"/>
        <w:lang w:val="zh-CN" w:eastAsia="zh-CN" w:bidi="zh-CN"/>
      </w:rPr>
    </w:lvl>
    <w:lvl w:ilvl="7" w:tentative="0">
      <w:start w:val="0"/>
      <w:numFmt w:val="bullet"/>
      <w:lvlText w:val="•"/>
      <w:lvlJc w:val="left"/>
      <w:pPr>
        <w:ind w:left="7980" w:hanging="483"/>
      </w:pPr>
      <w:rPr>
        <w:rFonts w:hint="default"/>
        <w:lang w:val="zh-CN" w:eastAsia="zh-CN" w:bidi="zh-CN"/>
      </w:rPr>
    </w:lvl>
    <w:lvl w:ilvl="8" w:tentative="0">
      <w:start w:val="0"/>
      <w:numFmt w:val="bullet"/>
      <w:lvlText w:val="•"/>
      <w:lvlJc w:val="left"/>
      <w:pPr>
        <w:ind w:left="8868" w:hanging="483"/>
      </w:pPr>
      <w:rPr>
        <w:rFonts w:hint="default"/>
        <w:lang w:val="zh-CN" w:eastAsia="zh-CN" w:bidi="zh-CN"/>
      </w:rPr>
    </w:lvl>
  </w:abstractNum>
  <w:abstractNum w:abstractNumId="20">
    <w:nsid w:val="35E83B33"/>
    <w:multiLevelType w:val="multilevel"/>
    <w:tmpl w:val="35E83B33"/>
    <w:lvl w:ilvl="0" w:tentative="0">
      <w:start w:val="1"/>
      <w:numFmt w:val="decimal"/>
      <w:lvlText w:val="%1"/>
      <w:lvlJc w:val="left"/>
      <w:pPr>
        <w:ind w:left="1751" w:hanging="483"/>
      </w:pPr>
      <w:rPr>
        <w:rFonts w:hint="default"/>
        <w:lang w:val="zh-CN" w:eastAsia="zh-CN" w:bidi="zh-CN"/>
      </w:rPr>
    </w:lvl>
    <w:lvl w:ilvl="1" w:tentative="0">
      <w:start w:val="4"/>
      <w:numFmt w:val="decimal"/>
      <w:lvlText w:val="%1.%2"/>
      <w:lvlJc w:val="left"/>
      <w:pPr>
        <w:ind w:left="1751" w:hanging="483"/>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1988" w:hanging="720"/>
      </w:pPr>
      <w:rPr>
        <w:rFonts w:hint="default" w:ascii="宋体" w:hAnsi="宋体" w:eastAsia="宋体" w:cs="宋体"/>
        <w:w w:val="100"/>
        <w:sz w:val="24"/>
        <w:szCs w:val="24"/>
        <w:lang w:val="zh-CN" w:eastAsia="zh-CN" w:bidi="zh-CN"/>
      </w:rPr>
    </w:lvl>
    <w:lvl w:ilvl="3" w:tentative="0">
      <w:start w:val="0"/>
      <w:numFmt w:val="bullet"/>
      <w:lvlText w:val="•"/>
      <w:lvlJc w:val="left"/>
      <w:pPr>
        <w:ind w:left="3063" w:hanging="720"/>
      </w:pPr>
      <w:rPr>
        <w:rFonts w:hint="default"/>
        <w:lang w:val="zh-CN" w:eastAsia="zh-CN" w:bidi="zh-CN"/>
      </w:rPr>
    </w:lvl>
    <w:lvl w:ilvl="4" w:tentative="0">
      <w:start w:val="0"/>
      <w:numFmt w:val="bullet"/>
      <w:lvlText w:val="•"/>
      <w:lvlJc w:val="left"/>
      <w:pPr>
        <w:ind w:left="4146" w:hanging="720"/>
      </w:pPr>
      <w:rPr>
        <w:rFonts w:hint="default"/>
        <w:lang w:val="zh-CN" w:eastAsia="zh-CN" w:bidi="zh-CN"/>
      </w:rPr>
    </w:lvl>
    <w:lvl w:ilvl="5" w:tentative="0">
      <w:start w:val="0"/>
      <w:numFmt w:val="bullet"/>
      <w:lvlText w:val="•"/>
      <w:lvlJc w:val="left"/>
      <w:pPr>
        <w:ind w:left="5229" w:hanging="720"/>
      </w:pPr>
      <w:rPr>
        <w:rFonts w:hint="default"/>
        <w:lang w:val="zh-CN" w:eastAsia="zh-CN" w:bidi="zh-CN"/>
      </w:rPr>
    </w:lvl>
    <w:lvl w:ilvl="6" w:tentative="0">
      <w:start w:val="0"/>
      <w:numFmt w:val="bullet"/>
      <w:lvlText w:val="•"/>
      <w:lvlJc w:val="left"/>
      <w:pPr>
        <w:ind w:left="6313" w:hanging="720"/>
      </w:pPr>
      <w:rPr>
        <w:rFonts w:hint="default"/>
        <w:lang w:val="zh-CN" w:eastAsia="zh-CN" w:bidi="zh-CN"/>
      </w:rPr>
    </w:lvl>
    <w:lvl w:ilvl="7" w:tentative="0">
      <w:start w:val="0"/>
      <w:numFmt w:val="bullet"/>
      <w:lvlText w:val="•"/>
      <w:lvlJc w:val="left"/>
      <w:pPr>
        <w:ind w:left="7396" w:hanging="720"/>
      </w:pPr>
      <w:rPr>
        <w:rFonts w:hint="default"/>
        <w:lang w:val="zh-CN" w:eastAsia="zh-CN" w:bidi="zh-CN"/>
      </w:rPr>
    </w:lvl>
    <w:lvl w:ilvl="8" w:tentative="0">
      <w:start w:val="0"/>
      <w:numFmt w:val="bullet"/>
      <w:lvlText w:val="•"/>
      <w:lvlJc w:val="left"/>
      <w:pPr>
        <w:ind w:left="8479" w:hanging="720"/>
      </w:pPr>
      <w:rPr>
        <w:rFonts w:hint="default"/>
        <w:lang w:val="zh-CN" w:eastAsia="zh-CN" w:bidi="zh-CN"/>
      </w:rPr>
    </w:lvl>
  </w:abstractNum>
  <w:abstractNum w:abstractNumId="21">
    <w:nsid w:val="62687BB6"/>
    <w:multiLevelType w:val="multilevel"/>
    <w:tmpl w:val="62687BB6"/>
    <w:lvl w:ilvl="0" w:tentative="0">
      <w:start w:val="1"/>
      <w:numFmt w:val="decimal"/>
      <w:pStyle w:val="48"/>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22">
    <w:nsid w:val="6E87019F"/>
    <w:multiLevelType w:val="multilevel"/>
    <w:tmpl w:val="6E87019F"/>
    <w:lvl w:ilvl="0" w:tentative="0">
      <w:start w:val="1"/>
      <w:numFmt w:val="chineseCountingThousand"/>
      <w:pStyle w:val="5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21"/>
  </w:num>
  <w:num w:numId="2">
    <w:abstractNumId w:val="17"/>
    <w:lvlOverride w:ilvl="0">
      <w:lvl w:ilvl="0" w:tentative="1">
        <w:start w:val="1"/>
        <w:numFmt w:val="decimal"/>
        <w:lvlText w:val="第%1条"/>
        <w:lvlJc w:val="left"/>
        <w:pPr>
          <w:ind w:left="0" w:firstLine="0"/>
        </w:pPr>
      </w:lvl>
    </w:lvlOverride>
    <w:lvlOverride w:ilvl="1">
      <w:lvl w:ilvl="1" w:tentative="1">
        <w:start w:val="1"/>
        <w:numFmt w:val="decimal"/>
        <w:pStyle w:val="53"/>
        <w:lvlText w:val="%1.%2"/>
        <w:lvlJc w:val="left"/>
        <w:pPr>
          <w:ind w:left="1843" w:firstLine="0"/>
        </w:pPr>
      </w:lvl>
    </w:lvlOverride>
    <w:lvlOverride w:ilvl="2">
      <w:lvl w:ilvl="2" w:tentative="1">
        <w:start w:val="1"/>
        <w:numFmt w:val="decimal"/>
        <w:lvlText w:val="%1.%2.%3"/>
        <w:lvlJc w:val="left"/>
        <w:pPr>
          <w:ind w:left="2126" w:firstLine="0"/>
        </w:pPr>
      </w:lvl>
    </w:lvlOverride>
    <w:lvlOverride w:ilvl="3">
      <w:lvl w:ilvl="3" w:tentative="1">
        <w:start w:val="1"/>
        <w:numFmt w:val="decimal"/>
        <w:lvlText w:val="%1.%2.%3.%4"/>
        <w:lvlJc w:val="left"/>
        <w:pPr>
          <w:ind w:left="71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3">
    <w:abstractNumId w:val="22"/>
  </w:num>
  <w:num w:numId="4">
    <w:abstractNumId w:val="4"/>
  </w:num>
  <w:num w:numId="5">
    <w:abstractNumId w:val="1"/>
  </w:num>
  <w:num w:numId="6">
    <w:abstractNumId w:val="12"/>
  </w:num>
  <w:num w:numId="7">
    <w:abstractNumId w:val="20"/>
  </w:num>
  <w:num w:numId="8">
    <w:abstractNumId w:val="10"/>
  </w:num>
  <w:num w:numId="9">
    <w:abstractNumId w:val="3"/>
  </w:num>
  <w:num w:numId="10">
    <w:abstractNumId w:val="13"/>
  </w:num>
  <w:num w:numId="11">
    <w:abstractNumId w:val="9"/>
  </w:num>
  <w:num w:numId="12">
    <w:abstractNumId w:val="2"/>
  </w:num>
  <w:num w:numId="13">
    <w:abstractNumId w:val="0"/>
  </w:num>
  <w:num w:numId="14">
    <w:abstractNumId w:val="7"/>
  </w:num>
  <w:num w:numId="15">
    <w:abstractNumId w:val="19"/>
  </w:num>
  <w:num w:numId="16">
    <w:abstractNumId w:val="8"/>
  </w:num>
  <w:num w:numId="17">
    <w:abstractNumId w:val="14"/>
  </w:num>
  <w:num w:numId="18">
    <w:abstractNumId w:val="5"/>
  </w:num>
  <w:num w:numId="19">
    <w:abstractNumId w:val="15"/>
  </w:num>
  <w:num w:numId="20">
    <w:abstractNumId w:val="16"/>
  </w:num>
  <w:num w:numId="21">
    <w:abstractNumId w:val="18"/>
  </w:num>
  <w:num w:numId="22">
    <w:abstractNumId w:val="1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lMThmNjMyZWE0YWM4NjNiZDdiNmYwMmExNDRkYzEifQ=="/>
  </w:docVars>
  <w:rsids>
    <w:rsidRoot w:val="00394CE5"/>
    <w:rsid w:val="00016DDE"/>
    <w:rsid w:val="000A0B1D"/>
    <w:rsid w:val="000C55C0"/>
    <w:rsid w:val="000F62F0"/>
    <w:rsid w:val="00105D29"/>
    <w:rsid w:val="00141194"/>
    <w:rsid w:val="001657D1"/>
    <w:rsid w:val="00171E9E"/>
    <w:rsid w:val="00176AAC"/>
    <w:rsid w:val="00186905"/>
    <w:rsid w:val="0019102D"/>
    <w:rsid w:val="00192D05"/>
    <w:rsid w:val="00203FCE"/>
    <w:rsid w:val="00223F48"/>
    <w:rsid w:val="002324CB"/>
    <w:rsid w:val="00236D09"/>
    <w:rsid w:val="00240ADF"/>
    <w:rsid w:val="002560F8"/>
    <w:rsid w:val="002725B7"/>
    <w:rsid w:val="00272FD9"/>
    <w:rsid w:val="002D5ECB"/>
    <w:rsid w:val="00325FBE"/>
    <w:rsid w:val="00343C68"/>
    <w:rsid w:val="00357B59"/>
    <w:rsid w:val="003712F4"/>
    <w:rsid w:val="00394CAC"/>
    <w:rsid w:val="00394CE5"/>
    <w:rsid w:val="003967A8"/>
    <w:rsid w:val="003A5823"/>
    <w:rsid w:val="003A7F77"/>
    <w:rsid w:val="003B6EA5"/>
    <w:rsid w:val="00476217"/>
    <w:rsid w:val="004C187A"/>
    <w:rsid w:val="004C7588"/>
    <w:rsid w:val="004E1F0B"/>
    <w:rsid w:val="00510051"/>
    <w:rsid w:val="00535ACB"/>
    <w:rsid w:val="006715A5"/>
    <w:rsid w:val="00672A43"/>
    <w:rsid w:val="00697E21"/>
    <w:rsid w:val="006B73F2"/>
    <w:rsid w:val="006C4708"/>
    <w:rsid w:val="007556D8"/>
    <w:rsid w:val="0077112C"/>
    <w:rsid w:val="007B6105"/>
    <w:rsid w:val="007C1322"/>
    <w:rsid w:val="007D73E5"/>
    <w:rsid w:val="007E0748"/>
    <w:rsid w:val="007E3D53"/>
    <w:rsid w:val="007F3F26"/>
    <w:rsid w:val="00803653"/>
    <w:rsid w:val="008224A6"/>
    <w:rsid w:val="00832AA6"/>
    <w:rsid w:val="00835F25"/>
    <w:rsid w:val="00881499"/>
    <w:rsid w:val="008C2E04"/>
    <w:rsid w:val="009366AA"/>
    <w:rsid w:val="0094340D"/>
    <w:rsid w:val="0094363A"/>
    <w:rsid w:val="00950C3D"/>
    <w:rsid w:val="009A4778"/>
    <w:rsid w:val="009E359B"/>
    <w:rsid w:val="009F2B2A"/>
    <w:rsid w:val="00A133C9"/>
    <w:rsid w:val="00A35811"/>
    <w:rsid w:val="00AA0E94"/>
    <w:rsid w:val="00B00688"/>
    <w:rsid w:val="00B00B5E"/>
    <w:rsid w:val="00BD0D62"/>
    <w:rsid w:val="00BD4439"/>
    <w:rsid w:val="00C24A59"/>
    <w:rsid w:val="00C352B9"/>
    <w:rsid w:val="00C6126D"/>
    <w:rsid w:val="00C816C4"/>
    <w:rsid w:val="00C9377B"/>
    <w:rsid w:val="00CD0465"/>
    <w:rsid w:val="00CE02EC"/>
    <w:rsid w:val="00CE4C42"/>
    <w:rsid w:val="00D03607"/>
    <w:rsid w:val="00D05232"/>
    <w:rsid w:val="00D076AC"/>
    <w:rsid w:val="00DA5D23"/>
    <w:rsid w:val="00DC7337"/>
    <w:rsid w:val="00DD271B"/>
    <w:rsid w:val="00E35B71"/>
    <w:rsid w:val="00E94E9F"/>
    <w:rsid w:val="00EA0FED"/>
    <w:rsid w:val="00EA5B1C"/>
    <w:rsid w:val="00ED1D04"/>
    <w:rsid w:val="00F60379"/>
    <w:rsid w:val="00FB7820"/>
    <w:rsid w:val="00FF681E"/>
    <w:rsid w:val="012478A7"/>
    <w:rsid w:val="01707ED5"/>
    <w:rsid w:val="01D72F38"/>
    <w:rsid w:val="01F87C26"/>
    <w:rsid w:val="01FA24B6"/>
    <w:rsid w:val="036A11F5"/>
    <w:rsid w:val="03872066"/>
    <w:rsid w:val="03B06F5E"/>
    <w:rsid w:val="056440A8"/>
    <w:rsid w:val="0573496C"/>
    <w:rsid w:val="06A46266"/>
    <w:rsid w:val="06AA2B85"/>
    <w:rsid w:val="06AA5C22"/>
    <w:rsid w:val="06B937CD"/>
    <w:rsid w:val="06C92155"/>
    <w:rsid w:val="06D53CC1"/>
    <w:rsid w:val="06DA4A0D"/>
    <w:rsid w:val="06F85BF9"/>
    <w:rsid w:val="07202EC3"/>
    <w:rsid w:val="074D07A6"/>
    <w:rsid w:val="07766C79"/>
    <w:rsid w:val="07BF1CF2"/>
    <w:rsid w:val="083D3049"/>
    <w:rsid w:val="08F17C93"/>
    <w:rsid w:val="09324B61"/>
    <w:rsid w:val="09CF133F"/>
    <w:rsid w:val="0A68731E"/>
    <w:rsid w:val="0B15380C"/>
    <w:rsid w:val="0BE630F5"/>
    <w:rsid w:val="0C3B7EEE"/>
    <w:rsid w:val="0C9004A0"/>
    <w:rsid w:val="0D086F16"/>
    <w:rsid w:val="0D3D37F2"/>
    <w:rsid w:val="0D84541C"/>
    <w:rsid w:val="0DFD2038"/>
    <w:rsid w:val="0E326B66"/>
    <w:rsid w:val="0E786F24"/>
    <w:rsid w:val="0E9006A4"/>
    <w:rsid w:val="0F026838"/>
    <w:rsid w:val="0F452E31"/>
    <w:rsid w:val="1089408D"/>
    <w:rsid w:val="109B4C39"/>
    <w:rsid w:val="10E533FA"/>
    <w:rsid w:val="11035581"/>
    <w:rsid w:val="11831D15"/>
    <w:rsid w:val="12477A96"/>
    <w:rsid w:val="12491735"/>
    <w:rsid w:val="1344372A"/>
    <w:rsid w:val="1367353C"/>
    <w:rsid w:val="13D7784F"/>
    <w:rsid w:val="14B00D4D"/>
    <w:rsid w:val="15741632"/>
    <w:rsid w:val="1598015F"/>
    <w:rsid w:val="15D0286A"/>
    <w:rsid w:val="15FA6724"/>
    <w:rsid w:val="16B55C9D"/>
    <w:rsid w:val="16DD070B"/>
    <w:rsid w:val="17B74954"/>
    <w:rsid w:val="18007092"/>
    <w:rsid w:val="18081604"/>
    <w:rsid w:val="18147845"/>
    <w:rsid w:val="183D12E9"/>
    <w:rsid w:val="1913253F"/>
    <w:rsid w:val="19555749"/>
    <w:rsid w:val="1A3F1445"/>
    <w:rsid w:val="1AD678C7"/>
    <w:rsid w:val="1ADD080E"/>
    <w:rsid w:val="1AF5417B"/>
    <w:rsid w:val="1B330A4F"/>
    <w:rsid w:val="1B5B61CC"/>
    <w:rsid w:val="1B5D0ACA"/>
    <w:rsid w:val="1B8A404B"/>
    <w:rsid w:val="1C705B1F"/>
    <w:rsid w:val="1CD30CBC"/>
    <w:rsid w:val="1DA55D97"/>
    <w:rsid w:val="1E391355"/>
    <w:rsid w:val="1E3C6BD7"/>
    <w:rsid w:val="1E660C3F"/>
    <w:rsid w:val="1E9D58D1"/>
    <w:rsid w:val="1F1D01F8"/>
    <w:rsid w:val="1F1F4399"/>
    <w:rsid w:val="1F30656E"/>
    <w:rsid w:val="1F36432A"/>
    <w:rsid w:val="1F430E00"/>
    <w:rsid w:val="1F5F0942"/>
    <w:rsid w:val="1F971355"/>
    <w:rsid w:val="20FC16BF"/>
    <w:rsid w:val="211A16D5"/>
    <w:rsid w:val="215B1617"/>
    <w:rsid w:val="21917172"/>
    <w:rsid w:val="219C0FD7"/>
    <w:rsid w:val="225B49EE"/>
    <w:rsid w:val="22E157FB"/>
    <w:rsid w:val="23153686"/>
    <w:rsid w:val="231A54C3"/>
    <w:rsid w:val="23B60B3C"/>
    <w:rsid w:val="24146D4D"/>
    <w:rsid w:val="24A53D7A"/>
    <w:rsid w:val="25047E4C"/>
    <w:rsid w:val="277B2990"/>
    <w:rsid w:val="27B35A24"/>
    <w:rsid w:val="283B0C86"/>
    <w:rsid w:val="28DA66FF"/>
    <w:rsid w:val="28FE3486"/>
    <w:rsid w:val="2AAA4C2C"/>
    <w:rsid w:val="2AFC2AE6"/>
    <w:rsid w:val="2C155484"/>
    <w:rsid w:val="2D570F5C"/>
    <w:rsid w:val="2D966EB9"/>
    <w:rsid w:val="2DA73065"/>
    <w:rsid w:val="2DDF0A87"/>
    <w:rsid w:val="2EC448FB"/>
    <w:rsid w:val="2EEC2FE6"/>
    <w:rsid w:val="2F3B3DDE"/>
    <w:rsid w:val="2F417722"/>
    <w:rsid w:val="2F785863"/>
    <w:rsid w:val="30EB3607"/>
    <w:rsid w:val="3184459A"/>
    <w:rsid w:val="332B0B72"/>
    <w:rsid w:val="335A484E"/>
    <w:rsid w:val="34A7779C"/>
    <w:rsid w:val="35216965"/>
    <w:rsid w:val="35B778E1"/>
    <w:rsid w:val="363E0BA4"/>
    <w:rsid w:val="369F0A83"/>
    <w:rsid w:val="36BD137C"/>
    <w:rsid w:val="36C1260C"/>
    <w:rsid w:val="36E458B7"/>
    <w:rsid w:val="36EE0FB6"/>
    <w:rsid w:val="36FF1C23"/>
    <w:rsid w:val="37461E1E"/>
    <w:rsid w:val="37490E61"/>
    <w:rsid w:val="37C036A0"/>
    <w:rsid w:val="37E71610"/>
    <w:rsid w:val="37F5DD7D"/>
    <w:rsid w:val="380D513D"/>
    <w:rsid w:val="38222A10"/>
    <w:rsid w:val="392E399B"/>
    <w:rsid w:val="395435A5"/>
    <w:rsid w:val="397151A8"/>
    <w:rsid w:val="397E25CB"/>
    <w:rsid w:val="399F51B0"/>
    <w:rsid w:val="39F64658"/>
    <w:rsid w:val="3A266440"/>
    <w:rsid w:val="3A616206"/>
    <w:rsid w:val="3AAE4478"/>
    <w:rsid w:val="3ADC0CC6"/>
    <w:rsid w:val="3B502157"/>
    <w:rsid w:val="3BF21C12"/>
    <w:rsid w:val="3C130550"/>
    <w:rsid w:val="3CD04BFC"/>
    <w:rsid w:val="3CE901AA"/>
    <w:rsid w:val="3D5279B4"/>
    <w:rsid w:val="3D9C6C33"/>
    <w:rsid w:val="3DBB1602"/>
    <w:rsid w:val="3DFDEF01"/>
    <w:rsid w:val="3E3E4775"/>
    <w:rsid w:val="3E7F2F2D"/>
    <w:rsid w:val="3E7F813E"/>
    <w:rsid w:val="3E835B9F"/>
    <w:rsid w:val="3EEB27FE"/>
    <w:rsid w:val="3EFA38D5"/>
    <w:rsid w:val="3FC43B4F"/>
    <w:rsid w:val="3FEC2785"/>
    <w:rsid w:val="408D1166"/>
    <w:rsid w:val="41093380"/>
    <w:rsid w:val="417D583E"/>
    <w:rsid w:val="43260FD4"/>
    <w:rsid w:val="43604835"/>
    <w:rsid w:val="43951584"/>
    <w:rsid w:val="43A06F2C"/>
    <w:rsid w:val="43CC499B"/>
    <w:rsid w:val="449C70BF"/>
    <w:rsid w:val="44E86854"/>
    <w:rsid w:val="44F10356"/>
    <w:rsid w:val="45794749"/>
    <w:rsid w:val="4644323E"/>
    <w:rsid w:val="46C44060"/>
    <w:rsid w:val="46DE0963"/>
    <w:rsid w:val="479829AF"/>
    <w:rsid w:val="486A1206"/>
    <w:rsid w:val="4890586E"/>
    <w:rsid w:val="48A94367"/>
    <w:rsid w:val="493A728E"/>
    <w:rsid w:val="49D339E4"/>
    <w:rsid w:val="4C5765A7"/>
    <w:rsid w:val="4CFA5F20"/>
    <w:rsid w:val="4E4D0024"/>
    <w:rsid w:val="4E75B6B1"/>
    <w:rsid w:val="4EBFBE1E"/>
    <w:rsid w:val="4FCC38A1"/>
    <w:rsid w:val="5032373E"/>
    <w:rsid w:val="50B9375A"/>
    <w:rsid w:val="50F57425"/>
    <w:rsid w:val="52E1368D"/>
    <w:rsid w:val="52FDB375"/>
    <w:rsid w:val="537E4007"/>
    <w:rsid w:val="53857B7E"/>
    <w:rsid w:val="53BF6591"/>
    <w:rsid w:val="53FFA6B7"/>
    <w:rsid w:val="543F3039"/>
    <w:rsid w:val="54D319CE"/>
    <w:rsid w:val="551E6762"/>
    <w:rsid w:val="567C1BBC"/>
    <w:rsid w:val="56F27626"/>
    <w:rsid w:val="56FF8F2B"/>
    <w:rsid w:val="577303DA"/>
    <w:rsid w:val="578F30CC"/>
    <w:rsid w:val="57FF1500"/>
    <w:rsid w:val="581D6A1C"/>
    <w:rsid w:val="58495F26"/>
    <w:rsid w:val="58775F35"/>
    <w:rsid w:val="58B44E8F"/>
    <w:rsid w:val="597E5423"/>
    <w:rsid w:val="59E9299A"/>
    <w:rsid w:val="5A9304C2"/>
    <w:rsid w:val="5B125EF9"/>
    <w:rsid w:val="5B6E4F54"/>
    <w:rsid w:val="5BECAABE"/>
    <w:rsid w:val="5C3119A6"/>
    <w:rsid w:val="5D334CC7"/>
    <w:rsid w:val="5DF43A30"/>
    <w:rsid w:val="5E385185"/>
    <w:rsid w:val="5EDF27BE"/>
    <w:rsid w:val="5EE0298C"/>
    <w:rsid w:val="5F7E5ED9"/>
    <w:rsid w:val="5FCF48C1"/>
    <w:rsid w:val="5FD16BE6"/>
    <w:rsid w:val="5FF5C7FF"/>
    <w:rsid w:val="5FFD6A42"/>
    <w:rsid w:val="602E6D62"/>
    <w:rsid w:val="603F5699"/>
    <w:rsid w:val="606E7929"/>
    <w:rsid w:val="61702485"/>
    <w:rsid w:val="61772657"/>
    <w:rsid w:val="61F1653A"/>
    <w:rsid w:val="61FA358D"/>
    <w:rsid w:val="624F2F20"/>
    <w:rsid w:val="627D51CA"/>
    <w:rsid w:val="62881F67"/>
    <w:rsid w:val="634E3149"/>
    <w:rsid w:val="641D2D49"/>
    <w:rsid w:val="64C80189"/>
    <w:rsid w:val="65B673A3"/>
    <w:rsid w:val="66C8552A"/>
    <w:rsid w:val="677E7294"/>
    <w:rsid w:val="67E449DD"/>
    <w:rsid w:val="680A4E89"/>
    <w:rsid w:val="684F4FAC"/>
    <w:rsid w:val="685722DC"/>
    <w:rsid w:val="68C34233"/>
    <w:rsid w:val="68FA57ED"/>
    <w:rsid w:val="69CD3758"/>
    <w:rsid w:val="6A100413"/>
    <w:rsid w:val="6A15145C"/>
    <w:rsid w:val="6A582598"/>
    <w:rsid w:val="6B1433D5"/>
    <w:rsid w:val="6BA06895"/>
    <w:rsid w:val="6BBCEDBE"/>
    <w:rsid w:val="6BBE0F38"/>
    <w:rsid w:val="6BE0403A"/>
    <w:rsid w:val="6C2E1DF8"/>
    <w:rsid w:val="6C5542B0"/>
    <w:rsid w:val="6CA26F33"/>
    <w:rsid w:val="6CDA1927"/>
    <w:rsid w:val="6DAC0A88"/>
    <w:rsid w:val="6DDB4DD8"/>
    <w:rsid w:val="6DFD9EC4"/>
    <w:rsid w:val="6EB42084"/>
    <w:rsid w:val="6FC07A2A"/>
    <w:rsid w:val="6FCFB3A0"/>
    <w:rsid w:val="6FDF45A5"/>
    <w:rsid w:val="704E7BF1"/>
    <w:rsid w:val="709F45E1"/>
    <w:rsid w:val="70EE6217"/>
    <w:rsid w:val="70FE3F88"/>
    <w:rsid w:val="712E1DFD"/>
    <w:rsid w:val="71DF04BF"/>
    <w:rsid w:val="72EB465C"/>
    <w:rsid w:val="736232DA"/>
    <w:rsid w:val="73787C17"/>
    <w:rsid w:val="7397DC78"/>
    <w:rsid w:val="74BC0C42"/>
    <w:rsid w:val="74FA39D7"/>
    <w:rsid w:val="755B4847"/>
    <w:rsid w:val="75BE650F"/>
    <w:rsid w:val="75DFB4B5"/>
    <w:rsid w:val="75F52D8D"/>
    <w:rsid w:val="76FF876C"/>
    <w:rsid w:val="77732DEB"/>
    <w:rsid w:val="77A61D47"/>
    <w:rsid w:val="77C434DB"/>
    <w:rsid w:val="77CF7BC9"/>
    <w:rsid w:val="7845140B"/>
    <w:rsid w:val="78A92327"/>
    <w:rsid w:val="78C563B7"/>
    <w:rsid w:val="793D1315"/>
    <w:rsid w:val="793F78F6"/>
    <w:rsid w:val="79BF2D79"/>
    <w:rsid w:val="79DE3875"/>
    <w:rsid w:val="7A6047E0"/>
    <w:rsid w:val="7ADF59A9"/>
    <w:rsid w:val="7AF32508"/>
    <w:rsid w:val="7B15210C"/>
    <w:rsid w:val="7B224D86"/>
    <w:rsid w:val="7B261521"/>
    <w:rsid w:val="7B8B63C3"/>
    <w:rsid w:val="7C021601"/>
    <w:rsid w:val="7C29177E"/>
    <w:rsid w:val="7C9932D0"/>
    <w:rsid w:val="7C9979E8"/>
    <w:rsid w:val="7CFDFD80"/>
    <w:rsid w:val="7D7FA767"/>
    <w:rsid w:val="7DD93CF7"/>
    <w:rsid w:val="7DDF7CD5"/>
    <w:rsid w:val="7E2B51C5"/>
    <w:rsid w:val="7EB9D802"/>
    <w:rsid w:val="7EC158F1"/>
    <w:rsid w:val="7EEF5383"/>
    <w:rsid w:val="7F1242FF"/>
    <w:rsid w:val="7F2F972D"/>
    <w:rsid w:val="7F427C3D"/>
    <w:rsid w:val="7F49A510"/>
    <w:rsid w:val="7F7D1B8E"/>
    <w:rsid w:val="7F7F79DF"/>
    <w:rsid w:val="7FDB682F"/>
    <w:rsid w:val="7FEDD568"/>
    <w:rsid w:val="7FF95327"/>
    <w:rsid w:val="ADFF92FE"/>
    <w:rsid w:val="B3BC655C"/>
    <w:rsid w:val="B3F7DAD6"/>
    <w:rsid w:val="B9CF5EC5"/>
    <w:rsid w:val="BDFEF310"/>
    <w:rsid w:val="BFEC0652"/>
    <w:rsid w:val="CBFFC8BD"/>
    <w:rsid w:val="CF9E5FD0"/>
    <w:rsid w:val="DAFF180D"/>
    <w:rsid w:val="DBEF79F9"/>
    <w:rsid w:val="DDF788CF"/>
    <w:rsid w:val="DEFA7B70"/>
    <w:rsid w:val="DF1E4855"/>
    <w:rsid w:val="DFEE9C9E"/>
    <w:rsid w:val="DFEFD21E"/>
    <w:rsid w:val="DFFB5998"/>
    <w:rsid w:val="EB77186A"/>
    <w:rsid w:val="EFDF8A98"/>
    <w:rsid w:val="EFFA9984"/>
    <w:rsid w:val="F3E7201F"/>
    <w:rsid w:val="F7E79BE5"/>
    <w:rsid w:val="F7F41C3C"/>
    <w:rsid w:val="FA53CAA9"/>
    <w:rsid w:val="FAF7ACA8"/>
    <w:rsid w:val="FBACB82A"/>
    <w:rsid w:val="FCD47CCD"/>
    <w:rsid w:val="FE7F3A13"/>
    <w:rsid w:val="FF773EE4"/>
    <w:rsid w:val="FFB750DF"/>
    <w:rsid w:val="FFF95722"/>
    <w:rsid w:val="FFFA57D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qFormat="1" w:uiPriority="3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uiPriority="99" w:name="Body Text First Indent 2"/>
    <w:lsdException w:uiPriority="99" w:name="Note Heading"/>
    <w:lsdException w:uiPriority="99" w:name="Body Text 2"/>
    <w:lsdException w:qFormat="1" w:unhideWhenUsed="0" w:uiPriority="99"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adjustRightInd w:val="0"/>
    </w:pPr>
    <w:rPr>
      <w:rFonts w:ascii="Calibri" w:hAnsi="Calibri" w:eastAsia="宋体" w:cs="Times New Roman"/>
      <w:sz w:val="24"/>
      <w:szCs w:val="24"/>
      <w:lang w:val="en-US" w:eastAsia="zh-CN" w:bidi="ar-SA"/>
    </w:rPr>
  </w:style>
  <w:style w:type="paragraph" w:styleId="5">
    <w:name w:val="heading 1"/>
    <w:basedOn w:val="1"/>
    <w:next w:val="1"/>
    <w:link w:val="26"/>
    <w:qFormat/>
    <w:uiPriority w:val="0"/>
    <w:pPr>
      <w:spacing w:line="360" w:lineRule="auto"/>
      <w:ind w:left="3"/>
      <w:jc w:val="center"/>
      <w:outlineLvl w:val="0"/>
    </w:pPr>
    <w:rPr>
      <w:rFonts w:ascii="Times New Roman" w:hAnsi="Times New Roman" w:eastAsia="黑体"/>
      <w:bCs/>
      <w:kern w:val="44"/>
      <w:sz w:val="44"/>
      <w:szCs w:val="44"/>
    </w:rPr>
  </w:style>
  <w:style w:type="paragraph" w:styleId="6">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7">
    <w:name w:val="heading 3"/>
    <w:basedOn w:val="1"/>
    <w:next w:val="1"/>
    <w:link w:val="27"/>
    <w:qFormat/>
    <w:uiPriority w:val="9"/>
    <w:pPr>
      <w:keepNext/>
      <w:keepLines/>
      <w:spacing w:before="260" w:after="260" w:line="416" w:lineRule="auto"/>
      <w:outlineLvl w:val="2"/>
    </w:pPr>
    <w:rPr>
      <w:b/>
      <w:bCs/>
      <w:sz w:val="32"/>
      <w:szCs w:val="32"/>
    </w:rPr>
  </w:style>
  <w:style w:type="paragraph" w:styleId="8">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4"/>
    <w:unhideWhenUsed/>
    <w:qFormat/>
    <w:uiPriority w:val="0"/>
    <w:pPr>
      <w:autoSpaceDE/>
      <w:autoSpaceDN/>
      <w:adjustRightInd/>
      <w:ind w:firstLine="420" w:firstLineChars="100"/>
      <w:jc w:val="both"/>
    </w:pPr>
    <w:rPr>
      <w:rFonts w:ascii="Calibri" w:hAnsi="Calibri"/>
      <w:sz w:val="21"/>
      <w:szCs w:val="22"/>
    </w:rPr>
  </w:style>
  <w:style w:type="paragraph" w:styleId="3">
    <w:name w:val="Body Text"/>
    <w:basedOn w:val="1"/>
    <w:next w:val="2"/>
    <w:link w:val="25"/>
    <w:unhideWhenUsed/>
    <w:qFormat/>
    <w:uiPriority w:val="99"/>
    <w:pPr>
      <w:spacing w:after="120"/>
    </w:pPr>
  </w:style>
  <w:style w:type="paragraph" w:styleId="4">
    <w:name w:val="toc 6"/>
    <w:basedOn w:val="1"/>
    <w:next w:val="1"/>
    <w:unhideWhenUsed/>
    <w:qFormat/>
    <w:uiPriority w:val="39"/>
    <w:pPr>
      <w:ind w:left="2100" w:leftChars="1000"/>
    </w:pPr>
  </w:style>
  <w:style w:type="paragraph" w:styleId="9">
    <w:name w:val="Normal Indent"/>
    <w:basedOn w:val="1"/>
    <w:qFormat/>
    <w:uiPriority w:val="0"/>
    <w:pPr>
      <w:ind w:firstLine="420" w:firstLineChars="200"/>
    </w:pPr>
  </w:style>
  <w:style w:type="paragraph" w:styleId="10">
    <w:name w:val="annotation text"/>
    <w:basedOn w:val="1"/>
    <w:qFormat/>
    <w:uiPriority w:val="0"/>
    <w:rPr>
      <w:rFonts w:ascii="Times New Roman" w:hAnsi="Times New Roman"/>
    </w:rPr>
  </w:style>
  <w:style w:type="paragraph" w:styleId="11">
    <w:name w:val="Body Text 3"/>
    <w:basedOn w:val="1"/>
    <w:qFormat/>
    <w:uiPriority w:val="99"/>
    <w:pPr>
      <w:spacing w:after="120"/>
    </w:pPr>
    <w:rPr>
      <w:rFonts w:ascii="Times New Roman" w:hAnsi="Times New Roman"/>
      <w:sz w:val="16"/>
      <w:szCs w:val="16"/>
    </w:rPr>
  </w:style>
  <w:style w:type="paragraph" w:styleId="12">
    <w:name w:val="Body Text Indent"/>
    <w:basedOn w:val="1"/>
    <w:unhideWhenUsed/>
    <w:qFormat/>
    <w:uiPriority w:val="0"/>
    <w:pPr>
      <w:spacing w:line="360" w:lineRule="auto"/>
      <w:ind w:firstLine="480"/>
      <w:textAlignment w:val="baseline"/>
    </w:pPr>
    <w:rPr>
      <w:rFonts w:eastAsia="黑体"/>
      <w:szCs w:val="20"/>
    </w:rPr>
  </w:style>
  <w:style w:type="paragraph" w:styleId="13">
    <w:name w:val="Plain Text"/>
    <w:basedOn w:val="1"/>
    <w:link w:val="28"/>
    <w:qFormat/>
    <w:uiPriority w:val="0"/>
    <w:pPr>
      <w:autoSpaceDE/>
      <w:autoSpaceDN/>
      <w:adjustRightInd/>
      <w:jc w:val="both"/>
    </w:pPr>
    <w:rPr>
      <w:rFonts w:ascii="宋体" w:hAnsi="Courier New"/>
      <w:sz w:val="20"/>
      <w:szCs w:val="20"/>
    </w:rPr>
  </w:style>
  <w:style w:type="paragraph" w:styleId="14">
    <w:name w:val="Balloon Text"/>
    <w:basedOn w:val="1"/>
    <w:link w:val="29"/>
    <w:unhideWhenUsed/>
    <w:qFormat/>
    <w:uiPriority w:val="99"/>
    <w:rPr>
      <w:sz w:val="18"/>
      <w:szCs w:val="18"/>
    </w:rPr>
  </w:style>
  <w:style w:type="paragraph" w:styleId="15">
    <w:name w:val="footer"/>
    <w:basedOn w:val="1"/>
    <w:link w:val="30"/>
    <w:unhideWhenUsed/>
    <w:qFormat/>
    <w:uiPriority w:val="99"/>
    <w:pPr>
      <w:tabs>
        <w:tab w:val="center" w:pos="4153"/>
        <w:tab w:val="right" w:pos="8306"/>
      </w:tabs>
      <w:snapToGrid w:val="0"/>
    </w:pPr>
    <w:rPr>
      <w:sz w:val="18"/>
      <w:szCs w:val="18"/>
    </w:rPr>
  </w:style>
  <w:style w:type="paragraph" w:styleId="16">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line="360" w:lineRule="auto"/>
      <w:jc w:val="center"/>
    </w:pPr>
    <w:rPr>
      <w:rFonts w:ascii="宋体" w:hAnsi="宋体" w:eastAsia="宋体"/>
    </w:rPr>
  </w:style>
  <w:style w:type="paragraph" w:styleId="18">
    <w:name w:val="Normal (Web)"/>
    <w:basedOn w:val="1"/>
    <w:qFormat/>
    <w:uiPriority w:val="99"/>
    <w:pPr>
      <w:spacing w:beforeAutospacing="1" w:afterAutospacing="1"/>
    </w:pPr>
  </w:style>
  <w:style w:type="table" w:styleId="20">
    <w:name w:val="Table Grid"/>
    <w:basedOn w:val="19"/>
    <w:qFormat/>
    <w:uiPriority w:val="3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unhideWhenUsed/>
    <w:uiPriority w:val="99"/>
    <w:rPr>
      <w:color w:val="800080"/>
      <w:u w:val="single"/>
    </w:rPr>
  </w:style>
  <w:style w:type="character" w:styleId="23">
    <w:name w:val="Hyperlink"/>
    <w:basedOn w:val="21"/>
    <w:qFormat/>
    <w:uiPriority w:val="99"/>
    <w:rPr>
      <w:color w:val="0000FF"/>
      <w:u w:val="single"/>
    </w:rPr>
  </w:style>
  <w:style w:type="character" w:styleId="24">
    <w:name w:val="annotation reference"/>
    <w:basedOn w:val="21"/>
    <w:qFormat/>
    <w:uiPriority w:val="0"/>
    <w:rPr>
      <w:sz w:val="21"/>
      <w:szCs w:val="21"/>
    </w:rPr>
  </w:style>
  <w:style w:type="character" w:customStyle="1" w:styleId="25">
    <w:name w:val="正文文本 Char"/>
    <w:basedOn w:val="21"/>
    <w:link w:val="3"/>
    <w:qFormat/>
    <w:uiPriority w:val="99"/>
    <w:rPr>
      <w:rFonts w:ascii="Calibri" w:hAnsi="Calibri" w:eastAsia="宋体" w:cs="Times New Roman"/>
      <w:kern w:val="0"/>
      <w:sz w:val="24"/>
      <w:szCs w:val="24"/>
    </w:rPr>
  </w:style>
  <w:style w:type="character" w:customStyle="1" w:styleId="26">
    <w:name w:val="标题 1 Char1"/>
    <w:link w:val="5"/>
    <w:qFormat/>
    <w:locked/>
    <w:uiPriority w:val="0"/>
    <w:rPr>
      <w:rFonts w:ascii="Times New Roman" w:hAnsi="Times New Roman" w:eastAsia="黑体" w:cs="Times New Roman"/>
      <w:bCs/>
      <w:kern w:val="44"/>
      <w:sz w:val="44"/>
      <w:szCs w:val="44"/>
    </w:rPr>
  </w:style>
  <w:style w:type="character" w:customStyle="1" w:styleId="27">
    <w:name w:val="标题 3 Char"/>
    <w:basedOn w:val="21"/>
    <w:link w:val="7"/>
    <w:semiHidden/>
    <w:qFormat/>
    <w:uiPriority w:val="9"/>
    <w:rPr>
      <w:rFonts w:ascii="Calibri" w:hAnsi="Calibri" w:eastAsia="宋体" w:cs="Times New Roman"/>
      <w:b/>
      <w:bCs/>
      <w:kern w:val="0"/>
      <w:sz w:val="32"/>
      <w:szCs w:val="32"/>
    </w:rPr>
  </w:style>
  <w:style w:type="character" w:customStyle="1" w:styleId="28">
    <w:name w:val="纯文本 Char1"/>
    <w:link w:val="13"/>
    <w:qFormat/>
    <w:locked/>
    <w:uiPriority w:val="0"/>
    <w:rPr>
      <w:rFonts w:ascii="宋体" w:hAnsi="Courier New" w:eastAsia="宋体" w:cs="Times New Roman"/>
      <w:kern w:val="0"/>
      <w:sz w:val="20"/>
      <w:szCs w:val="20"/>
    </w:rPr>
  </w:style>
  <w:style w:type="character" w:customStyle="1" w:styleId="29">
    <w:name w:val="批注框文本 Char"/>
    <w:basedOn w:val="21"/>
    <w:link w:val="14"/>
    <w:semiHidden/>
    <w:qFormat/>
    <w:uiPriority w:val="99"/>
    <w:rPr>
      <w:rFonts w:ascii="Calibri" w:hAnsi="Calibri"/>
      <w:sz w:val="18"/>
      <w:szCs w:val="18"/>
    </w:rPr>
  </w:style>
  <w:style w:type="character" w:customStyle="1" w:styleId="30">
    <w:name w:val="页脚 Char"/>
    <w:basedOn w:val="21"/>
    <w:link w:val="15"/>
    <w:qFormat/>
    <w:uiPriority w:val="99"/>
    <w:rPr>
      <w:sz w:val="18"/>
      <w:szCs w:val="18"/>
    </w:rPr>
  </w:style>
  <w:style w:type="character" w:customStyle="1" w:styleId="31">
    <w:name w:val="页眉 Char"/>
    <w:basedOn w:val="21"/>
    <w:link w:val="16"/>
    <w:qFormat/>
    <w:uiPriority w:val="99"/>
    <w:rPr>
      <w:sz w:val="18"/>
      <w:szCs w:val="18"/>
    </w:rPr>
  </w:style>
  <w:style w:type="character" w:customStyle="1" w:styleId="32">
    <w:name w:val="纯文本 Char"/>
    <w:basedOn w:val="21"/>
    <w:semiHidden/>
    <w:qFormat/>
    <w:uiPriority w:val="99"/>
    <w:rPr>
      <w:rFonts w:ascii="宋体" w:hAnsi="Courier New" w:eastAsia="宋体" w:cs="Courier New"/>
      <w:kern w:val="0"/>
      <w:szCs w:val="21"/>
    </w:rPr>
  </w:style>
  <w:style w:type="character" w:customStyle="1" w:styleId="33">
    <w:name w:val="纯文本 字符1"/>
    <w:semiHidden/>
    <w:qFormat/>
    <w:locked/>
    <w:uiPriority w:val="0"/>
    <w:rPr>
      <w:rFonts w:ascii="宋体" w:hAnsi="Courier New" w:eastAsia="宋体" w:cs="Times New Roman"/>
      <w:kern w:val="0"/>
      <w:sz w:val="20"/>
      <w:szCs w:val="20"/>
    </w:rPr>
  </w:style>
  <w:style w:type="character" w:customStyle="1" w:styleId="34">
    <w:name w:val="页脚 字符"/>
    <w:qFormat/>
    <w:locked/>
    <w:uiPriority w:val="99"/>
    <w:rPr>
      <w:rFonts w:ascii="Times New Roman" w:hAnsi="Times New Roman" w:cs="Times New Roman"/>
      <w:kern w:val="0"/>
      <w:sz w:val="18"/>
      <w:szCs w:val="18"/>
    </w:rPr>
  </w:style>
  <w:style w:type="character" w:customStyle="1" w:styleId="35">
    <w:name w:val="标题 1 Char"/>
    <w:basedOn w:val="21"/>
    <w:qFormat/>
    <w:uiPriority w:val="9"/>
    <w:rPr>
      <w:rFonts w:ascii="Calibri" w:hAnsi="Calibri" w:eastAsia="宋体" w:cs="Times New Roman"/>
      <w:b/>
      <w:bCs/>
      <w:kern w:val="44"/>
      <w:sz w:val="44"/>
      <w:szCs w:val="44"/>
    </w:rPr>
  </w:style>
  <w:style w:type="character" w:customStyle="1" w:styleId="36">
    <w:name w:val="纯文本 字符2"/>
    <w:qFormat/>
    <w:locked/>
    <w:uiPriority w:val="0"/>
    <w:rPr>
      <w:rFonts w:ascii="宋体" w:hAnsi="Courier New" w:eastAsia="宋体"/>
    </w:rPr>
  </w:style>
  <w:style w:type="paragraph" w:customStyle="1" w:styleId="3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8">
    <w:name w:val="List Paragraph1"/>
    <w:basedOn w:val="1"/>
    <w:qFormat/>
    <w:uiPriority w:val="0"/>
    <w:pPr>
      <w:ind w:firstLine="420" w:firstLineChars="200"/>
    </w:pPr>
    <w:rPr>
      <w:rFonts w:ascii="Calibri" w:hAnsi="Calibri"/>
      <w:sz w:val="21"/>
      <w:szCs w:val="22"/>
    </w:rPr>
  </w:style>
  <w:style w:type="paragraph" w:customStyle="1" w:styleId="39">
    <w:name w:val="专用标题2"/>
    <w:basedOn w:val="6"/>
    <w:next w:val="1"/>
    <w:qFormat/>
    <w:uiPriority w:val="0"/>
    <w:pPr>
      <w:keepNext w:val="0"/>
      <w:keepLines w:val="0"/>
      <w:tabs>
        <w:tab w:val="left" w:pos="993"/>
      </w:tabs>
      <w:wordWrap/>
      <w:topLinePunct w:val="0"/>
      <w:spacing w:line="360" w:lineRule="auto"/>
      <w:ind w:firstLine="0" w:firstLineChars="0"/>
    </w:pPr>
    <w:rPr>
      <w:rFonts w:ascii="宋体" w:hAnsi="宋体" w:eastAsia="宋体" w:cs="Times"/>
    </w:rPr>
  </w:style>
  <w:style w:type="paragraph" w:customStyle="1" w:styleId="40">
    <w:name w:val="Table Paragraph"/>
    <w:basedOn w:val="1"/>
    <w:qFormat/>
    <w:uiPriority w:val="1"/>
    <w:rPr>
      <w:rFonts w:ascii="宋体" w:hAnsi="宋体" w:cs="宋体"/>
      <w:lang w:val="zh-CN" w:bidi="zh-CN"/>
    </w:rPr>
  </w:style>
  <w:style w:type="paragraph" w:customStyle="1" w:styleId="41">
    <w:name w:val="TOC 标题2"/>
    <w:basedOn w:val="5"/>
    <w:next w:val="1"/>
    <w:unhideWhenUsed/>
    <w:qFormat/>
    <w:uiPriority w:val="39"/>
    <w:pPr>
      <w:keepNext/>
      <w:keepLines/>
      <w:widowControl/>
      <w:autoSpaceDE/>
      <w:autoSpaceDN/>
      <w:adjustRightInd/>
      <w:spacing w:before="480" w:line="276" w:lineRule="auto"/>
      <w:ind w:left="0"/>
      <w:jc w:val="left"/>
      <w:outlineLvl w:val="9"/>
    </w:pPr>
    <w:rPr>
      <w:rFonts w:ascii="Cambria" w:hAnsi="Cambria" w:eastAsia="宋体"/>
      <w:b/>
      <w:color w:val="366091"/>
      <w:kern w:val="0"/>
      <w:sz w:val="28"/>
      <w:szCs w:val="28"/>
    </w:rPr>
  </w:style>
  <w:style w:type="paragraph" w:customStyle="1" w:styleId="42">
    <w:name w:val="样式 正文文本"/>
    <w:basedOn w:val="1"/>
    <w:qFormat/>
    <w:uiPriority w:val="0"/>
    <w:pPr>
      <w:snapToGrid w:val="0"/>
      <w:spacing w:line="400" w:lineRule="exact"/>
      <w:ind w:firstLine="200" w:firstLineChars="200"/>
    </w:pPr>
    <w:rPr>
      <w:rFonts w:ascii="Arial" w:hAnsi="Arial" w:cs="宋体"/>
      <w:color w:val="000000"/>
      <w:szCs w:val="20"/>
    </w:rPr>
  </w:style>
  <w:style w:type="paragraph" w:customStyle="1" w:styleId="43">
    <w:name w:val="Char Char Char"/>
    <w:basedOn w:val="1"/>
    <w:qFormat/>
    <w:uiPriority w:val="0"/>
    <w:rPr>
      <w:rFonts w:ascii="Tahoma" w:hAnsi="Tahoma"/>
      <w:szCs w:val="20"/>
    </w:rPr>
  </w:style>
  <w:style w:type="paragraph" w:customStyle="1" w:styleId="44">
    <w:name w:val="[Normal]"/>
    <w:qFormat/>
    <w:uiPriority w:val="0"/>
    <w:rPr>
      <w:rFonts w:ascii="宋体" w:hAnsi="宋体" w:eastAsia="宋体" w:cs="Times New Roman"/>
      <w:sz w:val="24"/>
      <w:szCs w:val="22"/>
      <w:lang w:val="zh-CN" w:eastAsia="zh-CN" w:bidi="ar-SA"/>
    </w:rPr>
  </w:style>
  <w:style w:type="paragraph" w:customStyle="1" w:styleId="45">
    <w:name w:val="_Style 16"/>
    <w:basedOn w:val="1"/>
    <w:next w:val="46"/>
    <w:qFormat/>
    <w:uiPriority w:val="0"/>
  </w:style>
  <w:style w:type="paragraph" w:styleId="46">
    <w:name w:val="List Paragraph"/>
    <w:basedOn w:val="1"/>
    <w:qFormat/>
    <w:uiPriority w:val="34"/>
    <w:pPr>
      <w:ind w:firstLine="420" w:firstLineChars="200"/>
    </w:pPr>
  </w:style>
  <w:style w:type="paragraph" w:customStyle="1" w:styleId="47">
    <w:name w:val="No Spacing"/>
    <w:qFormat/>
    <w:uiPriority w:val="0"/>
    <w:pPr>
      <w:widowControl w:val="0"/>
      <w:jc w:val="both"/>
    </w:pPr>
    <w:rPr>
      <w:rFonts w:ascii="Calibri" w:hAnsi="Calibri" w:eastAsia="宋体" w:cs="Times New Roman"/>
      <w:kern w:val="2"/>
      <w:sz w:val="21"/>
      <w:szCs w:val="24"/>
      <w:lang w:val="en-US" w:eastAsia="zh-CN" w:bidi="ar-SA"/>
    </w:rPr>
  </w:style>
  <w:style w:type="paragraph" w:customStyle="1" w:styleId="48">
    <w:name w:val="附件标题"/>
    <w:basedOn w:val="6"/>
    <w:next w:val="1"/>
    <w:qFormat/>
    <w:uiPriority w:val="0"/>
    <w:pPr>
      <w:numPr>
        <w:ilvl w:val="0"/>
        <w:numId w:val="1"/>
      </w:numPr>
      <w:tabs>
        <w:tab w:val="left" w:pos="1134"/>
      </w:tabs>
      <w:spacing w:line="360" w:lineRule="auto"/>
      <w:ind w:firstLine="0" w:firstLineChars="0"/>
      <w:jc w:val="center"/>
    </w:pPr>
    <w:rPr>
      <w:rFonts w:ascii="黑体" w:hAnsi="黑体"/>
      <w:sz w:val="30"/>
      <w:szCs w:val="30"/>
    </w:rPr>
  </w:style>
  <w:style w:type="paragraph" w:customStyle="1" w:styleId="49">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_Style 9"/>
    <w:basedOn w:val="3"/>
    <w:next w:val="4"/>
    <w:qFormat/>
    <w:uiPriority w:val="0"/>
    <w:pPr>
      <w:tabs>
        <w:tab w:val="left" w:pos="9360"/>
      </w:tabs>
      <w:adjustRightInd/>
      <w:spacing w:after="0"/>
      <w:ind w:left="520" w:firstLine="420" w:firstLineChars="100"/>
    </w:pPr>
    <w:rPr>
      <w:rFonts w:ascii="Times New Roman" w:hAnsi="Times New Roman"/>
      <w:sz w:val="21"/>
    </w:rPr>
  </w:style>
  <w:style w:type="paragraph" w:customStyle="1" w:styleId="51">
    <w:name w:val="_Style 1"/>
    <w:basedOn w:val="1"/>
    <w:next w:val="1"/>
    <w:qFormat/>
    <w:uiPriority w:val="0"/>
    <w:pPr>
      <w:pBdr>
        <w:bottom w:val="single" w:color="auto" w:sz="6" w:space="1"/>
      </w:pBdr>
      <w:jc w:val="center"/>
    </w:pPr>
    <w:rPr>
      <w:rFonts w:ascii="Arial"/>
      <w:vanish/>
      <w:sz w:val="16"/>
    </w:rPr>
  </w:style>
  <w:style w:type="paragraph" w:customStyle="1" w:styleId="52">
    <w:name w:val="样式 样式 左侧:  2 字符 + 左侧:  0.85 厘米 首行缩进:  2 字符1"/>
    <w:basedOn w:val="1"/>
    <w:qFormat/>
    <w:uiPriority w:val="0"/>
    <w:pPr>
      <w:ind w:left="482" w:firstLine="200"/>
    </w:pPr>
    <w:rPr>
      <w:rFonts w:cs="宋体"/>
      <w:szCs w:val="20"/>
    </w:rPr>
  </w:style>
  <w:style w:type="paragraph" w:customStyle="1" w:styleId="53">
    <w:name w:val="通用标题3"/>
    <w:next w:val="1"/>
    <w:qFormat/>
    <w:uiPriority w:val="0"/>
    <w:pPr>
      <w:widowControl w:val="0"/>
      <w:numPr>
        <w:ilvl w:val="1"/>
        <w:numId w:val="2"/>
      </w:numPr>
      <w:tabs>
        <w:tab w:val="left" w:pos="851"/>
      </w:tabs>
      <w:adjustRightInd w:val="0"/>
      <w:snapToGrid w:val="0"/>
      <w:spacing w:after="120"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54">
    <w:name w:val="列出段落1"/>
    <w:basedOn w:val="1"/>
    <w:qFormat/>
    <w:uiPriority w:val="0"/>
    <w:pPr>
      <w:autoSpaceDE/>
      <w:autoSpaceDN/>
      <w:adjustRightInd/>
      <w:ind w:firstLine="420" w:firstLineChars="200"/>
      <w:jc w:val="both"/>
    </w:pPr>
    <w:rPr>
      <w:kern w:val="2"/>
      <w:sz w:val="21"/>
      <w:szCs w:val="22"/>
    </w:rPr>
  </w:style>
  <w:style w:type="paragraph" w:customStyle="1" w:styleId="55">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56">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57">
    <w:name w:val="协议书标题2"/>
    <w:basedOn w:val="6"/>
    <w:next w:val="1"/>
    <w:qFormat/>
    <w:uiPriority w:val="0"/>
    <w:pPr>
      <w:keepNext w:val="0"/>
      <w:keepLines w:val="0"/>
      <w:numPr>
        <w:ilvl w:val="0"/>
        <w:numId w:val="3"/>
      </w:numPr>
      <w:tabs>
        <w:tab w:val="left" w:pos="567"/>
      </w:tabs>
      <w:spacing w:line="360" w:lineRule="auto"/>
      <w:ind w:firstLine="0" w:firstLineChars="0"/>
      <w:jc w:val="left"/>
    </w:pPr>
    <w:rPr>
      <w:rFonts w:ascii="宋体" w:hAnsi="宋体" w:eastAsia="宋体"/>
      <w:sz w:val="24"/>
    </w:rPr>
  </w:style>
  <w:style w:type="paragraph" w:customStyle="1" w:styleId="58">
    <w:name w:val="正文，首行缩进:"/>
    <w:basedOn w:val="1"/>
    <w:qFormat/>
    <w:uiPriority w:val="0"/>
    <w:pPr>
      <w:tabs>
        <w:tab w:val="left" w:pos="3376"/>
      </w:tabs>
      <w:spacing w:line="460" w:lineRule="exact"/>
      <w:ind w:firstLine="480" w:firstLineChars="200"/>
    </w:pPr>
    <w:rPr>
      <w:rFonts w:ascii="宋体" w:hAnsi="宋体" w:cs="宋体"/>
      <w:szCs w:val="20"/>
    </w:rPr>
  </w:style>
  <w:style w:type="paragraph" w:customStyle="1" w:styleId="59">
    <w:name w:val="_Style 27"/>
    <w:basedOn w:val="1"/>
    <w:next w:val="46"/>
    <w:qFormat/>
    <w:uiPriority w:val="0"/>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WPSOffice手动目录 2"/>
    <w:qFormat/>
    <w:uiPriority w:val="0"/>
    <w:pPr>
      <w:ind w:leftChars="200"/>
    </w:pPr>
    <w:rPr>
      <w:rFonts w:ascii="Times New Roman" w:hAnsi="Times New Roman" w:eastAsia="宋体" w:cs="Times New Roman"/>
      <w:sz w:val="20"/>
      <w:szCs w:val="20"/>
    </w:rPr>
  </w:style>
  <w:style w:type="paragraph" w:customStyle="1" w:styleId="6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194</Pages>
  <Words>119482</Words>
  <Characters>126851</Characters>
  <Lines>806</Lines>
  <Paragraphs>227</Paragraphs>
  <TotalTime>5</TotalTime>
  <ScaleCrop>false</ScaleCrop>
  <LinksUpToDate>false</LinksUpToDate>
  <CharactersWithSpaces>132552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2022-06-12T14:12:00Z</dcterms:created>
  <dc:creator>Windows User</dc:creator>
  <cp:lastModifiedBy>意尤文未尽</cp:lastModifiedBy>
  <cp:lastPrinted>2022-04-08T00:39:00Z</cp:lastPrinted>
  <dcterms:modified xsi:type="dcterms:W3CDTF">2022-07-29T09:05:02Z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63709B7E4C364DD29E455BB9754CCE22</vt:lpwstr>
  </property>
</Properties>
</file>